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</w:rPr>
        <w:t>2</w:t>
      </w:r>
    </w:p>
    <w:p>
      <w:pPr>
        <w:widowControl/>
        <w:spacing w:line="6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sz w:val="44"/>
          <w:szCs w:val="44"/>
        </w:rPr>
        <w:t>省级预算内基建资金投资计划绩效目标表</w:t>
      </w:r>
    </w:p>
    <w:p>
      <w:pPr>
        <w:widowControl/>
        <w:spacing w:line="570" w:lineRule="exact"/>
        <w:jc w:val="center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（2020年度）</w:t>
      </w:r>
    </w:p>
    <w:tbl>
      <w:tblPr>
        <w:tblStyle w:val="4"/>
        <w:tblW w:w="8831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50"/>
        <w:gridCol w:w="664"/>
        <w:gridCol w:w="1434"/>
        <w:gridCol w:w="267"/>
        <w:gridCol w:w="1158"/>
        <w:gridCol w:w="1677"/>
        <w:gridCol w:w="886"/>
        <w:gridCol w:w="531"/>
        <w:gridCol w:w="7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项目名称</w:t>
            </w:r>
          </w:p>
        </w:tc>
        <w:tc>
          <w:tcPr>
            <w:tcW w:w="73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2020年省级预算内基建资金支持易地扶贫搬迁后续扶持投资计划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主管部门</w:t>
            </w:r>
          </w:p>
        </w:tc>
        <w:tc>
          <w:tcPr>
            <w:tcW w:w="35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市</w:t>
            </w:r>
            <w:r>
              <w:rPr>
                <w:rFonts w:ascii="宋体" w:hAnsi="宋体" w:eastAsia="宋体" w:cs="仿宋_GB2312"/>
                <w:sz w:val="24"/>
              </w:rPr>
              <w:t>发展改革委</w:t>
            </w:r>
          </w:p>
        </w:tc>
        <w:tc>
          <w:tcPr>
            <w:tcW w:w="25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实施期限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2020年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6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资金金额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（万元）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实施期资金总额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245</w:t>
            </w:r>
          </w:p>
        </w:tc>
        <w:tc>
          <w:tcPr>
            <w:tcW w:w="25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年度资金总额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6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其中</w:t>
            </w:r>
            <w:r>
              <w:rPr>
                <w:rFonts w:hint="eastAsia" w:ascii="宋体" w:hAnsi="宋体" w:eastAsia="宋体" w:cs="仿宋_GB2312"/>
                <w:sz w:val="24"/>
              </w:rPr>
              <w:t>：</w:t>
            </w:r>
            <w:r>
              <w:rPr>
                <w:rFonts w:ascii="宋体" w:hAnsi="宋体" w:eastAsia="宋体" w:cs="仿宋_GB2312"/>
                <w:sz w:val="24"/>
              </w:rPr>
              <w:t>财政拨款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245</w:t>
            </w:r>
          </w:p>
        </w:tc>
        <w:tc>
          <w:tcPr>
            <w:tcW w:w="25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其中</w:t>
            </w:r>
            <w:r>
              <w:rPr>
                <w:rFonts w:hint="eastAsia" w:ascii="宋体" w:hAnsi="宋体" w:eastAsia="宋体" w:cs="仿宋_GB2312"/>
                <w:sz w:val="24"/>
              </w:rPr>
              <w:t>：</w:t>
            </w:r>
            <w:r>
              <w:rPr>
                <w:rFonts w:ascii="宋体" w:hAnsi="宋体" w:eastAsia="宋体" w:cs="仿宋_GB2312"/>
                <w:sz w:val="24"/>
              </w:rPr>
              <w:t>财政拨款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6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其他资金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其他资金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体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目</w:t>
            </w:r>
          </w:p>
          <w:p>
            <w:pPr>
              <w:widowControl/>
              <w:spacing w:line="3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标</w:t>
            </w:r>
          </w:p>
        </w:tc>
        <w:tc>
          <w:tcPr>
            <w:tcW w:w="42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实施期总目标</w:t>
            </w:r>
          </w:p>
        </w:tc>
        <w:tc>
          <w:tcPr>
            <w:tcW w:w="38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年度目标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  <w:tc>
          <w:tcPr>
            <w:tcW w:w="42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改善</w:t>
            </w:r>
            <w:r>
              <w:rPr>
                <w:rFonts w:hint="eastAsia" w:ascii="宋体" w:hAnsi="宋体" w:eastAsia="宋体" w:cs="仿宋_GB2312"/>
                <w:sz w:val="24"/>
              </w:rPr>
              <w:t>“十三五”易地扶贫搬迁集中安置区搬迁群众生产生活条件，促进搬迁群众就近就业。</w:t>
            </w:r>
          </w:p>
        </w:tc>
        <w:tc>
          <w:tcPr>
            <w:tcW w:w="38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改善</w:t>
            </w:r>
            <w:r>
              <w:rPr>
                <w:rFonts w:hint="eastAsia" w:ascii="宋体" w:hAnsi="宋体" w:eastAsia="宋体" w:cs="仿宋_GB2312"/>
                <w:sz w:val="24"/>
              </w:rPr>
              <w:t>“十三五”易地扶贫搬迁安置区搬迁群众生产生活条件，促进搬迁群众就近就业。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年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标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一级指标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二级指标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指标内容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指标值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产出指标</w:t>
            </w:r>
          </w:p>
        </w:tc>
        <w:tc>
          <w:tcPr>
            <w:tcW w:w="170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数量指标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支持的县</w:t>
            </w:r>
            <w:r>
              <w:rPr>
                <w:rFonts w:hint="eastAsia" w:ascii="宋体" w:hAnsi="宋体" w:eastAsia="宋体" w:cs="仿宋_GB2312"/>
                <w:sz w:val="24"/>
              </w:rPr>
              <w:t>（区）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≥</w:t>
            </w:r>
            <w:r>
              <w:rPr>
                <w:rFonts w:hint="eastAsia" w:ascii="宋体" w:hAnsi="宋体" w:eastAsia="宋体" w:cs="仿宋_GB2312"/>
                <w:sz w:val="24"/>
              </w:rPr>
              <w:t>2个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支持的集中安置区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≥</w:t>
            </w:r>
            <w:r>
              <w:rPr>
                <w:rFonts w:hint="eastAsia" w:ascii="宋体" w:hAnsi="宋体" w:eastAsia="宋体" w:cs="仿宋_GB2312"/>
                <w:sz w:val="24"/>
              </w:rPr>
              <w:t>3个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时效指标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项目</w:t>
            </w:r>
            <w:r>
              <w:rPr>
                <w:rFonts w:hint="eastAsia" w:ascii="宋体" w:hAnsi="宋体" w:eastAsia="宋体" w:cs="仿宋_GB2312"/>
                <w:sz w:val="24"/>
              </w:rPr>
              <w:t>（工程）开工及时率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≥</w:t>
            </w:r>
            <w:r>
              <w:rPr>
                <w:rFonts w:hint="eastAsia" w:ascii="宋体" w:hAnsi="宋体" w:eastAsia="宋体" w:cs="仿宋_GB2312"/>
                <w:sz w:val="24"/>
              </w:rPr>
              <w:t>80%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项目</w:t>
            </w:r>
            <w:r>
              <w:rPr>
                <w:rFonts w:hint="eastAsia" w:ascii="宋体" w:hAnsi="宋体" w:eastAsia="宋体" w:cs="仿宋_GB2312"/>
                <w:sz w:val="24"/>
              </w:rPr>
              <w:t>（工程）完成及时率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≥</w:t>
            </w:r>
            <w:r>
              <w:rPr>
                <w:rFonts w:hint="eastAsia" w:ascii="宋体" w:hAnsi="宋体" w:eastAsia="宋体" w:cs="仿宋_GB2312"/>
                <w:sz w:val="24"/>
              </w:rPr>
              <w:t>80%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效益指标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经济效益指标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搬迁群众收入是否提升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是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社会效益指标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搬迁群众生产生活条件是否改善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是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可持续影响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指标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设施使用年限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≥</w:t>
            </w:r>
            <w:r>
              <w:rPr>
                <w:rFonts w:hint="eastAsia" w:ascii="宋体" w:hAnsi="宋体" w:eastAsia="宋体" w:cs="仿宋_GB2312"/>
                <w:sz w:val="24"/>
              </w:rPr>
              <w:t>5年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满意度指标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受</w:t>
            </w:r>
            <w:r>
              <w:rPr>
                <w:rFonts w:ascii="宋体" w:hAnsi="宋体" w:eastAsia="宋体" w:cs="仿宋_GB2312"/>
                <w:sz w:val="24"/>
              </w:rPr>
              <w:t>益群众满意度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ascii="宋体" w:hAnsi="宋体" w:eastAsia="宋体" w:cs="仿宋_GB2312"/>
                <w:sz w:val="24"/>
              </w:rPr>
              <w:t>≥</w:t>
            </w:r>
            <w:r>
              <w:rPr>
                <w:rFonts w:hint="eastAsia" w:ascii="宋体" w:hAnsi="宋体" w:eastAsia="宋体" w:cs="仿宋_GB2312"/>
                <w:sz w:val="24"/>
              </w:rPr>
              <w:t>90%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</w:tr>
    </w:tbl>
    <w:p>
      <w:pPr>
        <w:widowControl/>
        <w:spacing w:line="660" w:lineRule="exact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pStyle w:val="2"/>
      </w:pPr>
    </w:p>
    <w:p>
      <w:bookmarkStart w:id="0" w:name="_GoBack"/>
      <w:bookmarkEnd w:id="0"/>
    </w:p>
    <w:sectPr>
      <w:pgSz w:w="11906" w:h="16838"/>
      <w:pgMar w:top="2098" w:right="1474" w:bottom="1984" w:left="1588" w:header="567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C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Lenovo5</dc:creator>
  <cp:lastModifiedBy>jinn</cp:lastModifiedBy>
  <dcterms:modified xsi:type="dcterms:W3CDTF">2020-11-03T02:06:44Z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