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60" w:type="dxa"/>
        <w:tblInd w:w="0" w:type="dxa"/>
        <w:tblLayout w:type="fixed"/>
        <w:tblCellMar>
          <w:top w:w="0" w:type="dxa"/>
          <w:left w:w="108" w:type="dxa"/>
          <w:bottom w:w="0" w:type="dxa"/>
          <w:right w:w="108" w:type="dxa"/>
        </w:tblCellMar>
      </w:tblPr>
      <w:tblGrid>
        <w:gridCol w:w="1399"/>
        <w:gridCol w:w="933"/>
        <w:gridCol w:w="933"/>
        <w:gridCol w:w="988"/>
        <w:gridCol w:w="933"/>
        <w:gridCol w:w="933"/>
        <w:gridCol w:w="933"/>
        <w:gridCol w:w="988"/>
        <w:gridCol w:w="1020"/>
      </w:tblGrid>
      <w:tr>
        <w:tblPrEx>
          <w:tblLayout w:type="fixed"/>
          <w:tblCellMar>
            <w:top w:w="0" w:type="dxa"/>
            <w:left w:w="108" w:type="dxa"/>
            <w:bottom w:w="0" w:type="dxa"/>
            <w:right w:w="108" w:type="dxa"/>
          </w:tblCellMar>
        </w:tblPrEx>
        <w:trPr>
          <w:trHeight w:val="540" w:hRule="atLeast"/>
        </w:trPr>
        <w:tc>
          <w:tcPr>
            <w:tcW w:w="1399" w:type="dxa"/>
            <w:tcBorders>
              <w:top w:val="nil"/>
              <w:left w:val="nil"/>
              <w:bottom w:val="nil"/>
              <w:right w:val="nil"/>
            </w:tcBorders>
            <w:shd w:val="clear" w:color="auto" w:fill="auto"/>
            <w:vAlign w:val="center"/>
          </w:tcPr>
          <w:p>
            <w:pPr>
              <w:widowControl/>
              <w:jc w:val="left"/>
              <w:rPr>
                <w:rFonts w:ascii="黑体" w:hAnsi="黑体" w:eastAsia="黑体" w:cs="宋体"/>
                <w:kern w:val="0"/>
                <w:sz w:val="32"/>
                <w:szCs w:val="32"/>
              </w:rPr>
            </w:pPr>
            <w:r>
              <w:rPr>
                <w:rFonts w:hint="eastAsia" w:ascii="黑体" w:hAnsi="黑体" w:eastAsia="黑体" w:cs="宋体"/>
                <w:kern w:val="0"/>
                <w:sz w:val="32"/>
                <w:szCs w:val="32"/>
              </w:rPr>
              <w:t>附件</w:t>
            </w:r>
          </w:p>
        </w:tc>
        <w:tc>
          <w:tcPr>
            <w:tcW w:w="93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93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98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93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93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93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98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02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452" w:hRule="atLeast"/>
        </w:trPr>
        <w:tc>
          <w:tcPr>
            <w:tcW w:w="9060" w:type="dxa"/>
            <w:gridSpan w:val="9"/>
            <w:tcBorders>
              <w:top w:val="nil"/>
              <w:left w:val="nil"/>
              <w:right w:val="nil"/>
            </w:tcBorders>
            <w:shd w:val="clear" w:color="auto" w:fill="auto"/>
            <w:vAlign w:val="center"/>
          </w:tcPr>
          <w:p>
            <w:pPr>
              <w:widowControl/>
              <w:jc w:val="center"/>
              <w:rPr>
                <w:rFonts w:ascii="方正小标宋简体" w:hAnsi="宋体" w:eastAsia="方正小标宋简体" w:cs="宋体"/>
                <w:kern w:val="0"/>
                <w:sz w:val="40"/>
                <w:szCs w:val="40"/>
              </w:rPr>
            </w:pPr>
            <w:bookmarkStart w:id="0" w:name="_GoBack"/>
            <w:r>
              <w:rPr>
                <w:rFonts w:hint="eastAsia" w:ascii="方正小标宋简体" w:hAnsi="宋体" w:eastAsia="方正小标宋简体" w:cs="宋体"/>
                <w:kern w:val="0"/>
                <w:sz w:val="40"/>
                <w:szCs w:val="40"/>
              </w:rPr>
              <w:t>210国道至延西高速新区出口及锦阳湖连接线区域生态治理修复项目招标投标事项核准意见</w:t>
            </w:r>
            <w:bookmarkEnd w:id="0"/>
          </w:p>
        </w:tc>
      </w:tr>
      <w:tr>
        <w:tblPrEx>
          <w:tblLayout w:type="fixed"/>
          <w:tblCellMar>
            <w:top w:w="0" w:type="dxa"/>
            <w:left w:w="108" w:type="dxa"/>
            <w:bottom w:w="0" w:type="dxa"/>
            <w:right w:w="108" w:type="dxa"/>
          </w:tblCellMar>
        </w:tblPrEx>
        <w:trPr>
          <w:trHeight w:val="838" w:hRule="atLeast"/>
        </w:trPr>
        <w:tc>
          <w:tcPr>
            <w:tcW w:w="9060" w:type="dxa"/>
            <w:gridSpan w:val="9"/>
            <w:tcBorders>
              <w:top w:val="nil"/>
              <w:left w:val="nil"/>
              <w:bottom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建设项目名称：210国道至延西高速新区出口及锦阳湖连接线区域生态治理修复项目</w:t>
            </w:r>
          </w:p>
        </w:tc>
      </w:tr>
      <w:tr>
        <w:tblPrEx>
          <w:tblLayout w:type="fixed"/>
          <w:tblCellMar>
            <w:top w:w="0" w:type="dxa"/>
            <w:left w:w="108" w:type="dxa"/>
            <w:bottom w:w="0" w:type="dxa"/>
            <w:right w:w="108" w:type="dxa"/>
          </w:tblCellMar>
        </w:tblPrEx>
        <w:trPr>
          <w:trHeight w:val="555" w:hRule="atLeast"/>
        </w:trPr>
        <w:tc>
          <w:tcPr>
            <w:tcW w:w="13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6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招标范围</w:t>
            </w:r>
          </w:p>
        </w:tc>
        <w:tc>
          <w:tcPr>
            <w:tcW w:w="192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招标组织形式</w:t>
            </w:r>
          </w:p>
        </w:tc>
        <w:tc>
          <w:tcPr>
            <w:tcW w:w="186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招标方式</w:t>
            </w:r>
          </w:p>
        </w:tc>
        <w:tc>
          <w:tcPr>
            <w:tcW w:w="9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不采用招标方式</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735" w:hRule="atLeast"/>
        </w:trPr>
        <w:tc>
          <w:tcPr>
            <w:tcW w:w="13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全部   招标</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部分   招标</w:t>
            </w:r>
          </w:p>
        </w:tc>
        <w:tc>
          <w:tcPr>
            <w:tcW w:w="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自行    招标</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委托   招标</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公开   招标</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邀请   招标</w:t>
            </w:r>
          </w:p>
        </w:tc>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510" w:hRule="atLeast"/>
        </w:trPr>
        <w:tc>
          <w:tcPr>
            <w:tcW w:w="13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勘察、设计</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10" w:hRule="atLeast"/>
        </w:trPr>
        <w:tc>
          <w:tcPr>
            <w:tcW w:w="13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工程施工</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10" w:hRule="atLeast"/>
        </w:trPr>
        <w:tc>
          <w:tcPr>
            <w:tcW w:w="13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工程监理</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10" w:hRule="atLeast"/>
        </w:trPr>
        <w:tc>
          <w:tcPr>
            <w:tcW w:w="13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材料购置</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050" w:hRule="atLeast"/>
        </w:trPr>
        <w:tc>
          <w:tcPr>
            <w:tcW w:w="7052" w:type="dxa"/>
            <w:gridSpan w:val="7"/>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审批部门核准意见说明：</w:t>
            </w:r>
          </w:p>
        </w:tc>
        <w:tc>
          <w:tcPr>
            <w:tcW w:w="988" w:type="dxa"/>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046" w:hRule="atLeast"/>
        </w:trPr>
        <w:tc>
          <w:tcPr>
            <w:tcW w:w="5186" w:type="dxa"/>
            <w:gridSpan w:val="5"/>
            <w:tcBorders>
              <w:top w:val="nil"/>
              <w:left w:val="single" w:color="auto" w:sz="4" w:space="0"/>
              <w:bottom w:val="nil"/>
              <w:right w:val="nil"/>
            </w:tcBorders>
            <w:shd w:val="clear" w:color="auto" w:fill="auto"/>
            <w:vAlign w:val="center"/>
          </w:tcPr>
          <w:p>
            <w:pPr>
              <w:widowControl/>
              <w:ind w:firstLine="560" w:firstLineChars="200"/>
              <w:jc w:val="left"/>
              <w:rPr>
                <w:rFonts w:ascii="黑体" w:hAnsi="黑体" w:eastAsia="黑体" w:cs="宋体"/>
                <w:kern w:val="0"/>
                <w:sz w:val="28"/>
                <w:szCs w:val="28"/>
              </w:rPr>
            </w:pPr>
            <w:r>
              <w:rPr>
                <w:rFonts w:hint="eastAsia" w:ascii="黑体" w:hAnsi="黑体" w:eastAsia="黑体" w:cs="宋体"/>
                <w:kern w:val="0"/>
                <w:sz w:val="28"/>
                <w:szCs w:val="28"/>
              </w:rPr>
              <w:t>核准。</w:t>
            </w:r>
          </w:p>
        </w:tc>
        <w:tc>
          <w:tcPr>
            <w:tcW w:w="93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93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98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02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79" w:hRule="atLeast"/>
        </w:trPr>
        <w:tc>
          <w:tcPr>
            <w:tcW w:w="9060" w:type="dxa"/>
            <w:gridSpan w:val="9"/>
            <w:vMerge w:val="restart"/>
            <w:tcBorders>
              <w:top w:val="nil"/>
              <w:left w:val="single" w:color="auto" w:sz="4" w:space="0"/>
              <w:bottom w:val="nil"/>
              <w:right w:val="single" w:color="000000" w:sz="4" w:space="0"/>
            </w:tcBorders>
            <w:shd w:val="clear" w:color="auto" w:fill="auto"/>
            <w:vAlign w:val="center"/>
          </w:tcPr>
          <w:p>
            <w:pPr>
              <w:widowControl/>
              <w:jc w:val="left"/>
              <w:rPr>
                <w:rFonts w:ascii="黑体" w:hAnsi="黑体" w:eastAsia="黑体" w:cs="宋体"/>
                <w:kern w:val="0"/>
                <w:sz w:val="28"/>
                <w:szCs w:val="28"/>
              </w:rPr>
            </w:pPr>
            <w:r>
              <w:rPr>
                <w:rFonts w:hint="eastAsia" w:ascii="黑体" w:hAnsi="黑体" w:eastAsia="黑体" w:cs="宋体"/>
                <w:kern w:val="0"/>
                <w:sz w:val="28"/>
                <w:szCs w:val="28"/>
              </w:rPr>
              <w:t xml:space="preserve">    请严格按照《中华人民共和国招标投标法》等法律法规和陕西省相关法规规章，规范招标投标行为。</w:t>
            </w:r>
          </w:p>
        </w:tc>
      </w:tr>
      <w:tr>
        <w:tblPrEx>
          <w:tblLayout w:type="fixed"/>
          <w:tblCellMar>
            <w:top w:w="0" w:type="dxa"/>
            <w:left w:w="108" w:type="dxa"/>
            <w:bottom w:w="0" w:type="dxa"/>
            <w:right w:w="108" w:type="dxa"/>
          </w:tblCellMar>
        </w:tblPrEx>
        <w:trPr>
          <w:trHeight w:val="1020" w:hRule="atLeast"/>
        </w:trPr>
        <w:tc>
          <w:tcPr>
            <w:tcW w:w="9060" w:type="dxa"/>
            <w:gridSpan w:val="9"/>
            <w:vMerge w:val="continue"/>
            <w:tcBorders>
              <w:top w:val="nil"/>
              <w:left w:val="single" w:color="auto" w:sz="4" w:space="0"/>
              <w:bottom w:val="nil"/>
              <w:right w:val="single" w:color="000000" w:sz="4" w:space="0"/>
            </w:tcBorders>
            <w:vAlign w:val="center"/>
          </w:tcPr>
          <w:p>
            <w:pPr>
              <w:widowControl/>
              <w:jc w:val="left"/>
              <w:rPr>
                <w:rFonts w:ascii="黑体" w:hAnsi="黑体" w:eastAsia="黑体" w:cs="宋体"/>
                <w:kern w:val="0"/>
                <w:sz w:val="28"/>
                <w:szCs w:val="28"/>
              </w:rPr>
            </w:pPr>
          </w:p>
        </w:tc>
      </w:tr>
      <w:tr>
        <w:tblPrEx>
          <w:tblLayout w:type="fixed"/>
          <w:tblCellMar>
            <w:top w:w="0" w:type="dxa"/>
            <w:left w:w="108" w:type="dxa"/>
            <w:bottom w:w="0" w:type="dxa"/>
            <w:right w:w="108" w:type="dxa"/>
          </w:tblCellMar>
        </w:tblPrEx>
        <w:trPr>
          <w:trHeight w:val="2456" w:hRule="atLeast"/>
        </w:trPr>
        <w:tc>
          <w:tcPr>
            <w:tcW w:w="1399" w:type="dxa"/>
            <w:tcBorders>
              <w:top w:val="nil"/>
              <w:left w:val="single" w:color="auto" w:sz="4" w:space="0"/>
              <w:bottom w:val="single" w:color="auto" w:sz="4" w:space="0"/>
              <w:right w:val="nil"/>
            </w:tcBorders>
            <w:shd w:val="clear" w:color="auto" w:fill="auto"/>
            <w:vAlign w:val="center"/>
          </w:tcPr>
          <w:p>
            <w:pPr>
              <w:widowControl/>
              <w:spacing w:after="240"/>
              <w:jc w:val="center"/>
              <w:rPr>
                <w:rFonts w:ascii="宋体" w:hAnsi="宋体" w:cs="宋体"/>
                <w:kern w:val="0"/>
                <w:sz w:val="24"/>
              </w:rPr>
            </w:pPr>
            <w:r>
              <w:rPr>
                <w:rFonts w:hint="eastAsia" w:ascii="宋体" w:hAnsi="宋体" w:cs="宋体"/>
                <w:kern w:val="0"/>
                <w:sz w:val="24"/>
              </w:rPr>
              <w:t>　</w:t>
            </w:r>
          </w:p>
        </w:tc>
        <w:tc>
          <w:tcPr>
            <w:tcW w:w="933" w:type="dxa"/>
            <w:tcBorders>
              <w:top w:val="nil"/>
              <w:left w:val="nil"/>
              <w:bottom w:val="single" w:color="auto" w:sz="4" w:space="0"/>
              <w:right w:val="nil"/>
            </w:tcBorders>
            <w:shd w:val="clear" w:color="auto" w:fill="auto"/>
            <w:vAlign w:val="center"/>
          </w:tcPr>
          <w:p>
            <w:pPr>
              <w:widowControl/>
              <w:spacing w:after="240"/>
              <w:jc w:val="center"/>
              <w:rPr>
                <w:rFonts w:ascii="宋体" w:hAnsi="宋体" w:cs="宋体"/>
                <w:kern w:val="0"/>
                <w:sz w:val="24"/>
              </w:rPr>
            </w:pPr>
            <w:r>
              <w:rPr>
                <w:rFonts w:hint="eastAsia" w:ascii="宋体" w:hAnsi="宋体" w:cs="宋体"/>
                <w:kern w:val="0"/>
                <w:sz w:val="24"/>
              </w:rPr>
              <w:t>　</w:t>
            </w:r>
          </w:p>
        </w:tc>
        <w:tc>
          <w:tcPr>
            <w:tcW w:w="933" w:type="dxa"/>
            <w:tcBorders>
              <w:top w:val="nil"/>
              <w:left w:val="nil"/>
              <w:bottom w:val="single" w:color="auto" w:sz="4" w:space="0"/>
              <w:right w:val="nil"/>
            </w:tcBorders>
            <w:shd w:val="clear" w:color="auto" w:fill="auto"/>
            <w:vAlign w:val="center"/>
          </w:tcPr>
          <w:p>
            <w:pPr>
              <w:widowControl/>
              <w:spacing w:after="240"/>
              <w:jc w:val="center"/>
              <w:rPr>
                <w:rFonts w:ascii="宋体" w:hAnsi="宋体" w:cs="宋体"/>
                <w:kern w:val="0"/>
                <w:sz w:val="24"/>
              </w:rPr>
            </w:pPr>
            <w:r>
              <w:rPr>
                <w:rFonts w:hint="eastAsia" w:ascii="宋体" w:hAnsi="宋体" w:cs="宋体"/>
                <w:kern w:val="0"/>
                <w:sz w:val="24"/>
              </w:rPr>
              <w:t>　</w:t>
            </w:r>
          </w:p>
        </w:tc>
        <w:tc>
          <w:tcPr>
            <w:tcW w:w="988" w:type="dxa"/>
            <w:tcBorders>
              <w:top w:val="nil"/>
              <w:left w:val="nil"/>
              <w:bottom w:val="single" w:color="auto" w:sz="4" w:space="0"/>
              <w:right w:val="nil"/>
            </w:tcBorders>
            <w:shd w:val="clear" w:color="auto" w:fill="auto"/>
            <w:vAlign w:val="center"/>
          </w:tcPr>
          <w:p>
            <w:pPr>
              <w:widowControl/>
              <w:spacing w:after="240"/>
              <w:jc w:val="center"/>
              <w:rPr>
                <w:rFonts w:ascii="宋体" w:hAnsi="宋体" w:cs="宋体"/>
                <w:kern w:val="0"/>
                <w:sz w:val="24"/>
              </w:rPr>
            </w:pPr>
            <w:r>
              <w:rPr>
                <w:rFonts w:hint="eastAsia" w:ascii="宋体" w:hAnsi="宋体" w:cs="宋体"/>
                <w:kern w:val="0"/>
                <w:sz w:val="24"/>
              </w:rPr>
              <w:t>　</w:t>
            </w:r>
          </w:p>
        </w:tc>
        <w:tc>
          <w:tcPr>
            <w:tcW w:w="933" w:type="dxa"/>
            <w:tcBorders>
              <w:top w:val="nil"/>
              <w:left w:val="nil"/>
              <w:bottom w:val="single" w:color="auto" w:sz="4" w:space="0"/>
              <w:right w:val="nil"/>
            </w:tcBorders>
            <w:shd w:val="clear" w:color="auto" w:fill="auto"/>
            <w:vAlign w:val="center"/>
          </w:tcPr>
          <w:p>
            <w:pPr>
              <w:widowControl/>
              <w:spacing w:after="240"/>
              <w:jc w:val="center"/>
              <w:rPr>
                <w:rFonts w:ascii="宋体" w:hAnsi="宋体" w:cs="宋体"/>
                <w:kern w:val="0"/>
                <w:sz w:val="24"/>
              </w:rPr>
            </w:pPr>
            <w:r>
              <w:rPr>
                <w:rFonts w:hint="eastAsia" w:ascii="宋体" w:hAnsi="宋体" w:cs="宋体"/>
                <w:kern w:val="0"/>
                <w:sz w:val="24"/>
              </w:rPr>
              <w:t>　</w:t>
            </w:r>
          </w:p>
        </w:tc>
        <w:tc>
          <w:tcPr>
            <w:tcW w:w="3874" w:type="dxa"/>
            <w:gridSpan w:val="4"/>
            <w:tcBorders>
              <w:top w:val="nil"/>
              <w:left w:val="nil"/>
              <w:bottom w:val="single" w:color="auto" w:sz="4" w:space="0"/>
              <w:right w:val="single" w:color="000000" w:sz="4" w:space="0"/>
            </w:tcBorders>
            <w:shd w:val="clear" w:color="auto" w:fill="auto"/>
            <w:vAlign w:val="center"/>
          </w:tcPr>
          <w:p>
            <w:pPr>
              <w:widowControl/>
              <w:spacing w:after="240" w:line="360" w:lineRule="exact"/>
              <w:jc w:val="center"/>
              <w:rPr>
                <w:rFonts w:hint="eastAsia" w:ascii="黑体" w:hAnsi="黑体" w:eastAsia="黑体" w:cs="宋体"/>
                <w:kern w:val="0"/>
                <w:sz w:val="28"/>
                <w:szCs w:val="28"/>
              </w:rPr>
            </w:pPr>
          </w:p>
          <w:p>
            <w:pPr>
              <w:widowControl/>
              <w:spacing w:after="240" w:line="360" w:lineRule="exact"/>
              <w:jc w:val="center"/>
              <w:rPr>
                <w:rFonts w:ascii="黑体" w:hAnsi="黑体" w:eastAsia="黑体" w:cs="宋体"/>
                <w:kern w:val="0"/>
                <w:sz w:val="28"/>
                <w:szCs w:val="28"/>
              </w:rPr>
            </w:pPr>
            <w:r>
              <w:rPr>
                <w:rFonts w:hint="eastAsia" w:ascii="黑体" w:hAnsi="黑体" w:eastAsia="黑体" w:cs="宋体"/>
                <w:kern w:val="0"/>
                <w:sz w:val="28"/>
                <w:szCs w:val="28"/>
              </w:rPr>
              <w:t>铜川市发展和改革委员会</w:t>
            </w:r>
            <w:r>
              <w:rPr>
                <w:rFonts w:hint="eastAsia" w:ascii="黑体" w:hAnsi="黑体" w:eastAsia="黑体" w:cs="宋体"/>
                <w:kern w:val="0"/>
                <w:sz w:val="28"/>
                <w:szCs w:val="28"/>
              </w:rPr>
              <w:br w:type="textWrapping"/>
            </w:r>
            <w:r>
              <w:rPr>
                <w:rFonts w:hint="eastAsia" w:ascii="黑体" w:hAnsi="黑体" w:eastAsia="黑体" w:cs="宋体"/>
                <w:kern w:val="0"/>
                <w:sz w:val="28"/>
                <w:szCs w:val="28"/>
              </w:rPr>
              <w:t>2018年4月16日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D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与你同在</cp:lastModifiedBy>
  <dcterms:modified xsi:type="dcterms:W3CDTF">2018-10-08T10:59:54Z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