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spacing w:before="0" w:line="360" w:lineRule="auto"/>
        <w:ind w:left="0" w:right="0" w:firstLine="0"/>
        <w:jc w:val="center"/>
        <w:rPr>
          <w:rFonts w:hint="eastAsia" w:ascii="楷体" w:hAnsi="楷体" w:eastAsia="楷体" w:cs="楷体"/>
          <w:sz w:val="36"/>
          <w:szCs w:val="36"/>
          <w:highlight w:val="none"/>
        </w:rPr>
      </w:pPr>
    </w:p>
    <w:p>
      <w:pPr>
        <w:jc w:val="center"/>
        <w:rPr>
          <w:rFonts w:hint="default" w:ascii="楷体" w:hAnsi="楷体" w:eastAsia="楷体" w:cs="楷体"/>
          <w:b/>
          <w:color w:val="auto"/>
          <w:sz w:val="36"/>
          <w:szCs w:val="36"/>
          <w:highlight w:val="none"/>
          <w:lang w:val="en-US" w:eastAsia="zh-CN"/>
        </w:rPr>
      </w:pPr>
      <w:r>
        <w:rPr>
          <w:rFonts w:hint="eastAsia" w:ascii="楷体" w:hAnsi="楷体" w:eastAsia="楷体" w:cs="楷体"/>
          <w:b/>
          <w:color w:val="auto"/>
          <w:sz w:val="36"/>
          <w:szCs w:val="36"/>
          <w:highlight w:val="none"/>
        </w:rPr>
        <w:t>铜川市</w:t>
      </w:r>
      <w:r>
        <w:rPr>
          <w:rFonts w:hint="eastAsia" w:ascii="楷体" w:hAnsi="楷体" w:eastAsia="楷体" w:cs="楷体"/>
          <w:b/>
          <w:color w:val="auto"/>
          <w:sz w:val="36"/>
          <w:szCs w:val="36"/>
          <w:highlight w:val="none"/>
          <w:lang w:val="en-US" w:eastAsia="zh-CN"/>
        </w:rPr>
        <w:t>新区2021年度对外经济投资合作局</w:t>
      </w:r>
    </w:p>
    <w:p>
      <w:pPr>
        <w:jc w:val="center"/>
        <w:rPr>
          <w:rFonts w:hint="default" w:ascii="楷体" w:hAnsi="楷体" w:eastAsia="楷体" w:cs="楷体"/>
          <w:b/>
          <w:color w:val="auto"/>
          <w:sz w:val="36"/>
          <w:szCs w:val="36"/>
          <w:highlight w:val="none"/>
          <w:lang w:val="en-US" w:eastAsia="zh-CN"/>
        </w:rPr>
      </w:pPr>
      <w:r>
        <w:rPr>
          <w:rFonts w:hint="eastAsia" w:ascii="楷体" w:hAnsi="楷体" w:eastAsia="楷体" w:cs="楷体"/>
          <w:b/>
          <w:color w:val="auto"/>
          <w:sz w:val="36"/>
          <w:szCs w:val="36"/>
          <w:highlight w:val="none"/>
          <w:lang w:val="en-US" w:eastAsia="zh-CN"/>
        </w:rPr>
        <w:t>部门整体支出</w:t>
      </w:r>
    </w:p>
    <w:p>
      <w:pPr>
        <w:jc w:val="center"/>
        <w:rPr>
          <w:rFonts w:hint="eastAsia" w:ascii="黑体" w:hAnsi="黑体" w:eastAsia="黑体" w:cs="黑体"/>
          <w:b/>
          <w:color w:val="auto"/>
          <w:sz w:val="56"/>
          <w:szCs w:val="56"/>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1200" w:lineRule="exact"/>
        <w:jc w:val="center"/>
        <w:textAlignment w:val="auto"/>
        <w:rPr>
          <w:rFonts w:hint="eastAsia" w:ascii="黑体" w:hAnsi="黑体" w:eastAsia="黑体" w:cs="黑体"/>
          <w:b/>
          <w:color w:val="auto"/>
          <w:sz w:val="72"/>
          <w:szCs w:val="72"/>
          <w:highlight w:val="none"/>
          <w:lang w:val="en-US" w:eastAsia="zh-CN"/>
        </w:rPr>
      </w:pPr>
      <w:r>
        <w:rPr>
          <w:rFonts w:hint="eastAsia" w:ascii="黑体" w:hAnsi="黑体" w:eastAsia="黑体" w:cs="黑体"/>
          <w:b/>
          <w:color w:val="auto"/>
          <w:sz w:val="72"/>
          <w:szCs w:val="72"/>
          <w:highlight w:val="none"/>
          <w:lang w:val="en-US" w:eastAsia="zh-CN"/>
        </w:rPr>
        <w:t>绩 效 评 价 报 告</w:t>
      </w:r>
    </w:p>
    <w:p>
      <w:pPr>
        <w:jc w:val="both"/>
        <w:rPr>
          <w:rFonts w:hint="eastAsia" w:ascii="方正小标宋简体" w:hAnsi="宋体" w:eastAsia="方正小标宋简体"/>
          <w:b/>
          <w:color w:val="auto"/>
          <w:sz w:val="44"/>
          <w:szCs w:val="44"/>
          <w:highlight w:val="none"/>
          <w:lang w:val="en-US" w:eastAsia="zh-CN"/>
        </w:rPr>
      </w:pPr>
    </w:p>
    <w:p>
      <w:pPr>
        <w:jc w:val="both"/>
        <w:rPr>
          <w:rFonts w:hint="eastAsia" w:ascii="方正小标宋简体" w:hAnsi="宋体" w:eastAsia="方正小标宋简体"/>
          <w:b/>
          <w:color w:val="auto"/>
          <w:sz w:val="44"/>
          <w:szCs w:val="44"/>
          <w:highlight w:val="none"/>
          <w:lang w:val="en-US" w:eastAsia="zh-CN"/>
        </w:rPr>
      </w:pPr>
    </w:p>
    <w:p>
      <w:pPr>
        <w:jc w:val="both"/>
        <w:rPr>
          <w:rFonts w:hint="eastAsia" w:ascii="方正小标宋简体" w:hAnsi="宋体" w:eastAsia="方正小标宋简体"/>
          <w:b/>
          <w:color w:val="auto"/>
          <w:sz w:val="44"/>
          <w:szCs w:val="44"/>
          <w:highlight w:val="none"/>
          <w:lang w:val="en-US" w:eastAsia="zh-CN"/>
        </w:rPr>
      </w:pPr>
    </w:p>
    <w:p>
      <w:pPr>
        <w:jc w:val="both"/>
        <w:rPr>
          <w:rFonts w:hint="eastAsia" w:ascii="方正小标宋简体" w:hAnsi="宋体" w:eastAsia="方正小标宋简体"/>
          <w:b/>
          <w:color w:val="auto"/>
          <w:sz w:val="44"/>
          <w:szCs w:val="44"/>
          <w:highlight w:val="none"/>
          <w:lang w:val="en-US" w:eastAsia="zh-CN"/>
        </w:rPr>
      </w:pPr>
    </w:p>
    <w:p>
      <w:pPr>
        <w:jc w:val="both"/>
        <w:rPr>
          <w:rFonts w:hint="default" w:ascii="仿宋_GB2312" w:hAnsi="仿宋_GB2312" w:eastAsia="仿宋_GB2312" w:cs="仿宋_GB2312"/>
          <w:b w:val="0"/>
          <w:bCs/>
          <w:color w:val="auto"/>
          <w:sz w:val="32"/>
          <w:szCs w:val="32"/>
          <w:highlight w:val="none"/>
          <w:u w:val="none"/>
          <w:lang w:val="en-US"/>
        </w:rPr>
      </w:pPr>
      <w:r>
        <w:rPr>
          <w:rFonts w:hint="eastAsia" w:ascii="楷体" w:hAnsi="楷体" w:eastAsia="楷体" w:cs="楷体"/>
          <w:b w:val="0"/>
          <w:bCs/>
          <w:color w:val="auto"/>
          <w:sz w:val="32"/>
          <w:szCs w:val="32"/>
          <w:highlight w:val="none"/>
          <w:u w:val="none"/>
          <w:lang w:val="en-US" w:eastAsia="zh-CN"/>
        </w:rPr>
        <w:t xml:space="preserve">        </w:t>
      </w:r>
    </w:p>
    <w:p>
      <w:pPr>
        <w:ind w:firstLine="640" w:firstLineChars="200"/>
        <w:jc w:val="both"/>
        <w:rPr>
          <w:rFonts w:hint="default" w:ascii="楷体" w:hAnsi="楷体" w:eastAsia="楷体" w:cs="楷体"/>
          <w:b w:val="0"/>
          <w:bCs/>
          <w:color w:val="auto"/>
          <w:sz w:val="32"/>
          <w:szCs w:val="32"/>
          <w:highlight w:val="none"/>
          <w:u w:val="none"/>
          <w:lang w:val="en-US" w:eastAsia="zh-CN"/>
        </w:rPr>
      </w:pPr>
      <w:r>
        <w:rPr>
          <w:rFonts w:hint="eastAsia" w:ascii="楷体" w:hAnsi="楷体" w:eastAsia="楷体" w:cs="楷体"/>
          <w:b w:val="0"/>
          <w:bCs/>
          <w:color w:val="auto"/>
          <w:sz w:val="32"/>
          <w:szCs w:val="32"/>
          <w:highlight w:val="none"/>
          <w:u w:val="none"/>
          <w:lang w:val="en-US" w:eastAsia="zh-CN"/>
        </w:rPr>
        <w:t>项目单位</w:t>
      </w:r>
      <w:r>
        <w:rPr>
          <w:rFonts w:hint="eastAsia" w:ascii="仿宋_GB2312" w:hAnsi="仿宋_GB2312" w:eastAsia="仿宋_GB2312" w:cs="仿宋_GB2312"/>
          <w:b w:val="0"/>
          <w:bCs/>
          <w:color w:val="auto"/>
          <w:sz w:val="32"/>
          <w:szCs w:val="32"/>
          <w:highlight w:val="none"/>
          <w:u w:val="none"/>
          <w:lang w:val="en-US" w:eastAsia="zh-CN"/>
        </w:rPr>
        <w:t>：</w:t>
      </w:r>
      <w:r>
        <w:rPr>
          <w:rFonts w:hint="eastAsia" w:ascii="楷体" w:hAnsi="楷体" w:eastAsia="楷体" w:cs="楷体"/>
          <w:b w:val="0"/>
          <w:bCs/>
          <w:color w:val="auto"/>
          <w:sz w:val="32"/>
          <w:szCs w:val="32"/>
          <w:highlight w:val="none"/>
          <w:u w:val="none"/>
          <w:lang w:val="en-US" w:eastAsia="zh-CN"/>
        </w:rPr>
        <w:t xml:space="preserve">铜川市新区对外经济投资合作局         </w:t>
      </w:r>
    </w:p>
    <w:p>
      <w:pPr>
        <w:ind w:firstLine="640" w:firstLineChars="200"/>
        <w:jc w:val="both"/>
        <w:rPr>
          <w:rFonts w:hint="eastAsia" w:ascii="楷体" w:hAnsi="楷体" w:eastAsia="楷体" w:cs="楷体"/>
          <w:b w:val="0"/>
          <w:bCs/>
          <w:color w:val="auto"/>
          <w:sz w:val="32"/>
          <w:szCs w:val="32"/>
          <w:highlight w:val="none"/>
          <w:u w:val="none"/>
          <w:lang w:val="en-US" w:eastAsia="zh-CN"/>
        </w:rPr>
      </w:pPr>
      <w:r>
        <w:rPr>
          <w:rFonts w:hint="eastAsia" w:ascii="楷体" w:hAnsi="楷体" w:eastAsia="楷体" w:cs="楷体"/>
          <w:b w:val="0"/>
          <w:bCs/>
          <w:color w:val="auto"/>
          <w:sz w:val="32"/>
          <w:szCs w:val="32"/>
          <w:highlight w:val="none"/>
          <w:u w:val="none"/>
          <w:lang w:val="en-US" w:eastAsia="zh-CN"/>
        </w:rPr>
        <w:t>组织单位</w:t>
      </w:r>
      <w:r>
        <w:rPr>
          <w:rFonts w:hint="eastAsia" w:ascii="仿宋_GB2312" w:hAnsi="仿宋_GB2312" w:eastAsia="仿宋_GB2312" w:cs="仿宋_GB2312"/>
          <w:b w:val="0"/>
          <w:bCs/>
          <w:color w:val="auto"/>
          <w:sz w:val="32"/>
          <w:szCs w:val="32"/>
          <w:highlight w:val="none"/>
          <w:u w:val="none"/>
          <w:lang w:val="en-US" w:eastAsia="zh-CN"/>
        </w:rPr>
        <w:t>：</w:t>
      </w:r>
      <w:r>
        <w:rPr>
          <w:rFonts w:hint="eastAsia" w:ascii="楷体" w:hAnsi="楷体" w:eastAsia="楷体" w:cs="楷体"/>
          <w:b w:val="0"/>
          <w:bCs/>
          <w:color w:val="auto"/>
          <w:sz w:val="32"/>
          <w:szCs w:val="32"/>
          <w:highlight w:val="none"/>
          <w:u w:val="none"/>
          <w:lang w:val="en-US" w:eastAsia="zh-CN"/>
        </w:rPr>
        <w:t xml:space="preserve">铜川市新区财政局 </w:t>
      </w:r>
    </w:p>
    <w:p>
      <w:pPr>
        <w:ind w:firstLine="640" w:firstLineChars="200"/>
        <w:jc w:val="both"/>
        <w:rPr>
          <w:rFonts w:hint="eastAsia" w:ascii="楷体" w:hAnsi="楷体" w:eastAsia="楷体" w:cs="楷体"/>
          <w:b w:val="0"/>
          <w:bCs/>
          <w:color w:val="auto"/>
          <w:sz w:val="32"/>
          <w:szCs w:val="32"/>
          <w:highlight w:val="none"/>
          <w:u w:val="none"/>
          <w:lang w:val="en-US" w:eastAsia="zh-CN"/>
        </w:rPr>
      </w:pPr>
      <w:r>
        <w:rPr>
          <w:rFonts w:hint="eastAsia" w:ascii="楷体" w:hAnsi="楷体" w:eastAsia="楷体" w:cs="楷体"/>
          <w:b w:val="0"/>
          <w:bCs/>
          <w:color w:val="auto"/>
          <w:sz w:val="32"/>
          <w:szCs w:val="32"/>
          <w:highlight w:val="none"/>
          <w:u w:val="none"/>
          <w:lang w:val="en-US" w:eastAsia="zh-CN"/>
        </w:rPr>
        <w:t>评价机构</w:t>
      </w:r>
      <w:r>
        <w:rPr>
          <w:rFonts w:hint="eastAsia" w:ascii="仿宋_GB2312" w:hAnsi="仿宋_GB2312" w:eastAsia="仿宋_GB2312" w:cs="仿宋_GB2312"/>
          <w:b w:val="0"/>
          <w:bCs/>
          <w:color w:val="auto"/>
          <w:sz w:val="32"/>
          <w:szCs w:val="32"/>
          <w:highlight w:val="none"/>
          <w:u w:val="none"/>
          <w:lang w:val="en-US" w:eastAsia="zh-CN"/>
        </w:rPr>
        <w:t>：</w:t>
      </w:r>
      <w:r>
        <w:rPr>
          <w:rFonts w:hint="eastAsia" w:ascii="楷体" w:hAnsi="楷体" w:eastAsia="楷体" w:cs="楷体"/>
          <w:b w:val="0"/>
          <w:bCs/>
          <w:color w:val="auto"/>
          <w:sz w:val="32"/>
          <w:szCs w:val="32"/>
          <w:highlight w:val="none"/>
          <w:u w:val="none"/>
          <w:lang w:val="en-US" w:eastAsia="zh-CN"/>
        </w:rPr>
        <w:t>深圳市万德公共咨询有限公司</w:t>
      </w:r>
    </w:p>
    <w:p>
      <w:pPr>
        <w:ind w:firstLine="640" w:firstLineChars="200"/>
        <w:jc w:val="both"/>
        <w:rPr>
          <w:rFonts w:hint="default" w:ascii="楷体" w:hAnsi="楷体" w:eastAsia="楷体" w:cs="楷体"/>
          <w:b w:val="0"/>
          <w:bCs/>
          <w:color w:val="auto"/>
          <w:sz w:val="32"/>
          <w:szCs w:val="32"/>
          <w:highlight w:val="none"/>
          <w:u w:val="none"/>
          <w:lang w:val="en-US" w:eastAsia="zh-CN"/>
        </w:rPr>
      </w:pPr>
      <w:r>
        <w:rPr>
          <w:rFonts w:hint="eastAsia" w:ascii="楷体" w:hAnsi="楷体" w:eastAsia="楷体" w:cs="楷体"/>
          <w:b w:val="0"/>
          <w:bCs/>
          <w:color w:val="auto"/>
          <w:sz w:val="32"/>
          <w:szCs w:val="32"/>
          <w:highlight w:val="none"/>
          <w:u w:val="none"/>
          <w:lang w:val="en-US" w:eastAsia="zh-CN"/>
        </w:rPr>
        <w:t>报告编号：铜新评审-04</w:t>
      </w:r>
    </w:p>
    <w:p>
      <w:pPr>
        <w:ind w:firstLine="640" w:firstLineChars="200"/>
        <w:jc w:val="both"/>
        <w:rPr>
          <w:rFonts w:hint="eastAsia" w:ascii="楷体" w:hAnsi="楷体" w:eastAsia="楷体" w:cs="楷体"/>
          <w:b w:val="0"/>
          <w:bCs/>
          <w:color w:val="auto"/>
          <w:sz w:val="32"/>
          <w:szCs w:val="32"/>
          <w:highlight w:val="none"/>
          <w:u w:val="none"/>
          <w:lang w:val="en-US" w:eastAsia="zh-CN"/>
        </w:rPr>
      </w:pPr>
      <w:r>
        <w:rPr>
          <w:rFonts w:hint="eastAsia" w:ascii="楷体" w:hAnsi="楷体" w:eastAsia="楷体" w:cs="楷体"/>
          <w:b w:val="0"/>
          <w:bCs/>
          <w:color w:val="auto"/>
          <w:sz w:val="32"/>
          <w:szCs w:val="32"/>
          <w:highlight w:val="none"/>
          <w:u w:val="none"/>
          <w:lang w:val="en-US" w:eastAsia="zh-CN"/>
        </w:rPr>
        <w:t xml:space="preserve">编制日期：2022年10月    </w:t>
      </w:r>
    </w:p>
    <w:p>
      <w:pPr>
        <w:ind w:firstLine="640" w:firstLineChars="200"/>
        <w:jc w:val="both"/>
        <w:rPr>
          <w:rFonts w:hint="eastAsia" w:ascii="楷体" w:hAnsi="楷体" w:eastAsia="楷体" w:cs="楷体"/>
          <w:b w:val="0"/>
          <w:bCs/>
          <w:color w:val="auto"/>
          <w:sz w:val="32"/>
          <w:szCs w:val="32"/>
          <w:highlight w:val="none"/>
          <w:u w:val="none"/>
          <w:lang w:val="en-US" w:eastAsia="zh-CN"/>
        </w:rPr>
      </w:pPr>
    </w:p>
    <w:p>
      <w:pPr>
        <w:ind w:firstLine="640" w:firstLineChars="200"/>
        <w:jc w:val="both"/>
        <w:rPr>
          <w:rFonts w:hint="default" w:ascii="楷体" w:hAnsi="楷体" w:eastAsia="楷体" w:cs="楷体"/>
          <w:b w:val="0"/>
          <w:bCs/>
          <w:color w:val="auto"/>
          <w:sz w:val="32"/>
          <w:szCs w:val="32"/>
          <w:highlight w:val="none"/>
          <w:u w:val="none"/>
          <w:lang w:val="en-US" w:eastAsia="zh-CN"/>
        </w:rPr>
      </w:pPr>
    </w:p>
    <w:p>
      <w:pPr>
        <w:jc w:val="both"/>
        <w:rPr>
          <w:rFonts w:hint="default" w:ascii="仿宋_GB2312" w:hAnsi="仿宋_GB2312" w:eastAsia="仿宋_GB2312" w:cs="仿宋_GB2312"/>
          <w:b w:val="0"/>
          <w:bCs/>
          <w:color w:val="auto"/>
          <w:sz w:val="32"/>
          <w:szCs w:val="32"/>
          <w:highlight w:val="none"/>
          <w:u w:val="none"/>
          <w:lang w:val="en-US" w:eastAsia="zh-CN"/>
        </w:rPr>
        <w:sectPr>
          <w:pgSz w:w="11906" w:h="16838"/>
          <w:pgMar w:top="2098" w:right="1474" w:bottom="1984" w:left="1587" w:header="851" w:footer="992" w:gutter="0"/>
          <w:pgNumType w:fmt="decimal" w:start="1"/>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beforeLines="0" w:afterLines="0" w:line="600" w:lineRule="exact"/>
        <w:ind w:left="0" w:leftChars="0" w:right="0" w:rightChars="0" w:firstLine="0" w:firstLineChars="0"/>
        <w:jc w:val="center"/>
        <w:textAlignment w:val="auto"/>
        <w:rPr>
          <w:rFonts w:hint="eastAsia"/>
          <w:b/>
          <w:bCs/>
          <w:color w:val="auto"/>
          <w:sz w:val="36"/>
          <w:szCs w:val="36"/>
          <w:highlight w:val="none"/>
          <w:lang w:val="en-US" w:eastAsia="zh-CN"/>
        </w:rPr>
      </w:pPr>
      <w:r>
        <w:rPr>
          <w:rFonts w:hint="eastAsia" w:ascii="宋体" w:hAnsi="宋体"/>
          <w:b/>
          <w:bCs/>
          <w:color w:val="auto"/>
          <w:sz w:val="36"/>
          <w:szCs w:val="36"/>
          <w:highlight w:val="none"/>
          <w:lang w:val="en-US" w:eastAsia="zh-CN"/>
        </w:rPr>
        <w:t>铜川市</w:t>
      </w:r>
      <w:r>
        <w:rPr>
          <w:rFonts w:hint="eastAsia"/>
          <w:b/>
          <w:bCs/>
          <w:color w:val="auto"/>
          <w:sz w:val="36"/>
          <w:szCs w:val="36"/>
          <w:highlight w:val="none"/>
          <w:lang w:val="en-US" w:eastAsia="zh-CN"/>
        </w:rPr>
        <w:t>新区</w:t>
      </w:r>
      <w:r>
        <w:rPr>
          <w:rFonts w:hint="eastAsia" w:ascii="宋体" w:hAnsi="宋体"/>
          <w:b/>
          <w:bCs/>
          <w:color w:val="auto"/>
          <w:sz w:val="36"/>
          <w:szCs w:val="36"/>
          <w:highlight w:val="none"/>
          <w:lang w:val="en-US" w:eastAsia="zh-CN"/>
        </w:rPr>
        <w:t>202</w:t>
      </w:r>
      <w:r>
        <w:rPr>
          <w:rFonts w:hint="eastAsia"/>
          <w:b/>
          <w:bCs/>
          <w:color w:val="auto"/>
          <w:sz w:val="36"/>
          <w:szCs w:val="36"/>
          <w:highlight w:val="none"/>
          <w:lang w:val="en-US" w:eastAsia="zh-CN"/>
        </w:rPr>
        <w:t>1</w:t>
      </w:r>
      <w:r>
        <w:rPr>
          <w:rFonts w:hint="eastAsia" w:ascii="宋体" w:hAnsi="宋体"/>
          <w:b/>
          <w:bCs/>
          <w:color w:val="auto"/>
          <w:sz w:val="36"/>
          <w:szCs w:val="36"/>
          <w:highlight w:val="none"/>
          <w:lang w:val="en-US" w:eastAsia="zh-CN"/>
        </w:rPr>
        <w:t>年度</w:t>
      </w:r>
      <w:r>
        <w:rPr>
          <w:rFonts w:hint="eastAsia"/>
          <w:b/>
          <w:bCs/>
          <w:color w:val="auto"/>
          <w:sz w:val="36"/>
          <w:szCs w:val="36"/>
          <w:highlight w:val="none"/>
          <w:lang w:val="en-US" w:eastAsia="zh-CN"/>
        </w:rPr>
        <w:t>对外经济投资合作局</w:t>
      </w:r>
    </w:p>
    <w:p>
      <w:pPr>
        <w:keepNext w:val="0"/>
        <w:keepLines w:val="0"/>
        <w:pageBreakBefore w:val="0"/>
        <w:widowControl w:val="0"/>
        <w:kinsoku/>
        <w:wordWrap/>
        <w:overflowPunct/>
        <w:topLinePunct w:val="0"/>
        <w:autoSpaceDE/>
        <w:autoSpaceDN/>
        <w:bidi w:val="0"/>
        <w:adjustRightInd/>
        <w:snapToGrid/>
        <w:spacing w:beforeLines="0" w:afterLines="0" w:line="600" w:lineRule="exact"/>
        <w:ind w:left="0" w:leftChars="0" w:right="0" w:rightChars="0" w:firstLine="0" w:firstLineChars="0"/>
        <w:jc w:val="center"/>
        <w:textAlignment w:val="auto"/>
        <w:rPr>
          <w:rFonts w:hint="eastAsia" w:ascii="宋体" w:hAnsi="宋体" w:eastAsia="宋体" w:cs="宋体"/>
          <w:b/>
          <w:bCs/>
          <w:color w:val="auto"/>
          <w:kern w:val="2"/>
          <w:sz w:val="36"/>
          <w:szCs w:val="36"/>
          <w:highlight w:val="none"/>
        </w:rPr>
      </w:pPr>
      <w:r>
        <w:rPr>
          <w:rFonts w:hint="eastAsia" w:ascii="宋体" w:hAnsi="宋体"/>
          <w:b/>
          <w:bCs/>
          <w:color w:val="auto"/>
          <w:sz w:val="36"/>
          <w:szCs w:val="36"/>
          <w:highlight w:val="none"/>
          <w:lang w:val="en-US" w:eastAsia="zh-CN"/>
        </w:rPr>
        <w:t>部门整体支出重点绩效评价总览</w:t>
      </w:r>
    </w:p>
    <w:tbl>
      <w:tblPr>
        <w:tblStyle w:val="1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40"/>
        <w:gridCol w:w="2042"/>
        <w:gridCol w:w="1726"/>
        <w:gridCol w:w="30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000" w:type="pct"/>
            <w:gridSpan w:val="4"/>
            <w:noWrap w:val="0"/>
            <w:vAlign w:val="center"/>
          </w:tcPr>
          <w:p>
            <w:pPr>
              <w:keepNext w:val="0"/>
              <w:keepLines w:val="0"/>
              <w:widowControl/>
              <w:suppressLineNumbers w:val="0"/>
              <w:jc w:val="center"/>
              <w:textAlignment w:val="center"/>
              <w:rPr>
                <w:rFonts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一、项目预算资金安排和使用情况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项目名称</w:t>
            </w:r>
          </w:p>
        </w:tc>
        <w:tc>
          <w:tcPr>
            <w:tcW w:w="3758" w:type="pct"/>
            <w:gridSpan w:val="3"/>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铜川市新区对外经济投资合作局部门整体支出绩效评价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实施单位</w:t>
            </w:r>
          </w:p>
        </w:tc>
        <w:tc>
          <w:tcPr>
            <w:tcW w:w="3758" w:type="pct"/>
            <w:gridSpan w:val="3"/>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铜川市新区对外经济投资合作局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主管处室</w:t>
            </w:r>
          </w:p>
        </w:tc>
        <w:tc>
          <w:tcPr>
            <w:tcW w:w="1131" w:type="pc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铜川市新区财政局综合科</w:t>
            </w:r>
          </w:p>
        </w:tc>
        <w:tc>
          <w:tcPr>
            <w:tcW w:w="956"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主管部门</w:t>
            </w:r>
          </w:p>
        </w:tc>
        <w:tc>
          <w:tcPr>
            <w:tcW w:w="1670" w:type="pc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iCs w:val="0"/>
                <w:color w:val="000000"/>
                <w:sz w:val="24"/>
                <w:szCs w:val="24"/>
                <w:highlight w:val="none"/>
                <w:u w:val="none"/>
                <w:lang w:val="en-US" w:eastAsia="zh-CN"/>
              </w:rPr>
              <w:t>铜川市新区对外经济投资合作局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年度预算资金安排</w:t>
            </w:r>
          </w:p>
        </w:tc>
        <w:tc>
          <w:tcPr>
            <w:tcW w:w="3758" w:type="pct"/>
            <w:gridSpan w:val="3"/>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543.89万元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其中</w:t>
            </w:r>
          </w:p>
        </w:tc>
        <w:tc>
          <w:tcPr>
            <w:tcW w:w="3758" w:type="pct"/>
            <w:gridSpan w:val="3"/>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iCs w:val="0"/>
                <w:color w:val="000000"/>
                <w:kern w:val="0"/>
                <w:sz w:val="24"/>
                <w:szCs w:val="24"/>
                <w:highlight w:val="none"/>
                <w:u w:val="none"/>
                <w:lang w:val="en-US" w:eastAsia="zh-CN" w:bidi="ar"/>
              </w:rPr>
              <w:t>当年财政拨款543.89万元（100%）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年度实际支出</w:t>
            </w:r>
          </w:p>
        </w:tc>
        <w:tc>
          <w:tcPr>
            <w:tcW w:w="3758" w:type="pct"/>
            <w:gridSpan w:val="3"/>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iCs w:val="0"/>
                <w:color w:val="000000"/>
                <w:kern w:val="0"/>
                <w:sz w:val="24"/>
                <w:szCs w:val="24"/>
                <w:highlight w:val="none"/>
                <w:u w:val="none"/>
                <w:lang w:val="en-US" w:eastAsia="zh-CN" w:bidi="ar"/>
              </w:rPr>
              <w:t>年度支出530.15万元，占比97.47%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000" w:type="pct"/>
            <w:gridSpan w:val="4"/>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二、绩效目标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绩效目标</w:t>
            </w:r>
          </w:p>
        </w:tc>
        <w:tc>
          <w:tcPr>
            <w:tcW w:w="3758" w:type="pct"/>
            <w:gridSpan w:val="3"/>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 xml:space="preserve">目标1：保证2021年单位工作正常运行。 </w:t>
            </w:r>
          </w:p>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 xml:space="preserve">目标2：招商引资严格按照“在谈项目促签约，签约项目促落地，落地项目促开工，开工项目促投产”的思路，落实项目包抓包联制度，增强招商引资的实效性，力争在招商引资和项目建设上实现新的突破。 </w:t>
            </w:r>
          </w:p>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 xml:space="preserve">目标3：举办2021年第五届丝博会，促进签约项目成果。 </w:t>
            </w:r>
          </w:p>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 xml:space="preserve">目标4：举办第四届扶贫产品交易会，做好客商邀请和项目签约工作。 </w:t>
            </w:r>
          </w:p>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 xml:space="preserve">目标5：参加陕西——长三角地区经济合作活动，展现新区新形象，寻找商机，同时做好苏陕扶贫协作共建“区中园”联席会议暨园区项目推介会的推介宣传工作。 </w:t>
            </w:r>
          </w:p>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 xml:space="preserve">目标6：参加陕粤港澳经济合作活动，促进签约项目成果。 </w:t>
            </w:r>
          </w:p>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 xml:space="preserve">目标7：参加杨凌农高会，做好客商邀请和项目签约工作。 </w:t>
            </w:r>
          </w:p>
          <w:p>
            <w:pPr>
              <w:keepNext w:val="0"/>
              <w:keepLines w:val="0"/>
              <w:widowControl/>
              <w:suppressLineNumbers w:val="0"/>
              <w:jc w:val="left"/>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目标8：参加中国国际进口博览会，促进项目推介和签约工作。 目标9：参加陕中国国际投资贸易洽谈会，寻找商机，宣传推介。 目标10：招商宣传片，全方位、多领域展现铜川新区发展历程、精神风貌、投资环境，提升铜川新区知名度，吸引名优企业落户铜川新</w:t>
            </w:r>
            <w:r>
              <w:rPr>
                <w:rFonts w:ascii="宋体" w:hAnsi="宋体" w:eastAsia="宋体" w:cs="宋体"/>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主要指标</w:t>
            </w:r>
          </w:p>
        </w:tc>
        <w:tc>
          <w:tcPr>
            <w:tcW w:w="3758" w:type="pct"/>
            <w:gridSpan w:val="3"/>
            <w:noWrap w:val="0"/>
            <w:vAlign w:val="center"/>
          </w:tcPr>
          <w:p>
            <w:pPr>
              <w:keepNext w:val="0"/>
              <w:keepLines w:val="0"/>
              <w:widowControl/>
              <w:suppressLineNumbers w:val="0"/>
              <w:ind w:firstLineChars="200"/>
              <w:jc w:val="left"/>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1.人员经费保障人数</w:t>
            </w:r>
            <w:r>
              <w:rPr>
                <w:rFonts w:hint="eastAsia" w:ascii="宋体" w:hAnsi="宋体" w:eastAsia="宋体" w:cs="宋体"/>
                <w:i w:val="0"/>
                <w:iCs w:val="0"/>
                <w:color w:val="000000"/>
                <w:sz w:val="24"/>
                <w:szCs w:val="24"/>
                <w:highlight w:val="none"/>
                <w:u w:val="none"/>
                <w:lang w:val="en-US" w:eastAsia="zh-CN"/>
              </w:rPr>
              <w:t>≦</w:t>
            </w:r>
            <w:r>
              <w:rPr>
                <w:rFonts w:hint="eastAsia" w:ascii="仿宋" w:hAnsi="仿宋" w:eastAsia="仿宋" w:cs="仿宋"/>
                <w:i w:val="0"/>
                <w:iCs w:val="0"/>
                <w:color w:val="000000"/>
                <w:sz w:val="24"/>
                <w:szCs w:val="24"/>
                <w:highlight w:val="none"/>
                <w:u w:val="none"/>
                <w:lang w:val="en-US" w:eastAsia="zh-CN"/>
              </w:rPr>
              <w:t>8人；2.2021年第五届丝博会参加单位</w:t>
            </w:r>
            <w:r>
              <w:rPr>
                <w:rFonts w:hint="eastAsia" w:ascii="宋体" w:hAnsi="宋体" w:eastAsia="宋体" w:cs="宋体"/>
                <w:i w:val="0"/>
                <w:iCs w:val="0"/>
                <w:color w:val="000000"/>
                <w:sz w:val="24"/>
                <w:szCs w:val="24"/>
                <w:highlight w:val="none"/>
                <w:u w:val="none"/>
                <w:lang w:val="en-US" w:eastAsia="zh-CN"/>
              </w:rPr>
              <w:t>≧</w:t>
            </w:r>
            <w:r>
              <w:rPr>
                <w:rFonts w:hint="eastAsia" w:ascii="仿宋" w:hAnsi="仿宋" w:eastAsia="仿宋" w:cs="仿宋"/>
                <w:i w:val="0"/>
                <w:iCs w:val="0"/>
                <w:color w:val="000000"/>
                <w:sz w:val="24"/>
                <w:szCs w:val="24"/>
                <w:highlight w:val="none"/>
                <w:u w:val="none"/>
                <w:lang w:val="en-US" w:eastAsia="zh-CN"/>
              </w:rPr>
              <w:t>18家；3.2021年第五届丝博会参加企业数量</w:t>
            </w:r>
            <w:r>
              <w:rPr>
                <w:rFonts w:hint="eastAsia" w:ascii="宋体" w:hAnsi="宋体" w:eastAsia="宋体" w:cs="宋体"/>
                <w:i w:val="0"/>
                <w:iCs w:val="0"/>
                <w:color w:val="000000"/>
                <w:sz w:val="24"/>
                <w:szCs w:val="24"/>
                <w:highlight w:val="none"/>
                <w:u w:val="none"/>
                <w:lang w:val="en-US" w:eastAsia="zh-CN"/>
              </w:rPr>
              <w:t>≧</w:t>
            </w:r>
            <w:r>
              <w:rPr>
                <w:rFonts w:hint="eastAsia" w:cs="宋体"/>
                <w:i w:val="0"/>
                <w:iCs w:val="0"/>
                <w:color w:val="000000"/>
                <w:sz w:val="24"/>
                <w:szCs w:val="24"/>
                <w:highlight w:val="none"/>
                <w:u w:val="none"/>
                <w:lang w:val="en-US" w:eastAsia="zh-CN"/>
              </w:rPr>
              <w:t>75户；4.</w:t>
            </w:r>
            <w:r>
              <w:rPr>
                <w:rFonts w:hint="eastAsia" w:ascii="仿宋" w:hAnsi="仿宋" w:eastAsia="仿宋" w:cs="仿宋"/>
                <w:i w:val="0"/>
                <w:iCs w:val="0"/>
                <w:color w:val="000000"/>
                <w:sz w:val="24"/>
                <w:szCs w:val="24"/>
                <w:highlight w:val="none"/>
                <w:u w:val="none"/>
                <w:lang w:val="en-US" w:eastAsia="zh-CN"/>
              </w:rPr>
              <w:t>扶贫产品交易会参加企业数量</w:t>
            </w:r>
            <w:r>
              <w:rPr>
                <w:rFonts w:hint="eastAsia" w:ascii="宋体" w:hAnsi="宋体" w:eastAsia="宋体" w:cs="宋体"/>
                <w:i w:val="0"/>
                <w:iCs w:val="0"/>
                <w:color w:val="000000"/>
                <w:sz w:val="24"/>
                <w:szCs w:val="24"/>
                <w:highlight w:val="none"/>
                <w:u w:val="none"/>
                <w:lang w:val="en-US" w:eastAsia="zh-CN"/>
              </w:rPr>
              <w:t>≧</w:t>
            </w:r>
            <w:r>
              <w:rPr>
                <w:rFonts w:hint="eastAsia" w:cs="宋体"/>
                <w:i w:val="0"/>
                <w:iCs w:val="0"/>
                <w:color w:val="000000"/>
                <w:sz w:val="24"/>
                <w:szCs w:val="24"/>
                <w:highlight w:val="none"/>
                <w:u w:val="none"/>
                <w:lang w:val="en-US" w:eastAsia="zh-CN"/>
              </w:rPr>
              <w:t>20人</w:t>
            </w:r>
            <w:r>
              <w:rPr>
                <w:rFonts w:hint="eastAsia" w:ascii="仿宋" w:hAnsi="仿宋" w:eastAsia="仿宋" w:cs="仿宋"/>
                <w:i w:val="0"/>
                <w:iCs w:val="0"/>
                <w:color w:val="000000"/>
                <w:sz w:val="24"/>
                <w:szCs w:val="24"/>
                <w:highlight w:val="none"/>
                <w:u w:val="none"/>
                <w:lang w:val="en-US" w:eastAsia="zh-CN"/>
              </w:rPr>
              <w:t>；5.陕西——长三角地区经济合作活动参与人数≧5人；6.陕粤港澳经济合作活动参加单位≧6家；7.陕粤港澳经济合作活动参加人数≧10人；8.杨凌农高会参加企业数量≧5家；9.中国国际投资贸易洽谈会参加人数≧5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trPr>
        <w:tc>
          <w:tcPr>
            <w:tcW w:w="1241" w:type="pct"/>
            <w:noWrap w:val="0"/>
            <w:vAlign w:val="center"/>
          </w:tcPr>
          <w:p>
            <w:pPr>
              <w:keepNext w:val="0"/>
              <w:keepLines w:val="0"/>
              <w:widowControl/>
              <w:suppressLineNumbers w:val="0"/>
              <w:ind w:firstLineChars="200"/>
              <w:jc w:val="both"/>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完成情况</w:t>
            </w:r>
          </w:p>
        </w:tc>
        <w:tc>
          <w:tcPr>
            <w:tcW w:w="3758" w:type="pct"/>
            <w:gridSpan w:val="3"/>
            <w:noWrap w:val="0"/>
            <w:vAlign w:val="center"/>
          </w:tcPr>
          <w:p>
            <w:pPr>
              <w:keepNext w:val="0"/>
              <w:keepLines w:val="0"/>
              <w:widowControl/>
              <w:suppressLineNumbers w:val="0"/>
              <w:ind w:firstLine="480" w:firstLineChars="200"/>
              <w:jc w:val="left"/>
              <w:textAlignment w:val="center"/>
              <w:rPr>
                <w:rFonts w:hint="default"/>
                <w:lang w:val="en-US" w:eastAsia="zh-CN"/>
              </w:rPr>
            </w:pPr>
            <w:r>
              <w:rPr>
                <w:rFonts w:hint="eastAsia" w:ascii="仿宋" w:hAnsi="仿宋" w:eastAsia="仿宋" w:cs="仿宋"/>
                <w:i w:val="0"/>
                <w:iCs w:val="0"/>
                <w:color w:val="000000"/>
                <w:sz w:val="24"/>
                <w:szCs w:val="24"/>
                <w:highlight w:val="none"/>
                <w:u w:val="none"/>
                <w:lang w:val="en-US" w:eastAsia="zh-CN"/>
              </w:rPr>
              <w:t>2021年度举办丝博会和百日招商推介会2场会议，主动参加京津冀精准招商引资活动、中国国际投资贸易洽谈会、陕西-长三角地区经济合作活动、陕-粤港澳经济合作活动、杨凌农高会等5场活动。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5000" w:type="pct"/>
            <w:gridSpan w:val="4"/>
            <w:noWrap w:val="0"/>
            <w:vAlign w:val="center"/>
          </w:tcPr>
          <w:p>
            <w:pPr>
              <w:keepNext w:val="0"/>
              <w:keepLines w:val="0"/>
              <w:widowControl/>
              <w:suppressLineNumbers w:val="0"/>
              <w:ind w:firstLineChars="20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三、综合评价结论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gridSpan w:val="4"/>
            <w:vMerge w:val="restart"/>
            <w:noWrap w:val="0"/>
            <w:vAlign w:val="center"/>
          </w:tcPr>
          <w:p>
            <w:pPr>
              <w:keepNext w:val="0"/>
              <w:keepLines w:val="0"/>
              <w:widowControl/>
              <w:suppressLineNumbers w:val="0"/>
              <w:ind w:firstLineChars="20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经综合评价表明，专项资金使用情况整体表现良好，综合评分为96.78分，绩效等级为“优”。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gridSpan w:val="4"/>
            <w:vMerge w:val="continue"/>
            <w:noWrap w:val="0"/>
            <w:vAlign w:val="center"/>
          </w:tcPr>
          <w:p>
            <w:pPr>
              <w:jc w:val="center"/>
              <w:rPr>
                <w:rFonts w:hint="eastAsia" w:ascii="仿宋" w:hAnsi="仿宋" w:eastAsia="仿宋" w:cs="仿宋"/>
                <w:i w:val="0"/>
                <w:iCs w:val="0"/>
                <w:color w:val="000000"/>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gridSpan w:val="4"/>
            <w:vMerge w:val="continue"/>
            <w:noWrap w:val="0"/>
            <w:vAlign w:val="center"/>
          </w:tcPr>
          <w:p>
            <w:pPr>
              <w:jc w:val="center"/>
              <w:rPr>
                <w:rFonts w:hint="eastAsia" w:ascii="仿宋" w:hAnsi="仿宋" w:eastAsia="仿宋" w:cs="仿宋"/>
                <w:i w:val="0"/>
                <w:iCs w:val="0"/>
                <w:color w:val="000000"/>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000" w:type="pct"/>
            <w:gridSpan w:val="4"/>
            <w:vMerge w:val="continue"/>
            <w:noWrap w:val="0"/>
            <w:vAlign w:val="center"/>
          </w:tcPr>
          <w:p>
            <w:pPr>
              <w:jc w:val="center"/>
              <w:rPr>
                <w:rFonts w:hint="eastAsia" w:ascii="仿宋" w:hAnsi="仿宋" w:eastAsia="仿宋" w:cs="仿宋"/>
                <w:i w:val="0"/>
                <w:iCs w:val="0"/>
                <w:color w:val="000000"/>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gridSpan w:val="4"/>
            <w:noWrap w:val="0"/>
            <w:vAlign w:val="center"/>
          </w:tcPr>
          <w:p>
            <w:pPr>
              <w:keepNext w:val="0"/>
              <w:keepLines w:val="0"/>
              <w:widowControl/>
              <w:suppressLineNumbers w:val="0"/>
              <w:ind w:firstLineChars="20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四、主要经验及做法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 w:hRule="atLeast"/>
        </w:trPr>
        <w:tc>
          <w:tcPr>
            <w:tcW w:w="5000" w:type="pct"/>
            <w:gridSpan w:val="4"/>
            <w:noWrap w:val="0"/>
            <w:vAlign w:val="center"/>
          </w:tcPr>
          <w:p>
            <w:pPr>
              <w:keepNext w:val="0"/>
              <w:keepLines w:val="0"/>
              <w:widowControl/>
              <w:suppressLineNumbers w:val="0"/>
              <w:ind w:firstLine="480" w:firstLineChars="200"/>
              <w:jc w:val="left"/>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1.绩效目标管理良好。202年初部门编制部门综合预算，同步编制部门整体绩效目标，根据部门年度工作任务进行细化分解产出、效益和满意度指标内容，明确年度内将要举办的相关活动内容、预期时间、期望指标值和参会内容和时间等与部门履职高度相关的各项工作目标。2.部门及时保质保量完成年度工作任务安排，2021年度举办丝博会和百日招商推介会2场会议，主动参加京津冀精准招商引资活动、中国国际投资贸易洽谈会、陕西-长三角地区经济合作活动、陕-粤港澳经济合作活动、杨凌农高会等5场活动。3.履职效益明显。通过招商引资，签约项目95个，涉及金额226.92亿元，市域外项目到位资金94.77亿元，排名全市第一。省级项目到位资金48.6亿元，实际利用外资完成797万美元，新增外资企业27户，其中台资企业24户，个体户3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gridSpan w:val="4"/>
            <w:noWrap w:val="0"/>
            <w:vAlign w:val="center"/>
          </w:tcPr>
          <w:p>
            <w:pPr>
              <w:keepNext w:val="0"/>
              <w:keepLines w:val="0"/>
              <w:widowControl/>
              <w:suppressLineNumbers w:val="0"/>
              <w:ind w:firstLineChars="20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五、存在主要问题及有关建议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00" w:type="pct"/>
            <w:gridSpan w:val="4"/>
            <w:noWrap w:val="0"/>
            <w:vAlign w:val="center"/>
          </w:tcPr>
          <w:p>
            <w:pPr>
              <w:keepNext w:val="0"/>
              <w:keepLines w:val="0"/>
              <w:widowControl/>
              <w:suppressLineNumbers w:val="0"/>
              <w:ind w:firstLine="480" w:firstLineChars="200"/>
              <w:jc w:val="left"/>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 xml:space="preserve">存在问题：1.预算管理工作需进一步完善。2.部门公用经费控制需进一步提升。3.政府采购管理需进一步强化。4.财务管理制度文件需进一步健全。                    </w:t>
            </w:r>
          </w:p>
          <w:p>
            <w:pPr>
              <w:keepNext w:val="0"/>
              <w:keepLines w:val="0"/>
              <w:widowControl/>
              <w:suppressLineNumbers w:val="0"/>
              <w:ind w:firstLine="480" w:firstLineChars="200"/>
              <w:jc w:val="left"/>
              <w:textAlignment w:val="center"/>
              <w:rPr>
                <w:rFonts w:hint="default"/>
                <w:lang w:val="en-US" w:eastAsia="zh-CN"/>
              </w:rPr>
            </w:pPr>
            <w:r>
              <w:rPr>
                <w:rFonts w:hint="eastAsia" w:ascii="仿宋" w:hAnsi="仿宋" w:eastAsia="仿宋" w:cs="仿宋"/>
                <w:i w:val="0"/>
                <w:iCs w:val="0"/>
                <w:color w:val="000000"/>
                <w:sz w:val="24"/>
                <w:szCs w:val="24"/>
                <w:highlight w:val="none"/>
                <w:u w:val="none"/>
                <w:lang w:val="en-US" w:eastAsia="zh-CN"/>
              </w:rPr>
              <w:t>相关建议：1.加强预算执行监控，完善预算调整工作。2.加强部门成本控制，落实“过紧日子”思想。3.强化部门采购管理，做好部门采购计划编制。4.健全财务管理制度，提升预算绩效管理一体化。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gridSpan w:val="4"/>
            <w:noWrap w:val="0"/>
            <w:vAlign w:val="center"/>
          </w:tcPr>
          <w:p>
            <w:pPr>
              <w:keepNext w:val="0"/>
              <w:keepLines w:val="0"/>
              <w:widowControl/>
              <w:suppressLineNumbers w:val="0"/>
              <w:ind w:firstLineChars="20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六、综合评价得分和等级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一级指标</w:t>
            </w:r>
          </w:p>
        </w:tc>
        <w:tc>
          <w:tcPr>
            <w:tcW w:w="113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分值</w:t>
            </w:r>
          </w:p>
        </w:tc>
        <w:tc>
          <w:tcPr>
            <w:tcW w:w="956"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得分</w:t>
            </w:r>
          </w:p>
        </w:tc>
        <w:tc>
          <w:tcPr>
            <w:tcW w:w="1670"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得分率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投入</w:t>
            </w:r>
          </w:p>
        </w:tc>
        <w:tc>
          <w:tcPr>
            <w:tcW w:w="2042" w:type="dxa"/>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color w:val="000000"/>
                <w:kern w:val="0"/>
                <w:sz w:val="24"/>
                <w:szCs w:val="24"/>
                <w:u w:val="none"/>
                <w:lang w:val="en-US" w:eastAsia="zh-CN" w:bidi="ar"/>
              </w:rPr>
              <w:t>15</w:t>
            </w:r>
          </w:p>
        </w:tc>
        <w:tc>
          <w:tcPr>
            <w:tcW w:w="1726" w:type="dxa"/>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color w:val="000000"/>
                <w:kern w:val="0"/>
                <w:sz w:val="24"/>
                <w:szCs w:val="24"/>
                <w:u w:val="none"/>
                <w:lang w:val="en-US" w:eastAsia="zh-CN" w:bidi="ar"/>
              </w:rPr>
              <w:t>15</w:t>
            </w:r>
          </w:p>
        </w:tc>
        <w:tc>
          <w:tcPr>
            <w:tcW w:w="3018"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cs="宋体"/>
                <w:i w:val="0"/>
                <w:color w:val="000000"/>
                <w:kern w:val="0"/>
                <w:sz w:val="24"/>
                <w:szCs w:val="24"/>
                <w:u w:val="none"/>
                <w:lang w:val="en-US" w:eastAsia="zh-CN" w:bidi="ar"/>
              </w:rPr>
              <w:t>100</w:t>
            </w:r>
            <w:r>
              <w:rPr>
                <w:rFonts w:hint="eastAsia" w:ascii="宋体" w:hAnsi="宋体" w:eastAsia="宋体" w:cs="宋体"/>
                <w:i w:val="0"/>
                <w:color w:val="000000"/>
                <w:kern w:val="0"/>
                <w:sz w:val="24"/>
                <w:szCs w:val="24"/>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过程</w:t>
            </w:r>
          </w:p>
        </w:tc>
        <w:tc>
          <w:tcPr>
            <w:tcW w:w="2042" w:type="dxa"/>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color w:val="000000"/>
                <w:kern w:val="0"/>
                <w:sz w:val="24"/>
                <w:szCs w:val="24"/>
                <w:u w:val="none"/>
                <w:lang w:val="en-US" w:eastAsia="zh-CN" w:bidi="ar"/>
              </w:rPr>
              <w:t>25</w:t>
            </w:r>
          </w:p>
        </w:tc>
        <w:tc>
          <w:tcPr>
            <w:tcW w:w="1726" w:type="dxa"/>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color w:val="000000"/>
                <w:kern w:val="0"/>
                <w:sz w:val="24"/>
                <w:szCs w:val="24"/>
                <w:u w:val="none"/>
                <w:lang w:val="en-US" w:eastAsia="zh-CN" w:bidi="ar"/>
              </w:rPr>
              <w:t>21.78</w:t>
            </w:r>
          </w:p>
        </w:tc>
        <w:tc>
          <w:tcPr>
            <w:tcW w:w="3018"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cs="宋体"/>
                <w:i w:val="0"/>
                <w:color w:val="000000"/>
                <w:kern w:val="0"/>
                <w:sz w:val="24"/>
                <w:szCs w:val="24"/>
                <w:u w:val="none"/>
                <w:lang w:val="en-US" w:eastAsia="zh-CN" w:bidi="ar"/>
              </w:rPr>
              <w:t>87.12</w:t>
            </w:r>
            <w:r>
              <w:rPr>
                <w:rFonts w:hint="eastAsia" w:ascii="宋体" w:hAnsi="宋体" w:eastAsia="宋体" w:cs="宋体"/>
                <w:i w:val="0"/>
                <w:color w:val="000000"/>
                <w:kern w:val="0"/>
                <w:sz w:val="24"/>
                <w:szCs w:val="24"/>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产出</w:t>
            </w:r>
          </w:p>
        </w:tc>
        <w:tc>
          <w:tcPr>
            <w:tcW w:w="2042" w:type="dxa"/>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color w:val="000000"/>
                <w:kern w:val="0"/>
                <w:sz w:val="24"/>
                <w:szCs w:val="24"/>
                <w:u w:val="none"/>
                <w:lang w:val="en-US" w:eastAsia="zh-CN" w:bidi="ar"/>
              </w:rPr>
              <w:t>35</w:t>
            </w:r>
          </w:p>
        </w:tc>
        <w:tc>
          <w:tcPr>
            <w:tcW w:w="1726" w:type="dxa"/>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color w:val="000000"/>
                <w:kern w:val="0"/>
                <w:sz w:val="24"/>
                <w:szCs w:val="24"/>
                <w:u w:val="none"/>
                <w:lang w:val="en-US" w:eastAsia="zh-CN" w:bidi="ar"/>
              </w:rPr>
              <w:t>35</w:t>
            </w:r>
          </w:p>
        </w:tc>
        <w:tc>
          <w:tcPr>
            <w:tcW w:w="3018"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cs="宋体"/>
                <w:i w:val="0"/>
                <w:color w:val="000000"/>
                <w:kern w:val="0"/>
                <w:sz w:val="24"/>
                <w:szCs w:val="24"/>
                <w:u w:val="none"/>
                <w:lang w:val="en-US" w:eastAsia="zh-CN" w:bidi="ar"/>
              </w:rPr>
              <w:t>100</w:t>
            </w:r>
            <w:r>
              <w:rPr>
                <w:rFonts w:hint="eastAsia" w:ascii="宋体" w:hAnsi="宋体" w:eastAsia="宋体" w:cs="宋体"/>
                <w:i w:val="0"/>
                <w:color w:val="000000"/>
                <w:kern w:val="0"/>
                <w:sz w:val="24"/>
                <w:szCs w:val="24"/>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效果</w:t>
            </w:r>
          </w:p>
        </w:tc>
        <w:tc>
          <w:tcPr>
            <w:tcW w:w="2042" w:type="dxa"/>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color w:val="000000"/>
                <w:kern w:val="0"/>
                <w:sz w:val="24"/>
                <w:szCs w:val="24"/>
                <w:u w:val="none"/>
                <w:lang w:val="en-US" w:eastAsia="zh-CN" w:bidi="ar"/>
              </w:rPr>
              <w:t>25</w:t>
            </w:r>
          </w:p>
        </w:tc>
        <w:tc>
          <w:tcPr>
            <w:tcW w:w="1726" w:type="dxa"/>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color w:val="000000"/>
                <w:kern w:val="0"/>
                <w:sz w:val="24"/>
                <w:szCs w:val="24"/>
                <w:u w:val="none"/>
                <w:lang w:val="en-US" w:eastAsia="zh-CN" w:bidi="ar"/>
              </w:rPr>
              <w:t>25</w:t>
            </w:r>
          </w:p>
        </w:tc>
        <w:tc>
          <w:tcPr>
            <w:tcW w:w="3018"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cs="宋体"/>
                <w:i w:val="0"/>
                <w:color w:val="000000"/>
                <w:kern w:val="0"/>
                <w:sz w:val="24"/>
                <w:szCs w:val="24"/>
                <w:u w:val="none"/>
                <w:lang w:val="en-US" w:eastAsia="zh-CN" w:bidi="ar"/>
              </w:rPr>
              <w:t>100.00</w:t>
            </w:r>
            <w:r>
              <w:rPr>
                <w:rFonts w:hint="eastAsia" w:ascii="宋体" w:hAnsi="宋体" w:eastAsia="宋体" w:cs="宋体"/>
                <w:i w:val="0"/>
                <w:color w:val="000000"/>
                <w:kern w:val="0"/>
                <w:sz w:val="24"/>
                <w:szCs w:val="24"/>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合计</w:t>
            </w:r>
          </w:p>
        </w:tc>
        <w:tc>
          <w:tcPr>
            <w:tcW w:w="2042"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color w:val="000000"/>
                <w:kern w:val="0"/>
                <w:sz w:val="24"/>
                <w:szCs w:val="24"/>
                <w:u w:val="none"/>
                <w:lang w:val="en-US" w:eastAsia="zh-CN" w:bidi="ar"/>
              </w:rPr>
              <w:t>100</w:t>
            </w:r>
          </w:p>
        </w:tc>
        <w:tc>
          <w:tcPr>
            <w:tcW w:w="1726" w:type="dxa"/>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rPr>
            </w:pPr>
            <w:r>
              <w:rPr>
                <w:rFonts w:hint="eastAsia" w:cs="宋体"/>
                <w:i w:val="0"/>
                <w:color w:val="000000"/>
                <w:kern w:val="0"/>
                <w:sz w:val="24"/>
                <w:szCs w:val="24"/>
                <w:u w:val="none"/>
                <w:lang w:val="en-US" w:eastAsia="zh-CN" w:bidi="ar"/>
              </w:rPr>
              <w:t>96.78</w:t>
            </w:r>
          </w:p>
        </w:tc>
        <w:tc>
          <w:tcPr>
            <w:tcW w:w="3018"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cs="宋体"/>
                <w:i w:val="0"/>
                <w:color w:val="000000"/>
                <w:kern w:val="0"/>
                <w:sz w:val="24"/>
                <w:szCs w:val="24"/>
                <w:u w:val="none"/>
                <w:lang w:val="en-US" w:eastAsia="zh-CN" w:bidi="ar"/>
              </w:rPr>
              <w:t>96.78</w:t>
            </w:r>
            <w:r>
              <w:rPr>
                <w:rFonts w:hint="eastAsia" w:ascii="宋体" w:hAnsi="宋体" w:eastAsia="宋体" w:cs="宋体"/>
                <w:i w:val="0"/>
                <w:color w:val="000000"/>
                <w:kern w:val="0"/>
                <w:sz w:val="24"/>
                <w:szCs w:val="24"/>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绩效评价得分：</w:t>
            </w:r>
          </w:p>
        </w:tc>
        <w:tc>
          <w:tcPr>
            <w:tcW w:w="1131" w:type="pc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cs="宋体"/>
                <w:i w:val="0"/>
                <w:color w:val="000000"/>
                <w:kern w:val="0"/>
                <w:sz w:val="24"/>
                <w:szCs w:val="24"/>
                <w:u w:val="none"/>
                <w:lang w:val="en-US" w:eastAsia="zh-CN" w:bidi="ar"/>
              </w:rPr>
              <w:t>96.78</w:t>
            </w:r>
          </w:p>
        </w:tc>
        <w:tc>
          <w:tcPr>
            <w:tcW w:w="956"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综合评价结果等级：</w:t>
            </w:r>
          </w:p>
        </w:tc>
        <w:tc>
          <w:tcPr>
            <w:tcW w:w="1670" w:type="pc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优</w:t>
            </w:r>
          </w:p>
        </w:tc>
      </w:tr>
    </w:tbl>
    <w:p>
      <w:pPr>
        <w:pStyle w:val="2"/>
        <w:rPr>
          <w:rFonts w:hint="eastAsia"/>
        </w:rPr>
        <w:sectPr>
          <w:headerReference r:id="rId3" w:type="default"/>
          <w:footerReference r:id="rId4" w:type="default"/>
          <w:pgSz w:w="11910" w:h="16840"/>
          <w:pgMar w:top="2098" w:right="1474" w:bottom="1984" w:left="1587" w:header="1017" w:footer="1206" w:gutter="0"/>
          <w:pgNumType w:fmt="numberInDash" w:start="1"/>
          <w:cols w:equalWidth="0" w:num="1">
            <w:col w:w="8810"/>
          </w:cols>
        </w:sectPr>
      </w:pPr>
    </w:p>
    <w:p>
      <w:pPr>
        <w:keepNext w:val="0"/>
        <w:keepLines w:val="0"/>
        <w:pageBreakBefore w:val="0"/>
        <w:widowControl/>
        <w:shd w:val="clear" w:color="auto" w:fill="FFFFFF"/>
        <w:kinsoku/>
        <w:wordWrap/>
        <w:overflowPunct/>
        <w:topLinePunct w:val="0"/>
        <w:autoSpaceDE/>
        <w:autoSpaceDN/>
        <w:bidi w:val="0"/>
        <w:adjustRightInd/>
        <w:snapToGrid/>
        <w:spacing w:before="480" w:after="360"/>
        <w:jc w:val="center"/>
        <w:textAlignment w:val="auto"/>
        <w:outlineLvl w:val="0"/>
        <w:rPr>
          <w:rFonts w:hint="eastAsia" w:ascii="宋体" w:hAnsi="宋体" w:eastAsia="宋体" w:cs="宋体"/>
          <w:color w:val="auto"/>
          <w:kern w:val="0"/>
          <w:sz w:val="36"/>
          <w:szCs w:val="36"/>
          <w:highlight w:val="none"/>
          <w:lang w:val="en-US" w:eastAsia="zh-CN"/>
        </w:rPr>
      </w:pPr>
      <w:bookmarkStart w:id="0" w:name="_Toc11411"/>
      <w:r>
        <w:rPr>
          <w:rFonts w:hint="eastAsia" w:ascii="宋体" w:hAnsi="宋体" w:eastAsia="宋体" w:cs="宋体"/>
          <w:b/>
          <w:sz w:val="36"/>
          <w:szCs w:val="36"/>
          <w:highlight w:val="none"/>
          <w:lang w:val="en-US" w:eastAsia="zh-Hans"/>
        </w:rPr>
        <w:t>摘</w:t>
      </w:r>
      <w:r>
        <w:rPr>
          <w:rFonts w:hint="eastAsia" w:ascii="宋体" w:hAnsi="宋体" w:eastAsia="宋体" w:cs="宋体"/>
          <w:b/>
          <w:sz w:val="36"/>
          <w:szCs w:val="36"/>
          <w:highlight w:val="none"/>
          <w:lang w:eastAsia="zh-Hans"/>
        </w:rPr>
        <w:t xml:space="preserve"> </w:t>
      </w:r>
      <w:r>
        <w:rPr>
          <w:rFonts w:hint="eastAsia" w:ascii="宋体" w:hAnsi="宋体" w:eastAsia="宋体" w:cs="宋体"/>
          <w:b/>
          <w:sz w:val="36"/>
          <w:szCs w:val="36"/>
          <w:highlight w:val="none"/>
          <w:lang w:val="en-US" w:eastAsia="zh-Hans"/>
        </w:rPr>
        <w:t>要</w:t>
      </w:r>
      <w:bookmarkEnd w:id="0"/>
    </w:p>
    <w:p>
      <w:pPr>
        <w:keepNext w:val="0"/>
        <w:keepLines w:val="0"/>
        <w:pageBreakBefore w:val="0"/>
        <w:widowControl w:val="0"/>
        <w:numPr>
          <w:ilvl w:val="0"/>
          <w:numId w:val="1"/>
        </w:numPr>
        <w:kinsoku/>
        <w:wordWrap/>
        <w:overflowPunct/>
        <w:topLinePunct w:val="0"/>
        <w:autoSpaceDE/>
        <w:autoSpaceDN/>
        <w:bidi w:val="0"/>
        <w:adjustRightInd/>
        <w:snapToGrid/>
        <w:spacing w:line="640" w:lineRule="exact"/>
        <w:ind w:firstLine="640" w:firstLineChars="200"/>
        <w:jc w:val="both"/>
        <w:textAlignment w:val="auto"/>
        <w:rPr>
          <w:rFonts w:hint="default" w:ascii="黑体" w:hAnsi="黑体" w:eastAsia="黑体" w:cs="黑体"/>
          <w:color w:val="auto"/>
          <w:kern w:val="0"/>
          <w:sz w:val="32"/>
          <w:szCs w:val="32"/>
          <w:highlight w:val="none"/>
          <w:lang w:val="en-US" w:eastAsia="zh-CN"/>
        </w:rPr>
      </w:pPr>
      <w:r>
        <w:rPr>
          <w:rFonts w:hint="eastAsia" w:ascii="黑体" w:hAnsi="黑体" w:eastAsia="黑体" w:cs="黑体"/>
          <w:color w:val="auto"/>
          <w:kern w:val="0"/>
          <w:sz w:val="32"/>
          <w:szCs w:val="32"/>
          <w:highlight w:val="none"/>
          <w:lang w:val="en-US" w:eastAsia="zh-CN"/>
        </w:rPr>
        <w:t>基本情况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 w:eastAsia="仿宋_GB2312" w:cs="宋体"/>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为规范政府部门财政支出预算管理，考核财政资金预期绩效目标的实现程度和综合效果，更好地优化资源配置，切实提高财政资金的使用效益，进一步提升预算部门的行政效能，根据铜川市新区财政局《关于开展2021年新区项目和部门整体支出绩效自评及重点项目绩效评价</w:t>
      </w:r>
      <w:r>
        <w:rPr>
          <w:rFonts w:hint="eastAsia" w:ascii="仿宋" w:hAnsi="仿宋" w:eastAsia="仿宋" w:cs="仿宋"/>
          <w:color w:val="auto"/>
          <w:kern w:val="0"/>
          <w:sz w:val="32"/>
          <w:szCs w:val="32"/>
          <w:highlight w:val="none"/>
          <w:lang w:val="en-US" w:eastAsia="zh-Hans"/>
        </w:rPr>
        <w:t>工作</w:t>
      </w:r>
      <w:r>
        <w:rPr>
          <w:rFonts w:hint="eastAsia" w:ascii="仿宋" w:hAnsi="仿宋" w:eastAsia="仿宋" w:cs="仿宋"/>
          <w:color w:val="auto"/>
          <w:kern w:val="0"/>
          <w:sz w:val="32"/>
          <w:szCs w:val="32"/>
          <w:highlight w:val="none"/>
          <w:lang w:val="en-US" w:eastAsia="zh-CN"/>
        </w:rPr>
        <w:t>的通知》文件要求，从投入、过程、产出、效果四个维度对新区对外经济投资合作局2021年度部门整体支出进行绩效评价。经过资料审查、数据采集、现场访谈、社会调查等评价程序，运用科学、合理的绩效评价方法，形成本绩效评价报告</w:t>
      </w:r>
      <w:r>
        <w:rPr>
          <w:rFonts w:hint="eastAsia" w:ascii="仿宋_GB2312" w:hAnsi="仿宋" w:eastAsia="仿宋_GB2312" w:cs="宋体"/>
          <w:color w:val="auto"/>
          <w:kern w:val="0"/>
          <w:sz w:val="32"/>
          <w:szCs w:val="32"/>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eastAsia" w:ascii="黑体" w:hAnsi="黑体" w:eastAsia="黑体" w:cs="黑体"/>
          <w:color w:val="auto"/>
          <w:kern w:val="0"/>
          <w:sz w:val="32"/>
          <w:szCs w:val="32"/>
          <w:highlight w:val="none"/>
          <w:lang w:val="en-US" w:eastAsia="zh-Hans"/>
        </w:rPr>
      </w:pPr>
      <w:r>
        <w:rPr>
          <w:rFonts w:hint="eastAsia" w:ascii="黑体" w:hAnsi="黑体" w:eastAsia="黑体" w:cs="黑体"/>
          <w:color w:val="auto"/>
          <w:kern w:val="0"/>
          <w:sz w:val="32"/>
          <w:szCs w:val="32"/>
          <w:highlight w:val="none"/>
          <w:lang w:val="en-US" w:eastAsia="zh-Hans"/>
        </w:rPr>
        <w:t>二</w:t>
      </w:r>
      <w:r>
        <w:rPr>
          <w:rFonts w:hint="default" w:ascii="黑体" w:hAnsi="黑体" w:eastAsia="黑体" w:cs="黑体"/>
          <w:color w:val="auto"/>
          <w:kern w:val="0"/>
          <w:sz w:val="32"/>
          <w:szCs w:val="32"/>
          <w:highlight w:val="none"/>
          <w:lang w:eastAsia="zh-Hans"/>
        </w:rPr>
        <w:t>、</w:t>
      </w:r>
      <w:r>
        <w:rPr>
          <w:rFonts w:hint="eastAsia" w:ascii="黑体" w:hAnsi="黑体" w:eastAsia="黑体" w:cs="黑体"/>
          <w:color w:val="auto"/>
          <w:kern w:val="0"/>
          <w:sz w:val="32"/>
          <w:szCs w:val="32"/>
          <w:highlight w:val="none"/>
          <w:lang w:val="en-US" w:eastAsia="zh-Hans"/>
        </w:rPr>
        <w:t>综合评价结论</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 w:eastAsia="仿宋_GB2312" w:cs="宋体"/>
          <w:color w:val="auto"/>
          <w:kern w:val="0"/>
          <w:sz w:val="32"/>
          <w:szCs w:val="32"/>
          <w:highlight w:val="none"/>
          <w:lang w:val="en-US" w:eastAsia="zh-Hans"/>
        </w:rPr>
      </w:pPr>
      <w:r>
        <w:rPr>
          <w:rFonts w:hint="eastAsia" w:ascii="仿宋_GB2312" w:hAnsi="仿宋" w:eastAsia="仿宋_GB2312" w:cs="宋体"/>
          <w:color w:val="auto"/>
          <w:kern w:val="0"/>
          <w:sz w:val="32"/>
          <w:szCs w:val="32"/>
          <w:highlight w:val="none"/>
          <w:lang w:val="en-US" w:eastAsia="zh-Hans"/>
        </w:rPr>
        <w:t>综合分析表明</w:t>
      </w:r>
      <w:r>
        <w:rPr>
          <w:rFonts w:hint="default" w:ascii="仿宋_GB2312" w:hAnsi="仿宋" w:eastAsia="仿宋_GB2312" w:cs="宋体"/>
          <w:color w:val="auto"/>
          <w:kern w:val="0"/>
          <w:sz w:val="32"/>
          <w:szCs w:val="32"/>
          <w:highlight w:val="none"/>
          <w:lang w:eastAsia="zh-Hans"/>
        </w:rPr>
        <w:t>，</w:t>
      </w:r>
      <w:r>
        <w:rPr>
          <w:rFonts w:hint="eastAsia" w:ascii="仿宋_GB2312" w:hAnsi="仿宋" w:eastAsia="仿宋_GB2312" w:cs="宋体"/>
          <w:color w:val="auto"/>
          <w:kern w:val="0"/>
          <w:sz w:val="32"/>
          <w:szCs w:val="32"/>
          <w:highlight w:val="none"/>
          <w:lang w:val="en-US" w:eastAsia="zh-Hans"/>
        </w:rPr>
        <w:t>总体上</w:t>
      </w:r>
      <w:r>
        <w:rPr>
          <w:rFonts w:hint="eastAsia" w:ascii="仿宋_GB2312" w:hAnsi="仿宋" w:eastAsia="仿宋_GB2312" w:cs="宋体"/>
          <w:color w:val="auto"/>
          <w:kern w:val="0"/>
          <w:sz w:val="32"/>
          <w:szCs w:val="32"/>
          <w:highlight w:val="none"/>
          <w:lang w:val="en-US" w:eastAsia="zh-CN"/>
        </w:rPr>
        <w:t>新区对外经济投资合作局</w:t>
      </w:r>
      <w:r>
        <w:rPr>
          <w:rFonts w:hint="eastAsia" w:ascii="仿宋_GB2312" w:hAnsi="仿宋" w:eastAsia="仿宋_GB2312" w:cs="宋体"/>
          <w:color w:val="auto"/>
          <w:kern w:val="0"/>
          <w:sz w:val="32"/>
          <w:szCs w:val="32"/>
          <w:highlight w:val="none"/>
          <w:lang w:val="en-US" w:eastAsia="zh-Hans"/>
        </w:rPr>
        <w:t>在</w:t>
      </w:r>
      <w:r>
        <w:rPr>
          <w:rFonts w:hint="eastAsia" w:ascii="仿宋_GB2312" w:hAnsi="仿宋" w:eastAsia="仿宋_GB2312" w:cs="宋体"/>
          <w:color w:val="auto"/>
          <w:kern w:val="0"/>
          <w:sz w:val="32"/>
          <w:szCs w:val="32"/>
          <w:highlight w:val="none"/>
          <w:lang w:val="en-US" w:eastAsia="zh-CN"/>
        </w:rPr>
        <w:t>履职效益</w:t>
      </w:r>
      <w:r>
        <w:rPr>
          <w:rFonts w:hint="eastAsia" w:ascii="仿宋_GB2312" w:hAnsi="仿宋" w:eastAsia="仿宋_GB2312" w:cs="宋体"/>
          <w:color w:val="auto"/>
          <w:kern w:val="0"/>
          <w:sz w:val="32"/>
          <w:szCs w:val="32"/>
          <w:highlight w:val="none"/>
          <w:lang w:val="en-US" w:eastAsia="zh-Hans"/>
        </w:rPr>
        <w:t>方面表现较好，但在投入</w:t>
      </w:r>
      <w:r>
        <w:rPr>
          <w:rFonts w:hint="eastAsia" w:ascii="仿宋_GB2312" w:hAnsi="仿宋" w:eastAsia="仿宋_GB2312" w:cs="宋体"/>
          <w:color w:val="auto"/>
          <w:kern w:val="0"/>
          <w:sz w:val="32"/>
          <w:szCs w:val="32"/>
          <w:highlight w:val="none"/>
          <w:lang w:val="en-US" w:eastAsia="zh-CN"/>
        </w:rPr>
        <w:t>、</w:t>
      </w:r>
      <w:r>
        <w:rPr>
          <w:rFonts w:hint="eastAsia" w:ascii="仿宋_GB2312" w:hAnsi="仿宋" w:eastAsia="仿宋_GB2312" w:cs="宋体"/>
          <w:color w:val="auto"/>
          <w:kern w:val="0"/>
          <w:sz w:val="32"/>
          <w:szCs w:val="32"/>
          <w:highlight w:val="none"/>
          <w:lang w:val="en-US" w:eastAsia="zh-Hans"/>
        </w:rPr>
        <w:t>过程</w:t>
      </w:r>
      <w:r>
        <w:rPr>
          <w:rFonts w:hint="eastAsia" w:ascii="仿宋_GB2312" w:hAnsi="仿宋" w:eastAsia="仿宋_GB2312" w:cs="宋体"/>
          <w:color w:val="auto"/>
          <w:kern w:val="0"/>
          <w:sz w:val="32"/>
          <w:szCs w:val="32"/>
          <w:highlight w:val="none"/>
          <w:lang w:val="en-US" w:eastAsia="zh-CN"/>
        </w:rPr>
        <w:t>和职责履行</w:t>
      </w:r>
      <w:r>
        <w:rPr>
          <w:rFonts w:hint="eastAsia" w:ascii="仿宋_GB2312" w:hAnsi="仿宋" w:eastAsia="仿宋_GB2312" w:cs="宋体"/>
          <w:color w:val="auto"/>
          <w:kern w:val="0"/>
          <w:sz w:val="32"/>
          <w:szCs w:val="32"/>
          <w:highlight w:val="none"/>
          <w:lang w:val="en-US" w:eastAsia="zh-Hans"/>
        </w:rPr>
        <w:t>方面存在一定问题。参照陕西省省级部门整体支出绩效评价管理办法及铜川市市级部门预算绩效目标管理暂行办法，评价结果分为优(</w:t>
      </w:r>
      <w:r>
        <w:rPr>
          <w:rFonts w:hint="default" w:ascii="仿宋_GB2312" w:hAnsi="仿宋" w:eastAsia="仿宋_GB2312" w:cs="宋体"/>
          <w:color w:val="auto"/>
          <w:kern w:val="0"/>
          <w:sz w:val="32"/>
          <w:szCs w:val="32"/>
          <w:highlight w:val="none"/>
          <w:lang w:eastAsia="zh-Hans"/>
        </w:rPr>
        <w:t>90</w:t>
      </w:r>
      <w:r>
        <w:rPr>
          <w:rFonts w:hint="eastAsia" w:ascii="仿宋_GB2312" w:hAnsi="仿宋" w:eastAsia="仿宋_GB2312" w:cs="宋体"/>
          <w:color w:val="auto"/>
          <w:kern w:val="0"/>
          <w:sz w:val="32"/>
          <w:szCs w:val="32"/>
          <w:highlight w:val="none"/>
          <w:lang w:val="en-US" w:eastAsia="zh-Hans"/>
        </w:rPr>
        <w:t>分以上)、良(8</w:t>
      </w:r>
      <w:r>
        <w:rPr>
          <w:rFonts w:hint="default" w:ascii="仿宋_GB2312" w:hAnsi="仿宋" w:eastAsia="仿宋_GB2312" w:cs="宋体"/>
          <w:color w:val="auto"/>
          <w:kern w:val="0"/>
          <w:sz w:val="32"/>
          <w:szCs w:val="32"/>
          <w:highlight w:val="none"/>
          <w:lang w:eastAsia="zh-Hans"/>
        </w:rPr>
        <w:t>0</w:t>
      </w:r>
      <w:r>
        <w:rPr>
          <w:rFonts w:hint="eastAsia" w:ascii="仿宋_GB2312" w:hAnsi="仿宋" w:eastAsia="仿宋_GB2312" w:cs="宋体"/>
          <w:color w:val="auto"/>
          <w:kern w:val="0"/>
          <w:sz w:val="32"/>
          <w:szCs w:val="32"/>
          <w:highlight w:val="none"/>
          <w:lang w:val="en-US" w:eastAsia="zh-Hans"/>
        </w:rPr>
        <w:t>含-</w:t>
      </w:r>
      <w:r>
        <w:rPr>
          <w:rFonts w:hint="default" w:ascii="仿宋_GB2312" w:hAnsi="仿宋" w:eastAsia="仿宋_GB2312" w:cs="宋体"/>
          <w:color w:val="auto"/>
          <w:kern w:val="0"/>
          <w:sz w:val="32"/>
          <w:szCs w:val="32"/>
          <w:highlight w:val="none"/>
          <w:lang w:eastAsia="zh-Hans"/>
        </w:rPr>
        <w:t>9</w:t>
      </w:r>
      <w:r>
        <w:rPr>
          <w:rFonts w:hint="eastAsia" w:ascii="仿宋_GB2312" w:hAnsi="仿宋" w:eastAsia="仿宋_GB2312" w:cs="宋体"/>
          <w:color w:val="auto"/>
          <w:kern w:val="0"/>
          <w:sz w:val="32"/>
          <w:szCs w:val="32"/>
          <w:highlight w:val="none"/>
          <w:lang w:val="en-US" w:eastAsia="zh-Hans"/>
        </w:rPr>
        <w:t>0分)、中(</w:t>
      </w:r>
      <w:r>
        <w:rPr>
          <w:rFonts w:hint="default" w:ascii="仿宋_GB2312" w:hAnsi="仿宋" w:eastAsia="仿宋_GB2312" w:cs="宋体"/>
          <w:color w:val="auto"/>
          <w:kern w:val="0"/>
          <w:sz w:val="32"/>
          <w:szCs w:val="32"/>
          <w:highlight w:val="none"/>
          <w:lang w:eastAsia="zh-Hans"/>
        </w:rPr>
        <w:t>60</w:t>
      </w:r>
      <w:r>
        <w:rPr>
          <w:rFonts w:hint="eastAsia" w:ascii="仿宋_GB2312" w:hAnsi="仿宋" w:eastAsia="仿宋_GB2312" w:cs="宋体"/>
          <w:color w:val="auto"/>
          <w:kern w:val="0"/>
          <w:sz w:val="32"/>
          <w:szCs w:val="32"/>
          <w:highlight w:val="none"/>
          <w:lang w:val="en-US" w:eastAsia="zh-Hans"/>
        </w:rPr>
        <w:t>含-</w:t>
      </w:r>
      <w:r>
        <w:rPr>
          <w:rFonts w:hint="default" w:ascii="仿宋_GB2312" w:hAnsi="仿宋" w:eastAsia="仿宋_GB2312" w:cs="宋体"/>
          <w:color w:val="auto"/>
          <w:kern w:val="0"/>
          <w:sz w:val="32"/>
          <w:szCs w:val="32"/>
          <w:highlight w:val="none"/>
          <w:lang w:eastAsia="zh-Hans"/>
        </w:rPr>
        <w:t>8</w:t>
      </w:r>
      <w:r>
        <w:rPr>
          <w:rFonts w:hint="eastAsia" w:ascii="仿宋_GB2312" w:hAnsi="仿宋" w:eastAsia="仿宋_GB2312" w:cs="宋体"/>
          <w:color w:val="auto"/>
          <w:kern w:val="0"/>
          <w:sz w:val="32"/>
          <w:szCs w:val="32"/>
          <w:highlight w:val="none"/>
          <w:lang w:val="en-US" w:eastAsia="zh-Hans"/>
        </w:rPr>
        <w:t>0分) 和差(</w:t>
      </w:r>
      <w:r>
        <w:rPr>
          <w:rFonts w:hint="default" w:ascii="仿宋_GB2312" w:hAnsi="仿宋" w:eastAsia="仿宋_GB2312" w:cs="宋体"/>
          <w:color w:val="auto"/>
          <w:kern w:val="0"/>
          <w:sz w:val="32"/>
          <w:szCs w:val="32"/>
          <w:highlight w:val="none"/>
          <w:lang w:eastAsia="zh-Hans"/>
        </w:rPr>
        <w:t>60</w:t>
      </w:r>
      <w:r>
        <w:rPr>
          <w:rFonts w:hint="eastAsia" w:ascii="仿宋_GB2312" w:hAnsi="仿宋" w:eastAsia="仿宋_GB2312" w:cs="宋体"/>
          <w:color w:val="auto"/>
          <w:kern w:val="0"/>
          <w:sz w:val="32"/>
          <w:szCs w:val="32"/>
          <w:highlight w:val="none"/>
          <w:lang w:val="en-US" w:eastAsia="zh-Hans"/>
        </w:rPr>
        <w:t>分以下)四个等次。经综合分析，该部门整体支出综合评价得分为</w:t>
      </w:r>
      <w:r>
        <w:rPr>
          <w:rFonts w:hint="eastAsia" w:ascii="仿宋_GB2312" w:hAnsi="仿宋" w:eastAsia="仿宋_GB2312" w:cs="宋体"/>
          <w:color w:val="auto"/>
          <w:kern w:val="0"/>
          <w:sz w:val="32"/>
          <w:szCs w:val="32"/>
          <w:highlight w:val="none"/>
          <w:lang w:val="en-US" w:eastAsia="zh-CN"/>
        </w:rPr>
        <w:t>96.78</w:t>
      </w:r>
      <w:r>
        <w:rPr>
          <w:rFonts w:hint="eastAsia" w:ascii="仿宋_GB2312" w:hAnsi="仿宋" w:eastAsia="仿宋_GB2312" w:cs="宋体"/>
          <w:color w:val="auto"/>
          <w:kern w:val="0"/>
          <w:sz w:val="32"/>
          <w:szCs w:val="32"/>
          <w:highlight w:val="none"/>
          <w:lang w:val="en-US" w:eastAsia="zh-Hans"/>
        </w:rPr>
        <w:t>分，绩效等级为“</w:t>
      </w:r>
      <w:r>
        <w:rPr>
          <w:rFonts w:hint="eastAsia" w:ascii="仿宋_GB2312" w:hAnsi="仿宋" w:eastAsia="仿宋_GB2312" w:cs="宋体"/>
          <w:color w:val="auto"/>
          <w:kern w:val="0"/>
          <w:sz w:val="32"/>
          <w:szCs w:val="32"/>
          <w:highlight w:val="none"/>
          <w:lang w:val="en-US" w:eastAsia="zh-CN"/>
        </w:rPr>
        <w:t>优</w:t>
      </w:r>
      <w:r>
        <w:rPr>
          <w:rFonts w:hint="eastAsia" w:ascii="仿宋_GB2312" w:hAnsi="仿宋" w:eastAsia="仿宋_GB2312" w:cs="宋体"/>
          <w:color w:val="auto"/>
          <w:kern w:val="0"/>
          <w:sz w:val="32"/>
          <w:szCs w:val="32"/>
          <w:highlight w:val="none"/>
          <w:lang w:val="en-US" w:eastAsia="zh-Hans"/>
        </w:rPr>
        <w:t>”。</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eastAsia" w:ascii="黑体" w:hAnsi="黑体" w:eastAsia="黑体" w:cs="黑体"/>
          <w:color w:val="auto"/>
          <w:kern w:val="0"/>
          <w:sz w:val="32"/>
          <w:szCs w:val="32"/>
          <w:highlight w:val="none"/>
          <w:lang w:val="en-US" w:eastAsia="zh-Hans"/>
        </w:rPr>
      </w:pPr>
      <w:r>
        <w:rPr>
          <w:rFonts w:hint="eastAsia" w:ascii="黑体" w:hAnsi="黑体" w:eastAsia="黑体" w:cs="黑体"/>
          <w:color w:val="auto"/>
          <w:kern w:val="0"/>
          <w:sz w:val="32"/>
          <w:szCs w:val="32"/>
          <w:highlight w:val="none"/>
          <w:lang w:val="en-US" w:eastAsia="zh-Hans"/>
        </w:rPr>
        <w:t>三</w:t>
      </w:r>
      <w:r>
        <w:rPr>
          <w:rFonts w:hint="default" w:ascii="黑体" w:hAnsi="黑体" w:eastAsia="黑体" w:cs="黑体"/>
          <w:color w:val="auto"/>
          <w:kern w:val="0"/>
          <w:sz w:val="32"/>
          <w:szCs w:val="32"/>
          <w:highlight w:val="none"/>
          <w:lang w:eastAsia="zh-Hans"/>
        </w:rPr>
        <w:t>、</w:t>
      </w:r>
      <w:r>
        <w:rPr>
          <w:rFonts w:hint="eastAsia" w:ascii="黑体" w:hAnsi="黑体" w:eastAsia="黑体" w:cs="黑体"/>
          <w:color w:val="auto"/>
          <w:kern w:val="0"/>
          <w:sz w:val="32"/>
          <w:szCs w:val="32"/>
          <w:highlight w:val="none"/>
          <w:lang w:val="en-US" w:eastAsia="zh-Hans"/>
        </w:rPr>
        <w:t>主要经验及做法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bidi="ar-SA"/>
        </w:rPr>
        <w:t>1.效目标管理良好。202年初部门编制部门综合预算，同步编制部门整体绩效目标，根据部门年度工作任务进行细化分解产出、效益和满意度指标内容，明确年度内将要举办的相关活动内容、预期时间、期望指标值和参会内容和时间等与部门履职高度相关的各项工作目标</w:t>
      </w:r>
      <w:r>
        <w:rPr>
          <w:rFonts w:hint="eastAsia" w:ascii="仿宋" w:hAnsi="仿宋" w:eastAsia="仿宋" w:cs="仿宋"/>
          <w:color w:val="auto"/>
          <w:kern w:val="0"/>
          <w:sz w:val="32"/>
          <w:szCs w:val="32"/>
          <w:highlight w:val="none"/>
          <w:shd w:val="clear" w:color="auto" w:fill="FFFFFF"/>
          <w:lang w:val="en-US" w:eastAsia="zh-CN"/>
        </w:rPr>
        <w:t>。</w:t>
      </w:r>
    </w:p>
    <w:p>
      <w:pPr>
        <w:pStyle w:val="2"/>
        <w:keepNext w:val="0"/>
        <w:keepLines w:val="0"/>
        <w:pageBreakBefore w:val="0"/>
        <w:widowControl w:val="0"/>
        <w:kinsoku/>
        <w:wordWrap/>
        <w:overflowPunct/>
        <w:topLinePunct w:val="0"/>
        <w:autoSpaceDE w:val="0"/>
        <w:autoSpaceDN w:val="0"/>
        <w:bidi w:val="0"/>
        <w:adjustRightInd/>
        <w:snapToGrid/>
        <w:spacing w:before="0" w:line="600" w:lineRule="exact"/>
        <w:ind w:left="0" w:leftChars="0"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2.职责履行良好。部门及时保质保量完成年度工作任务安排，2021年度举办丝博会和百日招商推介会2场会议，主动参加京津冀精准招商引资活动、中国国际投资贸易洽谈会、陕西-长三角地区经济合作活动、陕-粤港澳经济合作活动、杨凌农高会等5场活动。</w:t>
      </w:r>
    </w:p>
    <w:p>
      <w:pPr>
        <w:pStyle w:val="2"/>
        <w:keepNext w:val="0"/>
        <w:keepLines w:val="0"/>
        <w:pageBreakBefore w:val="0"/>
        <w:widowControl w:val="0"/>
        <w:kinsoku/>
        <w:wordWrap/>
        <w:overflowPunct/>
        <w:topLinePunct w:val="0"/>
        <w:autoSpaceDE w:val="0"/>
        <w:autoSpaceDN w:val="0"/>
        <w:bidi w:val="0"/>
        <w:adjustRightInd/>
        <w:snapToGrid/>
        <w:spacing w:before="0" w:line="600" w:lineRule="exact"/>
        <w:ind w:left="0" w:leftChars="0" w:firstLine="640" w:firstLineChars="200"/>
        <w:textAlignment w:val="auto"/>
        <w:rPr>
          <w:rFonts w:hint="default" w:ascii="仿宋" w:hAnsi="仿宋" w:eastAsia="仿宋" w:cs="仿宋"/>
          <w:color w:val="auto"/>
          <w:kern w:val="0"/>
          <w:sz w:val="32"/>
          <w:szCs w:val="32"/>
          <w:highlight w:val="none"/>
          <w:shd w:val="clear" w:color="auto" w:fill="FFFFFF"/>
          <w:lang w:val="en-US" w:eastAsia="zh-Hans" w:bidi="ar-SA"/>
        </w:rPr>
      </w:pPr>
      <w:r>
        <w:rPr>
          <w:rFonts w:hint="eastAsia" w:ascii="仿宋" w:hAnsi="仿宋" w:eastAsia="仿宋" w:cs="仿宋"/>
          <w:color w:val="auto"/>
          <w:kern w:val="0"/>
          <w:sz w:val="32"/>
          <w:szCs w:val="32"/>
          <w:highlight w:val="none"/>
          <w:shd w:val="clear" w:color="auto" w:fill="FFFFFF"/>
          <w:lang w:val="en-US" w:eastAsia="zh-CN" w:bidi="ar-SA"/>
        </w:rPr>
        <w:t>3.履职效益明显。通过招商引资，签约项目95个，涉及金额226.92亿元，市域外项目到位资金94.77亿元，排名全市第一。省级项目到位资金48.6亿元，实际利用外资完成797万美元，新增外资企业27户，其中台资企业24户，个体户3户。</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eastAsia" w:ascii="黑体" w:hAnsi="黑体" w:eastAsia="黑体" w:cs="黑体"/>
          <w:color w:val="auto"/>
          <w:kern w:val="0"/>
          <w:sz w:val="32"/>
          <w:szCs w:val="32"/>
          <w:highlight w:val="none"/>
          <w:lang w:val="en-US" w:eastAsia="zh-Hans"/>
        </w:rPr>
      </w:pPr>
      <w:r>
        <w:rPr>
          <w:rFonts w:hint="eastAsia" w:ascii="黑体" w:hAnsi="黑体" w:eastAsia="黑体" w:cs="黑体"/>
          <w:color w:val="auto"/>
          <w:kern w:val="0"/>
          <w:sz w:val="32"/>
          <w:szCs w:val="32"/>
          <w:highlight w:val="none"/>
          <w:lang w:val="en-US" w:eastAsia="zh-Hans"/>
        </w:rPr>
        <w:t>四</w:t>
      </w:r>
      <w:r>
        <w:rPr>
          <w:rFonts w:hint="default" w:ascii="黑体" w:hAnsi="黑体" w:eastAsia="黑体" w:cs="黑体"/>
          <w:color w:val="auto"/>
          <w:kern w:val="0"/>
          <w:sz w:val="32"/>
          <w:szCs w:val="32"/>
          <w:highlight w:val="none"/>
          <w:lang w:eastAsia="zh-Hans"/>
        </w:rPr>
        <w:t>、</w:t>
      </w:r>
      <w:r>
        <w:rPr>
          <w:rFonts w:hint="eastAsia" w:ascii="黑体" w:hAnsi="黑体" w:eastAsia="黑体" w:cs="黑体"/>
          <w:color w:val="auto"/>
          <w:kern w:val="0"/>
          <w:sz w:val="32"/>
          <w:szCs w:val="32"/>
          <w:highlight w:val="none"/>
          <w:lang w:val="en-US" w:eastAsia="zh-Hans"/>
        </w:rPr>
        <w:t>存在的问题及建议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rPr>
          <w:rFonts w:hint="eastAsia" w:ascii="楷体" w:hAnsi="楷体" w:eastAsia="楷体" w:cs="楷体"/>
          <w:b/>
          <w:bCs/>
          <w:color w:val="auto"/>
          <w:kern w:val="0"/>
          <w:sz w:val="32"/>
          <w:szCs w:val="32"/>
          <w:highlight w:val="none"/>
          <w:lang w:val="en-US" w:eastAsia="zh-Hans"/>
        </w:rPr>
      </w:pPr>
      <w:r>
        <w:rPr>
          <w:rFonts w:hint="eastAsia" w:ascii="楷体" w:hAnsi="楷体" w:eastAsia="楷体" w:cs="楷体"/>
          <w:b/>
          <w:bCs/>
          <w:color w:val="auto"/>
          <w:kern w:val="0"/>
          <w:sz w:val="32"/>
          <w:szCs w:val="32"/>
          <w:highlight w:val="none"/>
          <w:lang w:eastAsia="zh-Hans"/>
        </w:rPr>
        <w:t>（</w:t>
      </w:r>
      <w:r>
        <w:rPr>
          <w:rFonts w:hint="eastAsia" w:ascii="楷体" w:hAnsi="楷体" w:eastAsia="楷体" w:cs="楷体"/>
          <w:b/>
          <w:bCs/>
          <w:color w:val="auto"/>
          <w:kern w:val="0"/>
          <w:sz w:val="32"/>
          <w:szCs w:val="32"/>
          <w:highlight w:val="none"/>
          <w:lang w:val="en-US" w:eastAsia="zh-Hans"/>
        </w:rPr>
        <w:t>一</w:t>
      </w:r>
      <w:r>
        <w:rPr>
          <w:rFonts w:hint="eastAsia" w:ascii="楷体" w:hAnsi="楷体" w:eastAsia="楷体" w:cs="楷体"/>
          <w:b/>
          <w:bCs/>
          <w:color w:val="auto"/>
          <w:kern w:val="0"/>
          <w:sz w:val="32"/>
          <w:szCs w:val="32"/>
          <w:highlight w:val="none"/>
          <w:lang w:eastAsia="zh-Hans"/>
        </w:rPr>
        <w:t>）</w:t>
      </w:r>
      <w:r>
        <w:rPr>
          <w:rFonts w:hint="eastAsia" w:ascii="楷体" w:hAnsi="楷体" w:eastAsia="楷体" w:cs="楷体"/>
          <w:b/>
          <w:bCs/>
          <w:color w:val="auto"/>
          <w:kern w:val="0"/>
          <w:sz w:val="32"/>
          <w:szCs w:val="32"/>
          <w:highlight w:val="none"/>
          <w:lang w:val="en-US" w:eastAsia="zh-Hans"/>
        </w:rPr>
        <w:t>存在的问题</w:t>
      </w:r>
    </w:p>
    <w:p>
      <w:pPr>
        <w:pStyle w:val="2"/>
        <w:keepNext w:val="0"/>
        <w:keepLines w:val="0"/>
        <w:pageBreakBefore w:val="0"/>
        <w:widowControl w:val="0"/>
        <w:kinsoku/>
        <w:wordWrap/>
        <w:overflowPunct/>
        <w:topLinePunct w:val="0"/>
        <w:autoSpaceDE w:val="0"/>
        <w:autoSpaceDN w:val="0"/>
        <w:bidi w:val="0"/>
        <w:adjustRightInd/>
        <w:snapToGrid/>
        <w:spacing w:before="190" w:line="240" w:lineRule="auto"/>
        <w:ind w:left="0" w:leftChars="0" w:right="0" w:rightChars="0" w:firstLine="643" w:firstLineChars="200"/>
        <w:jc w:val="left"/>
        <w:textAlignment w:val="auto"/>
        <w:outlineLvl w:val="9"/>
        <w:rPr>
          <w:rFonts w:hint="eastAsia" w:ascii="仿宋" w:hAnsi="仿宋" w:eastAsia="仿宋" w:cs="仿宋"/>
          <w:b/>
          <w:bCs/>
          <w:color w:val="auto"/>
          <w:kern w:val="0"/>
          <w:sz w:val="32"/>
          <w:szCs w:val="32"/>
          <w:highlight w:val="none"/>
          <w:shd w:val="clear" w:color="auto" w:fill="FFFFFF"/>
          <w:lang w:val="en-US" w:eastAsia="zh-Hans" w:bidi="ar-SA"/>
        </w:rPr>
      </w:pPr>
      <w:r>
        <w:rPr>
          <w:rFonts w:hint="default" w:ascii="仿宋" w:hAnsi="仿宋" w:eastAsia="仿宋" w:cs="仿宋"/>
          <w:b/>
          <w:bCs/>
          <w:color w:val="auto"/>
          <w:kern w:val="0"/>
          <w:sz w:val="32"/>
          <w:szCs w:val="32"/>
          <w:highlight w:val="none"/>
          <w:shd w:val="clear" w:color="auto" w:fill="FFFFFF"/>
          <w:lang w:val="en-US" w:eastAsia="zh-Hans" w:bidi="ar-SA"/>
        </w:rPr>
        <w:t>1</w:t>
      </w:r>
      <w:r>
        <w:rPr>
          <w:rFonts w:hint="eastAsia" w:ascii="仿宋" w:hAnsi="仿宋" w:eastAsia="仿宋" w:cs="仿宋"/>
          <w:b/>
          <w:bCs/>
          <w:color w:val="auto"/>
          <w:kern w:val="0"/>
          <w:sz w:val="32"/>
          <w:szCs w:val="32"/>
          <w:highlight w:val="none"/>
          <w:shd w:val="clear" w:color="auto" w:fill="FFFFFF"/>
          <w:lang w:val="en-US" w:eastAsia="zh-Hans" w:bidi="ar-SA"/>
        </w:rPr>
        <w:t>.</w:t>
      </w:r>
      <w:r>
        <w:rPr>
          <w:rFonts w:hint="eastAsia" w:ascii="楷体" w:hAnsi="楷体" w:eastAsia="楷体" w:cs="楷体"/>
          <w:b/>
          <w:bCs/>
          <w:color w:val="auto"/>
          <w:kern w:val="0"/>
          <w:sz w:val="32"/>
          <w:szCs w:val="32"/>
          <w:highlight w:val="none"/>
          <w:shd w:val="clear" w:color="auto" w:fill="FFFFFF"/>
          <w:lang w:val="en-US" w:eastAsia="zh-CN"/>
        </w:rPr>
        <w:t>预算管理工作需进一步完善</w:t>
      </w:r>
      <w:r>
        <w:rPr>
          <w:rFonts w:hint="eastAsia" w:ascii="仿宋" w:hAnsi="仿宋" w:eastAsia="仿宋" w:cs="仿宋"/>
          <w:b/>
          <w:bCs/>
          <w:color w:val="auto"/>
          <w:kern w:val="0"/>
          <w:sz w:val="32"/>
          <w:szCs w:val="32"/>
          <w:highlight w:val="none"/>
          <w:shd w:val="clear" w:color="auto" w:fill="FFFFFF"/>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 w:eastAsia="仿宋_GB2312" w:cs="宋体"/>
          <w:color w:val="auto"/>
          <w:kern w:val="0"/>
          <w:sz w:val="32"/>
          <w:szCs w:val="32"/>
          <w:highlight w:val="none"/>
          <w:lang w:eastAsia="zh-Hans"/>
        </w:rPr>
      </w:pPr>
      <w:r>
        <w:rPr>
          <w:rFonts w:hint="eastAsia" w:ascii="仿宋" w:hAnsi="仿宋" w:eastAsia="仿宋" w:cs="仿宋"/>
          <w:color w:val="auto"/>
          <w:kern w:val="0"/>
          <w:sz w:val="32"/>
          <w:szCs w:val="32"/>
          <w:highlight w:val="none"/>
          <w:shd w:val="clear" w:color="auto" w:fill="FFFFFF"/>
          <w:lang w:val="en-US" w:eastAsia="zh-CN"/>
        </w:rPr>
        <w:t>部门在年度预算执行过程中，部门预算调整率高达74%。相关预算调整数据主要体现在部门年度决算数据和文件中，未发现预算调整的相关批复文件等资料。</w:t>
      </w:r>
    </w:p>
    <w:p>
      <w:pPr>
        <w:pStyle w:val="2"/>
        <w:keepNext w:val="0"/>
        <w:keepLines w:val="0"/>
        <w:pageBreakBefore w:val="0"/>
        <w:widowControl w:val="0"/>
        <w:kinsoku/>
        <w:wordWrap/>
        <w:overflowPunct/>
        <w:topLinePunct w:val="0"/>
        <w:autoSpaceDE w:val="0"/>
        <w:autoSpaceDN w:val="0"/>
        <w:bidi w:val="0"/>
        <w:adjustRightInd/>
        <w:snapToGrid/>
        <w:spacing w:before="190" w:line="240" w:lineRule="auto"/>
        <w:ind w:left="0" w:leftChars="0" w:right="0" w:rightChars="0" w:firstLine="643" w:firstLineChars="200"/>
        <w:jc w:val="left"/>
        <w:textAlignment w:val="auto"/>
        <w:outlineLvl w:val="9"/>
        <w:rPr>
          <w:rFonts w:hint="eastAsia" w:ascii="仿宋_GB2312" w:hAnsi="仿宋" w:eastAsia="仿宋_GB2312" w:cs="宋体"/>
          <w:b/>
          <w:bCs/>
          <w:color w:val="auto"/>
          <w:kern w:val="0"/>
          <w:sz w:val="32"/>
          <w:szCs w:val="32"/>
          <w:highlight w:val="none"/>
          <w:lang w:val="en-US" w:eastAsia="zh-CN" w:bidi="ar-SA"/>
        </w:rPr>
      </w:pPr>
      <w:r>
        <w:rPr>
          <w:rFonts w:hint="default" w:ascii="仿宋" w:hAnsi="仿宋" w:eastAsia="仿宋" w:cs="仿宋"/>
          <w:b/>
          <w:bCs/>
          <w:color w:val="auto"/>
          <w:kern w:val="0"/>
          <w:sz w:val="32"/>
          <w:szCs w:val="32"/>
          <w:highlight w:val="none"/>
          <w:shd w:val="clear" w:color="auto" w:fill="FFFFFF"/>
          <w:lang w:val="en-US" w:eastAsia="zh-Hans" w:bidi="ar-SA"/>
        </w:rPr>
        <w:t>2</w:t>
      </w:r>
      <w:r>
        <w:rPr>
          <w:rFonts w:hint="eastAsia" w:ascii="仿宋" w:hAnsi="仿宋" w:eastAsia="仿宋" w:cs="仿宋"/>
          <w:b/>
          <w:bCs/>
          <w:color w:val="auto"/>
          <w:kern w:val="0"/>
          <w:sz w:val="32"/>
          <w:szCs w:val="32"/>
          <w:highlight w:val="none"/>
          <w:shd w:val="clear" w:color="auto" w:fill="FFFFFF"/>
          <w:lang w:val="en-US" w:eastAsia="zh-Hans" w:bidi="ar-SA"/>
        </w:rPr>
        <w:t>.</w:t>
      </w:r>
      <w:r>
        <w:rPr>
          <w:rFonts w:hint="eastAsia" w:ascii="楷体" w:hAnsi="楷体" w:eastAsia="楷体" w:cs="楷体"/>
          <w:b/>
          <w:bCs/>
          <w:color w:val="auto"/>
          <w:kern w:val="0"/>
          <w:sz w:val="32"/>
          <w:szCs w:val="32"/>
          <w:highlight w:val="none"/>
          <w:shd w:val="clear" w:color="auto" w:fill="FFFFFF"/>
          <w:lang w:val="en-US" w:eastAsia="zh-CN"/>
        </w:rPr>
        <w:t>部门公用经费控制需进一步提升</w:t>
      </w:r>
      <w:r>
        <w:rPr>
          <w:rFonts w:hint="eastAsia" w:ascii="仿宋_GB2312" w:hAnsi="仿宋" w:eastAsia="仿宋_GB2312" w:cs="宋体"/>
          <w:b/>
          <w:bCs/>
          <w:color w:val="auto"/>
          <w:kern w:val="0"/>
          <w:sz w:val="32"/>
          <w:szCs w:val="32"/>
          <w:highlight w:val="none"/>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 w:eastAsia="仿宋_GB2312" w:cs="宋体"/>
          <w:color w:val="auto"/>
          <w:kern w:val="0"/>
          <w:sz w:val="32"/>
          <w:szCs w:val="32"/>
          <w:highlight w:val="none"/>
          <w:lang w:val="en-US" w:eastAsia="zh-Hans"/>
        </w:rPr>
      </w:pPr>
      <w:r>
        <w:rPr>
          <w:rFonts w:hint="eastAsia" w:ascii="仿宋" w:hAnsi="仿宋" w:eastAsia="仿宋" w:cs="仿宋"/>
          <w:color w:val="auto"/>
          <w:kern w:val="0"/>
          <w:sz w:val="32"/>
          <w:szCs w:val="32"/>
          <w:highlight w:val="none"/>
          <w:shd w:val="clear" w:color="auto" w:fill="FFFFFF"/>
          <w:lang w:val="en-US" w:eastAsia="zh-CN"/>
        </w:rPr>
        <w:t>2021年度部门公用经费支出预算数为5万元，年终决算时，年度公用经费支出决算数据为8万元，出现超预算支出。公用经费相比年初预算安排，产生预算调整，实际支出超出年初预算安排</w:t>
      </w:r>
      <w:r>
        <w:rPr>
          <w:rFonts w:hint="default" w:ascii="仿宋_GB2312" w:hAnsi="仿宋" w:eastAsia="仿宋_GB2312" w:cs="宋体"/>
          <w:color w:val="auto"/>
          <w:kern w:val="0"/>
          <w:sz w:val="32"/>
          <w:szCs w:val="32"/>
          <w:highlight w:val="none"/>
          <w:lang w:val="en-US" w:eastAsia="zh-Hans"/>
        </w:rPr>
        <w:t>。</w:t>
      </w:r>
    </w:p>
    <w:p>
      <w:pPr>
        <w:pStyle w:val="2"/>
        <w:keepNext w:val="0"/>
        <w:keepLines w:val="0"/>
        <w:pageBreakBefore w:val="0"/>
        <w:widowControl w:val="0"/>
        <w:kinsoku/>
        <w:wordWrap/>
        <w:overflowPunct/>
        <w:topLinePunct w:val="0"/>
        <w:autoSpaceDE w:val="0"/>
        <w:autoSpaceDN w:val="0"/>
        <w:bidi w:val="0"/>
        <w:adjustRightInd/>
        <w:snapToGrid/>
        <w:spacing w:before="190" w:line="240" w:lineRule="auto"/>
        <w:ind w:left="0" w:leftChars="0" w:right="0" w:rightChars="0" w:firstLine="643" w:firstLineChars="200"/>
        <w:jc w:val="left"/>
        <w:textAlignment w:val="auto"/>
        <w:outlineLvl w:val="9"/>
        <w:rPr>
          <w:rFonts w:hint="default" w:ascii="仿宋_GB2312" w:hAnsi="仿宋" w:eastAsia="仿宋_GB2312" w:cs="宋体"/>
          <w:b/>
          <w:bCs/>
          <w:color w:val="auto"/>
          <w:kern w:val="0"/>
          <w:sz w:val="32"/>
          <w:szCs w:val="32"/>
          <w:highlight w:val="none"/>
          <w:lang w:val="en-US" w:eastAsia="zh-Hans" w:bidi="ar-SA"/>
        </w:rPr>
      </w:pPr>
      <w:r>
        <w:rPr>
          <w:rFonts w:hint="default" w:ascii="仿宋_GB2312" w:hAnsi="仿宋" w:eastAsia="仿宋_GB2312" w:cs="宋体"/>
          <w:b/>
          <w:bCs/>
          <w:color w:val="auto"/>
          <w:kern w:val="0"/>
          <w:sz w:val="32"/>
          <w:szCs w:val="32"/>
          <w:highlight w:val="none"/>
          <w:lang w:val="en-US" w:eastAsia="zh-Hans" w:bidi="ar-SA"/>
        </w:rPr>
        <w:t>3</w:t>
      </w:r>
      <w:r>
        <w:rPr>
          <w:rFonts w:hint="eastAsia" w:ascii="仿宋_GB2312" w:hAnsi="仿宋" w:eastAsia="仿宋_GB2312" w:cs="宋体"/>
          <w:b/>
          <w:bCs/>
          <w:color w:val="auto"/>
          <w:kern w:val="0"/>
          <w:sz w:val="32"/>
          <w:szCs w:val="32"/>
          <w:highlight w:val="none"/>
          <w:lang w:val="en-US" w:eastAsia="zh-Hans" w:bidi="ar-SA"/>
        </w:rPr>
        <w:t>.</w:t>
      </w:r>
      <w:r>
        <w:rPr>
          <w:rFonts w:hint="eastAsia" w:ascii="楷体" w:hAnsi="楷体" w:eastAsia="楷体" w:cs="楷体"/>
          <w:b/>
          <w:bCs/>
          <w:color w:val="auto"/>
          <w:kern w:val="0"/>
          <w:sz w:val="32"/>
          <w:szCs w:val="32"/>
          <w:highlight w:val="none"/>
          <w:shd w:val="clear" w:color="auto" w:fill="FFFFFF"/>
          <w:lang w:val="en-US" w:eastAsia="zh-CN" w:bidi="ar-SA"/>
        </w:rPr>
        <w:t>政府采购管理需进一步强化</w:t>
      </w:r>
      <w:r>
        <w:rPr>
          <w:rFonts w:hint="eastAsia" w:ascii="仿宋_GB2312" w:hAnsi="仿宋" w:eastAsia="仿宋_GB2312" w:cs="宋体"/>
          <w:b/>
          <w:bCs/>
          <w:color w:val="auto"/>
          <w:kern w:val="0"/>
          <w:sz w:val="32"/>
          <w:szCs w:val="32"/>
          <w:highlight w:val="none"/>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 w:eastAsia="仿宋_GB2312" w:cs="宋体"/>
          <w:color w:val="auto"/>
          <w:kern w:val="0"/>
          <w:sz w:val="32"/>
          <w:szCs w:val="32"/>
          <w:highlight w:val="none"/>
          <w:lang w:val="en-US" w:eastAsia="zh-Hans"/>
        </w:rPr>
      </w:pPr>
      <w:r>
        <w:rPr>
          <w:rFonts w:hint="default" w:ascii="仿宋" w:hAnsi="仿宋" w:eastAsia="仿宋" w:cs="仿宋"/>
          <w:color w:val="auto"/>
          <w:kern w:val="0"/>
          <w:sz w:val="32"/>
          <w:szCs w:val="32"/>
          <w:highlight w:val="none"/>
          <w:shd w:val="clear" w:color="auto" w:fill="FFFFFF"/>
          <w:lang w:val="en-US" w:eastAsia="zh-CN" w:bidi="ar-SA"/>
        </w:rPr>
        <w:t>根据铜川市新区对外经济投资合作局2021</w:t>
      </w:r>
      <w:r>
        <w:rPr>
          <w:rFonts w:hint="eastAsia" w:ascii="仿宋" w:hAnsi="仿宋" w:eastAsia="仿宋" w:cs="仿宋"/>
          <w:color w:val="auto"/>
          <w:kern w:val="0"/>
          <w:sz w:val="32"/>
          <w:szCs w:val="32"/>
          <w:highlight w:val="none"/>
          <w:shd w:val="clear" w:color="auto" w:fill="FFFFFF"/>
          <w:lang w:val="en-US" w:eastAsia="zh-CN" w:bidi="ar-SA"/>
        </w:rPr>
        <w:t>年初编制部门综合预算中未安排政府采购预算</w:t>
      </w:r>
      <w:r>
        <w:rPr>
          <w:rFonts w:hint="default" w:ascii="仿宋_GB2312" w:hAnsi="仿宋" w:eastAsia="仿宋_GB2312" w:cs="宋体"/>
          <w:color w:val="auto"/>
          <w:kern w:val="0"/>
          <w:sz w:val="32"/>
          <w:szCs w:val="32"/>
          <w:highlight w:val="none"/>
          <w:lang w:val="en-US" w:eastAsia="zh-Hans"/>
        </w:rPr>
        <w:t>。</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190" w:line="240" w:lineRule="auto"/>
        <w:ind w:right="0" w:rightChars="0" w:firstLine="643" w:firstLineChars="200"/>
        <w:jc w:val="left"/>
        <w:textAlignment w:val="auto"/>
        <w:outlineLvl w:val="9"/>
        <w:rPr>
          <w:rFonts w:hint="eastAsia" w:ascii="仿宋_GB2312" w:hAnsi="仿宋" w:eastAsia="仿宋_GB2312" w:cs="宋体"/>
          <w:b/>
          <w:bCs/>
          <w:color w:val="auto"/>
          <w:kern w:val="0"/>
          <w:sz w:val="32"/>
          <w:szCs w:val="32"/>
          <w:highlight w:val="none"/>
          <w:lang w:val="en-US" w:eastAsia="zh-CN" w:bidi="ar-SA"/>
        </w:rPr>
      </w:pPr>
      <w:r>
        <w:rPr>
          <w:rFonts w:hint="eastAsia" w:ascii="仿宋_GB2312" w:hAnsi="仿宋" w:eastAsia="仿宋_GB2312" w:cs="宋体"/>
          <w:b/>
          <w:bCs/>
          <w:color w:val="auto"/>
          <w:kern w:val="0"/>
          <w:sz w:val="32"/>
          <w:szCs w:val="32"/>
          <w:highlight w:val="none"/>
          <w:lang w:val="en-US" w:eastAsia="zh-CN" w:bidi="ar-SA"/>
        </w:rPr>
        <w:t>4.财务管理制度文件需进一步健全。</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right="0" w:rightChars="0" w:firstLine="640" w:firstLineChars="200"/>
        <w:jc w:val="left"/>
        <w:textAlignment w:val="auto"/>
        <w:outlineLvl w:val="9"/>
        <w:rPr>
          <w:rFonts w:hint="default" w:ascii="仿宋_GB2312" w:hAnsi="仿宋" w:eastAsia="仿宋_GB2312" w:cs="宋体"/>
          <w:b/>
          <w:bCs/>
          <w:color w:val="auto"/>
          <w:kern w:val="0"/>
          <w:sz w:val="32"/>
          <w:szCs w:val="32"/>
          <w:highlight w:val="none"/>
          <w:lang w:val="en-US" w:eastAsia="zh-CN" w:bidi="ar-SA"/>
        </w:rPr>
      </w:pPr>
      <w:r>
        <w:rPr>
          <w:rFonts w:hint="default" w:ascii="仿宋" w:hAnsi="仿宋" w:eastAsia="仿宋" w:cs="仿宋"/>
          <w:color w:val="auto"/>
          <w:kern w:val="0"/>
          <w:sz w:val="32"/>
          <w:szCs w:val="32"/>
          <w:highlight w:val="none"/>
          <w:shd w:val="clear" w:color="auto" w:fill="FFFFFF"/>
          <w:lang w:val="en-US" w:eastAsia="zh-CN" w:bidi="ar-SA"/>
        </w:rPr>
        <w:t>新区对外经济投资合作局</w:t>
      </w:r>
      <w:r>
        <w:rPr>
          <w:rFonts w:hint="eastAsia" w:ascii="仿宋" w:hAnsi="仿宋" w:eastAsia="仿宋" w:cs="仿宋"/>
          <w:color w:val="auto"/>
          <w:kern w:val="0"/>
          <w:sz w:val="32"/>
          <w:szCs w:val="32"/>
          <w:highlight w:val="none"/>
          <w:shd w:val="clear" w:color="auto" w:fill="FFFFFF"/>
          <w:lang w:val="en-US" w:eastAsia="zh-CN" w:bidi="ar-SA"/>
        </w:rPr>
        <w:t>财务管理制度包括联签会审制度、经费开支报销规定、固定资产管理、政府采购管理等内容，缺乏预算绩效管理相关制度。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rPr>
          <w:rFonts w:hint="eastAsia" w:ascii="楷体" w:hAnsi="楷体" w:eastAsia="楷体" w:cs="楷体"/>
          <w:b/>
          <w:bCs/>
          <w:color w:val="auto"/>
          <w:kern w:val="0"/>
          <w:sz w:val="32"/>
          <w:szCs w:val="32"/>
          <w:highlight w:val="none"/>
          <w:lang w:eastAsia="zh-Hans"/>
        </w:rPr>
      </w:pPr>
      <w:r>
        <w:rPr>
          <w:rFonts w:hint="default" w:ascii="楷体" w:hAnsi="楷体" w:eastAsia="楷体" w:cs="楷体"/>
          <w:b/>
          <w:bCs/>
          <w:color w:val="auto"/>
          <w:kern w:val="0"/>
          <w:sz w:val="32"/>
          <w:szCs w:val="32"/>
          <w:highlight w:val="none"/>
          <w:lang w:eastAsia="zh-Hans"/>
        </w:rPr>
        <w:t>（</w:t>
      </w:r>
      <w:r>
        <w:rPr>
          <w:rFonts w:hint="eastAsia" w:ascii="楷体" w:hAnsi="楷体" w:eastAsia="楷体" w:cs="楷体"/>
          <w:b/>
          <w:bCs/>
          <w:color w:val="auto"/>
          <w:kern w:val="0"/>
          <w:sz w:val="32"/>
          <w:szCs w:val="32"/>
          <w:highlight w:val="none"/>
          <w:lang w:val="en-US" w:eastAsia="zh-Hans"/>
        </w:rPr>
        <w:t>二</w:t>
      </w:r>
      <w:r>
        <w:rPr>
          <w:rFonts w:hint="default" w:ascii="楷体" w:hAnsi="楷体" w:eastAsia="楷体" w:cs="楷体"/>
          <w:b/>
          <w:bCs/>
          <w:color w:val="auto"/>
          <w:kern w:val="0"/>
          <w:sz w:val="32"/>
          <w:szCs w:val="32"/>
          <w:highlight w:val="none"/>
          <w:lang w:eastAsia="zh-Hans"/>
        </w:rPr>
        <w:t>）</w:t>
      </w:r>
      <w:r>
        <w:rPr>
          <w:rFonts w:hint="eastAsia" w:ascii="楷体" w:hAnsi="楷体" w:eastAsia="楷体" w:cs="楷体"/>
          <w:b/>
          <w:bCs/>
          <w:color w:val="auto"/>
          <w:kern w:val="0"/>
          <w:sz w:val="32"/>
          <w:szCs w:val="32"/>
          <w:highlight w:val="none"/>
          <w:lang w:val="en-US" w:eastAsia="zh-Hans"/>
        </w:rPr>
        <w:t>有关建议</w:t>
      </w:r>
    </w:p>
    <w:p>
      <w:pPr>
        <w:pStyle w:val="2"/>
        <w:keepNext w:val="0"/>
        <w:keepLines w:val="0"/>
        <w:pageBreakBefore w:val="0"/>
        <w:widowControl w:val="0"/>
        <w:kinsoku/>
        <w:wordWrap/>
        <w:overflowPunct/>
        <w:topLinePunct w:val="0"/>
        <w:autoSpaceDE w:val="0"/>
        <w:autoSpaceDN w:val="0"/>
        <w:bidi w:val="0"/>
        <w:adjustRightInd/>
        <w:snapToGrid/>
        <w:spacing w:before="0" w:line="600" w:lineRule="exact"/>
        <w:ind w:left="0" w:leftChars="0" w:right="0" w:rightChars="0" w:firstLine="643" w:firstLineChars="200"/>
        <w:jc w:val="left"/>
        <w:textAlignment w:val="auto"/>
        <w:outlineLvl w:val="9"/>
        <w:rPr>
          <w:rFonts w:hint="default" w:ascii="仿宋" w:hAnsi="仿宋" w:eastAsia="仿宋" w:cs="仿宋"/>
          <w:b/>
          <w:bCs/>
          <w:color w:val="auto"/>
          <w:kern w:val="0"/>
          <w:sz w:val="32"/>
          <w:szCs w:val="32"/>
          <w:highlight w:val="none"/>
          <w:shd w:val="clear" w:color="auto" w:fill="FFFFFF"/>
          <w:lang w:val="en-US" w:eastAsia="zh-Hans" w:bidi="ar-SA"/>
        </w:rPr>
      </w:pPr>
      <w:r>
        <w:rPr>
          <w:rFonts w:hint="eastAsia" w:ascii="仿宋" w:hAnsi="仿宋" w:eastAsia="仿宋" w:cs="仿宋"/>
          <w:b/>
          <w:bCs/>
          <w:color w:val="auto"/>
          <w:kern w:val="0"/>
          <w:sz w:val="32"/>
          <w:szCs w:val="32"/>
          <w:highlight w:val="none"/>
          <w:shd w:val="clear" w:color="auto" w:fill="FFFFFF"/>
          <w:lang w:val="en-US" w:eastAsia="zh-CN" w:bidi="ar-SA"/>
        </w:rPr>
        <w:t>1</w:t>
      </w:r>
      <w:r>
        <w:rPr>
          <w:rFonts w:hint="eastAsia" w:ascii="仿宋" w:hAnsi="仿宋" w:eastAsia="仿宋" w:cs="仿宋"/>
          <w:b/>
          <w:bCs/>
          <w:color w:val="auto"/>
          <w:kern w:val="0"/>
          <w:sz w:val="32"/>
          <w:szCs w:val="32"/>
          <w:highlight w:val="none"/>
          <w:shd w:val="clear" w:color="auto" w:fill="FFFFFF"/>
          <w:lang w:val="en-US" w:eastAsia="zh-Hans" w:bidi="ar-SA"/>
        </w:rPr>
        <w:t>.</w:t>
      </w:r>
      <w:r>
        <w:rPr>
          <w:rFonts w:hint="eastAsia" w:ascii="楷体" w:hAnsi="楷体" w:eastAsia="楷体" w:cs="楷体"/>
          <w:b/>
          <w:bCs/>
          <w:color w:val="auto"/>
          <w:kern w:val="0"/>
          <w:sz w:val="32"/>
          <w:szCs w:val="32"/>
          <w:highlight w:val="none"/>
          <w:shd w:val="clear" w:color="auto" w:fill="FFFFFF"/>
          <w:lang w:val="en-US" w:eastAsia="zh-CN"/>
        </w:rPr>
        <w:t>加强预算执行监控，完善预算调整工作</w:t>
      </w:r>
      <w:r>
        <w:rPr>
          <w:rFonts w:hint="eastAsia" w:ascii="仿宋" w:hAnsi="仿宋" w:eastAsia="仿宋" w:cs="仿宋"/>
          <w:b/>
          <w:bCs/>
          <w:color w:val="auto"/>
          <w:kern w:val="0"/>
          <w:sz w:val="32"/>
          <w:szCs w:val="32"/>
          <w:highlight w:val="none"/>
          <w:shd w:val="clear" w:color="auto" w:fill="FFFFFF"/>
          <w:lang w:val="en-US" w:eastAsia="zh-CN" w:bidi="ar-SA"/>
        </w:rPr>
        <w:t>。</w:t>
      </w:r>
    </w:p>
    <w:p>
      <w:pPr>
        <w:pStyle w:val="2"/>
        <w:keepNext w:val="0"/>
        <w:keepLines w:val="0"/>
        <w:pageBreakBefore w:val="0"/>
        <w:widowControl w:val="0"/>
        <w:kinsoku/>
        <w:wordWrap/>
        <w:overflowPunct/>
        <w:topLinePunct w:val="0"/>
        <w:autoSpaceDE w:val="0"/>
        <w:autoSpaceDN w:val="0"/>
        <w:bidi w:val="0"/>
        <w:adjustRightInd/>
        <w:snapToGrid/>
        <w:spacing w:before="0" w:line="600" w:lineRule="exact"/>
        <w:ind w:left="0" w:leftChars="0" w:right="0" w:rightChars="0" w:firstLine="640" w:firstLineChars="200"/>
        <w:jc w:val="left"/>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建议预算部门建立健全预算执行监控体制机制，针对预算执行进度和绩效目标实现程度开展监控，落实部门预算执行监控主体责任，加强部门“日常监控”+“重点监控”双监控机制，定期进行预算执行监控分析。</w:t>
      </w:r>
    </w:p>
    <w:p>
      <w:pPr>
        <w:pStyle w:val="2"/>
        <w:keepNext w:val="0"/>
        <w:keepLines w:val="0"/>
        <w:pageBreakBefore w:val="0"/>
        <w:widowControl w:val="0"/>
        <w:kinsoku/>
        <w:wordWrap/>
        <w:overflowPunct/>
        <w:topLinePunct w:val="0"/>
        <w:autoSpaceDE w:val="0"/>
        <w:autoSpaceDN w:val="0"/>
        <w:bidi w:val="0"/>
        <w:adjustRightInd/>
        <w:snapToGrid/>
        <w:spacing w:before="190" w:line="240" w:lineRule="auto"/>
        <w:ind w:left="0" w:leftChars="0" w:right="0" w:rightChars="0" w:firstLine="643" w:firstLineChars="200"/>
        <w:jc w:val="left"/>
        <w:textAlignment w:val="auto"/>
        <w:outlineLvl w:val="9"/>
        <w:rPr>
          <w:rFonts w:hint="default" w:ascii="仿宋" w:hAnsi="仿宋" w:eastAsia="仿宋" w:cs="仿宋"/>
          <w:b/>
          <w:bCs/>
          <w:color w:val="auto"/>
          <w:kern w:val="0"/>
          <w:sz w:val="32"/>
          <w:szCs w:val="32"/>
          <w:highlight w:val="none"/>
          <w:shd w:val="clear" w:color="auto" w:fill="FFFFFF"/>
          <w:lang w:val="en-US" w:eastAsia="zh-Hans" w:bidi="ar-SA"/>
        </w:rPr>
      </w:pPr>
      <w:r>
        <w:rPr>
          <w:rFonts w:hint="eastAsia" w:ascii="仿宋" w:hAnsi="仿宋" w:eastAsia="仿宋" w:cs="仿宋"/>
          <w:b/>
          <w:bCs/>
          <w:color w:val="auto"/>
          <w:kern w:val="0"/>
          <w:sz w:val="32"/>
          <w:szCs w:val="32"/>
          <w:highlight w:val="none"/>
          <w:shd w:val="clear" w:color="auto" w:fill="FFFFFF"/>
          <w:lang w:val="en-US" w:eastAsia="zh-CN" w:bidi="ar-SA"/>
        </w:rPr>
        <w:t>2</w:t>
      </w:r>
      <w:r>
        <w:rPr>
          <w:rFonts w:hint="eastAsia" w:ascii="仿宋" w:hAnsi="仿宋" w:eastAsia="仿宋" w:cs="仿宋"/>
          <w:b/>
          <w:bCs/>
          <w:color w:val="auto"/>
          <w:kern w:val="0"/>
          <w:sz w:val="32"/>
          <w:szCs w:val="32"/>
          <w:highlight w:val="none"/>
          <w:shd w:val="clear" w:color="auto" w:fill="FFFFFF"/>
          <w:lang w:val="en-US" w:eastAsia="zh-Hans" w:bidi="ar-SA"/>
        </w:rPr>
        <w:t>.加强部门成本控制，落实“过紧日子”思想</w:t>
      </w:r>
      <w:r>
        <w:rPr>
          <w:rFonts w:hint="eastAsia" w:ascii="仿宋" w:hAnsi="仿宋" w:eastAsia="仿宋" w:cs="仿宋"/>
          <w:b/>
          <w:bCs/>
          <w:color w:val="auto"/>
          <w:kern w:val="0"/>
          <w:sz w:val="32"/>
          <w:szCs w:val="32"/>
          <w:highlight w:val="none"/>
          <w:shd w:val="clear" w:color="auto" w:fill="FFFFFF"/>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 w:eastAsia="仿宋_GB2312" w:cs="宋体"/>
          <w:color w:val="auto"/>
          <w:kern w:val="0"/>
          <w:sz w:val="32"/>
          <w:szCs w:val="32"/>
          <w:highlight w:val="none"/>
          <w:lang w:eastAsia="zh-Hans"/>
        </w:rPr>
      </w:pPr>
      <w:r>
        <w:rPr>
          <w:rFonts w:hint="eastAsia" w:ascii="仿宋" w:hAnsi="仿宋" w:eastAsia="仿宋" w:cs="仿宋"/>
          <w:color w:val="auto"/>
          <w:kern w:val="0"/>
          <w:sz w:val="32"/>
          <w:szCs w:val="32"/>
          <w:highlight w:val="none"/>
          <w:shd w:val="clear" w:color="auto" w:fill="FFFFFF"/>
          <w:lang w:val="en-US" w:eastAsia="zh-CN"/>
        </w:rPr>
        <w:t>建议部门不断加强“公用经费”、“会议费”、“三公经费”等费用支出控制，避免出现超预算支出、过度支出等情况</w:t>
      </w:r>
      <w:r>
        <w:rPr>
          <w:rFonts w:hint="default" w:ascii="仿宋_GB2312" w:hAnsi="仿宋" w:eastAsia="仿宋_GB2312" w:cs="宋体"/>
          <w:color w:val="auto"/>
          <w:kern w:val="0"/>
          <w:sz w:val="32"/>
          <w:szCs w:val="32"/>
          <w:highlight w:val="none"/>
          <w:lang w:eastAsia="zh-Hans"/>
        </w:rPr>
        <w:t>。</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190" w:line="240" w:lineRule="auto"/>
        <w:ind w:right="0" w:rightChars="0" w:firstLine="643" w:firstLineChars="200"/>
        <w:jc w:val="left"/>
        <w:textAlignment w:val="auto"/>
        <w:outlineLvl w:val="9"/>
        <w:rPr>
          <w:rFonts w:hint="eastAsia" w:ascii="仿宋" w:hAnsi="仿宋" w:eastAsia="仿宋" w:cs="仿宋"/>
          <w:b/>
          <w:bCs/>
          <w:color w:val="auto"/>
          <w:kern w:val="0"/>
          <w:sz w:val="32"/>
          <w:szCs w:val="32"/>
          <w:highlight w:val="none"/>
          <w:shd w:val="clear" w:color="auto" w:fill="FFFFFF"/>
          <w:lang w:val="en-US" w:eastAsia="zh-CN" w:bidi="ar-SA"/>
        </w:rPr>
      </w:pPr>
      <w:r>
        <w:rPr>
          <w:rFonts w:hint="eastAsia" w:ascii="仿宋" w:hAnsi="仿宋" w:eastAsia="仿宋" w:cs="仿宋"/>
          <w:b/>
          <w:bCs/>
          <w:color w:val="auto"/>
          <w:kern w:val="0"/>
          <w:sz w:val="32"/>
          <w:szCs w:val="32"/>
          <w:highlight w:val="none"/>
          <w:shd w:val="clear" w:color="auto" w:fill="FFFFFF"/>
          <w:lang w:val="en-US" w:eastAsia="zh-CN" w:bidi="ar-SA"/>
        </w:rPr>
        <w:t>3.强化部门采购管理，做好部门采购计划编制</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190" w:line="240" w:lineRule="auto"/>
        <w:ind w:right="0" w:rightChars="0" w:firstLine="640" w:firstLineChars="200"/>
        <w:jc w:val="left"/>
        <w:textAlignment w:val="auto"/>
        <w:outlineLvl w:val="9"/>
        <w:rPr>
          <w:rFonts w:hint="eastAsia"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建议部门年初系统梳理年度目标和工作任务，对标部门基础数据和信息支撑。</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190" w:line="240" w:lineRule="auto"/>
        <w:ind w:right="0" w:rightChars="0" w:firstLine="643" w:firstLineChars="200"/>
        <w:jc w:val="left"/>
        <w:textAlignment w:val="auto"/>
        <w:outlineLvl w:val="9"/>
        <w:rPr>
          <w:rFonts w:hint="eastAsia" w:ascii="仿宋" w:hAnsi="仿宋" w:eastAsia="仿宋" w:cs="仿宋"/>
          <w:b/>
          <w:bCs/>
          <w:color w:val="auto"/>
          <w:kern w:val="0"/>
          <w:sz w:val="32"/>
          <w:szCs w:val="32"/>
          <w:highlight w:val="none"/>
          <w:shd w:val="clear" w:color="auto" w:fill="FFFFFF"/>
          <w:lang w:val="en-US" w:eastAsia="zh-CN" w:bidi="ar-SA"/>
        </w:rPr>
      </w:pPr>
      <w:r>
        <w:rPr>
          <w:rFonts w:hint="eastAsia" w:ascii="仿宋" w:hAnsi="仿宋" w:eastAsia="仿宋" w:cs="仿宋"/>
          <w:b/>
          <w:bCs/>
          <w:color w:val="auto"/>
          <w:kern w:val="0"/>
          <w:sz w:val="32"/>
          <w:szCs w:val="32"/>
          <w:highlight w:val="none"/>
          <w:shd w:val="clear" w:color="auto" w:fill="FFFFFF"/>
          <w:lang w:val="en-US" w:eastAsia="zh-CN" w:bidi="ar-SA"/>
        </w:rPr>
        <w:t>4.健全财务管理制度，提升预算绩效管理一体化</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pPr>
      <w:r>
        <w:rPr>
          <w:rFonts w:hint="eastAsia" w:ascii="仿宋" w:hAnsi="仿宋" w:eastAsia="仿宋" w:cs="仿宋"/>
          <w:color w:val="auto"/>
          <w:kern w:val="0"/>
          <w:sz w:val="32"/>
          <w:szCs w:val="32"/>
          <w:highlight w:val="none"/>
          <w:shd w:val="clear" w:color="auto" w:fill="FFFFFF"/>
          <w:lang w:val="en-US" w:eastAsia="zh-CN" w:bidi="ar-SA"/>
        </w:rPr>
        <w:t>建议部门加强部门财务管理制度健全机制，根据行业和财政相关政策要求，及时完善、健全部门财务管理制度内容，加强预算绩效管理工作开展，建立预算绩效管理制度，制定符合“三全”要求的预算绩效管理机制，提升部门绩效意识，不断推动预算绩效一体化。建立以支出绩效为导向的财政资金使用机制，在保障部门正常运转的基础上，不断提升财政资金的使用效益。</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190" w:line="240" w:lineRule="auto"/>
        <w:ind w:leftChars="200" w:right="0" w:rightChars="0"/>
        <w:jc w:val="left"/>
        <w:textAlignment w:val="auto"/>
        <w:outlineLvl w:val="9"/>
        <w:rPr>
          <w:rFonts w:hint="default" w:ascii="仿宋" w:hAnsi="仿宋" w:eastAsia="仿宋" w:cs="仿宋"/>
          <w:b/>
          <w:bCs/>
          <w:color w:val="auto"/>
          <w:kern w:val="0"/>
          <w:sz w:val="32"/>
          <w:szCs w:val="32"/>
          <w:highlight w:val="none"/>
          <w:shd w:val="clear" w:color="auto" w:fill="FFFFFF"/>
          <w:lang w:val="en-US" w:eastAsia="zh-CN" w:bidi="ar-SA"/>
        </w:rPr>
      </w:pPr>
    </w:p>
    <w:p>
      <w:pPr>
        <w:keepNext w:val="0"/>
        <w:keepLines w:val="0"/>
        <w:pageBreakBefore w:val="0"/>
        <w:shd w:val="clear" w:color="auto" w:fill="FFFFFF"/>
        <w:kinsoku/>
        <w:wordWrap/>
        <w:overflowPunct/>
        <w:topLinePunct w:val="0"/>
        <w:autoSpaceDE/>
        <w:autoSpaceDN/>
        <w:bidi w:val="0"/>
        <w:adjustRightInd/>
        <w:snapToGrid/>
        <w:spacing w:line="600" w:lineRule="exact"/>
        <w:jc w:val="center"/>
        <w:textAlignment w:val="auto"/>
        <w:outlineLvl w:val="9"/>
        <w:rPr>
          <w:rFonts w:hint="eastAsia" w:ascii="方正小标宋" w:hAnsi="方正小标宋" w:eastAsia="方正小标宋" w:cs="方正小标宋"/>
          <w:b/>
          <w:sz w:val="36"/>
          <w:highlight w:val="none"/>
        </w:rPr>
      </w:pPr>
    </w:p>
    <w:p>
      <w:pPr>
        <w:keepNext w:val="0"/>
        <w:keepLines w:val="0"/>
        <w:pageBreakBefore w:val="0"/>
        <w:shd w:val="clear" w:color="auto" w:fill="FFFFFF"/>
        <w:kinsoku/>
        <w:wordWrap/>
        <w:overflowPunct/>
        <w:topLinePunct w:val="0"/>
        <w:autoSpaceDE/>
        <w:autoSpaceDN/>
        <w:bidi w:val="0"/>
        <w:adjustRightInd/>
        <w:snapToGrid/>
        <w:spacing w:line="600" w:lineRule="exact"/>
        <w:jc w:val="center"/>
        <w:textAlignment w:val="auto"/>
        <w:outlineLvl w:val="9"/>
        <w:rPr>
          <w:rFonts w:hint="eastAsia" w:ascii="方正小标宋" w:hAnsi="方正小标宋" w:eastAsia="方正小标宋" w:cs="方正小标宋"/>
          <w:b/>
          <w:sz w:val="36"/>
          <w:highlight w:val="none"/>
        </w:rPr>
      </w:pPr>
    </w:p>
    <w:p>
      <w:pPr>
        <w:keepNext w:val="0"/>
        <w:keepLines w:val="0"/>
        <w:pageBreakBefore w:val="0"/>
        <w:shd w:val="clear" w:color="auto" w:fill="FFFFFF"/>
        <w:kinsoku/>
        <w:wordWrap/>
        <w:overflowPunct/>
        <w:topLinePunct w:val="0"/>
        <w:autoSpaceDE/>
        <w:autoSpaceDN/>
        <w:bidi w:val="0"/>
        <w:adjustRightInd/>
        <w:snapToGrid/>
        <w:spacing w:line="600" w:lineRule="exact"/>
        <w:jc w:val="center"/>
        <w:textAlignment w:val="auto"/>
        <w:outlineLvl w:val="9"/>
        <w:rPr>
          <w:rFonts w:hint="eastAsia" w:ascii="方正小标宋" w:hAnsi="方正小标宋" w:eastAsia="方正小标宋" w:cs="方正小标宋"/>
          <w:b/>
          <w:sz w:val="36"/>
          <w:highlight w:val="none"/>
        </w:rPr>
      </w:pPr>
    </w:p>
    <w:p>
      <w:pPr>
        <w:keepNext w:val="0"/>
        <w:keepLines w:val="0"/>
        <w:pageBreakBefore w:val="0"/>
        <w:shd w:val="clear" w:color="auto" w:fill="FFFFFF"/>
        <w:kinsoku/>
        <w:wordWrap/>
        <w:overflowPunct/>
        <w:topLinePunct w:val="0"/>
        <w:autoSpaceDE/>
        <w:autoSpaceDN/>
        <w:bidi w:val="0"/>
        <w:adjustRightInd/>
        <w:snapToGrid/>
        <w:spacing w:line="600" w:lineRule="exact"/>
        <w:jc w:val="center"/>
        <w:textAlignment w:val="auto"/>
        <w:outlineLvl w:val="9"/>
        <w:rPr>
          <w:rFonts w:hint="eastAsia" w:ascii="方正小标宋" w:hAnsi="方正小标宋" w:eastAsia="方正小标宋" w:cs="方正小标宋"/>
          <w:b/>
          <w:sz w:val="36"/>
          <w:highlight w:val="none"/>
        </w:rPr>
      </w:pPr>
    </w:p>
    <w:p>
      <w:pPr>
        <w:keepNext w:val="0"/>
        <w:keepLines w:val="0"/>
        <w:pageBreakBefore w:val="0"/>
        <w:shd w:val="clear" w:color="auto" w:fill="FFFFFF"/>
        <w:kinsoku/>
        <w:wordWrap/>
        <w:overflowPunct/>
        <w:topLinePunct w:val="0"/>
        <w:autoSpaceDE/>
        <w:autoSpaceDN/>
        <w:bidi w:val="0"/>
        <w:adjustRightInd/>
        <w:snapToGrid/>
        <w:spacing w:line="600" w:lineRule="exact"/>
        <w:jc w:val="center"/>
        <w:textAlignment w:val="auto"/>
        <w:outlineLvl w:val="9"/>
        <w:rPr>
          <w:rFonts w:hint="eastAsia" w:ascii="方正小标宋" w:hAnsi="方正小标宋" w:eastAsia="方正小标宋" w:cs="方正小标宋"/>
          <w:b/>
          <w:sz w:val="36"/>
          <w:highlight w:val="none"/>
        </w:rPr>
      </w:pPr>
    </w:p>
    <w:p>
      <w:pPr>
        <w:keepNext w:val="0"/>
        <w:keepLines w:val="0"/>
        <w:pageBreakBefore w:val="0"/>
        <w:shd w:val="clear" w:color="auto" w:fill="FFFFFF"/>
        <w:kinsoku/>
        <w:wordWrap/>
        <w:overflowPunct/>
        <w:topLinePunct w:val="0"/>
        <w:autoSpaceDE/>
        <w:autoSpaceDN/>
        <w:bidi w:val="0"/>
        <w:adjustRightInd/>
        <w:snapToGrid/>
        <w:spacing w:line="600" w:lineRule="exact"/>
        <w:jc w:val="center"/>
        <w:textAlignment w:val="auto"/>
        <w:outlineLvl w:val="9"/>
        <w:rPr>
          <w:rFonts w:hint="eastAsia" w:ascii="方正小标宋" w:hAnsi="方正小标宋" w:eastAsia="方正小标宋" w:cs="方正小标宋"/>
          <w:b/>
          <w:sz w:val="36"/>
          <w:highlight w:val="none"/>
        </w:rPr>
      </w:pPr>
    </w:p>
    <w:p>
      <w:pPr>
        <w:keepNext w:val="0"/>
        <w:keepLines w:val="0"/>
        <w:pageBreakBefore w:val="0"/>
        <w:shd w:val="clear" w:color="auto" w:fill="FFFFFF"/>
        <w:kinsoku/>
        <w:wordWrap/>
        <w:overflowPunct/>
        <w:topLinePunct w:val="0"/>
        <w:autoSpaceDE/>
        <w:autoSpaceDN/>
        <w:bidi w:val="0"/>
        <w:adjustRightInd/>
        <w:snapToGrid/>
        <w:spacing w:line="600" w:lineRule="exact"/>
        <w:jc w:val="center"/>
        <w:textAlignment w:val="auto"/>
        <w:outlineLvl w:val="9"/>
        <w:rPr>
          <w:rFonts w:hint="eastAsia" w:ascii="方正小标宋" w:hAnsi="方正小标宋" w:eastAsia="方正小标宋" w:cs="方正小标宋"/>
          <w:b/>
          <w:sz w:val="36"/>
          <w:highlight w:val="none"/>
        </w:rPr>
      </w:pPr>
    </w:p>
    <w:p>
      <w:pPr>
        <w:pStyle w:val="2"/>
        <w:rPr>
          <w:rFonts w:hint="eastAsia" w:ascii="方正小标宋" w:hAnsi="方正小标宋" w:eastAsia="方正小标宋" w:cs="方正小标宋"/>
          <w:b/>
          <w:sz w:val="36"/>
          <w:highlight w:val="none"/>
        </w:rPr>
      </w:pPr>
    </w:p>
    <w:p>
      <w:pPr>
        <w:pStyle w:val="2"/>
        <w:rPr>
          <w:rFonts w:hint="eastAsia" w:ascii="方正小标宋" w:hAnsi="方正小标宋" w:eastAsia="方正小标宋" w:cs="方正小标宋"/>
          <w:b/>
          <w:sz w:val="36"/>
          <w:highlight w:val="none"/>
        </w:rPr>
      </w:pPr>
    </w:p>
    <w:p>
      <w:pPr>
        <w:pStyle w:val="2"/>
        <w:rPr>
          <w:rFonts w:hint="eastAsia" w:ascii="方正小标宋" w:hAnsi="方正小标宋" w:eastAsia="方正小标宋" w:cs="方正小标宋"/>
          <w:b/>
          <w:sz w:val="36"/>
          <w:highlight w:val="none"/>
        </w:rPr>
      </w:pPr>
    </w:p>
    <w:p>
      <w:pPr>
        <w:pStyle w:val="2"/>
        <w:rPr>
          <w:rFonts w:hint="eastAsia" w:ascii="方正小标宋" w:hAnsi="方正小标宋" w:eastAsia="方正小标宋" w:cs="方正小标宋"/>
          <w:b/>
          <w:sz w:val="36"/>
          <w:highlight w:val="none"/>
        </w:rPr>
      </w:pPr>
    </w:p>
    <w:p>
      <w:pPr>
        <w:pStyle w:val="2"/>
        <w:rPr>
          <w:rFonts w:hint="eastAsia" w:ascii="方正小标宋" w:hAnsi="方正小标宋" w:eastAsia="方正小标宋" w:cs="方正小标宋"/>
          <w:b/>
          <w:sz w:val="36"/>
          <w:highlight w:val="none"/>
        </w:rPr>
      </w:pPr>
    </w:p>
    <w:p>
      <w:pPr>
        <w:keepNext w:val="0"/>
        <w:keepLines w:val="0"/>
        <w:pageBreakBefore w:val="0"/>
        <w:shd w:val="clear" w:color="auto" w:fill="FFFFFF"/>
        <w:kinsoku/>
        <w:wordWrap/>
        <w:overflowPunct/>
        <w:topLinePunct w:val="0"/>
        <w:autoSpaceDE/>
        <w:autoSpaceDN/>
        <w:bidi w:val="0"/>
        <w:adjustRightInd/>
        <w:snapToGrid/>
        <w:spacing w:line="600" w:lineRule="exact"/>
        <w:jc w:val="center"/>
        <w:textAlignment w:val="auto"/>
        <w:outlineLvl w:val="9"/>
        <w:rPr>
          <w:rFonts w:hint="eastAsia" w:ascii="方正小标宋" w:hAnsi="方正小标宋" w:eastAsia="方正小标宋" w:cs="方正小标宋"/>
          <w:b/>
          <w:sz w:val="36"/>
          <w:highlight w:val="none"/>
          <w:lang w:val="en-US" w:eastAsia="zh-CN"/>
        </w:rPr>
      </w:pPr>
      <w:r>
        <w:rPr>
          <w:rFonts w:hint="eastAsia" w:ascii="方正小标宋" w:hAnsi="方正小标宋" w:eastAsia="方正小标宋" w:cs="方正小标宋"/>
          <w:b/>
          <w:sz w:val="36"/>
          <w:highlight w:val="none"/>
        </w:rPr>
        <w:t>铜川市</w:t>
      </w:r>
      <w:r>
        <w:rPr>
          <w:rFonts w:hint="eastAsia" w:ascii="方正小标宋" w:hAnsi="方正小标宋" w:eastAsia="方正小标宋" w:cs="方正小标宋"/>
          <w:b/>
          <w:sz w:val="36"/>
          <w:highlight w:val="none"/>
          <w:lang w:val="en-US" w:eastAsia="zh-CN"/>
        </w:rPr>
        <w:t>新区2021年度对外经济投资合作局</w:t>
      </w:r>
    </w:p>
    <w:p>
      <w:pPr>
        <w:keepNext w:val="0"/>
        <w:keepLines w:val="0"/>
        <w:pageBreakBefore w:val="0"/>
        <w:shd w:val="clear" w:color="auto" w:fill="FFFFFF"/>
        <w:kinsoku/>
        <w:wordWrap/>
        <w:overflowPunct/>
        <w:topLinePunct w:val="0"/>
        <w:autoSpaceDE/>
        <w:autoSpaceDN/>
        <w:bidi w:val="0"/>
        <w:adjustRightInd/>
        <w:snapToGrid/>
        <w:spacing w:line="600" w:lineRule="exact"/>
        <w:jc w:val="center"/>
        <w:textAlignment w:val="auto"/>
        <w:outlineLvl w:val="9"/>
        <w:rPr>
          <w:rFonts w:hint="eastAsia" w:ascii="方正小标宋" w:hAnsi="方正小标宋" w:eastAsia="方正小标宋" w:cs="方正小标宋"/>
          <w:b/>
          <w:sz w:val="36"/>
          <w:highlight w:val="none"/>
        </w:rPr>
      </w:pPr>
      <w:r>
        <w:rPr>
          <w:rFonts w:hint="eastAsia" w:ascii="方正小标宋" w:hAnsi="方正小标宋" w:eastAsia="方正小标宋" w:cs="方正小标宋"/>
          <w:b/>
          <w:sz w:val="36"/>
          <w:highlight w:val="none"/>
        </w:rPr>
        <w:t>部门整体支出绩效评价报告</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both"/>
        <w:textAlignment w:val="auto"/>
        <w:rPr>
          <w:rFonts w:hint="eastAsia" w:ascii="仿宋" w:hAnsi="仿宋" w:eastAsia="仿宋" w:cs="仿宋"/>
          <w:sz w:val="32"/>
          <w:szCs w:val="32"/>
          <w:highlight w:val="none"/>
          <w:lang w:val="en-US" w:eastAsia="zh-CN"/>
        </w:rPr>
      </w:pPr>
      <w:r>
        <w:rPr>
          <w:rFonts w:hint="eastAsia" w:ascii="仿宋" w:hAnsi="仿宋" w:eastAsia="仿宋" w:cs="仿宋"/>
          <w:color w:val="auto"/>
          <w:kern w:val="0"/>
          <w:sz w:val="32"/>
          <w:szCs w:val="32"/>
          <w:highlight w:val="none"/>
          <w:lang w:val="en-US" w:eastAsia="zh-CN"/>
        </w:rPr>
        <w:t>为规范政府部门财政支出预算管理，考核财政资金预期绩效目标的实现程度和综合效果，更好地优化资源配置，切实提高财政资金的使用效益，进一步提升预算部门的行政效能，根据铜川市新区财政局《关于开展2021年新区项目和部门整体支出绩效自评及重点项目绩效评价</w:t>
      </w:r>
      <w:r>
        <w:rPr>
          <w:rFonts w:hint="eastAsia" w:ascii="仿宋" w:hAnsi="仿宋" w:eastAsia="仿宋" w:cs="仿宋"/>
          <w:color w:val="auto"/>
          <w:kern w:val="0"/>
          <w:sz w:val="32"/>
          <w:szCs w:val="32"/>
          <w:highlight w:val="none"/>
          <w:lang w:val="en-US" w:eastAsia="zh-Hans"/>
        </w:rPr>
        <w:t>工作</w:t>
      </w:r>
      <w:r>
        <w:rPr>
          <w:rFonts w:hint="eastAsia" w:ascii="仿宋" w:hAnsi="仿宋" w:eastAsia="仿宋" w:cs="仿宋"/>
          <w:color w:val="auto"/>
          <w:kern w:val="0"/>
          <w:sz w:val="32"/>
          <w:szCs w:val="32"/>
          <w:highlight w:val="none"/>
          <w:lang w:val="en-US" w:eastAsia="zh-CN"/>
        </w:rPr>
        <w:t>的通知》文件要求，从投入、过程、产出、效果四个维度对新区对外经济投资合作局2021年度部门整体支出进行绩效评价。经过资料审查、数据采集、现场访谈、社会调查等评价程序，运用科学、合理的绩效评价方法，形成本绩效评价报告。</w:t>
      </w:r>
      <w:bookmarkStart w:id="1" w:name="_bookmark0"/>
      <w:bookmarkEnd w:id="1"/>
      <w:bookmarkStart w:id="2" w:name="一、项目基本情况"/>
      <w:bookmarkEnd w:id="2"/>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0"/>
        <w:rPr>
          <w:rFonts w:hint="eastAsia" w:ascii="黑体" w:hAnsi="黑体" w:eastAsia="黑体" w:cs="黑体"/>
          <w:b w:val="0"/>
          <w:bCs w:val="0"/>
          <w:color w:val="auto"/>
          <w:kern w:val="0"/>
          <w:sz w:val="32"/>
          <w:szCs w:val="32"/>
          <w:highlight w:val="none"/>
          <w:lang w:val="en-US" w:eastAsia="zh-CN"/>
        </w:rPr>
      </w:pPr>
      <w:bookmarkStart w:id="3" w:name="_Toc31592"/>
      <w:r>
        <w:rPr>
          <w:rFonts w:hint="eastAsia" w:ascii="黑体" w:hAnsi="黑体" w:eastAsia="黑体" w:cs="黑体"/>
          <w:b w:val="0"/>
          <w:bCs w:val="0"/>
          <w:color w:val="auto"/>
          <w:kern w:val="0"/>
          <w:sz w:val="32"/>
          <w:szCs w:val="32"/>
          <w:highlight w:val="none"/>
          <w:lang w:val="en-US" w:eastAsia="zh-CN"/>
        </w:rPr>
        <w:t>一、部门基本情况</w:t>
      </w:r>
      <w:bookmarkEnd w:id="3"/>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3" w:firstLineChars="200"/>
        <w:jc w:val="both"/>
        <w:textAlignment w:val="auto"/>
        <w:outlineLvl w:val="1"/>
        <w:rPr>
          <w:rFonts w:hint="eastAsia" w:ascii="楷体" w:hAnsi="楷体" w:eastAsia="楷体" w:cs="楷体"/>
          <w:b/>
          <w:bCs/>
          <w:color w:val="auto"/>
          <w:kern w:val="0"/>
          <w:sz w:val="32"/>
          <w:szCs w:val="32"/>
          <w:highlight w:val="none"/>
          <w:lang w:val="en-US" w:eastAsia="zh-CN"/>
        </w:rPr>
      </w:pPr>
      <w:bookmarkStart w:id="4" w:name="_Toc19240"/>
      <w:r>
        <w:rPr>
          <w:rFonts w:hint="eastAsia" w:ascii="楷体" w:hAnsi="楷体" w:eastAsia="楷体" w:cs="楷体"/>
          <w:b/>
          <w:bCs/>
          <w:color w:val="auto"/>
          <w:kern w:val="0"/>
          <w:sz w:val="32"/>
          <w:szCs w:val="32"/>
          <w:highlight w:val="none"/>
          <w:lang w:val="en-US" w:eastAsia="zh-CN"/>
        </w:rPr>
        <w:t>（一）部门概况</w:t>
      </w:r>
      <w:bookmarkEnd w:id="4"/>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3" w:firstLineChars="200"/>
        <w:jc w:val="both"/>
        <w:textAlignment w:val="auto"/>
        <w:outlineLvl w:val="9"/>
        <w:rPr>
          <w:rFonts w:hint="eastAsia" w:ascii="仿宋" w:hAnsi="仿宋" w:eastAsia="仿宋" w:cs="仿宋"/>
          <w:b/>
          <w:bCs/>
          <w:color w:val="auto"/>
          <w:kern w:val="0"/>
          <w:sz w:val="32"/>
          <w:szCs w:val="32"/>
          <w:highlight w:val="none"/>
          <w:lang w:val="en-US" w:eastAsia="zh-CN"/>
        </w:rPr>
      </w:pPr>
      <w:r>
        <w:rPr>
          <w:rFonts w:hint="eastAsia" w:ascii="仿宋" w:hAnsi="仿宋" w:eastAsia="仿宋" w:cs="仿宋"/>
          <w:b/>
          <w:bCs/>
          <w:color w:val="auto"/>
          <w:kern w:val="0"/>
          <w:sz w:val="32"/>
          <w:szCs w:val="32"/>
          <w:highlight w:val="none"/>
          <w:lang w:val="en-US" w:eastAsia="zh-CN"/>
        </w:rPr>
        <w:t>1.主要职</w:t>
      </w:r>
      <w:r>
        <w:rPr>
          <w:rFonts w:hint="eastAsia" w:ascii="仿宋" w:hAnsi="仿宋" w:eastAsia="仿宋" w:cs="仿宋"/>
          <w:b/>
          <w:bCs/>
          <w:color w:val="auto"/>
          <w:kern w:val="0"/>
          <w:sz w:val="32"/>
          <w:szCs w:val="32"/>
          <w:highlight w:val="none"/>
          <w:lang w:val="en-US" w:eastAsia="zh-Hans"/>
        </w:rPr>
        <w:t>责</w:t>
      </w:r>
      <w:r>
        <w:rPr>
          <w:rFonts w:hint="eastAsia" w:ascii="仿宋" w:hAnsi="仿宋" w:eastAsia="仿宋" w:cs="仿宋"/>
          <w:b/>
          <w:bCs/>
          <w:color w:val="auto"/>
          <w:kern w:val="0"/>
          <w:sz w:val="32"/>
          <w:szCs w:val="32"/>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rightChars="0" w:firstLine="640" w:firstLineChars="200"/>
        <w:jc w:val="both"/>
        <w:textAlignment w:val="auto"/>
        <w:outlineLvl w:val="9"/>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（1）负责国内外有关投资者的联系和投资合作，组织多种形式的联络、投资考察招商洽谈活动。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rightChars="0" w:firstLine="640" w:firstLineChars="200"/>
        <w:jc w:val="both"/>
        <w:textAlignment w:val="auto"/>
        <w:outlineLvl w:val="9"/>
        <w:rPr>
          <w:rFonts w:hint="default"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（2）负责区内招商网络建设、搜集、整理、编辑招商信息。</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rightChars="0" w:firstLine="640" w:firstLineChars="200"/>
        <w:jc w:val="both"/>
        <w:textAlignment w:val="auto"/>
        <w:outlineLvl w:val="9"/>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（3）负责来铜川新区投资客商提供环境考察，信息咨询等</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rightChars="0"/>
        <w:jc w:val="both"/>
        <w:textAlignment w:val="auto"/>
        <w:outlineLvl w:val="9"/>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服务，协助做好客商投资运作的组织、协调报批、注册和管理等工作。</w:t>
      </w:r>
    </w:p>
    <w:p>
      <w:pPr>
        <w:pStyle w:val="2"/>
        <w:ind w:left="220" w:leftChars="0" w:firstLine="499" w:firstLineChars="156"/>
        <w:rPr>
          <w:rFonts w:hint="default"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（4）负责全区招商引资政策的制定和落实。</w:t>
      </w:r>
    </w:p>
    <w:p>
      <w:pPr>
        <w:pStyle w:val="2"/>
        <w:ind w:left="220" w:leftChars="0" w:firstLine="499" w:firstLineChars="156"/>
        <w:rPr>
          <w:rFonts w:hint="default"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（5）承办新区管委会交办的其他事项。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3" w:firstLineChars="200"/>
        <w:jc w:val="both"/>
        <w:textAlignment w:val="auto"/>
        <w:outlineLvl w:val="9"/>
        <w:rPr>
          <w:rFonts w:hint="eastAsia" w:ascii="仿宋" w:hAnsi="仿宋" w:eastAsia="仿宋" w:cs="仿宋"/>
          <w:b/>
          <w:bCs/>
          <w:color w:val="auto"/>
          <w:kern w:val="0"/>
          <w:sz w:val="32"/>
          <w:szCs w:val="32"/>
          <w:highlight w:val="none"/>
          <w:lang w:val="en-US" w:eastAsia="zh-CN"/>
        </w:rPr>
      </w:pPr>
      <w:r>
        <w:rPr>
          <w:rFonts w:hint="eastAsia" w:ascii="仿宋" w:hAnsi="仿宋" w:eastAsia="仿宋" w:cs="仿宋"/>
          <w:b/>
          <w:bCs/>
          <w:color w:val="auto"/>
          <w:kern w:val="0"/>
          <w:sz w:val="32"/>
          <w:szCs w:val="32"/>
          <w:highlight w:val="none"/>
          <w:lang w:val="en-US" w:eastAsia="zh-CN"/>
        </w:rPr>
        <w:t>2.组织机构。</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铜川市新区招商局成立于2004年4月9日，于2021年4月2日更名为铜川市新区对外经济投资合作局。部门内设三个科室：综合办公室、招商科和项目科。截止2021年底，本部门人员编制4人，其中行政编制4人、事业编制 0 人；实有人员4人，其中行政4人、事业0人。单位管理的离退休人员0人。</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3" w:firstLineChars="200"/>
        <w:jc w:val="both"/>
        <w:textAlignment w:val="auto"/>
        <w:outlineLvl w:val="9"/>
        <w:rPr>
          <w:rFonts w:hint="eastAsia" w:ascii="仿宋" w:hAnsi="仿宋" w:eastAsia="仿宋" w:cs="仿宋"/>
          <w:b/>
          <w:bCs/>
          <w:color w:val="auto"/>
          <w:kern w:val="0"/>
          <w:sz w:val="32"/>
          <w:szCs w:val="32"/>
          <w:highlight w:val="none"/>
          <w:lang w:val="en-US" w:eastAsia="zh-CN"/>
        </w:rPr>
      </w:pPr>
      <w:r>
        <w:rPr>
          <w:rFonts w:hint="eastAsia" w:ascii="仿宋" w:hAnsi="仿宋" w:eastAsia="仿宋" w:cs="仿宋"/>
          <w:b/>
          <w:bCs/>
          <w:color w:val="auto"/>
          <w:kern w:val="0"/>
          <w:sz w:val="32"/>
          <w:szCs w:val="32"/>
          <w:highlight w:val="none"/>
          <w:lang w:val="en-US" w:eastAsia="zh-Hans"/>
        </w:rPr>
        <w:t>3.财政预决算及项目支出情况</w:t>
      </w:r>
      <w:r>
        <w:rPr>
          <w:rFonts w:hint="eastAsia" w:ascii="仿宋" w:hAnsi="仿宋" w:eastAsia="仿宋" w:cs="仿宋"/>
          <w:b/>
          <w:bCs/>
          <w:color w:val="auto"/>
          <w:kern w:val="0"/>
          <w:sz w:val="32"/>
          <w:szCs w:val="32"/>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9"/>
        <w:rPr>
          <w:rFonts w:hint="default" w:ascii="仿宋" w:hAnsi="仿宋" w:eastAsia="仿宋" w:cs="仿宋"/>
          <w:b/>
          <w:bCs/>
          <w:color w:val="auto"/>
          <w:kern w:val="0"/>
          <w:sz w:val="28"/>
          <w:szCs w:val="28"/>
          <w:highlight w:val="none"/>
          <w:lang w:val="en-US" w:eastAsia="zh-CN"/>
        </w:rPr>
      </w:pPr>
      <w:r>
        <w:rPr>
          <w:rFonts w:hint="eastAsia" w:ascii="仿宋" w:hAnsi="仿宋" w:eastAsia="仿宋" w:cs="仿宋"/>
          <w:color w:val="auto"/>
          <w:kern w:val="0"/>
          <w:sz w:val="32"/>
          <w:szCs w:val="32"/>
          <w:highlight w:val="none"/>
          <w:lang w:val="en-US" w:eastAsia="zh-CN"/>
        </w:rPr>
        <w:t>根据新区对外经济投资合作局2021年部门预算和决算文件内容，2021年年初部门年度预算安排资金97.12万元，其中基本支出47.12万元，项目支出50万元。部门2021年部门决算完成数为530.15万元，年度决算调整预算数为543.89万元。财政部门年度批复预算543.89万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楷体" w:hAnsi="楷体" w:eastAsia="楷体" w:cs="楷体"/>
          <w:b/>
          <w:bCs/>
          <w:color w:val="auto"/>
          <w:kern w:val="0"/>
          <w:sz w:val="32"/>
          <w:szCs w:val="32"/>
          <w:highlight w:val="none"/>
          <w:shd w:val="clear" w:color="auto" w:fill="FFFFFF"/>
          <w:lang w:val="en-US" w:eastAsia="zh-CN"/>
        </w:rPr>
      </w:pPr>
      <w:bookmarkStart w:id="5" w:name="_Toc2651"/>
      <w:r>
        <w:rPr>
          <w:rFonts w:hint="eastAsia" w:ascii="楷体" w:hAnsi="楷体" w:eastAsia="楷体" w:cs="楷体"/>
          <w:b/>
          <w:bCs/>
          <w:color w:val="auto"/>
          <w:kern w:val="0"/>
          <w:sz w:val="32"/>
          <w:szCs w:val="32"/>
          <w:highlight w:val="none"/>
          <w:shd w:val="clear" w:color="auto" w:fill="FFFFFF"/>
          <w:lang w:val="en-US" w:eastAsia="zh-CN"/>
        </w:rPr>
        <w:t>（二）绩效目标</w:t>
      </w:r>
      <w:bookmarkEnd w:id="5"/>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lang w:val="en-US" w:eastAsia="zh-CN"/>
        </w:rPr>
      </w:pPr>
      <w:r>
        <w:rPr>
          <w:rFonts w:hint="eastAsia" w:ascii="仿宋" w:hAnsi="仿宋" w:eastAsia="仿宋" w:cs="仿宋"/>
          <w:b/>
          <w:bCs/>
          <w:color w:val="auto"/>
          <w:kern w:val="0"/>
          <w:sz w:val="32"/>
          <w:szCs w:val="32"/>
          <w:highlight w:val="none"/>
          <w:lang w:val="en-US" w:eastAsia="zh-CN"/>
        </w:rPr>
        <w:t>1.项目年度总体目标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目标1：保证2021年单位工作正常运行。</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目标2：招商引资严格按照“在谈项目促签约，签约项目促落地，落地项目促开工，开工项目促投产”的思路，落实项目包抓包联制度，增强招商引资的实效性，力争在招商引资和项目建设上实现新的突破。</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目标3：举办2021年第五届丝博会，促进签约项目成果。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目标4：举办第四届扶贫产品交易会，做好客商邀请和项目签约工作。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目标5：参加陕西——长三角地区经济合作活动，展现新区新形象，寻找商机，同时做好苏陕扶贫协作共建“区中园”联席会议暨园区项目推介会的推介宣传工作。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目标6：参加陕粤港澳经济合作活动，促进签约项目成果。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目标7：参加杨凌农高会，做好客商邀请和项目签约工作。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目标8：参加中国国际进口博览会，促进项目推介和签约工作。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目标9：参加陕中国国际投资贸易洽谈会，寻找商机，宣传推介。</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color w:val="auto"/>
          <w:kern w:val="0"/>
          <w:sz w:val="30"/>
          <w:szCs w:val="30"/>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目标10：招商宣传片，全方位、多领域展现铜川新区发展历程、精神风貌、投资环境，提升铜川新区知名度，吸引名优企业落户铜川新。</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lang w:val="en-US" w:eastAsia="zh-CN"/>
        </w:rPr>
      </w:pPr>
      <w:r>
        <w:rPr>
          <w:rFonts w:hint="eastAsia" w:ascii="仿宋" w:hAnsi="仿宋" w:eastAsia="仿宋" w:cs="仿宋"/>
          <w:b/>
          <w:bCs/>
          <w:color w:val="auto"/>
          <w:kern w:val="0"/>
          <w:sz w:val="32"/>
          <w:szCs w:val="32"/>
          <w:highlight w:val="none"/>
          <w:lang w:val="en-US" w:eastAsia="zh-CN"/>
        </w:rPr>
        <w:t>2.资金使用单位年度绩效目标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jc w:val="center"/>
        <w:textAlignment w:val="auto"/>
        <w:rPr>
          <w:rFonts w:hint="eastAsia" w:ascii="Times New Roman" w:hAnsi="Times New Roman" w:eastAsia="仿宋_GB2312" w:cs="Times New Roman"/>
          <w:color w:val="auto"/>
          <w:kern w:val="0"/>
          <w:sz w:val="24"/>
          <w:szCs w:val="24"/>
          <w:highlight w:val="none"/>
          <w:shd w:val="clear" w:color="auto" w:fill="FFFFFF"/>
          <w:lang w:val="en-US" w:eastAsia="zh-CN"/>
        </w:rPr>
      </w:pPr>
      <w:r>
        <w:rPr>
          <w:rFonts w:hint="eastAsia" w:ascii="仿宋" w:hAnsi="仿宋" w:eastAsia="仿宋" w:cs="仿宋"/>
          <w:b/>
          <w:bCs/>
          <w:color w:val="auto"/>
          <w:kern w:val="0"/>
          <w:sz w:val="28"/>
          <w:szCs w:val="28"/>
          <w:highlight w:val="none"/>
          <w:shd w:val="clear" w:color="auto" w:fill="FFFFFF"/>
          <w:lang w:val="en-US" w:eastAsia="zh-CN"/>
        </w:rPr>
        <w:t>表1-1新区对外经济投资合作局年度绩效目标</w:t>
      </w:r>
    </w:p>
    <w:tbl>
      <w:tblPr>
        <w:tblStyle w:val="15"/>
        <w:tblW w:w="464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026"/>
        <w:gridCol w:w="1221"/>
        <w:gridCol w:w="1356"/>
        <w:gridCol w:w="2460"/>
        <w:gridCol w:w="36"/>
        <w:gridCol w:w="2084"/>
        <w:gridCol w:w="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5" w:type="pct"/>
          <w:trHeight w:val="300" w:hRule="atLeast"/>
        </w:trPr>
        <w:tc>
          <w:tcPr>
            <w:tcW w:w="626" w:type="pct"/>
            <w:noWrap w:val="0"/>
            <w:tcMar>
              <w:top w:w="10" w:type="dxa"/>
              <w:left w:w="10" w:type="dxa"/>
              <w:right w:w="10" w:type="dxa"/>
            </w:tcMar>
            <w:vAlign w:val="center"/>
          </w:tcPr>
          <w:p>
            <w:pPr>
              <w:keepNext w:val="0"/>
              <w:keepLines w:val="0"/>
              <w:pageBreakBefore w:val="0"/>
              <w:widowControl/>
              <w:suppressLineNumbers w:val="0"/>
              <w:kinsoku/>
              <w:wordWrap/>
              <w:overflowPunct/>
              <w:topLinePunct w:val="0"/>
              <w:bidi w:val="0"/>
              <w:adjustRightInd/>
              <w:snapToGrid/>
              <w:spacing w:line="240" w:lineRule="exact"/>
              <w:ind w:left="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资金使用单位</w:t>
            </w:r>
          </w:p>
        </w:tc>
        <w:tc>
          <w:tcPr>
            <w:tcW w:w="745" w:type="pct"/>
            <w:noWrap w:val="0"/>
            <w:tcMar>
              <w:top w:w="10" w:type="dxa"/>
              <w:left w:w="10" w:type="dxa"/>
              <w:right w:w="10" w:type="dxa"/>
            </w:tcMar>
            <w:vAlign w:val="center"/>
          </w:tcPr>
          <w:p>
            <w:pPr>
              <w:keepNext w:val="0"/>
              <w:keepLines w:val="0"/>
              <w:pageBreakBefore w:val="0"/>
              <w:widowControl/>
              <w:suppressLineNumbers w:val="0"/>
              <w:kinsoku/>
              <w:wordWrap/>
              <w:overflowPunct/>
              <w:topLinePunct w:val="0"/>
              <w:bidi w:val="0"/>
              <w:adjustRightInd/>
              <w:snapToGrid/>
              <w:spacing w:line="240" w:lineRule="exact"/>
              <w:ind w:left="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一级指标</w:t>
            </w:r>
          </w:p>
        </w:tc>
        <w:tc>
          <w:tcPr>
            <w:tcW w:w="827" w:type="pct"/>
            <w:noWrap w:val="0"/>
            <w:tcMar>
              <w:top w:w="10" w:type="dxa"/>
              <w:left w:w="10" w:type="dxa"/>
              <w:right w:w="10" w:type="dxa"/>
            </w:tcMar>
            <w:vAlign w:val="center"/>
          </w:tcPr>
          <w:p>
            <w:pPr>
              <w:keepNext w:val="0"/>
              <w:keepLines w:val="0"/>
              <w:pageBreakBefore w:val="0"/>
              <w:widowControl/>
              <w:suppressLineNumbers w:val="0"/>
              <w:kinsoku/>
              <w:wordWrap/>
              <w:overflowPunct/>
              <w:topLinePunct w:val="0"/>
              <w:bidi w:val="0"/>
              <w:adjustRightInd/>
              <w:snapToGrid/>
              <w:spacing w:line="240" w:lineRule="exact"/>
              <w:ind w:left="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二级指标</w:t>
            </w:r>
          </w:p>
        </w:tc>
        <w:tc>
          <w:tcPr>
            <w:tcW w:w="1499" w:type="pct"/>
            <w:noWrap w:val="0"/>
            <w:tcMar>
              <w:top w:w="10" w:type="dxa"/>
              <w:left w:w="10" w:type="dxa"/>
              <w:right w:w="10" w:type="dxa"/>
            </w:tcMar>
            <w:vAlign w:val="center"/>
          </w:tcPr>
          <w:p>
            <w:pPr>
              <w:keepNext w:val="0"/>
              <w:keepLines w:val="0"/>
              <w:pageBreakBefore w:val="0"/>
              <w:widowControl/>
              <w:suppressLineNumbers w:val="0"/>
              <w:kinsoku/>
              <w:wordWrap/>
              <w:overflowPunct/>
              <w:topLinePunct w:val="0"/>
              <w:bidi w:val="0"/>
              <w:adjustRightInd/>
              <w:snapToGrid/>
              <w:spacing w:line="240" w:lineRule="exact"/>
              <w:ind w:left="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指标内容</w:t>
            </w:r>
          </w:p>
        </w:tc>
        <w:tc>
          <w:tcPr>
            <w:tcW w:w="1285" w:type="pct"/>
            <w:gridSpan w:val="2"/>
            <w:noWrap/>
            <w:tcMar>
              <w:top w:w="10" w:type="dxa"/>
              <w:left w:w="10" w:type="dxa"/>
              <w:right w:w="10" w:type="dxa"/>
            </w:tcMar>
            <w:vAlign w:val="center"/>
          </w:tcPr>
          <w:p>
            <w:pPr>
              <w:keepNext w:val="0"/>
              <w:keepLines w:val="0"/>
              <w:pageBreakBefore w:val="0"/>
              <w:widowControl/>
              <w:suppressLineNumbers w:val="0"/>
              <w:kinsoku/>
              <w:wordWrap/>
              <w:overflowPunct/>
              <w:topLinePunct w:val="0"/>
              <w:bidi w:val="0"/>
              <w:adjustRightInd/>
              <w:snapToGrid/>
              <w:spacing w:line="240" w:lineRule="exact"/>
              <w:ind w:left="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5" w:type="pct"/>
          <w:trHeight w:val="220" w:hRule="atLeast"/>
        </w:trPr>
        <w:tc>
          <w:tcPr>
            <w:tcW w:w="626" w:type="pct"/>
            <w:vMerge w:val="restart"/>
            <w:noWrap w:val="0"/>
            <w:tcMar>
              <w:top w:w="10" w:type="dxa"/>
              <w:left w:w="10" w:type="dxa"/>
              <w:right w:w="10" w:type="dxa"/>
            </w:tcMar>
            <w:vAlign w:val="center"/>
          </w:tcPr>
          <w:p>
            <w:pPr>
              <w:keepNext w:val="0"/>
              <w:keepLines w:val="0"/>
              <w:pageBreakBefore w:val="0"/>
              <w:widowControl/>
              <w:suppressLineNumbers w:val="0"/>
              <w:kinsoku/>
              <w:wordWrap/>
              <w:overflowPunct/>
              <w:topLinePunct w:val="0"/>
              <w:bidi w:val="0"/>
              <w:adjustRightInd/>
              <w:snapToGrid/>
              <w:spacing w:line="240" w:lineRule="exact"/>
              <w:ind w:left="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pageBreakBefore w:val="0"/>
              <w:widowControl/>
              <w:suppressLineNumbers w:val="0"/>
              <w:kinsoku/>
              <w:wordWrap/>
              <w:overflowPunct/>
              <w:topLinePunct w:val="0"/>
              <w:bidi w:val="0"/>
              <w:adjustRightInd/>
              <w:snapToGrid/>
              <w:spacing w:line="240" w:lineRule="exact"/>
              <w:ind w:left="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pageBreakBefore w:val="0"/>
              <w:widowControl/>
              <w:suppressLineNumbers w:val="0"/>
              <w:kinsoku/>
              <w:wordWrap/>
              <w:overflowPunct/>
              <w:topLinePunct w:val="0"/>
              <w:bidi w:val="0"/>
              <w:adjustRightInd/>
              <w:snapToGrid/>
              <w:spacing w:line="240" w:lineRule="exact"/>
              <w:ind w:left="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pageBreakBefore w:val="0"/>
              <w:widowControl/>
              <w:suppressLineNumbers w:val="0"/>
              <w:kinsoku/>
              <w:wordWrap/>
              <w:overflowPunct/>
              <w:topLinePunct w:val="0"/>
              <w:bidi w:val="0"/>
              <w:adjustRightInd/>
              <w:snapToGrid/>
              <w:spacing w:line="240" w:lineRule="exact"/>
              <w:ind w:left="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pageBreakBefore w:val="0"/>
              <w:widowControl/>
              <w:suppressLineNumbers w:val="0"/>
              <w:kinsoku/>
              <w:wordWrap/>
              <w:overflowPunct/>
              <w:topLinePunct w:val="0"/>
              <w:bidi w:val="0"/>
              <w:adjustRightInd/>
              <w:snapToGrid/>
              <w:spacing w:line="240" w:lineRule="exact"/>
              <w:ind w:left="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pageBreakBefore w:val="0"/>
              <w:widowControl/>
              <w:suppressLineNumbers w:val="0"/>
              <w:kinsoku/>
              <w:wordWrap/>
              <w:overflowPunct/>
              <w:topLinePunct w:val="0"/>
              <w:bidi w:val="0"/>
              <w:adjustRightInd/>
              <w:snapToGrid/>
              <w:spacing w:line="240" w:lineRule="exact"/>
              <w:ind w:left="0"/>
              <w:jc w:val="center"/>
              <w:textAlignment w:val="center"/>
              <w:rPr>
                <w:rFonts w:hint="eastAsia" w:ascii="仿宋" w:hAnsi="仿宋" w:eastAsia="仿宋" w:cs="仿宋"/>
                <w:i w:val="0"/>
                <w:color w:val="000000"/>
                <w:kern w:val="0"/>
                <w:sz w:val="24"/>
                <w:szCs w:val="24"/>
                <w:u w:val="none"/>
                <w:lang w:val="en-US" w:eastAsia="zh-CN" w:bidi="ar"/>
              </w:rPr>
            </w:pPr>
          </w:p>
          <w:p>
            <w:pPr>
              <w:pStyle w:val="2"/>
              <w:keepNext w:val="0"/>
              <w:keepLines w:val="0"/>
              <w:pageBreakBefore w:val="0"/>
              <w:kinsoku/>
              <w:wordWrap/>
              <w:overflowPunct/>
              <w:topLinePunct w:val="0"/>
              <w:bidi w:val="0"/>
              <w:adjustRightInd/>
              <w:snapToGrid/>
              <w:spacing w:before="0" w:line="240" w:lineRule="exact"/>
              <w:ind w:left="0"/>
              <w:rPr>
                <w:rFonts w:hint="eastAsia" w:ascii="仿宋" w:hAnsi="仿宋" w:eastAsia="仿宋" w:cs="仿宋"/>
                <w:i w:val="0"/>
                <w:color w:val="000000"/>
                <w:kern w:val="0"/>
                <w:sz w:val="24"/>
                <w:szCs w:val="24"/>
                <w:u w:val="none"/>
                <w:lang w:val="en-US" w:eastAsia="zh-CN" w:bidi="ar"/>
              </w:rPr>
            </w:pPr>
          </w:p>
          <w:p>
            <w:pPr>
              <w:pStyle w:val="2"/>
              <w:keepNext w:val="0"/>
              <w:keepLines w:val="0"/>
              <w:pageBreakBefore w:val="0"/>
              <w:kinsoku/>
              <w:wordWrap/>
              <w:overflowPunct/>
              <w:topLinePunct w:val="0"/>
              <w:bidi w:val="0"/>
              <w:adjustRightInd/>
              <w:snapToGrid/>
              <w:spacing w:before="0" w:line="240" w:lineRule="exact"/>
              <w:ind w:left="0"/>
              <w:rPr>
                <w:rFonts w:hint="eastAsia" w:ascii="仿宋" w:hAnsi="仿宋" w:eastAsia="仿宋" w:cs="仿宋"/>
                <w:i w:val="0"/>
                <w:color w:val="000000"/>
                <w:kern w:val="0"/>
                <w:sz w:val="24"/>
                <w:szCs w:val="24"/>
                <w:u w:val="none"/>
                <w:lang w:val="en-US" w:eastAsia="zh-CN" w:bidi="ar"/>
              </w:rPr>
            </w:pPr>
          </w:p>
          <w:p>
            <w:pPr>
              <w:pStyle w:val="2"/>
              <w:keepNext w:val="0"/>
              <w:keepLines w:val="0"/>
              <w:pageBreakBefore w:val="0"/>
              <w:kinsoku/>
              <w:wordWrap/>
              <w:overflowPunct/>
              <w:topLinePunct w:val="0"/>
              <w:bidi w:val="0"/>
              <w:adjustRightInd/>
              <w:snapToGrid/>
              <w:spacing w:before="0" w:line="240" w:lineRule="exact"/>
              <w:ind w:left="0"/>
              <w:rPr>
                <w:rFonts w:hint="eastAsia" w:ascii="仿宋" w:hAnsi="仿宋" w:eastAsia="仿宋" w:cs="仿宋"/>
                <w:i w:val="0"/>
                <w:color w:val="000000"/>
                <w:kern w:val="0"/>
                <w:sz w:val="24"/>
                <w:szCs w:val="24"/>
                <w:u w:val="none"/>
                <w:lang w:val="en-US" w:eastAsia="zh-CN" w:bidi="ar"/>
              </w:rPr>
            </w:pPr>
          </w:p>
          <w:p>
            <w:pPr>
              <w:pStyle w:val="2"/>
              <w:keepNext w:val="0"/>
              <w:keepLines w:val="0"/>
              <w:pageBreakBefore w:val="0"/>
              <w:kinsoku/>
              <w:wordWrap/>
              <w:overflowPunct/>
              <w:topLinePunct w:val="0"/>
              <w:bidi w:val="0"/>
              <w:adjustRightInd/>
              <w:snapToGrid/>
              <w:spacing w:before="0" w:line="240" w:lineRule="exact"/>
              <w:ind w:left="0"/>
              <w:rPr>
                <w:rFonts w:hint="eastAsia" w:ascii="仿宋" w:hAnsi="仿宋" w:eastAsia="仿宋" w:cs="仿宋"/>
                <w:i w:val="0"/>
                <w:color w:val="000000"/>
                <w:kern w:val="0"/>
                <w:sz w:val="24"/>
                <w:szCs w:val="24"/>
                <w:u w:val="none"/>
                <w:lang w:val="en-US" w:eastAsia="zh-CN" w:bidi="ar"/>
              </w:rPr>
            </w:pPr>
          </w:p>
          <w:p>
            <w:pPr>
              <w:pStyle w:val="2"/>
              <w:keepNext w:val="0"/>
              <w:keepLines w:val="0"/>
              <w:pageBreakBefore w:val="0"/>
              <w:kinsoku/>
              <w:wordWrap/>
              <w:overflowPunct/>
              <w:topLinePunct w:val="0"/>
              <w:bidi w:val="0"/>
              <w:adjustRightInd/>
              <w:snapToGrid/>
              <w:spacing w:before="0" w:line="240" w:lineRule="exact"/>
              <w:ind w:left="0"/>
              <w:rPr>
                <w:rFonts w:hint="eastAsia" w:ascii="仿宋" w:hAnsi="仿宋" w:eastAsia="仿宋" w:cs="仿宋"/>
                <w:i w:val="0"/>
                <w:color w:val="000000"/>
                <w:kern w:val="0"/>
                <w:sz w:val="24"/>
                <w:szCs w:val="24"/>
                <w:u w:val="none"/>
                <w:lang w:val="en-US" w:eastAsia="zh-CN" w:bidi="ar"/>
              </w:rPr>
            </w:pPr>
          </w:p>
          <w:p>
            <w:pPr>
              <w:keepNext w:val="0"/>
              <w:keepLines w:val="0"/>
              <w:pageBreakBefore w:val="0"/>
              <w:widowControl/>
              <w:suppressLineNumbers w:val="0"/>
              <w:kinsoku/>
              <w:wordWrap/>
              <w:overflowPunct/>
              <w:topLinePunct w:val="0"/>
              <w:bidi w:val="0"/>
              <w:adjustRightInd/>
              <w:snapToGrid/>
              <w:spacing w:line="240" w:lineRule="exact"/>
              <w:ind w:left="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pageBreakBefore w:val="0"/>
              <w:widowControl/>
              <w:suppressLineNumbers w:val="0"/>
              <w:kinsoku/>
              <w:wordWrap/>
              <w:overflowPunct/>
              <w:topLinePunct w:val="0"/>
              <w:bidi w:val="0"/>
              <w:adjustRightInd/>
              <w:snapToGrid/>
              <w:spacing w:line="240" w:lineRule="exact"/>
              <w:ind w:left="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pageBreakBefore w:val="0"/>
              <w:widowControl/>
              <w:suppressLineNumbers w:val="0"/>
              <w:kinsoku/>
              <w:wordWrap/>
              <w:overflowPunct/>
              <w:topLinePunct w:val="0"/>
              <w:bidi w:val="0"/>
              <w:adjustRightInd/>
              <w:snapToGrid/>
              <w:spacing w:line="240" w:lineRule="exact"/>
              <w:ind w:left="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pageBreakBefore w:val="0"/>
              <w:widowControl/>
              <w:suppressLineNumbers w:val="0"/>
              <w:kinsoku/>
              <w:wordWrap/>
              <w:overflowPunct/>
              <w:topLinePunct w:val="0"/>
              <w:bidi w:val="0"/>
              <w:adjustRightInd/>
              <w:snapToGrid/>
              <w:spacing w:line="240" w:lineRule="exact"/>
              <w:ind w:left="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pageBreakBefore w:val="0"/>
              <w:widowControl/>
              <w:suppressLineNumbers w:val="0"/>
              <w:kinsoku/>
              <w:wordWrap/>
              <w:overflowPunct/>
              <w:topLinePunct w:val="0"/>
              <w:bidi w:val="0"/>
              <w:adjustRightInd/>
              <w:snapToGrid/>
              <w:spacing w:line="240" w:lineRule="exact"/>
              <w:ind w:left="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pageBreakBefore w:val="0"/>
              <w:widowControl/>
              <w:suppressLineNumbers w:val="0"/>
              <w:kinsoku/>
              <w:wordWrap/>
              <w:overflowPunct/>
              <w:topLinePunct w:val="0"/>
              <w:bidi w:val="0"/>
              <w:adjustRightInd/>
              <w:snapToGrid/>
              <w:spacing w:line="240" w:lineRule="exact"/>
              <w:ind w:left="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pageBreakBefore w:val="0"/>
              <w:widowControl/>
              <w:suppressLineNumbers w:val="0"/>
              <w:kinsoku/>
              <w:wordWrap/>
              <w:overflowPunct/>
              <w:topLinePunct w:val="0"/>
              <w:bidi w:val="0"/>
              <w:adjustRightInd/>
              <w:snapToGrid/>
              <w:spacing w:line="240" w:lineRule="exact"/>
              <w:ind w:left="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pageBreakBefore w:val="0"/>
              <w:widowControl/>
              <w:suppressLineNumbers w:val="0"/>
              <w:kinsoku/>
              <w:wordWrap/>
              <w:overflowPunct/>
              <w:topLinePunct w:val="0"/>
              <w:bidi w:val="0"/>
              <w:adjustRightInd/>
              <w:snapToGrid/>
              <w:spacing w:line="240" w:lineRule="exact"/>
              <w:ind w:left="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pageBreakBefore w:val="0"/>
              <w:widowControl/>
              <w:suppressLineNumbers w:val="0"/>
              <w:kinsoku/>
              <w:wordWrap/>
              <w:overflowPunct/>
              <w:topLinePunct w:val="0"/>
              <w:bidi w:val="0"/>
              <w:adjustRightInd/>
              <w:snapToGrid/>
              <w:spacing w:line="240" w:lineRule="exact"/>
              <w:ind w:left="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pageBreakBefore w:val="0"/>
              <w:widowControl/>
              <w:suppressLineNumbers w:val="0"/>
              <w:kinsoku/>
              <w:wordWrap/>
              <w:overflowPunct/>
              <w:topLinePunct w:val="0"/>
              <w:bidi w:val="0"/>
              <w:adjustRightInd/>
              <w:snapToGrid/>
              <w:spacing w:line="240" w:lineRule="exact"/>
              <w:ind w:left="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新区对外经济投资合作局</w:t>
            </w:r>
          </w:p>
        </w:tc>
        <w:tc>
          <w:tcPr>
            <w:tcW w:w="745" w:type="pct"/>
            <w:vMerge w:val="restart"/>
            <w:noWrap w:val="0"/>
            <w:tcMar>
              <w:top w:w="10" w:type="dxa"/>
              <w:left w:w="10" w:type="dxa"/>
              <w:right w:w="10" w:type="dxa"/>
            </w:tcMar>
            <w:vAlign w:val="center"/>
          </w:tcPr>
          <w:p>
            <w:pPr>
              <w:keepNext w:val="0"/>
              <w:keepLines w:val="0"/>
              <w:pageBreakBefore w:val="0"/>
              <w:widowControl/>
              <w:suppressLineNumbers w:val="0"/>
              <w:kinsoku/>
              <w:wordWrap/>
              <w:overflowPunct/>
              <w:topLinePunct w:val="0"/>
              <w:bidi w:val="0"/>
              <w:adjustRightInd/>
              <w:snapToGrid/>
              <w:spacing w:line="240" w:lineRule="exact"/>
              <w:ind w:left="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pageBreakBefore w:val="0"/>
              <w:widowControl/>
              <w:suppressLineNumbers w:val="0"/>
              <w:kinsoku/>
              <w:wordWrap/>
              <w:overflowPunct/>
              <w:topLinePunct w:val="0"/>
              <w:bidi w:val="0"/>
              <w:adjustRightInd/>
              <w:snapToGrid/>
              <w:spacing w:line="240" w:lineRule="exact"/>
              <w:ind w:left="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pageBreakBefore w:val="0"/>
              <w:widowControl/>
              <w:suppressLineNumbers w:val="0"/>
              <w:kinsoku/>
              <w:wordWrap/>
              <w:overflowPunct/>
              <w:topLinePunct w:val="0"/>
              <w:bidi w:val="0"/>
              <w:adjustRightInd/>
              <w:snapToGrid/>
              <w:spacing w:line="240" w:lineRule="exact"/>
              <w:ind w:left="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pageBreakBefore w:val="0"/>
              <w:widowControl/>
              <w:suppressLineNumbers w:val="0"/>
              <w:kinsoku/>
              <w:wordWrap/>
              <w:overflowPunct/>
              <w:topLinePunct w:val="0"/>
              <w:bidi w:val="0"/>
              <w:adjustRightInd/>
              <w:snapToGrid/>
              <w:spacing w:line="240" w:lineRule="exact"/>
              <w:ind w:left="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pageBreakBefore w:val="0"/>
              <w:widowControl/>
              <w:suppressLineNumbers w:val="0"/>
              <w:kinsoku/>
              <w:wordWrap/>
              <w:overflowPunct/>
              <w:topLinePunct w:val="0"/>
              <w:bidi w:val="0"/>
              <w:adjustRightInd/>
              <w:snapToGrid/>
              <w:spacing w:line="240" w:lineRule="exact"/>
              <w:ind w:left="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pageBreakBefore w:val="0"/>
              <w:widowControl/>
              <w:suppressLineNumbers w:val="0"/>
              <w:kinsoku/>
              <w:wordWrap/>
              <w:overflowPunct/>
              <w:topLinePunct w:val="0"/>
              <w:bidi w:val="0"/>
              <w:adjustRightInd/>
              <w:snapToGrid/>
              <w:spacing w:line="240" w:lineRule="exact"/>
              <w:ind w:left="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pageBreakBefore w:val="0"/>
              <w:widowControl/>
              <w:suppressLineNumbers w:val="0"/>
              <w:kinsoku/>
              <w:wordWrap/>
              <w:overflowPunct/>
              <w:topLinePunct w:val="0"/>
              <w:bidi w:val="0"/>
              <w:adjustRightInd/>
              <w:snapToGrid/>
              <w:spacing w:line="240" w:lineRule="exact"/>
              <w:ind w:left="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产出指标</w:t>
            </w:r>
          </w:p>
        </w:tc>
        <w:tc>
          <w:tcPr>
            <w:tcW w:w="827" w:type="pct"/>
            <w:vMerge w:val="restart"/>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数量指标</w:t>
            </w:r>
          </w:p>
        </w:tc>
        <w:tc>
          <w:tcPr>
            <w:tcW w:w="1499" w:type="pct"/>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left"/>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城区改造面积</w:t>
            </w:r>
          </w:p>
        </w:tc>
        <w:tc>
          <w:tcPr>
            <w:tcW w:w="1285" w:type="pct"/>
            <w:gridSpan w:val="2"/>
            <w:noWrap/>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8000平方米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5" w:type="pct"/>
          <w:trHeight w:val="300" w:hRule="atLeast"/>
        </w:trPr>
        <w:tc>
          <w:tcPr>
            <w:tcW w:w="626"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745"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827"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1499" w:type="pct"/>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left"/>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人员经费保证职工人数</w:t>
            </w:r>
          </w:p>
        </w:tc>
        <w:tc>
          <w:tcPr>
            <w:tcW w:w="1285" w:type="pct"/>
            <w:gridSpan w:val="2"/>
            <w:noWrap/>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sz w:val="24"/>
                <w:szCs w:val="24"/>
              </w:rPr>
              <w:t>≦8人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5" w:type="pct"/>
          <w:trHeight w:val="300" w:hRule="atLeast"/>
        </w:trPr>
        <w:tc>
          <w:tcPr>
            <w:tcW w:w="626"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745"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827"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1499" w:type="pct"/>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left"/>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2021年第五届丝博会参加单位</w:t>
            </w:r>
          </w:p>
        </w:tc>
        <w:tc>
          <w:tcPr>
            <w:tcW w:w="1285" w:type="pct"/>
            <w:gridSpan w:val="2"/>
            <w:noWrap/>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sz w:val="24"/>
                <w:szCs w:val="24"/>
              </w:rPr>
              <w:t>≧</w:t>
            </w:r>
            <w:r>
              <w:rPr>
                <w:rFonts w:hint="eastAsia" w:ascii="仿宋" w:hAnsi="仿宋" w:eastAsia="仿宋" w:cs="仿宋"/>
                <w:sz w:val="24"/>
                <w:szCs w:val="24"/>
                <w:lang w:val="en-US" w:eastAsia="zh-CN"/>
              </w:rPr>
              <w:t>18家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5" w:type="pct"/>
          <w:trHeight w:val="300" w:hRule="atLeast"/>
        </w:trPr>
        <w:tc>
          <w:tcPr>
            <w:tcW w:w="626"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745"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827"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1499" w:type="pct"/>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left"/>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2021年第五届丝博会参加企业数量</w:t>
            </w:r>
          </w:p>
        </w:tc>
        <w:tc>
          <w:tcPr>
            <w:tcW w:w="1285" w:type="pct"/>
            <w:gridSpan w:val="2"/>
            <w:noWrap/>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sz w:val="24"/>
                <w:szCs w:val="24"/>
              </w:rPr>
              <w:t>≧75户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5" w:type="pct"/>
          <w:trHeight w:val="300" w:hRule="atLeast"/>
        </w:trPr>
        <w:tc>
          <w:tcPr>
            <w:tcW w:w="626"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745"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827"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1499" w:type="pct"/>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left"/>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sz w:val="24"/>
                <w:szCs w:val="24"/>
              </w:rPr>
              <w:t>2021年第五届丝博会参加人</w:t>
            </w:r>
            <w:r>
              <w:rPr>
                <w:rFonts w:hint="eastAsia" w:ascii="仿宋" w:hAnsi="仿宋" w:eastAsia="仿宋" w:cs="仿宋"/>
                <w:sz w:val="24"/>
                <w:szCs w:val="24"/>
                <w:lang w:val="en-US" w:eastAsia="zh-CN"/>
              </w:rPr>
              <w:t>数</w:t>
            </w:r>
          </w:p>
        </w:tc>
        <w:tc>
          <w:tcPr>
            <w:tcW w:w="1285" w:type="pct"/>
            <w:gridSpan w:val="2"/>
            <w:noWrap/>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sz w:val="24"/>
                <w:szCs w:val="24"/>
              </w:rPr>
              <w:t>≧</w:t>
            </w:r>
            <w:r>
              <w:rPr>
                <w:rFonts w:hint="eastAsia" w:ascii="仿宋" w:hAnsi="仿宋" w:eastAsia="仿宋" w:cs="仿宋"/>
                <w:sz w:val="24"/>
                <w:szCs w:val="24"/>
                <w:lang w:val="en-US" w:eastAsia="zh-CN"/>
              </w:rPr>
              <w:t>300人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5" w:type="pct"/>
          <w:trHeight w:val="300" w:hRule="atLeast"/>
        </w:trPr>
        <w:tc>
          <w:tcPr>
            <w:tcW w:w="626"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745"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827"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1499" w:type="pct"/>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left"/>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sz w:val="24"/>
                <w:szCs w:val="24"/>
              </w:rPr>
              <w:t>扶贫产品交易会参加企业数量</w:t>
            </w:r>
          </w:p>
        </w:tc>
        <w:tc>
          <w:tcPr>
            <w:tcW w:w="1285" w:type="pct"/>
            <w:gridSpan w:val="2"/>
            <w:noWrap/>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sz w:val="24"/>
                <w:szCs w:val="24"/>
              </w:rPr>
              <w:t>≧</w:t>
            </w:r>
            <w:r>
              <w:rPr>
                <w:rFonts w:hint="eastAsia" w:ascii="仿宋" w:hAnsi="仿宋" w:eastAsia="仿宋" w:cs="仿宋"/>
                <w:sz w:val="24"/>
                <w:szCs w:val="24"/>
                <w:lang w:val="en-US" w:eastAsia="zh-CN"/>
              </w:rPr>
              <w:t>20人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5" w:type="pct"/>
          <w:trHeight w:val="300" w:hRule="atLeast"/>
        </w:trPr>
        <w:tc>
          <w:tcPr>
            <w:tcW w:w="626"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745"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827"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1499" w:type="pct"/>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left"/>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sz w:val="24"/>
                <w:szCs w:val="24"/>
              </w:rPr>
              <w:t>陕西——长三角地区经济合作活动参与人数</w:t>
            </w:r>
          </w:p>
        </w:tc>
        <w:tc>
          <w:tcPr>
            <w:tcW w:w="1285" w:type="pct"/>
            <w:gridSpan w:val="2"/>
            <w:noWrap/>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sz w:val="24"/>
                <w:szCs w:val="24"/>
              </w:rPr>
              <w:t>≧</w:t>
            </w:r>
            <w:r>
              <w:rPr>
                <w:rFonts w:hint="eastAsia" w:ascii="仿宋" w:hAnsi="仿宋" w:eastAsia="仿宋" w:cs="仿宋"/>
                <w:sz w:val="24"/>
                <w:szCs w:val="24"/>
                <w:lang w:val="en-US" w:eastAsia="zh-CN"/>
              </w:rPr>
              <w:t>5人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5" w:type="pct"/>
          <w:trHeight w:val="300" w:hRule="atLeast"/>
        </w:trPr>
        <w:tc>
          <w:tcPr>
            <w:tcW w:w="626"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745"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827"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1499" w:type="pct"/>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left"/>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sz w:val="24"/>
                <w:szCs w:val="24"/>
              </w:rPr>
              <w:t>陕粤港澳经济合作活动参加单位</w:t>
            </w:r>
          </w:p>
        </w:tc>
        <w:tc>
          <w:tcPr>
            <w:tcW w:w="1285" w:type="pct"/>
            <w:gridSpan w:val="2"/>
            <w:noWrap/>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sz w:val="24"/>
                <w:szCs w:val="24"/>
              </w:rPr>
              <w:t>≧</w:t>
            </w:r>
            <w:r>
              <w:rPr>
                <w:rFonts w:hint="eastAsia" w:ascii="仿宋" w:hAnsi="仿宋" w:eastAsia="仿宋" w:cs="仿宋"/>
                <w:sz w:val="24"/>
                <w:szCs w:val="24"/>
                <w:lang w:val="en-US" w:eastAsia="zh-CN"/>
              </w:rPr>
              <w:t>6家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5" w:type="pct"/>
          <w:trHeight w:val="300" w:hRule="atLeast"/>
        </w:trPr>
        <w:tc>
          <w:tcPr>
            <w:tcW w:w="626"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745"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827"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1499" w:type="pct"/>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left"/>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sz w:val="24"/>
                <w:szCs w:val="24"/>
              </w:rPr>
              <w:t>陕粤港澳经济合作活动参加人数</w:t>
            </w:r>
          </w:p>
        </w:tc>
        <w:tc>
          <w:tcPr>
            <w:tcW w:w="1285" w:type="pct"/>
            <w:gridSpan w:val="2"/>
            <w:noWrap/>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sz w:val="24"/>
                <w:szCs w:val="24"/>
              </w:rPr>
              <w:t>≧</w:t>
            </w:r>
            <w:r>
              <w:rPr>
                <w:rFonts w:hint="eastAsia" w:ascii="仿宋" w:hAnsi="仿宋" w:eastAsia="仿宋" w:cs="仿宋"/>
                <w:sz w:val="24"/>
                <w:szCs w:val="24"/>
                <w:lang w:val="en-US" w:eastAsia="zh-CN"/>
              </w:rPr>
              <w:t>10人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5" w:type="pct"/>
          <w:trHeight w:val="300" w:hRule="atLeast"/>
        </w:trPr>
        <w:tc>
          <w:tcPr>
            <w:tcW w:w="626"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745"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827"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1499" w:type="pct"/>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left"/>
              <w:rPr>
                <w:rFonts w:hint="eastAsia" w:ascii="仿宋" w:hAnsi="仿宋" w:eastAsia="仿宋" w:cs="仿宋"/>
                <w:sz w:val="24"/>
                <w:szCs w:val="24"/>
              </w:rPr>
            </w:pPr>
            <w:r>
              <w:rPr>
                <w:rFonts w:hint="eastAsia" w:ascii="仿宋" w:hAnsi="仿宋" w:eastAsia="仿宋" w:cs="仿宋"/>
                <w:sz w:val="24"/>
                <w:szCs w:val="24"/>
              </w:rPr>
              <w:t>杨凌农高会参加企业数量</w:t>
            </w:r>
          </w:p>
        </w:tc>
        <w:tc>
          <w:tcPr>
            <w:tcW w:w="1285" w:type="pct"/>
            <w:gridSpan w:val="2"/>
            <w:noWrap/>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5家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5" w:type="pct"/>
          <w:trHeight w:val="300" w:hRule="atLeast"/>
        </w:trPr>
        <w:tc>
          <w:tcPr>
            <w:tcW w:w="626"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745"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827"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1499" w:type="pct"/>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left"/>
              <w:rPr>
                <w:rFonts w:hint="eastAsia" w:ascii="仿宋" w:hAnsi="仿宋" w:eastAsia="仿宋" w:cs="仿宋"/>
                <w:sz w:val="24"/>
                <w:szCs w:val="24"/>
              </w:rPr>
            </w:pPr>
            <w:r>
              <w:rPr>
                <w:rFonts w:hint="eastAsia" w:ascii="仿宋" w:hAnsi="仿宋" w:eastAsia="仿宋" w:cs="仿宋"/>
                <w:sz w:val="24"/>
                <w:szCs w:val="24"/>
              </w:rPr>
              <w:t>杨凌农高会参加人数</w:t>
            </w:r>
          </w:p>
        </w:tc>
        <w:tc>
          <w:tcPr>
            <w:tcW w:w="1285" w:type="pct"/>
            <w:gridSpan w:val="2"/>
            <w:noWrap/>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10人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5" w:type="pct"/>
          <w:trHeight w:val="300" w:hRule="atLeast"/>
        </w:trPr>
        <w:tc>
          <w:tcPr>
            <w:tcW w:w="626"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745"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827"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1499" w:type="pct"/>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left"/>
              <w:rPr>
                <w:rFonts w:hint="eastAsia" w:ascii="仿宋" w:hAnsi="仿宋" w:eastAsia="仿宋" w:cs="仿宋"/>
                <w:sz w:val="24"/>
                <w:szCs w:val="24"/>
              </w:rPr>
            </w:pPr>
            <w:r>
              <w:rPr>
                <w:rFonts w:hint="eastAsia" w:ascii="仿宋" w:hAnsi="仿宋" w:eastAsia="仿宋" w:cs="仿宋"/>
                <w:sz w:val="24"/>
                <w:szCs w:val="24"/>
              </w:rPr>
              <w:t>中国国际进口博览会参加人数</w:t>
            </w:r>
          </w:p>
        </w:tc>
        <w:tc>
          <w:tcPr>
            <w:tcW w:w="1285" w:type="pct"/>
            <w:gridSpan w:val="2"/>
            <w:noWrap/>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5人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5" w:type="pct"/>
          <w:trHeight w:val="300" w:hRule="atLeast"/>
        </w:trPr>
        <w:tc>
          <w:tcPr>
            <w:tcW w:w="626"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745"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827"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1499" w:type="pct"/>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left"/>
              <w:rPr>
                <w:rFonts w:hint="eastAsia" w:ascii="仿宋" w:hAnsi="仿宋" w:eastAsia="仿宋" w:cs="仿宋"/>
                <w:sz w:val="24"/>
                <w:szCs w:val="24"/>
              </w:rPr>
            </w:pPr>
            <w:r>
              <w:rPr>
                <w:rFonts w:hint="eastAsia" w:ascii="仿宋" w:hAnsi="仿宋" w:eastAsia="仿宋" w:cs="仿宋"/>
                <w:sz w:val="24"/>
                <w:szCs w:val="24"/>
              </w:rPr>
              <w:t>中国国际投资贸易洽谈会参加人数</w:t>
            </w:r>
          </w:p>
        </w:tc>
        <w:tc>
          <w:tcPr>
            <w:tcW w:w="1285" w:type="pct"/>
            <w:gridSpan w:val="2"/>
            <w:noWrap/>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5人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5" w:type="pct"/>
          <w:trHeight w:val="300" w:hRule="atLeast"/>
        </w:trPr>
        <w:tc>
          <w:tcPr>
            <w:tcW w:w="626"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745"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827"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1499" w:type="pct"/>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left"/>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sz w:val="24"/>
                <w:szCs w:val="24"/>
              </w:rPr>
              <w:t>招商宣传片前期人员：导演、撰稿、摄影师、灯光师、影视化妆、影视模特、场记、场务，后期人员：国家级中、英文配音、 视频剪辑、特效字幕、3D动画制作、音频制作、影音合成视频包装参加人数</w:t>
            </w:r>
          </w:p>
        </w:tc>
        <w:tc>
          <w:tcPr>
            <w:tcW w:w="1285" w:type="pct"/>
            <w:gridSpan w:val="2"/>
            <w:noWrap/>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sz w:val="24"/>
                <w:szCs w:val="24"/>
              </w:rPr>
              <w:t>≧</w:t>
            </w:r>
            <w:r>
              <w:rPr>
                <w:rFonts w:hint="eastAsia" w:ascii="仿宋" w:hAnsi="仿宋" w:eastAsia="仿宋" w:cs="仿宋"/>
                <w:sz w:val="24"/>
                <w:szCs w:val="24"/>
                <w:lang w:val="en-US" w:eastAsia="zh-CN"/>
              </w:rPr>
              <w:t>30人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5" w:type="pct"/>
          <w:trHeight w:val="300" w:hRule="atLeast"/>
        </w:trPr>
        <w:tc>
          <w:tcPr>
            <w:tcW w:w="626"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745"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827" w:type="pct"/>
            <w:vMerge w:val="restart"/>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质量指标</w:t>
            </w:r>
          </w:p>
        </w:tc>
        <w:tc>
          <w:tcPr>
            <w:tcW w:w="1499" w:type="pct"/>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left"/>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sz w:val="24"/>
                <w:szCs w:val="24"/>
              </w:rPr>
              <w:t>职工到位率</w:t>
            </w:r>
          </w:p>
        </w:tc>
        <w:tc>
          <w:tcPr>
            <w:tcW w:w="1285" w:type="pct"/>
            <w:gridSpan w:val="2"/>
            <w:noWrap/>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sz w:val="24"/>
                <w:szCs w:val="24"/>
              </w:rPr>
              <w:t>≧</w:t>
            </w:r>
            <w:r>
              <w:rPr>
                <w:rFonts w:hint="eastAsia" w:ascii="仿宋" w:hAnsi="仿宋" w:eastAsia="仿宋" w:cs="仿宋"/>
                <w:sz w:val="24"/>
                <w:szCs w:val="24"/>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5" w:type="pct"/>
          <w:trHeight w:val="300" w:hRule="atLeast"/>
        </w:trPr>
        <w:tc>
          <w:tcPr>
            <w:tcW w:w="626"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745"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827"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1499" w:type="pct"/>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left"/>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sz w:val="24"/>
                <w:szCs w:val="24"/>
              </w:rPr>
              <w:t>2021年第五届丝博会参与率</w:t>
            </w:r>
          </w:p>
        </w:tc>
        <w:tc>
          <w:tcPr>
            <w:tcW w:w="1285" w:type="pct"/>
            <w:gridSpan w:val="2"/>
            <w:noWrap/>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sz w:val="24"/>
                <w:szCs w:val="24"/>
              </w:rPr>
              <w:t>≧</w:t>
            </w:r>
            <w:r>
              <w:rPr>
                <w:rFonts w:hint="eastAsia" w:ascii="仿宋" w:hAnsi="仿宋" w:eastAsia="仿宋" w:cs="仿宋"/>
                <w:sz w:val="24"/>
                <w:szCs w:val="24"/>
                <w:lang w:val="en-US"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5" w:type="pct"/>
          <w:trHeight w:val="300" w:hRule="atLeast"/>
        </w:trPr>
        <w:tc>
          <w:tcPr>
            <w:tcW w:w="626"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745"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827"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1499" w:type="pct"/>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left"/>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sz w:val="24"/>
                <w:szCs w:val="24"/>
              </w:rPr>
              <w:t>扶贫产品交易会参与率</w:t>
            </w:r>
          </w:p>
        </w:tc>
        <w:tc>
          <w:tcPr>
            <w:tcW w:w="1285" w:type="pct"/>
            <w:gridSpan w:val="2"/>
            <w:noWrap/>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sz w:val="24"/>
                <w:szCs w:val="24"/>
              </w:rPr>
              <w:t>≧</w:t>
            </w:r>
            <w:r>
              <w:rPr>
                <w:rFonts w:hint="eastAsia" w:ascii="仿宋" w:hAnsi="仿宋" w:eastAsia="仿宋" w:cs="仿宋"/>
                <w:sz w:val="24"/>
                <w:szCs w:val="24"/>
                <w:lang w:val="en-US" w:eastAsia="zh-CN"/>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5" w:type="pct"/>
          <w:trHeight w:val="300" w:hRule="atLeast"/>
        </w:trPr>
        <w:tc>
          <w:tcPr>
            <w:tcW w:w="626"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745"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827"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1499" w:type="pct"/>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left"/>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sz w:val="24"/>
                <w:szCs w:val="24"/>
              </w:rPr>
              <w:t>陕西——长三角地区经济合作活动</w:t>
            </w:r>
            <w:r>
              <w:rPr>
                <w:rFonts w:hint="eastAsia" w:ascii="仿宋" w:hAnsi="仿宋" w:eastAsia="仿宋" w:cs="仿宋"/>
                <w:sz w:val="24"/>
                <w:szCs w:val="24"/>
                <w:lang w:val="en-US" w:eastAsia="zh-CN"/>
              </w:rPr>
              <w:t>参与率</w:t>
            </w:r>
          </w:p>
        </w:tc>
        <w:tc>
          <w:tcPr>
            <w:tcW w:w="1285" w:type="pct"/>
            <w:gridSpan w:val="2"/>
            <w:noWrap/>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sz w:val="24"/>
                <w:szCs w:val="24"/>
              </w:rPr>
              <w:t>≧</w:t>
            </w:r>
            <w:r>
              <w:rPr>
                <w:rFonts w:hint="eastAsia" w:ascii="仿宋" w:hAnsi="仿宋" w:eastAsia="仿宋" w:cs="仿宋"/>
                <w:sz w:val="24"/>
                <w:szCs w:val="24"/>
                <w:lang w:val="en-US" w:eastAsia="zh-CN"/>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5" w:type="pct"/>
          <w:trHeight w:val="300" w:hRule="atLeast"/>
        </w:trPr>
        <w:tc>
          <w:tcPr>
            <w:tcW w:w="626"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745"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827"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1499" w:type="pct"/>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left"/>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sz w:val="24"/>
                <w:szCs w:val="24"/>
              </w:rPr>
              <w:t>陕粤港澳经济合作活动参与率</w:t>
            </w:r>
          </w:p>
        </w:tc>
        <w:tc>
          <w:tcPr>
            <w:tcW w:w="1285" w:type="pct"/>
            <w:gridSpan w:val="2"/>
            <w:noWrap/>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sz w:val="24"/>
                <w:szCs w:val="24"/>
              </w:rPr>
              <w:t>≧</w:t>
            </w:r>
            <w:r>
              <w:rPr>
                <w:rFonts w:hint="eastAsia" w:ascii="仿宋" w:hAnsi="仿宋" w:eastAsia="仿宋" w:cs="仿宋"/>
                <w:sz w:val="24"/>
                <w:szCs w:val="24"/>
                <w:lang w:val="en-US" w:eastAsia="zh-CN"/>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5" w:type="pct"/>
          <w:trHeight w:val="300" w:hRule="atLeast"/>
        </w:trPr>
        <w:tc>
          <w:tcPr>
            <w:tcW w:w="626"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745"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827"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1499" w:type="pct"/>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left"/>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sz w:val="24"/>
                <w:szCs w:val="24"/>
              </w:rPr>
              <w:t>杨凌农高会参与率</w:t>
            </w:r>
          </w:p>
        </w:tc>
        <w:tc>
          <w:tcPr>
            <w:tcW w:w="1285" w:type="pct"/>
            <w:gridSpan w:val="2"/>
            <w:noWrap/>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sz w:val="24"/>
                <w:szCs w:val="24"/>
              </w:rPr>
              <w:t>≧</w:t>
            </w:r>
            <w:r>
              <w:rPr>
                <w:rFonts w:hint="eastAsia" w:ascii="仿宋" w:hAnsi="仿宋" w:eastAsia="仿宋" w:cs="仿宋"/>
                <w:sz w:val="24"/>
                <w:szCs w:val="24"/>
                <w:lang w:val="en-US"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5" w:type="pct"/>
          <w:trHeight w:val="300" w:hRule="atLeast"/>
        </w:trPr>
        <w:tc>
          <w:tcPr>
            <w:tcW w:w="626"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745"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827"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1499" w:type="pct"/>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left"/>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sz w:val="24"/>
                <w:szCs w:val="24"/>
              </w:rPr>
              <w:t>中国国际进口博览会参与率</w:t>
            </w:r>
          </w:p>
        </w:tc>
        <w:tc>
          <w:tcPr>
            <w:tcW w:w="1285" w:type="pct"/>
            <w:gridSpan w:val="2"/>
            <w:noWrap/>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sz w:val="24"/>
                <w:szCs w:val="24"/>
              </w:rPr>
              <w:t>≧</w:t>
            </w:r>
            <w:r>
              <w:rPr>
                <w:rFonts w:hint="eastAsia" w:ascii="仿宋" w:hAnsi="仿宋" w:eastAsia="仿宋" w:cs="仿宋"/>
                <w:sz w:val="24"/>
                <w:szCs w:val="24"/>
                <w:lang w:val="en-US" w:eastAsia="zh-CN"/>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5" w:type="pct"/>
          <w:trHeight w:val="300" w:hRule="atLeast"/>
        </w:trPr>
        <w:tc>
          <w:tcPr>
            <w:tcW w:w="626"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745"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827"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1499" w:type="pct"/>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left"/>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sz w:val="24"/>
                <w:szCs w:val="24"/>
              </w:rPr>
              <w:t>中国国际投资贸易洽谈会参与率</w:t>
            </w:r>
          </w:p>
        </w:tc>
        <w:tc>
          <w:tcPr>
            <w:tcW w:w="1285" w:type="pct"/>
            <w:gridSpan w:val="2"/>
            <w:noWrap/>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sz w:val="24"/>
                <w:szCs w:val="24"/>
              </w:rPr>
              <w:t>≧</w:t>
            </w:r>
            <w:r>
              <w:rPr>
                <w:rFonts w:hint="eastAsia" w:ascii="仿宋" w:hAnsi="仿宋" w:eastAsia="仿宋" w:cs="仿宋"/>
                <w:sz w:val="24"/>
                <w:szCs w:val="24"/>
                <w:lang w:val="en-US" w:eastAsia="zh-CN"/>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5" w:type="pct"/>
          <w:trHeight w:val="300" w:hRule="atLeast"/>
        </w:trPr>
        <w:tc>
          <w:tcPr>
            <w:tcW w:w="626"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745"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827" w:type="pct"/>
            <w:vMerge w:val="restart"/>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时效指标</w:t>
            </w:r>
          </w:p>
        </w:tc>
        <w:tc>
          <w:tcPr>
            <w:tcW w:w="1499" w:type="pct"/>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left"/>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sz w:val="24"/>
                <w:szCs w:val="24"/>
              </w:rPr>
              <w:t>2021年第五届丝博会时间</w:t>
            </w:r>
          </w:p>
        </w:tc>
        <w:tc>
          <w:tcPr>
            <w:tcW w:w="1285" w:type="pct"/>
            <w:gridSpan w:val="2"/>
            <w:noWrap/>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sz w:val="24"/>
                <w:szCs w:val="24"/>
              </w:rPr>
            </w:pPr>
            <w:r>
              <w:rPr>
                <w:rFonts w:hint="eastAsia" w:ascii="仿宋" w:hAnsi="仿宋" w:eastAsia="仿宋" w:cs="仿宋"/>
                <w:sz w:val="24"/>
                <w:szCs w:val="24"/>
              </w:rPr>
              <w:t>2021年5月11日</w:t>
            </w:r>
            <w:r>
              <w:rPr>
                <w:rFonts w:hint="eastAsia" w:ascii="仿宋" w:hAnsi="仿宋" w:eastAsia="仿宋" w:cs="仿宋"/>
                <w:sz w:val="24"/>
                <w:szCs w:val="24"/>
                <w:highlight w:val="none"/>
              </w:rPr>
              <w:t>-</w:t>
            </w:r>
          </w:p>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sz w:val="24"/>
                <w:szCs w:val="24"/>
              </w:rPr>
              <w:t>202</w:t>
            </w:r>
            <w:r>
              <w:rPr>
                <w:rFonts w:hint="eastAsia" w:ascii="仿宋" w:hAnsi="仿宋" w:eastAsia="仿宋" w:cs="仿宋"/>
                <w:sz w:val="24"/>
                <w:szCs w:val="24"/>
                <w:lang w:val="en-US" w:eastAsia="zh-CN"/>
              </w:rPr>
              <w:t>1</w:t>
            </w:r>
            <w:r>
              <w:rPr>
                <w:rFonts w:hint="eastAsia" w:ascii="仿宋" w:hAnsi="仿宋" w:eastAsia="仿宋" w:cs="仿宋"/>
                <w:sz w:val="24"/>
                <w:szCs w:val="24"/>
              </w:rPr>
              <w:t>年5月17日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5" w:type="pct"/>
          <w:trHeight w:val="300" w:hRule="atLeast"/>
        </w:trPr>
        <w:tc>
          <w:tcPr>
            <w:tcW w:w="626"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745"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827"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1499" w:type="pct"/>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left"/>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sz w:val="24"/>
                <w:szCs w:val="24"/>
              </w:rPr>
              <w:t>第三届扶贫产品交易会时间</w:t>
            </w:r>
          </w:p>
        </w:tc>
        <w:tc>
          <w:tcPr>
            <w:tcW w:w="1285" w:type="pct"/>
            <w:gridSpan w:val="2"/>
            <w:noWrap/>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sz w:val="24"/>
                <w:szCs w:val="24"/>
              </w:rPr>
            </w:pPr>
            <w:r>
              <w:rPr>
                <w:rFonts w:hint="eastAsia" w:ascii="仿宋" w:hAnsi="仿宋" w:eastAsia="仿宋" w:cs="仿宋"/>
                <w:sz w:val="24"/>
                <w:szCs w:val="24"/>
              </w:rPr>
              <w:t>2021年9月11日</w:t>
            </w:r>
            <w:r>
              <w:rPr>
                <w:rFonts w:hint="eastAsia" w:ascii="仿宋" w:hAnsi="仿宋" w:eastAsia="仿宋" w:cs="仿宋"/>
                <w:sz w:val="24"/>
                <w:szCs w:val="24"/>
                <w:highlight w:val="none"/>
              </w:rPr>
              <w:t>-</w:t>
            </w:r>
          </w:p>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sz w:val="24"/>
                <w:szCs w:val="24"/>
              </w:rPr>
              <w:t>202</w:t>
            </w:r>
            <w:r>
              <w:rPr>
                <w:rFonts w:hint="eastAsia" w:ascii="仿宋" w:hAnsi="仿宋" w:eastAsia="仿宋" w:cs="仿宋"/>
                <w:sz w:val="24"/>
                <w:szCs w:val="24"/>
                <w:lang w:val="en-US" w:eastAsia="zh-CN"/>
              </w:rPr>
              <w:t>1</w:t>
            </w:r>
            <w:r>
              <w:rPr>
                <w:rFonts w:hint="eastAsia" w:ascii="仿宋" w:hAnsi="仿宋" w:eastAsia="仿宋" w:cs="仿宋"/>
                <w:sz w:val="24"/>
                <w:szCs w:val="24"/>
              </w:rPr>
              <w:t>年5月18日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5" w:type="pct"/>
          <w:trHeight w:val="300" w:hRule="atLeast"/>
        </w:trPr>
        <w:tc>
          <w:tcPr>
            <w:tcW w:w="626"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745"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827"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1499" w:type="pct"/>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left"/>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sz w:val="24"/>
                <w:szCs w:val="24"/>
              </w:rPr>
              <w:t>陕西——长三角地区经济合作活动时间</w:t>
            </w:r>
          </w:p>
        </w:tc>
        <w:tc>
          <w:tcPr>
            <w:tcW w:w="1285" w:type="pct"/>
            <w:gridSpan w:val="2"/>
            <w:noWrap/>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sz w:val="24"/>
                <w:szCs w:val="24"/>
              </w:rPr>
            </w:pPr>
            <w:r>
              <w:rPr>
                <w:rFonts w:hint="eastAsia" w:ascii="仿宋" w:hAnsi="仿宋" w:eastAsia="仿宋" w:cs="仿宋"/>
                <w:sz w:val="24"/>
                <w:szCs w:val="24"/>
              </w:rPr>
              <w:t>2021年8月5日</w:t>
            </w:r>
            <w:r>
              <w:rPr>
                <w:rFonts w:hint="eastAsia" w:ascii="仿宋" w:hAnsi="仿宋" w:eastAsia="仿宋" w:cs="仿宋"/>
                <w:sz w:val="24"/>
                <w:szCs w:val="24"/>
                <w:highlight w:val="none"/>
              </w:rPr>
              <w:t>-</w:t>
            </w:r>
          </w:p>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sz w:val="24"/>
                <w:szCs w:val="24"/>
              </w:rPr>
              <w:t>202</w:t>
            </w:r>
            <w:r>
              <w:rPr>
                <w:rFonts w:hint="eastAsia" w:ascii="仿宋" w:hAnsi="仿宋" w:eastAsia="仿宋" w:cs="仿宋"/>
                <w:sz w:val="24"/>
                <w:szCs w:val="24"/>
                <w:lang w:val="en-US" w:eastAsia="zh-CN"/>
              </w:rPr>
              <w:t>1</w:t>
            </w:r>
            <w:r>
              <w:rPr>
                <w:rFonts w:hint="eastAsia" w:ascii="仿宋" w:hAnsi="仿宋" w:eastAsia="仿宋" w:cs="仿宋"/>
                <w:sz w:val="24"/>
                <w:szCs w:val="24"/>
              </w:rPr>
              <w:t>年8月11日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5" w:type="pct"/>
          <w:trHeight w:val="300" w:hRule="atLeast"/>
        </w:trPr>
        <w:tc>
          <w:tcPr>
            <w:tcW w:w="626"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745"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827"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1499" w:type="pct"/>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left"/>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sz w:val="24"/>
                <w:szCs w:val="24"/>
              </w:rPr>
              <w:t>陕粤港澳经济合作活动时间</w:t>
            </w:r>
          </w:p>
        </w:tc>
        <w:tc>
          <w:tcPr>
            <w:tcW w:w="1285" w:type="pct"/>
            <w:gridSpan w:val="2"/>
            <w:noWrap/>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sz w:val="24"/>
                <w:szCs w:val="24"/>
              </w:rPr>
            </w:pPr>
            <w:r>
              <w:rPr>
                <w:rFonts w:hint="eastAsia" w:ascii="仿宋" w:hAnsi="仿宋" w:eastAsia="仿宋" w:cs="仿宋"/>
                <w:sz w:val="24"/>
                <w:szCs w:val="24"/>
              </w:rPr>
              <w:t>2021年12月2日</w:t>
            </w:r>
            <w:r>
              <w:rPr>
                <w:rFonts w:hint="eastAsia" w:ascii="仿宋" w:hAnsi="仿宋" w:eastAsia="仿宋" w:cs="仿宋"/>
                <w:sz w:val="24"/>
                <w:szCs w:val="24"/>
                <w:highlight w:val="none"/>
              </w:rPr>
              <w:t>-</w:t>
            </w:r>
          </w:p>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sz w:val="24"/>
                <w:szCs w:val="24"/>
              </w:rPr>
              <w:t>202</w:t>
            </w:r>
            <w:r>
              <w:rPr>
                <w:rFonts w:hint="eastAsia" w:ascii="仿宋" w:hAnsi="仿宋" w:eastAsia="仿宋" w:cs="仿宋"/>
                <w:sz w:val="24"/>
                <w:szCs w:val="24"/>
                <w:lang w:val="en-US" w:eastAsia="zh-CN"/>
              </w:rPr>
              <w:t>1</w:t>
            </w:r>
            <w:r>
              <w:rPr>
                <w:rFonts w:hint="eastAsia" w:ascii="仿宋" w:hAnsi="仿宋" w:eastAsia="仿宋" w:cs="仿宋"/>
                <w:sz w:val="24"/>
                <w:szCs w:val="24"/>
              </w:rPr>
              <w:t>年12月7日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5" w:type="pct"/>
          <w:trHeight w:val="300" w:hRule="atLeast"/>
        </w:trPr>
        <w:tc>
          <w:tcPr>
            <w:tcW w:w="626"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745"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827"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1499" w:type="pct"/>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left"/>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sz w:val="24"/>
                <w:szCs w:val="24"/>
              </w:rPr>
              <w:t>杨凌农高会时间</w:t>
            </w:r>
          </w:p>
        </w:tc>
        <w:tc>
          <w:tcPr>
            <w:tcW w:w="1285" w:type="pct"/>
            <w:gridSpan w:val="2"/>
            <w:noWrap/>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sz w:val="24"/>
                <w:szCs w:val="24"/>
              </w:rPr>
            </w:pPr>
            <w:r>
              <w:rPr>
                <w:rFonts w:hint="eastAsia" w:ascii="仿宋" w:hAnsi="仿宋" w:eastAsia="仿宋" w:cs="仿宋"/>
                <w:sz w:val="24"/>
                <w:szCs w:val="24"/>
              </w:rPr>
              <w:t>2021年10月22日</w:t>
            </w:r>
            <w:r>
              <w:rPr>
                <w:rFonts w:hint="eastAsia" w:ascii="仿宋" w:hAnsi="仿宋" w:eastAsia="仿宋" w:cs="仿宋"/>
                <w:sz w:val="24"/>
                <w:szCs w:val="24"/>
                <w:highlight w:val="none"/>
              </w:rPr>
              <w:t>-</w:t>
            </w:r>
          </w:p>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sz w:val="24"/>
                <w:szCs w:val="24"/>
              </w:rPr>
              <w:t>202</w:t>
            </w:r>
            <w:r>
              <w:rPr>
                <w:rFonts w:hint="eastAsia" w:ascii="仿宋" w:hAnsi="仿宋" w:eastAsia="仿宋" w:cs="仿宋"/>
                <w:sz w:val="24"/>
                <w:szCs w:val="24"/>
                <w:lang w:val="en-US" w:eastAsia="zh-CN"/>
              </w:rPr>
              <w:t>1</w:t>
            </w:r>
            <w:r>
              <w:rPr>
                <w:rFonts w:hint="eastAsia" w:ascii="仿宋" w:hAnsi="仿宋" w:eastAsia="仿宋" w:cs="仿宋"/>
                <w:sz w:val="24"/>
                <w:szCs w:val="24"/>
              </w:rPr>
              <w:t>年10月26日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5" w:type="pct"/>
          <w:trHeight w:val="300" w:hRule="atLeast"/>
        </w:trPr>
        <w:tc>
          <w:tcPr>
            <w:tcW w:w="626"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745"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827"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1499" w:type="pct"/>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left"/>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sz w:val="24"/>
                <w:szCs w:val="24"/>
              </w:rPr>
              <w:t>中国国际进口博览会时间</w:t>
            </w:r>
          </w:p>
        </w:tc>
        <w:tc>
          <w:tcPr>
            <w:tcW w:w="1285" w:type="pct"/>
            <w:gridSpan w:val="2"/>
            <w:noWrap/>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sz w:val="24"/>
                <w:szCs w:val="24"/>
              </w:rPr>
            </w:pPr>
            <w:r>
              <w:rPr>
                <w:rFonts w:hint="eastAsia" w:ascii="仿宋" w:hAnsi="仿宋" w:eastAsia="仿宋" w:cs="仿宋"/>
                <w:sz w:val="24"/>
                <w:szCs w:val="24"/>
              </w:rPr>
              <w:t>2021年11月5日</w:t>
            </w:r>
            <w:r>
              <w:rPr>
                <w:rFonts w:hint="eastAsia" w:ascii="仿宋" w:hAnsi="仿宋" w:eastAsia="仿宋" w:cs="仿宋"/>
                <w:sz w:val="24"/>
                <w:szCs w:val="24"/>
                <w:highlight w:val="none"/>
              </w:rPr>
              <w:t>-</w:t>
            </w:r>
          </w:p>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sz w:val="24"/>
                <w:szCs w:val="24"/>
              </w:rPr>
              <w:t>202</w:t>
            </w:r>
            <w:r>
              <w:rPr>
                <w:rFonts w:hint="eastAsia" w:ascii="仿宋" w:hAnsi="仿宋" w:eastAsia="仿宋" w:cs="仿宋"/>
                <w:sz w:val="24"/>
                <w:szCs w:val="24"/>
                <w:lang w:val="en-US" w:eastAsia="zh-CN"/>
              </w:rPr>
              <w:t>1</w:t>
            </w:r>
            <w:r>
              <w:rPr>
                <w:rFonts w:hint="eastAsia" w:ascii="仿宋" w:hAnsi="仿宋" w:eastAsia="仿宋" w:cs="仿宋"/>
                <w:sz w:val="24"/>
                <w:szCs w:val="24"/>
              </w:rPr>
              <w:t>年11月10日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5" w:type="pct"/>
          <w:trHeight w:val="300" w:hRule="atLeast"/>
        </w:trPr>
        <w:tc>
          <w:tcPr>
            <w:tcW w:w="626"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745"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827"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1499" w:type="pct"/>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left"/>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sz w:val="24"/>
                <w:szCs w:val="24"/>
              </w:rPr>
              <w:t>中国国际投资贸易洽谈会时间</w:t>
            </w:r>
          </w:p>
        </w:tc>
        <w:tc>
          <w:tcPr>
            <w:tcW w:w="1285" w:type="pct"/>
            <w:gridSpan w:val="2"/>
            <w:noWrap/>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sz w:val="24"/>
                <w:szCs w:val="24"/>
              </w:rPr>
            </w:pPr>
            <w:r>
              <w:rPr>
                <w:rFonts w:hint="eastAsia" w:ascii="仿宋" w:hAnsi="仿宋" w:eastAsia="仿宋" w:cs="仿宋"/>
                <w:sz w:val="24"/>
                <w:szCs w:val="24"/>
              </w:rPr>
              <w:t>2021年9月8日</w:t>
            </w:r>
            <w:r>
              <w:rPr>
                <w:rFonts w:hint="eastAsia" w:ascii="仿宋" w:hAnsi="仿宋" w:eastAsia="仿宋" w:cs="仿宋"/>
                <w:sz w:val="24"/>
                <w:szCs w:val="24"/>
                <w:highlight w:val="none"/>
              </w:rPr>
              <w:t>-</w:t>
            </w:r>
          </w:p>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sz w:val="24"/>
                <w:szCs w:val="24"/>
              </w:rPr>
              <w:t>202</w:t>
            </w:r>
            <w:r>
              <w:rPr>
                <w:rFonts w:hint="eastAsia" w:ascii="仿宋" w:hAnsi="仿宋" w:eastAsia="仿宋" w:cs="仿宋"/>
                <w:sz w:val="24"/>
                <w:szCs w:val="24"/>
                <w:lang w:val="en-US" w:eastAsia="zh-CN"/>
              </w:rPr>
              <w:t>1</w:t>
            </w:r>
            <w:r>
              <w:rPr>
                <w:rFonts w:hint="eastAsia" w:ascii="仿宋" w:hAnsi="仿宋" w:eastAsia="仿宋" w:cs="仿宋"/>
                <w:sz w:val="24"/>
                <w:szCs w:val="24"/>
              </w:rPr>
              <w:t>年9月11日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5" w:type="pct"/>
          <w:trHeight w:val="300" w:hRule="atLeast"/>
        </w:trPr>
        <w:tc>
          <w:tcPr>
            <w:tcW w:w="626"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745"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827"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1499" w:type="pct"/>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left"/>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sz w:val="24"/>
                <w:szCs w:val="24"/>
              </w:rPr>
              <w:t>招商引资宣传片时间</w:t>
            </w:r>
          </w:p>
        </w:tc>
        <w:tc>
          <w:tcPr>
            <w:tcW w:w="1285" w:type="pct"/>
            <w:gridSpan w:val="2"/>
            <w:noWrap/>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sz w:val="24"/>
                <w:szCs w:val="24"/>
              </w:rPr>
            </w:pPr>
            <w:r>
              <w:rPr>
                <w:rFonts w:hint="eastAsia" w:ascii="仿宋" w:hAnsi="仿宋" w:eastAsia="仿宋" w:cs="仿宋"/>
                <w:sz w:val="24"/>
                <w:szCs w:val="24"/>
              </w:rPr>
              <w:t>2021年5月1日—</w:t>
            </w:r>
          </w:p>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sz w:val="24"/>
                <w:szCs w:val="24"/>
              </w:rPr>
              <w:t>202</w:t>
            </w:r>
            <w:r>
              <w:rPr>
                <w:rFonts w:hint="eastAsia" w:ascii="仿宋" w:hAnsi="仿宋" w:eastAsia="仿宋" w:cs="仿宋"/>
                <w:sz w:val="24"/>
                <w:szCs w:val="24"/>
                <w:lang w:val="en-US" w:eastAsia="zh-CN"/>
              </w:rPr>
              <w:t>1</w:t>
            </w:r>
            <w:r>
              <w:rPr>
                <w:rFonts w:hint="eastAsia" w:ascii="仿宋" w:hAnsi="仿宋" w:eastAsia="仿宋" w:cs="仿宋"/>
                <w:sz w:val="24"/>
                <w:szCs w:val="24"/>
              </w:rPr>
              <w:t>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5" w:type="pct"/>
          <w:trHeight w:val="300" w:hRule="atLeast"/>
        </w:trPr>
        <w:tc>
          <w:tcPr>
            <w:tcW w:w="626"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745"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827" w:type="pct"/>
            <w:vMerge w:val="restart"/>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成本指标</w:t>
            </w:r>
          </w:p>
        </w:tc>
        <w:tc>
          <w:tcPr>
            <w:tcW w:w="1499" w:type="pct"/>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人员支出成本</w:t>
            </w:r>
          </w:p>
        </w:tc>
        <w:tc>
          <w:tcPr>
            <w:tcW w:w="1285" w:type="pct"/>
            <w:gridSpan w:val="2"/>
            <w:noWrap/>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≦42.12万元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5" w:type="pct"/>
          <w:trHeight w:val="300" w:hRule="atLeast"/>
        </w:trPr>
        <w:tc>
          <w:tcPr>
            <w:tcW w:w="626"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745"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827"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1499" w:type="pct"/>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left"/>
              <w:rPr>
                <w:rFonts w:hint="eastAsia" w:ascii="仿宋" w:hAnsi="仿宋" w:eastAsia="仿宋" w:cs="仿宋"/>
                <w:sz w:val="24"/>
                <w:szCs w:val="24"/>
              </w:rPr>
            </w:pPr>
            <w:r>
              <w:rPr>
                <w:rFonts w:hint="eastAsia" w:ascii="仿宋" w:hAnsi="仿宋" w:eastAsia="仿宋" w:cs="仿宋"/>
                <w:sz w:val="24"/>
                <w:szCs w:val="24"/>
              </w:rPr>
              <w:t>公用经费成本</w:t>
            </w:r>
          </w:p>
        </w:tc>
        <w:tc>
          <w:tcPr>
            <w:tcW w:w="1285" w:type="pct"/>
            <w:gridSpan w:val="2"/>
            <w:noWrap/>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sz w:val="24"/>
                <w:szCs w:val="24"/>
              </w:rPr>
              <w:t>≤5万元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5" w:type="pct"/>
          <w:trHeight w:val="300" w:hRule="atLeast"/>
        </w:trPr>
        <w:tc>
          <w:tcPr>
            <w:tcW w:w="626"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745"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827"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1499" w:type="pct"/>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left"/>
              <w:rPr>
                <w:rFonts w:hint="eastAsia" w:ascii="仿宋" w:hAnsi="仿宋" w:eastAsia="仿宋" w:cs="仿宋"/>
                <w:sz w:val="24"/>
                <w:szCs w:val="24"/>
              </w:rPr>
            </w:pPr>
            <w:r>
              <w:rPr>
                <w:rFonts w:hint="eastAsia" w:ascii="仿宋" w:hAnsi="仿宋" w:eastAsia="仿宋" w:cs="仿宋"/>
                <w:sz w:val="24"/>
                <w:szCs w:val="24"/>
              </w:rPr>
              <w:t>2021年第五届丝博会成本</w:t>
            </w:r>
          </w:p>
        </w:tc>
        <w:tc>
          <w:tcPr>
            <w:tcW w:w="1285" w:type="pct"/>
            <w:gridSpan w:val="2"/>
            <w:noWrap/>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sz w:val="24"/>
                <w:szCs w:val="24"/>
              </w:rPr>
              <w:t>≤19万元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5" w:type="pct"/>
          <w:trHeight w:val="300" w:hRule="atLeast"/>
        </w:trPr>
        <w:tc>
          <w:tcPr>
            <w:tcW w:w="626"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745"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827"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1499" w:type="pct"/>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left"/>
              <w:rPr>
                <w:rFonts w:hint="eastAsia" w:ascii="仿宋" w:hAnsi="仿宋" w:eastAsia="仿宋" w:cs="仿宋"/>
                <w:sz w:val="24"/>
                <w:szCs w:val="24"/>
              </w:rPr>
            </w:pPr>
            <w:r>
              <w:rPr>
                <w:rFonts w:hint="eastAsia" w:ascii="仿宋" w:hAnsi="仿宋" w:eastAsia="仿宋" w:cs="仿宋"/>
                <w:sz w:val="24"/>
                <w:szCs w:val="24"/>
              </w:rPr>
              <w:t>第三届扶贫产品交易会成本</w:t>
            </w:r>
          </w:p>
        </w:tc>
        <w:tc>
          <w:tcPr>
            <w:tcW w:w="1285" w:type="pct"/>
            <w:gridSpan w:val="2"/>
            <w:noWrap/>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sz w:val="24"/>
                <w:szCs w:val="24"/>
              </w:rPr>
              <w:t>≤2万元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5" w:type="pct"/>
          <w:trHeight w:val="300" w:hRule="atLeast"/>
        </w:trPr>
        <w:tc>
          <w:tcPr>
            <w:tcW w:w="626"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745"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827"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1499" w:type="pct"/>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left"/>
              <w:rPr>
                <w:rFonts w:hint="eastAsia" w:ascii="仿宋" w:hAnsi="仿宋" w:eastAsia="仿宋" w:cs="仿宋"/>
                <w:sz w:val="24"/>
                <w:szCs w:val="24"/>
              </w:rPr>
            </w:pPr>
            <w:r>
              <w:rPr>
                <w:rFonts w:hint="eastAsia" w:ascii="仿宋" w:hAnsi="仿宋" w:eastAsia="仿宋" w:cs="仿宋"/>
                <w:sz w:val="24"/>
                <w:szCs w:val="24"/>
              </w:rPr>
              <w:t>陕西——长三角地区经济合作成本</w:t>
            </w:r>
          </w:p>
        </w:tc>
        <w:tc>
          <w:tcPr>
            <w:tcW w:w="1285" w:type="pct"/>
            <w:gridSpan w:val="2"/>
            <w:noWrap/>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sz w:val="24"/>
                <w:szCs w:val="24"/>
              </w:rPr>
              <w:t>≤2万元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5" w:type="pct"/>
          <w:trHeight w:val="300" w:hRule="atLeast"/>
        </w:trPr>
        <w:tc>
          <w:tcPr>
            <w:tcW w:w="626"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745"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827"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1499" w:type="pct"/>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left"/>
              <w:rPr>
                <w:rFonts w:hint="eastAsia" w:ascii="仿宋" w:hAnsi="仿宋" w:eastAsia="仿宋" w:cs="仿宋"/>
                <w:sz w:val="24"/>
                <w:szCs w:val="24"/>
                <w:lang w:val="en-US" w:eastAsia="zh-CN"/>
              </w:rPr>
            </w:pPr>
            <w:r>
              <w:rPr>
                <w:rFonts w:hint="eastAsia" w:ascii="仿宋" w:hAnsi="仿宋" w:eastAsia="仿宋" w:cs="仿宋"/>
                <w:sz w:val="24"/>
                <w:szCs w:val="24"/>
              </w:rPr>
              <w:t>陕粤港澳经济合作活动</w:t>
            </w:r>
            <w:r>
              <w:rPr>
                <w:rFonts w:hint="eastAsia" w:ascii="仿宋" w:hAnsi="仿宋" w:eastAsia="仿宋" w:cs="仿宋"/>
                <w:sz w:val="24"/>
                <w:szCs w:val="24"/>
                <w:lang w:val="en-US" w:eastAsia="zh-CN"/>
              </w:rPr>
              <w:t>成本</w:t>
            </w:r>
          </w:p>
        </w:tc>
        <w:tc>
          <w:tcPr>
            <w:tcW w:w="1285" w:type="pct"/>
            <w:gridSpan w:val="2"/>
            <w:noWrap/>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sz w:val="24"/>
                <w:szCs w:val="24"/>
              </w:rPr>
              <w:t>≤2万元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5" w:type="pct"/>
          <w:trHeight w:val="300" w:hRule="atLeast"/>
        </w:trPr>
        <w:tc>
          <w:tcPr>
            <w:tcW w:w="626"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745"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827"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1499" w:type="pct"/>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left"/>
              <w:rPr>
                <w:rFonts w:hint="eastAsia" w:ascii="仿宋" w:hAnsi="仿宋" w:eastAsia="仿宋" w:cs="仿宋"/>
                <w:sz w:val="24"/>
                <w:szCs w:val="24"/>
              </w:rPr>
            </w:pPr>
            <w:r>
              <w:rPr>
                <w:rFonts w:hint="eastAsia" w:ascii="仿宋" w:hAnsi="仿宋" w:eastAsia="仿宋" w:cs="仿宋"/>
                <w:sz w:val="24"/>
                <w:szCs w:val="24"/>
              </w:rPr>
              <w:t>杨凌农高会成本</w:t>
            </w:r>
          </w:p>
        </w:tc>
        <w:tc>
          <w:tcPr>
            <w:tcW w:w="1285" w:type="pct"/>
            <w:gridSpan w:val="2"/>
            <w:noWrap/>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sz w:val="24"/>
                <w:szCs w:val="24"/>
              </w:rPr>
              <w:t>≤1.5万元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5" w:type="pct"/>
          <w:trHeight w:val="300" w:hRule="atLeast"/>
        </w:trPr>
        <w:tc>
          <w:tcPr>
            <w:tcW w:w="626"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745"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827"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1499" w:type="pct"/>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left"/>
              <w:rPr>
                <w:rFonts w:hint="eastAsia" w:ascii="仿宋" w:hAnsi="仿宋" w:eastAsia="仿宋" w:cs="仿宋"/>
                <w:sz w:val="24"/>
                <w:szCs w:val="24"/>
              </w:rPr>
            </w:pPr>
            <w:r>
              <w:rPr>
                <w:rFonts w:hint="eastAsia" w:ascii="仿宋" w:hAnsi="仿宋" w:eastAsia="仿宋" w:cs="仿宋"/>
                <w:sz w:val="24"/>
                <w:szCs w:val="24"/>
              </w:rPr>
              <w:t>中国国际进口博览会成本</w:t>
            </w:r>
          </w:p>
        </w:tc>
        <w:tc>
          <w:tcPr>
            <w:tcW w:w="1285" w:type="pct"/>
            <w:gridSpan w:val="2"/>
            <w:noWrap/>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sz w:val="24"/>
                <w:szCs w:val="24"/>
              </w:rPr>
              <w:t>≤2万元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5" w:type="pct"/>
          <w:trHeight w:val="300" w:hRule="atLeast"/>
        </w:trPr>
        <w:tc>
          <w:tcPr>
            <w:tcW w:w="626"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745"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827"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1499" w:type="pct"/>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left"/>
              <w:rPr>
                <w:rFonts w:hint="eastAsia" w:ascii="仿宋" w:hAnsi="仿宋" w:eastAsia="仿宋" w:cs="仿宋"/>
                <w:sz w:val="24"/>
                <w:szCs w:val="24"/>
              </w:rPr>
            </w:pPr>
            <w:r>
              <w:rPr>
                <w:rFonts w:hint="eastAsia" w:ascii="仿宋" w:hAnsi="仿宋" w:eastAsia="仿宋" w:cs="仿宋"/>
                <w:sz w:val="24"/>
                <w:szCs w:val="24"/>
              </w:rPr>
              <w:t>中国国际投资贸易洽谈会成本</w:t>
            </w:r>
          </w:p>
        </w:tc>
        <w:tc>
          <w:tcPr>
            <w:tcW w:w="1285" w:type="pct"/>
            <w:gridSpan w:val="2"/>
            <w:noWrap/>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sz w:val="24"/>
                <w:szCs w:val="24"/>
              </w:rPr>
              <w:t>≤1.5万元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5" w:type="pct"/>
          <w:trHeight w:val="300" w:hRule="atLeast"/>
        </w:trPr>
        <w:tc>
          <w:tcPr>
            <w:tcW w:w="626"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745"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827"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1499" w:type="pct"/>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left"/>
              <w:rPr>
                <w:rFonts w:hint="eastAsia" w:ascii="仿宋" w:hAnsi="仿宋" w:eastAsia="仿宋" w:cs="仿宋"/>
                <w:sz w:val="24"/>
                <w:szCs w:val="24"/>
              </w:rPr>
            </w:pPr>
            <w:r>
              <w:rPr>
                <w:rFonts w:hint="eastAsia" w:ascii="仿宋" w:hAnsi="仿宋" w:eastAsia="仿宋" w:cs="仿宋"/>
                <w:sz w:val="24"/>
                <w:szCs w:val="24"/>
              </w:rPr>
              <w:t>招商引资宣传片成本</w:t>
            </w:r>
          </w:p>
        </w:tc>
        <w:tc>
          <w:tcPr>
            <w:tcW w:w="1285" w:type="pct"/>
            <w:gridSpan w:val="2"/>
            <w:noWrap/>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sz w:val="24"/>
                <w:szCs w:val="24"/>
              </w:rPr>
              <w:t>≤20万元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5" w:type="pct"/>
          <w:trHeight w:val="1020" w:hRule="atLeast"/>
        </w:trPr>
        <w:tc>
          <w:tcPr>
            <w:tcW w:w="626"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745" w:type="pct"/>
            <w:vMerge w:val="restart"/>
            <w:noWrap w:val="0"/>
            <w:tcMar>
              <w:top w:w="10" w:type="dxa"/>
              <w:left w:w="10" w:type="dxa"/>
              <w:right w:w="10" w:type="dxa"/>
            </w:tcMar>
            <w:vAlign w:val="center"/>
          </w:tcPr>
          <w:p>
            <w:pPr>
              <w:keepNext w:val="0"/>
              <w:keepLines w:val="0"/>
              <w:pageBreakBefore w:val="0"/>
              <w:widowControl/>
              <w:suppressLineNumbers w:val="0"/>
              <w:kinsoku/>
              <w:wordWrap/>
              <w:overflowPunct/>
              <w:topLinePunct w:val="0"/>
              <w:bidi w:val="0"/>
              <w:adjustRightInd/>
              <w:snapToGrid/>
              <w:spacing w:line="240" w:lineRule="exact"/>
              <w:ind w:left="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效益指标</w:t>
            </w:r>
          </w:p>
        </w:tc>
        <w:tc>
          <w:tcPr>
            <w:tcW w:w="827" w:type="pct"/>
            <w:vMerge w:val="restart"/>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经济效益</w:t>
            </w:r>
          </w:p>
        </w:tc>
        <w:tc>
          <w:tcPr>
            <w:tcW w:w="1499" w:type="pct"/>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left"/>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sz w:val="24"/>
                <w:szCs w:val="24"/>
              </w:rPr>
              <w:t>2021年丝博会签约项目涉及资金</w:t>
            </w:r>
          </w:p>
        </w:tc>
        <w:tc>
          <w:tcPr>
            <w:tcW w:w="1285" w:type="pct"/>
            <w:gridSpan w:val="2"/>
            <w:noWrap/>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sz w:val="24"/>
                <w:szCs w:val="24"/>
              </w:rPr>
              <w:t>≥46万元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5" w:type="pct"/>
          <w:trHeight w:val="1020" w:hRule="atLeast"/>
        </w:trPr>
        <w:tc>
          <w:tcPr>
            <w:tcW w:w="626"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745" w:type="pct"/>
            <w:vMerge w:val="continue"/>
            <w:noWrap w:val="0"/>
            <w:tcMar>
              <w:top w:w="10" w:type="dxa"/>
              <w:left w:w="10" w:type="dxa"/>
              <w:right w:w="10" w:type="dxa"/>
            </w:tcMar>
            <w:vAlign w:val="center"/>
          </w:tcPr>
          <w:p>
            <w:pPr>
              <w:keepNext w:val="0"/>
              <w:keepLines w:val="0"/>
              <w:pageBreakBefore w:val="0"/>
              <w:widowControl/>
              <w:suppressLineNumbers w:val="0"/>
              <w:kinsoku/>
              <w:wordWrap/>
              <w:overflowPunct/>
              <w:topLinePunct w:val="0"/>
              <w:bidi w:val="0"/>
              <w:adjustRightInd/>
              <w:snapToGrid/>
              <w:spacing w:line="240" w:lineRule="exact"/>
              <w:ind w:left="0"/>
              <w:jc w:val="center"/>
              <w:textAlignment w:val="center"/>
              <w:rPr>
                <w:rFonts w:hint="eastAsia" w:ascii="仿宋" w:hAnsi="仿宋" w:eastAsia="仿宋" w:cs="仿宋"/>
                <w:i w:val="0"/>
                <w:color w:val="000000"/>
                <w:kern w:val="0"/>
                <w:sz w:val="24"/>
                <w:szCs w:val="24"/>
                <w:u w:val="none"/>
                <w:lang w:val="en-US" w:eastAsia="zh-CN" w:bidi="ar"/>
              </w:rPr>
            </w:pPr>
          </w:p>
        </w:tc>
        <w:tc>
          <w:tcPr>
            <w:tcW w:w="827"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1499" w:type="pct"/>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left"/>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sz w:val="24"/>
                <w:szCs w:val="24"/>
              </w:rPr>
              <w:t>扶贫产品交易会签约项目涉及资金</w:t>
            </w:r>
          </w:p>
        </w:tc>
        <w:tc>
          <w:tcPr>
            <w:tcW w:w="1285" w:type="pct"/>
            <w:gridSpan w:val="2"/>
            <w:noWrap/>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sz w:val="24"/>
                <w:szCs w:val="24"/>
              </w:rPr>
              <w:t>≥2万元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5" w:type="pct"/>
          <w:trHeight w:val="1020" w:hRule="atLeast"/>
        </w:trPr>
        <w:tc>
          <w:tcPr>
            <w:tcW w:w="626"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745" w:type="pct"/>
            <w:vMerge w:val="continue"/>
            <w:noWrap w:val="0"/>
            <w:tcMar>
              <w:top w:w="10" w:type="dxa"/>
              <w:left w:w="10" w:type="dxa"/>
              <w:right w:w="10" w:type="dxa"/>
            </w:tcMar>
            <w:vAlign w:val="center"/>
          </w:tcPr>
          <w:p>
            <w:pPr>
              <w:keepNext w:val="0"/>
              <w:keepLines w:val="0"/>
              <w:pageBreakBefore w:val="0"/>
              <w:widowControl/>
              <w:suppressLineNumbers w:val="0"/>
              <w:kinsoku/>
              <w:wordWrap/>
              <w:overflowPunct/>
              <w:topLinePunct w:val="0"/>
              <w:bidi w:val="0"/>
              <w:adjustRightInd/>
              <w:snapToGrid/>
              <w:spacing w:line="240" w:lineRule="exact"/>
              <w:ind w:left="0"/>
              <w:jc w:val="center"/>
              <w:textAlignment w:val="center"/>
              <w:rPr>
                <w:rFonts w:hint="eastAsia" w:ascii="仿宋" w:hAnsi="仿宋" w:eastAsia="仿宋" w:cs="仿宋"/>
                <w:i w:val="0"/>
                <w:color w:val="000000"/>
                <w:kern w:val="0"/>
                <w:sz w:val="24"/>
                <w:szCs w:val="24"/>
                <w:u w:val="none"/>
                <w:lang w:val="en-US" w:eastAsia="zh-CN" w:bidi="ar"/>
              </w:rPr>
            </w:pPr>
          </w:p>
        </w:tc>
        <w:tc>
          <w:tcPr>
            <w:tcW w:w="827"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1499" w:type="pct"/>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left"/>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sz w:val="24"/>
                <w:szCs w:val="24"/>
              </w:rPr>
              <w:t>杨凌农高会签约项目涉及资金</w:t>
            </w:r>
          </w:p>
        </w:tc>
        <w:tc>
          <w:tcPr>
            <w:tcW w:w="1285" w:type="pct"/>
            <w:gridSpan w:val="2"/>
            <w:noWrap/>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sz w:val="24"/>
                <w:szCs w:val="24"/>
              </w:rPr>
              <w:t>≥1万元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5" w:type="pct"/>
          <w:trHeight w:val="1020" w:hRule="atLeast"/>
        </w:trPr>
        <w:tc>
          <w:tcPr>
            <w:tcW w:w="626"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745" w:type="pct"/>
            <w:vMerge w:val="continue"/>
            <w:noWrap w:val="0"/>
            <w:tcMar>
              <w:top w:w="10" w:type="dxa"/>
              <w:left w:w="10" w:type="dxa"/>
              <w:right w:w="10" w:type="dxa"/>
            </w:tcMar>
            <w:vAlign w:val="center"/>
          </w:tcPr>
          <w:p>
            <w:pPr>
              <w:keepNext w:val="0"/>
              <w:keepLines w:val="0"/>
              <w:pageBreakBefore w:val="0"/>
              <w:widowControl/>
              <w:suppressLineNumbers w:val="0"/>
              <w:kinsoku/>
              <w:wordWrap/>
              <w:overflowPunct/>
              <w:topLinePunct w:val="0"/>
              <w:bidi w:val="0"/>
              <w:adjustRightInd/>
              <w:snapToGrid/>
              <w:spacing w:line="240" w:lineRule="exact"/>
              <w:ind w:left="0"/>
              <w:jc w:val="center"/>
              <w:textAlignment w:val="center"/>
              <w:rPr>
                <w:rFonts w:hint="eastAsia" w:ascii="仿宋" w:hAnsi="仿宋" w:eastAsia="仿宋" w:cs="仿宋"/>
                <w:i w:val="0"/>
                <w:color w:val="000000"/>
                <w:kern w:val="0"/>
                <w:sz w:val="24"/>
                <w:szCs w:val="24"/>
                <w:u w:val="none"/>
                <w:lang w:val="en-US" w:eastAsia="zh-CN" w:bidi="ar"/>
              </w:rPr>
            </w:pPr>
          </w:p>
        </w:tc>
        <w:tc>
          <w:tcPr>
            <w:tcW w:w="827"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1499" w:type="pct"/>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left"/>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sz w:val="24"/>
                <w:szCs w:val="24"/>
              </w:rPr>
              <w:t>中国国际进口博览会签约涉及资金</w:t>
            </w:r>
          </w:p>
        </w:tc>
        <w:tc>
          <w:tcPr>
            <w:tcW w:w="1285" w:type="pct"/>
            <w:gridSpan w:val="2"/>
            <w:noWrap/>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sz w:val="24"/>
                <w:szCs w:val="24"/>
              </w:rPr>
              <w:t>≥1万元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5" w:type="pct"/>
          <w:trHeight w:val="1020" w:hRule="atLeast"/>
        </w:trPr>
        <w:tc>
          <w:tcPr>
            <w:tcW w:w="626"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745" w:type="pct"/>
            <w:vMerge w:val="continue"/>
            <w:noWrap w:val="0"/>
            <w:tcMar>
              <w:top w:w="10" w:type="dxa"/>
              <w:left w:w="10" w:type="dxa"/>
              <w:right w:w="10" w:type="dxa"/>
            </w:tcMar>
            <w:vAlign w:val="center"/>
          </w:tcPr>
          <w:p>
            <w:pPr>
              <w:keepNext w:val="0"/>
              <w:keepLines w:val="0"/>
              <w:pageBreakBefore w:val="0"/>
              <w:widowControl/>
              <w:suppressLineNumbers w:val="0"/>
              <w:kinsoku/>
              <w:wordWrap/>
              <w:overflowPunct/>
              <w:topLinePunct w:val="0"/>
              <w:bidi w:val="0"/>
              <w:adjustRightInd/>
              <w:snapToGrid/>
              <w:spacing w:line="240" w:lineRule="exact"/>
              <w:ind w:left="0"/>
              <w:jc w:val="center"/>
              <w:textAlignment w:val="center"/>
              <w:rPr>
                <w:rFonts w:hint="eastAsia" w:ascii="仿宋" w:hAnsi="仿宋" w:eastAsia="仿宋" w:cs="仿宋"/>
                <w:i w:val="0"/>
                <w:color w:val="000000"/>
                <w:kern w:val="0"/>
                <w:sz w:val="24"/>
                <w:szCs w:val="24"/>
                <w:u w:val="none"/>
                <w:lang w:val="en-US" w:eastAsia="zh-CN" w:bidi="ar"/>
              </w:rPr>
            </w:pPr>
          </w:p>
        </w:tc>
        <w:tc>
          <w:tcPr>
            <w:tcW w:w="827" w:type="pct"/>
            <w:vMerge w:val="restart"/>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社会效益</w:t>
            </w:r>
          </w:p>
        </w:tc>
        <w:tc>
          <w:tcPr>
            <w:tcW w:w="1499" w:type="pct"/>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left"/>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sz w:val="24"/>
                <w:szCs w:val="24"/>
              </w:rPr>
              <w:t>宣传铜川特色资源、优势项目和投资环境，促进企业发展。</w:t>
            </w:r>
          </w:p>
        </w:tc>
        <w:tc>
          <w:tcPr>
            <w:tcW w:w="1285" w:type="pct"/>
            <w:gridSpan w:val="2"/>
            <w:noWrap/>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有效促进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20" w:hRule="atLeast"/>
        </w:trPr>
        <w:tc>
          <w:tcPr>
            <w:tcW w:w="626"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745" w:type="pct"/>
            <w:vMerge w:val="continue"/>
            <w:noWrap w:val="0"/>
            <w:tcMar>
              <w:top w:w="10" w:type="dxa"/>
              <w:left w:w="10" w:type="dxa"/>
              <w:right w:w="10" w:type="dxa"/>
            </w:tcMar>
            <w:vAlign w:val="center"/>
          </w:tcPr>
          <w:p>
            <w:pPr>
              <w:keepNext w:val="0"/>
              <w:keepLines w:val="0"/>
              <w:pageBreakBefore w:val="0"/>
              <w:widowControl/>
              <w:suppressLineNumbers w:val="0"/>
              <w:kinsoku/>
              <w:wordWrap/>
              <w:overflowPunct/>
              <w:topLinePunct w:val="0"/>
              <w:bidi w:val="0"/>
              <w:adjustRightInd/>
              <w:snapToGrid/>
              <w:spacing w:line="240" w:lineRule="exact"/>
              <w:ind w:left="0"/>
              <w:jc w:val="center"/>
              <w:textAlignment w:val="center"/>
              <w:rPr>
                <w:rFonts w:hint="eastAsia" w:ascii="仿宋" w:hAnsi="仿宋" w:eastAsia="仿宋" w:cs="仿宋"/>
                <w:i w:val="0"/>
                <w:color w:val="000000"/>
                <w:kern w:val="0"/>
                <w:sz w:val="24"/>
                <w:szCs w:val="24"/>
                <w:u w:val="none"/>
                <w:lang w:val="en-US" w:eastAsia="zh-CN" w:bidi="ar"/>
              </w:rPr>
            </w:pPr>
          </w:p>
        </w:tc>
        <w:tc>
          <w:tcPr>
            <w:tcW w:w="827"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1521" w:type="pct"/>
            <w:gridSpan w:val="2"/>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left"/>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sz w:val="24"/>
                <w:szCs w:val="24"/>
              </w:rPr>
              <w:t>提升新区知名度，吸引名优企业落户铜川新区</w:t>
            </w:r>
          </w:p>
        </w:tc>
        <w:tc>
          <w:tcPr>
            <w:tcW w:w="1279" w:type="pct"/>
            <w:gridSpan w:val="2"/>
            <w:noWrap/>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有效提升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5" w:type="pct"/>
          <w:trHeight w:val="600" w:hRule="atLeast"/>
        </w:trPr>
        <w:tc>
          <w:tcPr>
            <w:tcW w:w="626"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sz w:val="24"/>
                <w:szCs w:val="24"/>
                <w:u w:val="none"/>
              </w:rPr>
            </w:pPr>
          </w:p>
        </w:tc>
        <w:tc>
          <w:tcPr>
            <w:tcW w:w="745" w:type="pct"/>
            <w:vMerge w:val="restart"/>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满意度</w:t>
            </w:r>
          </w:p>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指标</w:t>
            </w:r>
          </w:p>
        </w:tc>
        <w:tc>
          <w:tcPr>
            <w:tcW w:w="827" w:type="pct"/>
            <w:vMerge w:val="restart"/>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服务对象满意度</w:t>
            </w:r>
          </w:p>
        </w:tc>
        <w:tc>
          <w:tcPr>
            <w:tcW w:w="1499" w:type="pct"/>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left"/>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sz w:val="24"/>
                <w:szCs w:val="24"/>
              </w:rPr>
              <w:t>2021年第五届丝博会参与人满意度</w:t>
            </w:r>
          </w:p>
        </w:tc>
        <w:tc>
          <w:tcPr>
            <w:tcW w:w="1285" w:type="pct"/>
            <w:gridSpan w:val="2"/>
            <w:noWrap/>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w:t>
            </w:r>
            <w:r>
              <w:rPr>
                <w:rFonts w:hint="eastAsia" w:ascii="仿宋" w:hAnsi="仿宋" w:eastAsia="仿宋" w:cs="仿宋"/>
                <w:sz w:val="24"/>
                <w:szCs w:val="24"/>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5" w:type="pct"/>
          <w:trHeight w:val="600" w:hRule="atLeast"/>
        </w:trPr>
        <w:tc>
          <w:tcPr>
            <w:tcW w:w="626"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sz w:val="24"/>
                <w:szCs w:val="24"/>
                <w:u w:val="none"/>
              </w:rPr>
            </w:pPr>
          </w:p>
        </w:tc>
        <w:tc>
          <w:tcPr>
            <w:tcW w:w="745"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827"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1499" w:type="pct"/>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left"/>
              <w:rPr>
                <w:rFonts w:hint="eastAsia" w:ascii="仿宋" w:hAnsi="仿宋" w:eastAsia="仿宋" w:cs="仿宋"/>
                <w:sz w:val="24"/>
                <w:szCs w:val="24"/>
              </w:rPr>
            </w:pPr>
            <w:r>
              <w:rPr>
                <w:rFonts w:hint="eastAsia" w:ascii="仿宋" w:hAnsi="仿宋" w:eastAsia="仿宋" w:cs="仿宋"/>
                <w:sz w:val="24"/>
                <w:szCs w:val="24"/>
              </w:rPr>
              <w:t>新区管委会相关部门对第五届丝博会满意度</w:t>
            </w:r>
          </w:p>
        </w:tc>
        <w:tc>
          <w:tcPr>
            <w:tcW w:w="1285" w:type="pct"/>
            <w:gridSpan w:val="2"/>
            <w:noWrap/>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w:t>
            </w:r>
            <w:r>
              <w:rPr>
                <w:rFonts w:hint="eastAsia" w:ascii="仿宋" w:hAnsi="仿宋" w:eastAsia="仿宋" w:cs="仿宋"/>
                <w:sz w:val="24"/>
                <w:szCs w:val="24"/>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5" w:type="pct"/>
          <w:trHeight w:val="600" w:hRule="atLeast"/>
        </w:trPr>
        <w:tc>
          <w:tcPr>
            <w:tcW w:w="626"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sz w:val="24"/>
                <w:szCs w:val="24"/>
                <w:u w:val="none"/>
              </w:rPr>
            </w:pPr>
          </w:p>
        </w:tc>
        <w:tc>
          <w:tcPr>
            <w:tcW w:w="745"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827"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1499" w:type="pct"/>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left"/>
              <w:rPr>
                <w:rFonts w:hint="eastAsia" w:ascii="仿宋" w:hAnsi="仿宋" w:eastAsia="仿宋" w:cs="仿宋"/>
                <w:sz w:val="24"/>
                <w:szCs w:val="24"/>
              </w:rPr>
            </w:pPr>
            <w:r>
              <w:rPr>
                <w:rFonts w:hint="eastAsia" w:ascii="仿宋" w:hAnsi="仿宋" w:eastAsia="仿宋" w:cs="仿宋"/>
                <w:sz w:val="24"/>
                <w:szCs w:val="24"/>
              </w:rPr>
              <w:t>第三届扶贫产品交易会参与人满意度</w:t>
            </w:r>
          </w:p>
        </w:tc>
        <w:tc>
          <w:tcPr>
            <w:tcW w:w="1285" w:type="pct"/>
            <w:gridSpan w:val="2"/>
            <w:noWrap/>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w:t>
            </w:r>
            <w:r>
              <w:rPr>
                <w:rFonts w:hint="eastAsia" w:ascii="仿宋" w:hAnsi="仿宋" w:eastAsia="仿宋" w:cs="仿宋"/>
                <w:sz w:val="24"/>
                <w:szCs w:val="24"/>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5" w:type="pct"/>
          <w:trHeight w:val="600" w:hRule="atLeast"/>
        </w:trPr>
        <w:tc>
          <w:tcPr>
            <w:tcW w:w="626"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sz w:val="24"/>
                <w:szCs w:val="24"/>
                <w:u w:val="none"/>
              </w:rPr>
            </w:pPr>
          </w:p>
        </w:tc>
        <w:tc>
          <w:tcPr>
            <w:tcW w:w="745"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827"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1499" w:type="pct"/>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left"/>
              <w:rPr>
                <w:rFonts w:hint="eastAsia" w:ascii="仿宋" w:hAnsi="仿宋" w:eastAsia="仿宋" w:cs="仿宋"/>
                <w:sz w:val="24"/>
                <w:szCs w:val="24"/>
              </w:rPr>
            </w:pPr>
            <w:r>
              <w:rPr>
                <w:rFonts w:hint="eastAsia" w:ascii="仿宋" w:hAnsi="仿宋" w:eastAsia="仿宋" w:cs="仿宋"/>
                <w:sz w:val="24"/>
                <w:szCs w:val="24"/>
              </w:rPr>
              <w:t>陕西——长三角地区经济合作活动参与人满意度</w:t>
            </w:r>
          </w:p>
        </w:tc>
        <w:tc>
          <w:tcPr>
            <w:tcW w:w="1285" w:type="pct"/>
            <w:gridSpan w:val="2"/>
            <w:noWrap/>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w:t>
            </w:r>
            <w:r>
              <w:rPr>
                <w:rFonts w:hint="eastAsia" w:ascii="仿宋" w:hAnsi="仿宋" w:eastAsia="仿宋" w:cs="仿宋"/>
                <w:sz w:val="24"/>
                <w:szCs w:val="24"/>
              </w:rPr>
              <w:t>9</w:t>
            </w:r>
            <w:r>
              <w:rPr>
                <w:rFonts w:hint="eastAsia" w:ascii="仿宋" w:hAnsi="仿宋" w:eastAsia="仿宋" w:cs="仿宋"/>
                <w:sz w:val="24"/>
                <w:szCs w:val="24"/>
                <w:lang w:val="en-US" w:eastAsia="zh-CN"/>
              </w:rPr>
              <w:t>6</w:t>
            </w:r>
            <w:r>
              <w:rPr>
                <w:rFonts w:hint="eastAsia" w:ascii="仿宋" w:hAnsi="仿宋" w:eastAsia="仿宋" w:cs="仿宋"/>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5" w:type="pct"/>
          <w:trHeight w:val="600" w:hRule="atLeast"/>
        </w:trPr>
        <w:tc>
          <w:tcPr>
            <w:tcW w:w="626"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sz w:val="24"/>
                <w:szCs w:val="24"/>
                <w:u w:val="none"/>
              </w:rPr>
            </w:pPr>
          </w:p>
        </w:tc>
        <w:tc>
          <w:tcPr>
            <w:tcW w:w="745"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827"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1499" w:type="pct"/>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left"/>
              <w:rPr>
                <w:rFonts w:hint="eastAsia" w:ascii="仿宋" w:hAnsi="仿宋" w:eastAsia="仿宋" w:cs="仿宋"/>
                <w:sz w:val="24"/>
                <w:szCs w:val="24"/>
              </w:rPr>
            </w:pPr>
            <w:r>
              <w:rPr>
                <w:rFonts w:hint="eastAsia" w:ascii="仿宋" w:hAnsi="仿宋" w:eastAsia="仿宋" w:cs="仿宋"/>
                <w:sz w:val="24"/>
                <w:szCs w:val="24"/>
              </w:rPr>
              <w:t>陕粤港澳经济合作活动参与人满意度</w:t>
            </w:r>
          </w:p>
        </w:tc>
        <w:tc>
          <w:tcPr>
            <w:tcW w:w="1285" w:type="pct"/>
            <w:gridSpan w:val="2"/>
            <w:noWrap/>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w:t>
            </w:r>
            <w:r>
              <w:rPr>
                <w:rFonts w:hint="eastAsia" w:ascii="仿宋" w:hAnsi="仿宋" w:eastAsia="仿宋" w:cs="仿宋"/>
                <w:sz w:val="24"/>
                <w:szCs w:val="24"/>
              </w:rPr>
              <w:t>9</w:t>
            </w:r>
            <w:r>
              <w:rPr>
                <w:rFonts w:hint="eastAsia" w:ascii="仿宋" w:hAnsi="仿宋" w:eastAsia="仿宋" w:cs="仿宋"/>
                <w:sz w:val="24"/>
                <w:szCs w:val="24"/>
                <w:lang w:val="en-US" w:eastAsia="zh-CN"/>
              </w:rPr>
              <w:t>7</w:t>
            </w:r>
            <w:r>
              <w:rPr>
                <w:rFonts w:hint="eastAsia" w:ascii="仿宋" w:hAnsi="仿宋" w:eastAsia="仿宋" w:cs="仿宋"/>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5" w:type="pct"/>
          <w:trHeight w:val="600" w:hRule="atLeast"/>
        </w:trPr>
        <w:tc>
          <w:tcPr>
            <w:tcW w:w="626"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sz w:val="24"/>
                <w:szCs w:val="24"/>
                <w:u w:val="none"/>
              </w:rPr>
            </w:pPr>
          </w:p>
        </w:tc>
        <w:tc>
          <w:tcPr>
            <w:tcW w:w="745"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827"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1499" w:type="pct"/>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left"/>
              <w:rPr>
                <w:rFonts w:hint="eastAsia" w:ascii="仿宋" w:hAnsi="仿宋" w:eastAsia="仿宋" w:cs="仿宋"/>
                <w:sz w:val="24"/>
                <w:szCs w:val="24"/>
              </w:rPr>
            </w:pPr>
            <w:r>
              <w:rPr>
                <w:rFonts w:hint="eastAsia" w:ascii="仿宋" w:hAnsi="仿宋" w:eastAsia="仿宋" w:cs="仿宋"/>
                <w:sz w:val="24"/>
                <w:szCs w:val="24"/>
              </w:rPr>
              <w:t>杨凌农高会参与人满意度</w:t>
            </w:r>
          </w:p>
        </w:tc>
        <w:tc>
          <w:tcPr>
            <w:tcW w:w="1285" w:type="pct"/>
            <w:gridSpan w:val="2"/>
            <w:noWrap/>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w:t>
            </w:r>
            <w:r>
              <w:rPr>
                <w:rFonts w:hint="eastAsia" w:ascii="仿宋" w:hAnsi="仿宋" w:eastAsia="仿宋" w:cs="仿宋"/>
                <w:sz w:val="24"/>
                <w:szCs w:val="24"/>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5" w:type="pct"/>
          <w:trHeight w:val="600" w:hRule="atLeast"/>
        </w:trPr>
        <w:tc>
          <w:tcPr>
            <w:tcW w:w="626"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sz w:val="24"/>
                <w:szCs w:val="24"/>
                <w:u w:val="none"/>
              </w:rPr>
            </w:pPr>
          </w:p>
        </w:tc>
        <w:tc>
          <w:tcPr>
            <w:tcW w:w="745"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827"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1499" w:type="pct"/>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left"/>
              <w:rPr>
                <w:rFonts w:hint="eastAsia" w:ascii="仿宋" w:hAnsi="仿宋" w:eastAsia="仿宋" w:cs="仿宋"/>
                <w:sz w:val="24"/>
                <w:szCs w:val="24"/>
              </w:rPr>
            </w:pPr>
            <w:r>
              <w:rPr>
                <w:rFonts w:hint="eastAsia" w:ascii="仿宋" w:hAnsi="仿宋" w:eastAsia="仿宋" w:cs="仿宋"/>
                <w:sz w:val="24"/>
                <w:szCs w:val="24"/>
              </w:rPr>
              <w:t>中国国际进口博览会参与人满意度</w:t>
            </w:r>
          </w:p>
        </w:tc>
        <w:tc>
          <w:tcPr>
            <w:tcW w:w="1285" w:type="pct"/>
            <w:gridSpan w:val="2"/>
            <w:noWrap/>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w:t>
            </w:r>
            <w:r>
              <w:rPr>
                <w:rFonts w:hint="eastAsia" w:ascii="仿宋" w:hAnsi="仿宋" w:eastAsia="仿宋" w:cs="仿宋"/>
                <w:sz w:val="24"/>
                <w:szCs w:val="24"/>
              </w:rPr>
              <w:t>9</w:t>
            </w:r>
            <w:r>
              <w:rPr>
                <w:rFonts w:hint="eastAsia" w:ascii="仿宋" w:hAnsi="仿宋" w:eastAsia="仿宋" w:cs="仿宋"/>
                <w:sz w:val="24"/>
                <w:szCs w:val="24"/>
                <w:lang w:val="en-US" w:eastAsia="zh-CN"/>
              </w:rPr>
              <w:t>7</w:t>
            </w:r>
            <w:r>
              <w:rPr>
                <w:rFonts w:hint="eastAsia" w:ascii="仿宋" w:hAnsi="仿宋" w:eastAsia="仿宋" w:cs="仿宋"/>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5" w:type="pct"/>
          <w:trHeight w:val="600" w:hRule="atLeast"/>
        </w:trPr>
        <w:tc>
          <w:tcPr>
            <w:tcW w:w="626"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sz w:val="24"/>
                <w:szCs w:val="24"/>
                <w:u w:val="none"/>
              </w:rPr>
            </w:pPr>
          </w:p>
        </w:tc>
        <w:tc>
          <w:tcPr>
            <w:tcW w:w="745"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827" w:type="pct"/>
            <w:vMerge w:val="continue"/>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p>
        </w:tc>
        <w:tc>
          <w:tcPr>
            <w:tcW w:w="1499" w:type="pct"/>
            <w:noWrap w:val="0"/>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left"/>
              <w:rPr>
                <w:rFonts w:hint="eastAsia" w:ascii="仿宋" w:hAnsi="仿宋" w:eastAsia="仿宋" w:cs="仿宋"/>
                <w:sz w:val="24"/>
                <w:szCs w:val="24"/>
              </w:rPr>
            </w:pPr>
            <w:r>
              <w:rPr>
                <w:rFonts w:hint="eastAsia" w:ascii="仿宋" w:hAnsi="仿宋" w:eastAsia="仿宋" w:cs="仿宋"/>
                <w:sz w:val="24"/>
                <w:szCs w:val="24"/>
              </w:rPr>
              <w:t>中国国际投资贸易洽谈会参与人满意度</w:t>
            </w:r>
          </w:p>
        </w:tc>
        <w:tc>
          <w:tcPr>
            <w:tcW w:w="1285" w:type="pct"/>
            <w:gridSpan w:val="2"/>
            <w:noWrap/>
            <w:tcMar>
              <w:top w:w="10" w:type="dxa"/>
              <w:left w:w="10" w:type="dxa"/>
              <w:right w:w="10" w:type="dxa"/>
            </w:tcMar>
            <w:vAlign w:val="center"/>
          </w:tcPr>
          <w:p>
            <w:pPr>
              <w:keepNext w:val="0"/>
              <w:keepLines w:val="0"/>
              <w:pageBreakBefore w:val="0"/>
              <w:kinsoku/>
              <w:wordWrap/>
              <w:overflowPunct/>
              <w:topLinePunct w:val="0"/>
              <w:bidi w:val="0"/>
              <w:adjustRightInd/>
              <w:snapToGrid/>
              <w:spacing w:line="240" w:lineRule="exact"/>
              <w:ind w:left="0"/>
              <w:jc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w:t>
            </w:r>
            <w:r>
              <w:rPr>
                <w:rFonts w:hint="eastAsia" w:ascii="仿宋" w:hAnsi="仿宋" w:eastAsia="仿宋" w:cs="仿宋"/>
                <w:sz w:val="24"/>
                <w:szCs w:val="24"/>
              </w:rPr>
              <w:t>9</w:t>
            </w:r>
            <w:r>
              <w:rPr>
                <w:rFonts w:hint="eastAsia" w:ascii="仿宋" w:hAnsi="仿宋" w:eastAsia="仿宋" w:cs="仿宋"/>
                <w:sz w:val="24"/>
                <w:szCs w:val="24"/>
                <w:lang w:val="en-US" w:eastAsia="zh-CN"/>
              </w:rPr>
              <w:t>7</w:t>
            </w:r>
            <w:r>
              <w:rPr>
                <w:rFonts w:hint="eastAsia" w:ascii="仿宋" w:hAnsi="仿宋" w:eastAsia="仿宋" w:cs="仿宋"/>
                <w:sz w:val="24"/>
                <w:szCs w:val="24"/>
              </w:rPr>
              <w:t>%</w:t>
            </w:r>
          </w:p>
        </w:tc>
      </w:tr>
    </w:tbl>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0"/>
        <w:rPr>
          <w:rFonts w:hint="eastAsia" w:ascii="黑体" w:hAnsi="黑体" w:eastAsia="黑体" w:cs="黑体"/>
          <w:b w:val="0"/>
          <w:bCs w:val="0"/>
          <w:color w:val="auto"/>
          <w:kern w:val="0"/>
          <w:sz w:val="32"/>
          <w:szCs w:val="32"/>
          <w:highlight w:val="none"/>
          <w:lang w:val="en-US" w:eastAsia="zh-CN"/>
        </w:rPr>
      </w:pPr>
      <w:bookmarkStart w:id="6" w:name="_Toc22489"/>
      <w:r>
        <w:rPr>
          <w:rFonts w:hint="eastAsia" w:ascii="黑体" w:hAnsi="黑体" w:eastAsia="黑体" w:cs="黑体"/>
          <w:b w:val="0"/>
          <w:bCs w:val="0"/>
          <w:color w:val="auto"/>
          <w:kern w:val="0"/>
          <w:sz w:val="32"/>
          <w:szCs w:val="32"/>
          <w:highlight w:val="none"/>
          <w:lang w:val="en-US" w:eastAsia="zh-CN"/>
        </w:rPr>
        <w:t>二、绩效评价工作开展情况</w:t>
      </w:r>
      <w:bookmarkEnd w:id="6"/>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楷体" w:hAnsi="楷体" w:eastAsia="楷体" w:cs="楷体"/>
          <w:b/>
          <w:bCs/>
          <w:color w:val="auto"/>
          <w:kern w:val="0"/>
          <w:sz w:val="32"/>
          <w:szCs w:val="32"/>
          <w:highlight w:val="none"/>
          <w:lang w:val="en-US" w:eastAsia="zh-CN"/>
        </w:rPr>
      </w:pPr>
      <w:bookmarkStart w:id="7" w:name="_Toc19145"/>
      <w:r>
        <w:rPr>
          <w:rFonts w:hint="eastAsia" w:ascii="楷体" w:hAnsi="楷体" w:eastAsia="楷体" w:cs="楷体"/>
          <w:b/>
          <w:bCs/>
          <w:color w:val="auto"/>
          <w:kern w:val="0"/>
          <w:sz w:val="32"/>
          <w:szCs w:val="32"/>
          <w:highlight w:val="none"/>
          <w:lang w:val="en-US" w:eastAsia="zh-CN"/>
        </w:rPr>
        <w:t>（一）绩效评价目的和依据</w:t>
      </w:r>
      <w:bookmarkEnd w:id="7"/>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推进预算绩效管理是贯彻落实党中央、国务院要求，从根本上深化行政管理体制改革、促进政府职能转变、提高部门责任意识，建设高效、责任、透明政府的有效举措，是贯彻落实科学发展观的必然选择,是实施行政问责制和加强政府效能建设的重要抓手。为深入贯彻落实科学发展观，完善公共财政体系，进一步推进财政预算绩效管理，不断提升财政管理科学化精细化水平，根据《关于全面实施预算绩效管理的意见》（中发〔2018〕34号）、《项目支出绩效评价管理办法》（财预〔2020〕10号）等文件要求，依据</w:t>
      </w:r>
      <w:r>
        <w:rPr>
          <w:rFonts w:hint="eastAsia" w:ascii="仿宋" w:hAnsi="仿宋" w:eastAsia="仿宋" w:cs="仿宋"/>
          <w:color w:val="auto"/>
          <w:kern w:val="0"/>
          <w:sz w:val="32"/>
          <w:szCs w:val="32"/>
          <w:highlight w:val="none"/>
          <w:lang w:val="en-US" w:eastAsia="zh-CN"/>
        </w:rPr>
        <w:t>铜川市新区财政局《关于开展2021年新区项目和部门整体支出绩效自评及重点项目绩效评价</w:t>
      </w:r>
      <w:r>
        <w:rPr>
          <w:rFonts w:hint="eastAsia" w:ascii="仿宋" w:hAnsi="仿宋" w:eastAsia="仿宋" w:cs="仿宋"/>
          <w:color w:val="auto"/>
          <w:kern w:val="0"/>
          <w:sz w:val="32"/>
          <w:szCs w:val="32"/>
          <w:highlight w:val="none"/>
          <w:lang w:val="en-US" w:eastAsia="zh-Hans"/>
        </w:rPr>
        <w:t>工作</w:t>
      </w:r>
      <w:r>
        <w:rPr>
          <w:rFonts w:hint="eastAsia" w:ascii="仿宋" w:hAnsi="仿宋" w:eastAsia="仿宋" w:cs="仿宋"/>
          <w:color w:val="auto"/>
          <w:kern w:val="0"/>
          <w:sz w:val="32"/>
          <w:szCs w:val="32"/>
          <w:highlight w:val="none"/>
          <w:lang w:val="en-US" w:eastAsia="zh-CN"/>
        </w:rPr>
        <w:t>的通知》</w:t>
      </w:r>
      <w:r>
        <w:rPr>
          <w:rFonts w:hint="eastAsia" w:ascii="仿宋" w:hAnsi="仿宋" w:eastAsia="仿宋" w:cs="仿宋"/>
          <w:color w:val="auto"/>
          <w:kern w:val="0"/>
          <w:sz w:val="32"/>
          <w:szCs w:val="32"/>
          <w:highlight w:val="none"/>
          <w:shd w:val="clear" w:color="auto" w:fill="FFFFFF"/>
          <w:lang w:val="en-US" w:eastAsia="zh-Hans"/>
        </w:rPr>
        <w:t>文件规定，对</w:t>
      </w:r>
      <w:r>
        <w:rPr>
          <w:rFonts w:hint="eastAsia" w:ascii="仿宋" w:hAnsi="仿宋" w:eastAsia="仿宋" w:cs="仿宋"/>
          <w:color w:val="auto"/>
          <w:kern w:val="0"/>
          <w:sz w:val="32"/>
          <w:szCs w:val="32"/>
          <w:highlight w:val="none"/>
          <w:shd w:val="clear" w:color="auto" w:fill="FFFFFF"/>
          <w:lang w:val="en-US" w:eastAsia="zh-CN"/>
        </w:rPr>
        <w:t>铜川市新区对外经济投资合作局</w:t>
      </w:r>
      <w:r>
        <w:rPr>
          <w:rFonts w:hint="eastAsia" w:ascii="仿宋" w:hAnsi="仿宋" w:eastAsia="仿宋" w:cs="仿宋"/>
          <w:color w:val="auto"/>
          <w:kern w:val="0"/>
          <w:sz w:val="32"/>
          <w:szCs w:val="32"/>
          <w:highlight w:val="none"/>
          <w:shd w:val="clear" w:color="auto" w:fill="FFFFFF"/>
          <w:lang w:val="en-US" w:eastAsia="zh-Hans"/>
        </w:rPr>
        <w:t>202</w:t>
      </w:r>
      <w:r>
        <w:rPr>
          <w:rFonts w:hint="eastAsia" w:ascii="仿宋" w:hAnsi="仿宋" w:eastAsia="仿宋" w:cs="仿宋"/>
          <w:color w:val="auto"/>
          <w:kern w:val="0"/>
          <w:sz w:val="32"/>
          <w:szCs w:val="32"/>
          <w:highlight w:val="none"/>
          <w:shd w:val="clear" w:color="auto" w:fill="FFFFFF"/>
          <w:lang w:val="en-US" w:eastAsia="zh-CN"/>
        </w:rPr>
        <w:t>1</w:t>
      </w:r>
      <w:r>
        <w:rPr>
          <w:rFonts w:hint="eastAsia" w:ascii="仿宋" w:hAnsi="仿宋" w:eastAsia="仿宋" w:cs="仿宋"/>
          <w:color w:val="auto"/>
          <w:kern w:val="0"/>
          <w:sz w:val="32"/>
          <w:szCs w:val="32"/>
          <w:highlight w:val="none"/>
          <w:shd w:val="clear" w:color="auto" w:fill="FFFFFF"/>
          <w:lang w:val="en-US" w:eastAsia="zh-Hans"/>
        </w:rPr>
        <w:t>年度</w:t>
      </w:r>
      <w:r>
        <w:rPr>
          <w:rFonts w:hint="eastAsia" w:ascii="仿宋" w:hAnsi="仿宋" w:eastAsia="仿宋" w:cs="仿宋"/>
          <w:color w:val="auto"/>
          <w:kern w:val="0"/>
          <w:sz w:val="32"/>
          <w:szCs w:val="32"/>
          <w:highlight w:val="none"/>
          <w:shd w:val="clear" w:color="auto" w:fill="FFFFFF"/>
          <w:lang w:val="en-US" w:eastAsia="zh-CN"/>
        </w:rPr>
        <w:t>部门</w:t>
      </w:r>
      <w:r>
        <w:rPr>
          <w:rFonts w:hint="eastAsia" w:ascii="仿宋" w:hAnsi="仿宋" w:eastAsia="仿宋" w:cs="仿宋"/>
          <w:color w:val="auto"/>
          <w:kern w:val="0"/>
          <w:sz w:val="32"/>
          <w:szCs w:val="32"/>
          <w:highlight w:val="none"/>
          <w:shd w:val="clear" w:color="auto" w:fill="FFFFFF"/>
          <w:lang w:val="en-US" w:eastAsia="zh-Hans"/>
        </w:rPr>
        <w:t>整体支出资金使用情况，以及部门职能及重点工作执行情况进行绩效评价。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1.评价目的</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本次绩效评价工作主要目的包括如下两部分：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一是通过开展部门整体支出绩效评价，促进部门从整体上提升预算绩效管理工作水平，强化部门支出责任，规范资金管理行为，提高财政资金使用效益，保障部门更好地履行职责。</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二是通过本次绩效评价工作的开展，为铜川市</w:t>
      </w:r>
      <w:r>
        <w:rPr>
          <w:rFonts w:hint="eastAsia" w:ascii="仿宋" w:hAnsi="仿宋" w:eastAsia="仿宋" w:cs="仿宋"/>
          <w:color w:val="auto"/>
          <w:kern w:val="0"/>
          <w:sz w:val="32"/>
          <w:szCs w:val="32"/>
          <w:highlight w:val="none"/>
          <w:shd w:val="clear" w:color="auto" w:fill="FFFFFF"/>
          <w:lang w:val="en-US" w:eastAsia="zh-CN"/>
        </w:rPr>
        <w:t>新区</w:t>
      </w:r>
      <w:r>
        <w:rPr>
          <w:rFonts w:hint="eastAsia" w:ascii="仿宋" w:hAnsi="仿宋" w:eastAsia="仿宋" w:cs="仿宋"/>
          <w:color w:val="auto"/>
          <w:kern w:val="0"/>
          <w:sz w:val="32"/>
          <w:szCs w:val="32"/>
          <w:highlight w:val="none"/>
          <w:shd w:val="clear" w:color="auto" w:fill="FFFFFF"/>
          <w:lang w:val="en-US" w:eastAsia="zh-Hans"/>
        </w:rPr>
        <w:t>财政绩效管理工作积累经验，并有效落实绩效评价结果应用，探索更加符合财政管理特点的绩效管理模式和方法，优化</w:t>
      </w:r>
      <w:r>
        <w:rPr>
          <w:rFonts w:hint="eastAsia" w:ascii="仿宋" w:hAnsi="仿宋" w:eastAsia="仿宋" w:cs="仿宋"/>
          <w:color w:val="auto"/>
          <w:kern w:val="0"/>
          <w:sz w:val="32"/>
          <w:szCs w:val="32"/>
          <w:highlight w:val="none"/>
          <w:shd w:val="clear" w:color="auto" w:fill="FFFFFF"/>
          <w:lang w:val="en-US" w:eastAsia="zh-CN"/>
        </w:rPr>
        <w:t>财政支出结构</w:t>
      </w:r>
      <w:r>
        <w:rPr>
          <w:rFonts w:hint="eastAsia" w:ascii="仿宋" w:hAnsi="仿宋" w:eastAsia="仿宋" w:cs="仿宋"/>
          <w:color w:val="auto"/>
          <w:kern w:val="0"/>
          <w:sz w:val="32"/>
          <w:szCs w:val="32"/>
          <w:highlight w:val="none"/>
          <w:shd w:val="clear" w:color="auto" w:fill="FFFFFF"/>
          <w:lang w:val="en-US" w:eastAsia="zh-Hans"/>
        </w:rPr>
        <w:t>，提升财政支出</w:t>
      </w:r>
      <w:r>
        <w:rPr>
          <w:rFonts w:hint="eastAsia" w:ascii="仿宋" w:hAnsi="仿宋" w:eastAsia="仿宋" w:cs="仿宋"/>
          <w:color w:val="auto"/>
          <w:kern w:val="0"/>
          <w:sz w:val="32"/>
          <w:szCs w:val="32"/>
          <w:highlight w:val="none"/>
          <w:shd w:val="clear" w:color="auto" w:fill="FFFFFF"/>
          <w:lang w:val="en-US" w:eastAsia="zh-CN"/>
        </w:rPr>
        <w:t>预算</w:t>
      </w:r>
      <w:r>
        <w:rPr>
          <w:rFonts w:hint="eastAsia" w:ascii="仿宋" w:hAnsi="仿宋" w:eastAsia="仿宋" w:cs="仿宋"/>
          <w:color w:val="auto"/>
          <w:kern w:val="0"/>
          <w:sz w:val="32"/>
          <w:szCs w:val="32"/>
          <w:highlight w:val="none"/>
          <w:shd w:val="clear" w:color="auto" w:fill="FFFFFF"/>
          <w:lang w:val="en-US" w:eastAsia="zh-Hans"/>
        </w:rPr>
        <w:t>执行效率。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2.评价依据</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（1）《财政部关于印发&lt;项目支出绩效评价管理办法&gt;的通知》（财预〔2020〕10 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（2）《预算绩效评价共性指标体系框架》（财预〔2013〕53 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（3）陕西省财政厅关于印发《省级部门整体支出绩效评价办法》的通知(陕财办预〔2017〕80 号)</w:t>
      </w:r>
      <w:r>
        <w:rPr>
          <w:rFonts w:hint="eastAsia" w:ascii="仿宋" w:hAnsi="仿宋" w:eastAsia="仿宋" w:cs="仿宋"/>
          <w:color w:val="auto"/>
          <w:kern w:val="0"/>
          <w:sz w:val="32"/>
          <w:szCs w:val="32"/>
          <w:highlight w:val="none"/>
          <w:shd w:val="clear" w:color="auto" w:fill="FFFFFF"/>
          <w:lang w:val="en-US" w:eastAsia="zh-CN"/>
        </w:rPr>
        <w:t>；</w:t>
      </w:r>
      <w:r>
        <w:rPr>
          <w:rFonts w:hint="eastAsia" w:ascii="仿宋" w:hAnsi="仿宋" w:eastAsia="仿宋" w:cs="仿宋"/>
          <w:color w:val="auto"/>
          <w:kern w:val="0"/>
          <w:sz w:val="32"/>
          <w:szCs w:val="32"/>
          <w:highlight w:val="none"/>
          <w:shd w:val="clear" w:color="auto" w:fill="FFFFFF"/>
          <w:lang w:val="en-US" w:eastAsia="zh-Hans"/>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（4）</w:t>
      </w:r>
      <w:r>
        <w:rPr>
          <w:rFonts w:hint="eastAsia" w:ascii="仿宋" w:hAnsi="仿宋" w:eastAsia="仿宋" w:cs="仿宋"/>
          <w:color w:val="auto"/>
          <w:kern w:val="0"/>
          <w:sz w:val="32"/>
          <w:szCs w:val="32"/>
          <w:highlight w:val="none"/>
          <w:lang w:val="en-US" w:eastAsia="zh-CN"/>
        </w:rPr>
        <w:t>铜川市新区财政局《关于开展2021年新区项目和部门整体支出绩效自评及重点项目绩效评价</w:t>
      </w:r>
      <w:r>
        <w:rPr>
          <w:rFonts w:hint="eastAsia" w:ascii="仿宋" w:hAnsi="仿宋" w:eastAsia="仿宋" w:cs="仿宋"/>
          <w:color w:val="auto"/>
          <w:kern w:val="0"/>
          <w:sz w:val="32"/>
          <w:szCs w:val="32"/>
          <w:highlight w:val="none"/>
          <w:lang w:val="en-US" w:eastAsia="zh-Hans"/>
        </w:rPr>
        <w:t>工作</w:t>
      </w:r>
      <w:r>
        <w:rPr>
          <w:rFonts w:hint="eastAsia" w:ascii="仿宋" w:hAnsi="仿宋" w:eastAsia="仿宋" w:cs="仿宋"/>
          <w:color w:val="auto"/>
          <w:kern w:val="0"/>
          <w:sz w:val="32"/>
          <w:szCs w:val="32"/>
          <w:highlight w:val="none"/>
          <w:lang w:val="en-US" w:eastAsia="zh-CN"/>
        </w:rPr>
        <w:t>的通知》</w:t>
      </w:r>
      <w:r>
        <w:rPr>
          <w:rFonts w:hint="eastAsia" w:ascii="仿宋" w:hAnsi="仿宋" w:eastAsia="仿宋" w:cs="仿宋"/>
          <w:color w:val="auto"/>
          <w:kern w:val="0"/>
          <w:sz w:val="32"/>
          <w:szCs w:val="32"/>
          <w:highlight w:val="none"/>
          <w:shd w:val="clear" w:color="auto" w:fill="FFFFFF"/>
          <w:lang w:val="en-US" w:eastAsia="zh-Hans"/>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（5）</w:t>
      </w:r>
      <w:r>
        <w:rPr>
          <w:rFonts w:hint="eastAsia" w:ascii="仿宋" w:hAnsi="仿宋" w:eastAsia="仿宋" w:cs="仿宋"/>
          <w:color w:val="auto"/>
          <w:kern w:val="0"/>
          <w:sz w:val="32"/>
          <w:szCs w:val="32"/>
          <w:highlight w:val="none"/>
          <w:shd w:val="clear" w:color="auto" w:fill="FFFFFF"/>
          <w:lang w:val="en-US" w:eastAsia="zh-CN"/>
        </w:rPr>
        <w:t>铜川市新区财政局《关于下达2021年部门预算的通知》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（6）</w:t>
      </w:r>
      <w:r>
        <w:rPr>
          <w:rFonts w:hint="eastAsia" w:ascii="仿宋" w:hAnsi="仿宋" w:eastAsia="仿宋" w:cs="仿宋"/>
          <w:color w:val="auto"/>
          <w:kern w:val="0"/>
          <w:sz w:val="32"/>
          <w:szCs w:val="32"/>
          <w:highlight w:val="none"/>
          <w:shd w:val="clear" w:color="auto" w:fill="FFFFFF"/>
          <w:lang w:val="en-US" w:eastAsia="zh-Hans"/>
        </w:rPr>
        <w:t>《关于做好202</w:t>
      </w:r>
      <w:r>
        <w:rPr>
          <w:rFonts w:hint="eastAsia" w:ascii="仿宋" w:hAnsi="仿宋" w:eastAsia="仿宋" w:cs="仿宋"/>
          <w:color w:val="auto"/>
          <w:kern w:val="0"/>
          <w:sz w:val="32"/>
          <w:szCs w:val="32"/>
          <w:highlight w:val="none"/>
          <w:shd w:val="clear" w:color="auto" w:fill="FFFFFF"/>
          <w:lang w:val="en-US" w:eastAsia="zh-CN"/>
        </w:rPr>
        <w:t>1</w:t>
      </w:r>
      <w:r>
        <w:rPr>
          <w:rFonts w:hint="eastAsia" w:ascii="仿宋" w:hAnsi="仿宋" w:eastAsia="仿宋" w:cs="仿宋"/>
          <w:color w:val="auto"/>
          <w:kern w:val="0"/>
          <w:sz w:val="32"/>
          <w:szCs w:val="32"/>
          <w:highlight w:val="none"/>
          <w:shd w:val="clear" w:color="auto" w:fill="FFFFFF"/>
          <w:lang w:val="en-US" w:eastAsia="zh-Hans"/>
        </w:rPr>
        <w:t>年部门预算公开的通知》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7</w:t>
      </w:r>
      <w:r>
        <w:rPr>
          <w:rFonts w:hint="eastAsia" w:ascii="仿宋" w:hAnsi="仿宋" w:eastAsia="仿宋" w:cs="仿宋"/>
          <w:color w:val="auto"/>
          <w:kern w:val="0"/>
          <w:sz w:val="32"/>
          <w:szCs w:val="32"/>
          <w:highlight w:val="none"/>
          <w:shd w:val="clear" w:color="auto" w:fill="FFFFFF"/>
          <w:lang w:val="en-US" w:eastAsia="zh-Hans"/>
        </w:rPr>
        <w:t>）《铜川市预决算公开工作考核办法》（铜财预〔2018〕117 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8</w:t>
      </w:r>
      <w:r>
        <w:rPr>
          <w:rFonts w:hint="eastAsia" w:ascii="仿宋" w:hAnsi="仿宋" w:eastAsia="仿宋" w:cs="仿宋"/>
          <w:color w:val="auto"/>
          <w:kern w:val="0"/>
          <w:sz w:val="32"/>
          <w:szCs w:val="32"/>
          <w:highlight w:val="none"/>
          <w:shd w:val="clear" w:color="auto" w:fill="FFFFFF"/>
          <w:lang w:val="en-US" w:eastAsia="zh-Hans"/>
        </w:rPr>
        <w:t>）《地方预决算公开操作规程》（铜财预〔2016〕102号）；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9</w:t>
      </w:r>
      <w:r>
        <w:rPr>
          <w:rFonts w:hint="eastAsia" w:ascii="仿宋" w:hAnsi="仿宋" w:eastAsia="仿宋" w:cs="仿宋"/>
          <w:color w:val="auto"/>
          <w:kern w:val="0"/>
          <w:sz w:val="32"/>
          <w:szCs w:val="32"/>
          <w:highlight w:val="none"/>
          <w:shd w:val="clear" w:color="auto" w:fill="FFFFFF"/>
          <w:lang w:val="en-US" w:eastAsia="zh-Hans"/>
        </w:rPr>
        <w:t>）铜川市财政局印发的《市级部门预算绩效目标管理暂行办法》（铜财预〔2016〕74号）；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（1</w:t>
      </w:r>
      <w:bookmarkStart w:id="40" w:name="_GoBack"/>
      <w:bookmarkEnd w:id="40"/>
      <w:r>
        <w:rPr>
          <w:rFonts w:hint="eastAsia" w:ascii="仿宋" w:hAnsi="仿宋" w:eastAsia="仿宋" w:cs="仿宋"/>
          <w:color w:val="auto"/>
          <w:kern w:val="0"/>
          <w:sz w:val="32"/>
          <w:szCs w:val="32"/>
          <w:highlight w:val="none"/>
          <w:shd w:val="clear" w:color="auto" w:fill="FFFFFF"/>
          <w:lang w:val="en-US" w:eastAsia="zh-CN"/>
        </w:rPr>
        <w:t>0）铜川市新区对外经济投资合作局2021年度部门综合预算和决算文件；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（11）</w:t>
      </w:r>
      <w:r>
        <w:rPr>
          <w:rFonts w:hint="eastAsia" w:ascii="仿宋" w:hAnsi="仿宋" w:eastAsia="仿宋" w:cs="仿宋"/>
          <w:color w:val="auto"/>
          <w:kern w:val="0"/>
          <w:sz w:val="32"/>
          <w:szCs w:val="32"/>
          <w:highlight w:val="none"/>
          <w:shd w:val="clear" w:color="auto" w:fill="FFFFFF"/>
          <w:lang w:val="en-US" w:eastAsia="zh-Hans"/>
        </w:rPr>
        <w:t>铜川市</w:t>
      </w:r>
      <w:r>
        <w:rPr>
          <w:rFonts w:hint="eastAsia" w:ascii="仿宋" w:hAnsi="仿宋" w:eastAsia="仿宋" w:cs="仿宋"/>
          <w:color w:val="auto"/>
          <w:kern w:val="0"/>
          <w:sz w:val="32"/>
          <w:szCs w:val="32"/>
          <w:highlight w:val="none"/>
          <w:shd w:val="clear" w:color="auto" w:fill="FFFFFF"/>
          <w:lang w:val="en-US" w:eastAsia="zh-CN"/>
        </w:rPr>
        <w:t>新区外经济投资合作局</w:t>
      </w:r>
      <w:r>
        <w:rPr>
          <w:rFonts w:hint="eastAsia" w:ascii="仿宋" w:hAnsi="仿宋" w:eastAsia="仿宋" w:cs="仿宋"/>
          <w:color w:val="auto"/>
          <w:kern w:val="0"/>
          <w:sz w:val="32"/>
          <w:szCs w:val="32"/>
          <w:highlight w:val="none"/>
          <w:shd w:val="clear" w:color="auto" w:fill="FFFFFF"/>
          <w:lang w:val="en-US" w:eastAsia="zh-Hans"/>
        </w:rPr>
        <w:t>相关职责、制度及管理办法；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（1</w:t>
      </w:r>
      <w:r>
        <w:rPr>
          <w:rFonts w:hint="eastAsia" w:ascii="仿宋" w:hAnsi="仿宋" w:eastAsia="仿宋" w:cs="仿宋"/>
          <w:color w:val="auto"/>
          <w:kern w:val="0"/>
          <w:sz w:val="32"/>
          <w:szCs w:val="32"/>
          <w:highlight w:val="none"/>
          <w:shd w:val="clear" w:color="auto" w:fill="FFFFFF"/>
          <w:lang w:val="en-US" w:eastAsia="zh-CN"/>
        </w:rPr>
        <w:t>2</w:t>
      </w:r>
      <w:r>
        <w:rPr>
          <w:rFonts w:hint="eastAsia" w:ascii="仿宋" w:hAnsi="仿宋" w:eastAsia="仿宋" w:cs="仿宋"/>
          <w:color w:val="auto"/>
          <w:kern w:val="0"/>
          <w:sz w:val="32"/>
          <w:szCs w:val="32"/>
          <w:highlight w:val="none"/>
          <w:shd w:val="clear" w:color="auto" w:fill="FFFFFF"/>
          <w:lang w:val="en-US" w:eastAsia="zh-Hans"/>
        </w:rPr>
        <w:t>）铜川市</w:t>
      </w:r>
      <w:r>
        <w:rPr>
          <w:rFonts w:hint="eastAsia" w:ascii="仿宋" w:hAnsi="仿宋" w:eastAsia="仿宋" w:cs="仿宋"/>
          <w:color w:val="auto"/>
          <w:kern w:val="0"/>
          <w:sz w:val="32"/>
          <w:szCs w:val="32"/>
          <w:highlight w:val="none"/>
          <w:shd w:val="clear" w:color="auto" w:fill="FFFFFF"/>
          <w:lang w:val="en-US" w:eastAsia="zh-CN"/>
        </w:rPr>
        <w:t>新区外经济投资合作局2021年度重点工作</w:t>
      </w:r>
      <w:r>
        <w:rPr>
          <w:rFonts w:hint="eastAsia" w:ascii="仿宋" w:hAnsi="仿宋" w:eastAsia="仿宋" w:cs="仿宋"/>
          <w:color w:val="auto"/>
          <w:kern w:val="0"/>
          <w:sz w:val="32"/>
          <w:szCs w:val="32"/>
          <w:highlight w:val="none"/>
          <w:shd w:val="clear" w:color="auto" w:fill="FFFFFF"/>
          <w:lang w:val="en-US" w:eastAsia="zh-Hans"/>
        </w:rPr>
        <w:t>资料（预算批复文件、项目支出明细账、会计凭证等财务资料，年度工作计划、项目实施方案、年度工作总结、阶段总结、绩效佐证资料等档案资料）。</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楷体" w:hAnsi="楷体" w:eastAsia="楷体" w:cs="楷体"/>
          <w:b/>
          <w:bCs/>
          <w:color w:val="auto"/>
          <w:kern w:val="0"/>
          <w:sz w:val="32"/>
          <w:szCs w:val="32"/>
          <w:highlight w:val="none"/>
          <w:shd w:val="clear" w:color="auto" w:fill="FFFFFF"/>
          <w:lang w:val="en-US" w:eastAsia="zh-Hans"/>
        </w:rPr>
      </w:pPr>
      <w:bookmarkStart w:id="8" w:name="_Toc10668"/>
      <w:r>
        <w:rPr>
          <w:rFonts w:hint="eastAsia" w:ascii="楷体" w:hAnsi="楷体" w:eastAsia="楷体" w:cs="楷体"/>
          <w:b/>
          <w:bCs/>
          <w:color w:val="auto"/>
          <w:kern w:val="0"/>
          <w:sz w:val="32"/>
          <w:szCs w:val="32"/>
          <w:highlight w:val="none"/>
          <w:shd w:val="clear" w:color="auto" w:fill="FFFFFF"/>
          <w:lang w:val="en-US" w:eastAsia="zh-Hans"/>
        </w:rPr>
        <w:t>（二）评价对象、范围和时段</w:t>
      </w:r>
      <w:bookmarkEnd w:id="8"/>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评价对象：铜川市</w:t>
      </w:r>
      <w:r>
        <w:rPr>
          <w:rFonts w:hint="eastAsia" w:ascii="仿宋" w:hAnsi="仿宋" w:eastAsia="仿宋" w:cs="仿宋"/>
          <w:color w:val="auto"/>
          <w:kern w:val="0"/>
          <w:sz w:val="32"/>
          <w:szCs w:val="32"/>
          <w:highlight w:val="none"/>
          <w:shd w:val="clear" w:color="auto" w:fill="FFFFFF"/>
          <w:lang w:val="en-US" w:eastAsia="zh-CN"/>
        </w:rPr>
        <w:t>新区外经济投资合作局</w:t>
      </w:r>
      <w:r>
        <w:rPr>
          <w:rFonts w:hint="eastAsia" w:ascii="仿宋" w:hAnsi="仿宋" w:eastAsia="仿宋" w:cs="仿宋"/>
          <w:color w:val="auto"/>
          <w:kern w:val="0"/>
          <w:sz w:val="32"/>
          <w:szCs w:val="32"/>
          <w:highlight w:val="none"/>
          <w:shd w:val="clear" w:color="auto" w:fill="FFFFFF"/>
          <w:lang w:val="en-US" w:eastAsia="zh-Hans"/>
        </w:rPr>
        <w:t>202</w:t>
      </w:r>
      <w:r>
        <w:rPr>
          <w:rFonts w:hint="eastAsia" w:ascii="仿宋" w:hAnsi="仿宋" w:eastAsia="仿宋" w:cs="仿宋"/>
          <w:color w:val="auto"/>
          <w:kern w:val="0"/>
          <w:sz w:val="32"/>
          <w:szCs w:val="32"/>
          <w:highlight w:val="none"/>
          <w:shd w:val="clear" w:color="auto" w:fill="FFFFFF"/>
          <w:lang w:val="en-US" w:eastAsia="zh-CN"/>
        </w:rPr>
        <w:t>1</w:t>
      </w:r>
      <w:r>
        <w:rPr>
          <w:rFonts w:hint="eastAsia" w:ascii="仿宋" w:hAnsi="仿宋" w:eastAsia="仿宋" w:cs="仿宋"/>
          <w:color w:val="auto"/>
          <w:kern w:val="0"/>
          <w:sz w:val="32"/>
          <w:szCs w:val="32"/>
          <w:highlight w:val="none"/>
          <w:shd w:val="clear" w:color="auto" w:fill="FFFFFF"/>
          <w:lang w:val="en-US" w:eastAsia="zh-Hans"/>
        </w:rPr>
        <w:t>年部门</w:t>
      </w:r>
      <w:r>
        <w:rPr>
          <w:rFonts w:hint="eastAsia" w:ascii="仿宋" w:hAnsi="仿宋" w:eastAsia="仿宋" w:cs="仿宋"/>
          <w:color w:val="auto"/>
          <w:kern w:val="0"/>
          <w:sz w:val="32"/>
          <w:szCs w:val="32"/>
          <w:highlight w:val="none"/>
          <w:shd w:val="clear" w:color="auto" w:fill="FFFFFF"/>
          <w:lang w:val="en-US" w:eastAsia="zh-CN"/>
        </w:rPr>
        <w:t>财政预算</w:t>
      </w:r>
      <w:r>
        <w:rPr>
          <w:rFonts w:hint="eastAsia" w:ascii="仿宋" w:hAnsi="仿宋" w:eastAsia="仿宋" w:cs="仿宋"/>
          <w:color w:val="auto"/>
          <w:kern w:val="0"/>
          <w:sz w:val="32"/>
          <w:szCs w:val="32"/>
          <w:highlight w:val="none"/>
          <w:shd w:val="clear" w:color="auto" w:fill="FFFFFF"/>
          <w:lang w:val="en-US" w:eastAsia="zh-Hans"/>
        </w:rPr>
        <w:t>资金</w:t>
      </w:r>
      <w:r>
        <w:rPr>
          <w:rFonts w:hint="eastAsia" w:ascii="仿宋" w:hAnsi="仿宋" w:eastAsia="仿宋" w:cs="仿宋"/>
          <w:color w:val="auto"/>
          <w:kern w:val="0"/>
          <w:sz w:val="32"/>
          <w:szCs w:val="32"/>
          <w:highlight w:val="none"/>
          <w:shd w:val="clear" w:color="auto" w:fill="FFFFFF"/>
          <w:lang w:val="en-US" w:eastAsia="zh-CN"/>
        </w:rPr>
        <w:t>543.89万元</w:t>
      </w:r>
      <w:r>
        <w:rPr>
          <w:rFonts w:hint="eastAsia" w:ascii="仿宋" w:hAnsi="仿宋" w:eastAsia="仿宋" w:cs="仿宋"/>
          <w:color w:val="auto"/>
          <w:kern w:val="0"/>
          <w:sz w:val="32"/>
          <w:szCs w:val="32"/>
          <w:highlight w:val="none"/>
          <w:shd w:val="clear" w:color="auto" w:fill="FFFFFF"/>
          <w:lang w:val="en-US" w:eastAsia="zh-Hans"/>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评价范围：铜川市</w:t>
      </w:r>
      <w:r>
        <w:rPr>
          <w:rFonts w:hint="eastAsia" w:ascii="仿宋" w:hAnsi="仿宋" w:eastAsia="仿宋" w:cs="仿宋"/>
          <w:color w:val="auto"/>
          <w:kern w:val="0"/>
          <w:sz w:val="32"/>
          <w:szCs w:val="32"/>
          <w:highlight w:val="none"/>
          <w:shd w:val="clear" w:color="auto" w:fill="FFFFFF"/>
          <w:lang w:val="en-US" w:eastAsia="zh-CN"/>
        </w:rPr>
        <w:t>新区外经济投资合作局</w:t>
      </w:r>
      <w:r>
        <w:rPr>
          <w:rFonts w:hint="eastAsia" w:ascii="仿宋" w:hAnsi="仿宋" w:eastAsia="仿宋" w:cs="仿宋"/>
          <w:color w:val="auto"/>
          <w:kern w:val="0"/>
          <w:sz w:val="32"/>
          <w:szCs w:val="32"/>
          <w:highlight w:val="none"/>
          <w:shd w:val="clear" w:color="auto" w:fill="FFFFFF"/>
          <w:lang w:val="en-US" w:eastAsia="zh-Hans"/>
        </w:rPr>
        <w:t>202</w:t>
      </w:r>
      <w:r>
        <w:rPr>
          <w:rFonts w:hint="eastAsia" w:ascii="仿宋" w:hAnsi="仿宋" w:eastAsia="仿宋" w:cs="仿宋"/>
          <w:color w:val="auto"/>
          <w:kern w:val="0"/>
          <w:sz w:val="32"/>
          <w:szCs w:val="32"/>
          <w:highlight w:val="none"/>
          <w:shd w:val="clear" w:color="auto" w:fill="FFFFFF"/>
          <w:lang w:val="en-US" w:eastAsia="zh-CN"/>
        </w:rPr>
        <w:t>1</w:t>
      </w:r>
      <w:r>
        <w:rPr>
          <w:rFonts w:hint="eastAsia" w:ascii="仿宋" w:hAnsi="仿宋" w:eastAsia="仿宋" w:cs="仿宋"/>
          <w:color w:val="auto"/>
          <w:kern w:val="0"/>
          <w:sz w:val="32"/>
          <w:szCs w:val="32"/>
          <w:highlight w:val="none"/>
          <w:shd w:val="clear" w:color="auto" w:fill="FFFFFF"/>
          <w:lang w:val="en-US" w:eastAsia="zh-Hans"/>
        </w:rPr>
        <w:t>年度依据部门职能开展的工作，以及职责范围内开展的</w:t>
      </w:r>
      <w:r>
        <w:rPr>
          <w:rFonts w:hint="eastAsia" w:ascii="仿宋" w:hAnsi="仿宋" w:eastAsia="仿宋" w:cs="仿宋"/>
          <w:color w:val="auto"/>
          <w:kern w:val="0"/>
          <w:sz w:val="32"/>
          <w:szCs w:val="32"/>
          <w:highlight w:val="none"/>
          <w:shd w:val="clear" w:color="auto" w:fill="FFFFFF"/>
          <w:lang w:val="en-US" w:eastAsia="zh-CN"/>
        </w:rPr>
        <w:t>重点工作安排</w:t>
      </w:r>
      <w:r>
        <w:rPr>
          <w:rFonts w:hint="eastAsia" w:ascii="仿宋" w:hAnsi="仿宋" w:eastAsia="仿宋" w:cs="仿宋"/>
          <w:color w:val="auto"/>
          <w:kern w:val="0"/>
          <w:sz w:val="32"/>
          <w:szCs w:val="32"/>
          <w:highlight w:val="none"/>
          <w:shd w:val="clear" w:color="auto" w:fill="FFFFFF"/>
          <w:lang w:val="en-US" w:eastAsia="zh-Hans"/>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评价时段：202</w:t>
      </w:r>
      <w:r>
        <w:rPr>
          <w:rFonts w:hint="eastAsia" w:ascii="仿宋" w:hAnsi="仿宋" w:eastAsia="仿宋" w:cs="仿宋"/>
          <w:color w:val="auto"/>
          <w:kern w:val="0"/>
          <w:sz w:val="32"/>
          <w:szCs w:val="32"/>
          <w:highlight w:val="none"/>
          <w:shd w:val="clear" w:color="auto" w:fill="FFFFFF"/>
          <w:lang w:val="en-US" w:eastAsia="zh-CN"/>
        </w:rPr>
        <w:t>1</w:t>
      </w:r>
      <w:r>
        <w:rPr>
          <w:rFonts w:hint="eastAsia" w:ascii="仿宋" w:hAnsi="仿宋" w:eastAsia="仿宋" w:cs="仿宋"/>
          <w:color w:val="auto"/>
          <w:kern w:val="0"/>
          <w:sz w:val="32"/>
          <w:szCs w:val="32"/>
          <w:highlight w:val="none"/>
          <w:shd w:val="clear" w:color="auto" w:fill="FFFFFF"/>
          <w:lang w:val="en-US" w:eastAsia="zh-Hans"/>
        </w:rPr>
        <w:t>年1月1日-202</w:t>
      </w:r>
      <w:r>
        <w:rPr>
          <w:rFonts w:hint="eastAsia" w:ascii="仿宋" w:hAnsi="仿宋" w:eastAsia="仿宋" w:cs="仿宋"/>
          <w:color w:val="auto"/>
          <w:kern w:val="0"/>
          <w:sz w:val="32"/>
          <w:szCs w:val="32"/>
          <w:highlight w:val="none"/>
          <w:shd w:val="clear" w:color="auto" w:fill="FFFFFF"/>
          <w:lang w:val="en-US" w:eastAsia="zh-CN"/>
        </w:rPr>
        <w:t>1</w:t>
      </w:r>
      <w:r>
        <w:rPr>
          <w:rFonts w:hint="eastAsia" w:ascii="仿宋" w:hAnsi="仿宋" w:eastAsia="仿宋" w:cs="仿宋"/>
          <w:color w:val="auto"/>
          <w:kern w:val="0"/>
          <w:sz w:val="32"/>
          <w:szCs w:val="32"/>
          <w:highlight w:val="none"/>
          <w:shd w:val="clear" w:color="auto" w:fill="FFFFFF"/>
          <w:lang w:val="en-US" w:eastAsia="zh-Hans"/>
        </w:rPr>
        <w:t>年12月31日。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楷体" w:hAnsi="楷体" w:eastAsia="楷体" w:cs="楷体"/>
          <w:b/>
          <w:bCs/>
          <w:color w:val="auto"/>
          <w:kern w:val="0"/>
          <w:sz w:val="32"/>
          <w:szCs w:val="32"/>
          <w:highlight w:val="none"/>
          <w:shd w:val="clear" w:color="auto" w:fill="FFFFFF"/>
          <w:lang w:val="en-US" w:eastAsia="zh-Hans"/>
        </w:rPr>
      </w:pPr>
      <w:bookmarkStart w:id="9" w:name="_Toc18458"/>
      <w:r>
        <w:rPr>
          <w:rFonts w:hint="eastAsia" w:ascii="楷体" w:hAnsi="楷体" w:eastAsia="楷体" w:cs="楷体"/>
          <w:b/>
          <w:bCs/>
          <w:color w:val="auto"/>
          <w:kern w:val="0"/>
          <w:sz w:val="32"/>
          <w:szCs w:val="32"/>
          <w:highlight w:val="none"/>
          <w:shd w:val="clear" w:color="auto" w:fill="FFFFFF"/>
          <w:lang w:val="en-US" w:eastAsia="zh-Hans"/>
        </w:rPr>
        <w:t>（三）绩效评价原则、方法</w:t>
      </w:r>
      <w:r>
        <w:rPr>
          <w:rFonts w:hint="eastAsia" w:ascii="楷体" w:hAnsi="楷体" w:eastAsia="楷体" w:cs="楷体"/>
          <w:b/>
          <w:bCs/>
          <w:color w:val="auto"/>
          <w:kern w:val="0"/>
          <w:sz w:val="32"/>
          <w:szCs w:val="32"/>
          <w:highlight w:val="none"/>
          <w:shd w:val="clear" w:color="auto" w:fill="FFFFFF"/>
          <w:lang w:val="en-US" w:eastAsia="zh-CN"/>
        </w:rPr>
        <w:t>和</w:t>
      </w:r>
      <w:r>
        <w:rPr>
          <w:rFonts w:hint="eastAsia" w:ascii="楷体" w:hAnsi="楷体" w:eastAsia="楷体" w:cs="楷体"/>
          <w:b/>
          <w:bCs/>
          <w:color w:val="auto"/>
          <w:kern w:val="0"/>
          <w:sz w:val="32"/>
          <w:szCs w:val="32"/>
          <w:highlight w:val="none"/>
          <w:shd w:val="clear" w:color="auto" w:fill="FFFFFF"/>
          <w:lang w:val="en-US" w:eastAsia="zh-Hans"/>
        </w:rPr>
        <w:t>指标体系</w:t>
      </w:r>
      <w:bookmarkEnd w:id="9"/>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1.评价原则</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（1）科学规范原则。本次绩效评价工作按照科学可行的原则，采取定量分析与定性分析相结合的评价方法，评价机构设计绩效评价</w:t>
      </w:r>
      <w:r>
        <w:rPr>
          <w:rFonts w:hint="eastAsia" w:ascii="仿宋" w:hAnsi="仿宋" w:eastAsia="仿宋" w:cs="仿宋"/>
          <w:color w:val="auto"/>
          <w:kern w:val="0"/>
          <w:sz w:val="32"/>
          <w:szCs w:val="32"/>
          <w:highlight w:val="none"/>
          <w:shd w:val="clear" w:color="auto" w:fill="FFFFFF"/>
          <w:lang w:val="en-US" w:eastAsia="zh-CN"/>
        </w:rPr>
        <w:t>指标体系</w:t>
      </w:r>
      <w:r>
        <w:rPr>
          <w:rFonts w:hint="eastAsia" w:ascii="仿宋" w:hAnsi="仿宋" w:eastAsia="仿宋" w:cs="仿宋"/>
          <w:color w:val="auto"/>
          <w:kern w:val="0"/>
          <w:sz w:val="32"/>
          <w:szCs w:val="32"/>
          <w:highlight w:val="none"/>
          <w:shd w:val="clear" w:color="auto" w:fill="FFFFFF"/>
          <w:lang w:val="en-US" w:eastAsia="zh-Hans"/>
        </w:rPr>
        <w:t>并组织实施绩效评价。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（2）独立公正原则。以真实、客观、公正的要求完成本次绩效评价工作，并接受相关部门监督。</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（3）绩效相关原则。本次绩效评价工作重点对该</w:t>
      </w:r>
      <w:r>
        <w:rPr>
          <w:rFonts w:hint="eastAsia" w:ascii="仿宋" w:hAnsi="仿宋" w:eastAsia="仿宋" w:cs="仿宋"/>
          <w:color w:val="auto"/>
          <w:kern w:val="0"/>
          <w:sz w:val="32"/>
          <w:szCs w:val="32"/>
          <w:highlight w:val="none"/>
          <w:shd w:val="clear" w:color="auto" w:fill="FFFFFF"/>
          <w:lang w:val="en-US" w:eastAsia="zh-CN"/>
        </w:rPr>
        <w:t>部门职责履行</w:t>
      </w:r>
      <w:r>
        <w:rPr>
          <w:rFonts w:hint="eastAsia" w:ascii="仿宋" w:hAnsi="仿宋" w:eastAsia="仿宋" w:cs="仿宋"/>
          <w:color w:val="auto"/>
          <w:kern w:val="0"/>
          <w:sz w:val="32"/>
          <w:szCs w:val="32"/>
          <w:highlight w:val="none"/>
          <w:shd w:val="clear" w:color="auto" w:fill="FFFFFF"/>
          <w:lang w:val="en-US" w:eastAsia="zh-Hans"/>
        </w:rPr>
        <w:t>及其</w:t>
      </w:r>
      <w:r>
        <w:rPr>
          <w:rFonts w:hint="eastAsia" w:ascii="仿宋" w:hAnsi="仿宋" w:eastAsia="仿宋" w:cs="仿宋"/>
          <w:color w:val="auto"/>
          <w:kern w:val="0"/>
          <w:sz w:val="32"/>
          <w:szCs w:val="32"/>
          <w:highlight w:val="none"/>
          <w:shd w:val="clear" w:color="auto" w:fill="FFFFFF"/>
          <w:lang w:val="en-US" w:eastAsia="zh-CN"/>
        </w:rPr>
        <w:t>履职效益</w:t>
      </w:r>
      <w:r>
        <w:rPr>
          <w:rFonts w:hint="eastAsia" w:ascii="仿宋" w:hAnsi="仿宋" w:eastAsia="仿宋" w:cs="仿宋"/>
          <w:color w:val="auto"/>
          <w:kern w:val="0"/>
          <w:sz w:val="32"/>
          <w:szCs w:val="32"/>
          <w:highlight w:val="none"/>
          <w:shd w:val="clear" w:color="auto" w:fill="FFFFFF"/>
          <w:lang w:val="en-US" w:eastAsia="zh-Hans"/>
        </w:rPr>
        <w:t>绩效进行评价，评价结果反映</w:t>
      </w:r>
      <w:r>
        <w:rPr>
          <w:rFonts w:hint="eastAsia" w:ascii="仿宋" w:hAnsi="仿宋" w:eastAsia="仿宋" w:cs="仿宋"/>
          <w:color w:val="auto"/>
          <w:kern w:val="0"/>
          <w:sz w:val="32"/>
          <w:szCs w:val="32"/>
          <w:highlight w:val="none"/>
          <w:shd w:val="clear" w:color="auto" w:fill="FFFFFF"/>
          <w:lang w:val="en-US" w:eastAsia="zh-CN"/>
        </w:rPr>
        <w:t>部门职责履行</w:t>
      </w:r>
      <w:r>
        <w:rPr>
          <w:rFonts w:hint="eastAsia" w:ascii="仿宋" w:hAnsi="仿宋" w:eastAsia="仿宋" w:cs="仿宋"/>
          <w:color w:val="auto"/>
          <w:kern w:val="0"/>
          <w:sz w:val="32"/>
          <w:szCs w:val="32"/>
          <w:highlight w:val="none"/>
          <w:shd w:val="clear" w:color="auto" w:fill="FFFFFF"/>
          <w:lang w:val="en-US" w:eastAsia="zh-Hans"/>
        </w:rPr>
        <w:t>与</w:t>
      </w:r>
      <w:r>
        <w:rPr>
          <w:rFonts w:hint="eastAsia" w:ascii="仿宋" w:hAnsi="仿宋" w:eastAsia="仿宋" w:cs="仿宋"/>
          <w:color w:val="auto"/>
          <w:kern w:val="0"/>
          <w:sz w:val="32"/>
          <w:szCs w:val="32"/>
          <w:highlight w:val="none"/>
          <w:shd w:val="clear" w:color="auto" w:fill="FFFFFF"/>
          <w:lang w:val="en-US" w:eastAsia="zh-CN"/>
        </w:rPr>
        <w:t>履行效益</w:t>
      </w:r>
      <w:r>
        <w:rPr>
          <w:rFonts w:hint="eastAsia" w:ascii="仿宋" w:hAnsi="仿宋" w:eastAsia="仿宋" w:cs="仿宋"/>
          <w:color w:val="auto"/>
          <w:kern w:val="0"/>
          <w:sz w:val="32"/>
          <w:szCs w:val="32"/>
          <w:highlight w:val="none"/>
          <w:shd w:val="clear" w:color="auto" w:fill="FFFFFF"/>
          <w:lang w:val="en-US" w:eastAsia="zh-Hans"/>
        </w:rPr>
        <w:t>之间的紧密对应关系。</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（4）简便有效原则。本次绩效评价工作尽量简化工作程序，尽量减少委托方、</w:t>
      </w:r>
      <w:r>
        <w:rPr>
          <w:rFonts w:hint="eastAsia" w:ascii="仿宋" w:hAnsi="仿宋" w:eastAsia="仿宋" w:cs="仿宋"/>
          <w:color w:val="auto"/>
          <w:kern w:val="0"/>
          <w:sz w:val="32"/>
          <w:szCs w:val="32"/>
          <w:highlight w:val="none"/>
          <w:shd w:val="clear" w:color="auto" w:fill="FFFFFF"/>
          <w:lang w:val="en-US" w:eastAsia="zh-CN"/>
        </w:rPr>
        <w:t>被评价部门</w:t>
      </w:r>
      <w:r>
        <w:rPr>
          <w:rFonts w:hint="eastAsia" w:ascii="仿宋" w:hAnsi="仿宋" w:eastAsia="仿宋" w:cs="仿宋"/>
          <w:color w:val="auto"/>
          <w:kern w:val="0"/>
          <w:sz w:val="32"/>
          <w:szCs w:val="32"/>
          <w:highlight w:val="none"/>
          <w:shd w:val="clear" w:color="auto" w:fill="FFFFFF"/>
          <w:lang w:val="en-US" w:eastAsia="zh-Hans"/>
        </w:rPr>
        <w:t>工作负担，通过科学合理的工作方式与方法，在全面分析绩效材料，并在与委托方、</w:t>
      </w:r>
      <w:r>
        <w:rPr>
          <w:rFonts w:hint="eastAsia" w:ascii="仿宋" w:hAnsi="仿宋" w:eastAsia="仿宋" w:cs="仿宋"/>
          <w:color w:val="auto"/>
          <w:kern w:val="0"/>
          <w:sz w:val="32"/>
          <w:szCs w:val="32"/>
          <w:highlight w:val="none"/>
          <w:shd w:val="clear" w:color="auto" w:fill="FFFFFF"/>
          <w:lang w:val="en-US" w:eastAsia="zh-CN"/>
        </w:rPr>
        <w:t>被评价部门</w:t>
      </w:r>
      <w:r>
        <w:rPr>
          <w:rFonts w:hint="eastAsia" w:ascii="仿宋" w:hAnsi="仿宋" w:eastAsia="仿宋" w:cs="仿宋"/>
          <w:color w:val="auto"/>
          <w:kern w:val="0"/>
          <w:sz w:val="32"/>
          <w:szCs w:val="32"/>
          <w:highlight w:val="none"/>
          <w:shd w:val="clear" w:color="auto" w:fill="FFFFFF"/>
          <w:lang w:val="en-US" w:eastAsia="zh-Hans"/>
        </w:rPr>
        <w:t>充分沟通的基础上，着力保障绩效评价工作本身的“绩效”。</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2.评价方法</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本次评价将通过文件资料研读、现场</w:t>
      </w:r>
      <w:r>
        <w:rPr>
          <w:rFonts w:hint="eastAsia" w:ascii="仿宋" w:hAnsi="仿宋" w:eastAsia="仿宋" w:cs="仿宋"/>
          <w:color w:val="auto"/>
          <w:kern w:val="0"/>
          <w:sz w:val="32"/>
          <w:szCs w:val="32"/>
          <w:highlight w:val="none"/>
          <w:shd w:val="clear" w:color="auto" w:fill="FFFFFF"/>
          <w:lang w:val="en-US" w:eastAsia="zh-CN"/>
        </w:rPr>
        <w:t>座谈</w:t>
      </w:r>
      <w:r>
        <w:rPr>
          <w:rFonts w:hint="eastAsia" w:ascii="仿宋" w:hAnsi="仿宋" w:eastAsia="仿宋" w:cs="仿宋"/>
          <w:color w:val="auto"/>
          <w:kern w:val="0"/>
          <w:sz w:val="32"/>
          <w:szCs w:val="32"/>
          <w:highlight w:val="none"/>
          <w:shd w:val="clear" w:color="auto" w:fill="FFFFFF"/>
          <w:lang w:val="en-US" w:eastAsia="zh-Hans"/>
        </w:rPr>
        <w:t>等方法进行定性评价；通过基础数据统计分析等方法，进行定量评价。在定性评价中，也须明确支撑评价结果的证明材料，尽量减少定性评价带有的主观随意性。本次绩效评价使用（但不限于）以下几种具体的评价方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（1）</w:t>
      </w:r>
      <w:r>
        <w:rPr>
          <w:rFonts w:hint="eastAsia" w:ascii="仿宋" w:hAnsi="仿宋" w:eastAsia="仿宋" w:cs="仿宋"/>
          <w:color w:val="auto"/>
          <w:kern w:val="0"/>
          <w:sz w:val="32"/>
          <w:szCs w:val="32"/>
          <w:highlight w:val="none"/>
          <w:shd w:val="clear" w:color="auto" w:fill="FFFFFF"/>
          <w:lang w:val="en-US" w:eastAsia="zh-CN"/>
        </w:rPr>
        <w:t>比较法。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通过对绩效目标与实施效果、历史与当期情况、不同部门和地区同类支出的比较，综合分析绩效目标实现程度。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（2）案卷研究法</w:t>
      </w:r>
      <w:r>
        <w:rPr>
          <w:rFonts w:hint="eastAsia" w:ascii="仿宋" w:hAnsi="仿宋" w:eastAsia="仿宋" w:cs="仿宋"/>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对于</w:t>
      </w:r>
      <w:r>
        <w:rPr>
          <w:rFonts w:hint="eastAsia" w:ascii="仿宋" w:hAnsi="仿宋" w:eastAsia="仿宋" w:cs="仿宋"/>
          <w:color w:val="auto"/>
          <w:kern w:val="0"/>
          <w:sz w:val="32"/>
          <w:szCs w:val="32"/>
          <w:highlight w:val="none"/>
          <w:shd w:val="clear" w:color="auto" w:fill="FFFFFF"/>
          <w:lang w:val="en-US" w:eastAsia="zh-CN"/>
        </w:rPr>
        <w:t>部门提供的</w:t>
      </w:r>
      <w:r>
        <w:rPr>
          <w:rFonts w:hint="eastAsia" w:ascii="仿宋" w:hAnsi="仿宋" w:eastAsia="仿宋" w:cs="仿宋"/>
          <w:color w:val="auto"/>
          <w:kern w:val="0"/>
          <w:sz w:val="32"/>
          <w:szCs w:val="32"/>
          <w:highlight w:val="none"/>
          <w:shd w:val="clear" w:color="auto" w:fill="FFFFFF"/>
          <w:lang w:val="en-US" w:eastAsia="zh-Hans"/>
        </w:rPr>
        <w:t>相关</w:t>
      </w:r>
      <w:r>
        <w:rPr>
          <w:rFonts w:hint="eastAsia" w:ascii="仿宋" w:hAnsi="仿宋" w:eastAsia="仿宋" w:cs="仿宋"/>
          <w:color w:val="auto"/>
          <w:kern w:val="0"/>
          <w:sz w:val="32"/>
          <w:szCs w:val="32"/>
          <w:highlight w:val="none"/>
          <w:shd w:val="clear" w:color="auto" w:fill="FFFFFF"/>
          <w:lang w:val="en-US" w:eastAsia="zh-CN"/>
        </w:rPr>
        <w:t>资料</w:t>
      </w:r>
      <w:r>
        <w:rPr>
          <w:rFonts w:hint="eastAsia" w:ascii="仿宋" w:hAnsi="仿宋" w:eastAsia="仿宋" w:cs="仿宋"/>
          <w:color w:val="auto"/>
          <w:kern w:val="0"/>
          <w:sz w:val="32"/>
          <w:szCs w:val="32"/>
          <w:highlight w:val="none"/>
          <w:shd w:val="clear" w:color="auto" w:fill="FFFFFF"/>
          <w:lang w:val="en-US" w:eastAsia="zh-Hans"/>
        </w:rPr>
        <w:t>和文件通知、实施方案、政府采购相关文件、资金支出程序文件、工作总结、服务对象满意度调查等相关资料进行深入研究、比较、分析，提取重要信息，为绩效评价提供支撑依据。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（3）现场</w:t>
      </w:r>
      <w:r>
        <w:rPr>
          <w:rFonts w:hint="eastAsia" w:ascii="仿宋" w:hAnsi="仿宋" w:eastAsia="仿宋" w:cs="仿宋"/>
          <w:color w:val="auto"/>
          <w:kern w:val="0"/>
          <w:sz w:val="32"/>
          <w:szCs w:val="32"/>
          <w:highlight w:val="none"/>
          <w:shd w:val="clear" w:color="auto" w:fill="FFFFFF"/>
          <w:lang w:val="en-US" w:eastAsia="zh-CN"/>
        </w:rPr>
        <w:t>座谈</w:t>
      </w:r>
      <w:r>
        <w:rPr>
          <w:rFonts w:hint="eastAsia" w:ascii="仿宋" w:hAnsi="仿宋" w:eastAsia="仿宋" w:cs="仿宋"/>
          <w:color w:val="auto"/>
          <w:kern w:val="0"/>
          <w:sz w:val="32"/>
          <w:szCs w:val="32"/>
          <w:highlight w:val="none"/>
          <w:shd w:val="clear" w:color="auto" w:fill="FFFFFF"/>
          <w:lang w:val="en-US" w:eastAsia="zh-Hans"/>
        </w:rPr>
        <w:t>法</w:t>
      </w:r>
      <w:r>
        <w:rPr>
          <w:rFonts w:hint="eastAsia" w:ascii="仿宋" w:hAnsi="仿宋" w:eastAsia="仿宋" w:cs="仿宋"/>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现场</w:t>
      </w:r>
      <w:r>
        <w:rPr>
          <w:rFonts w:hint="eastAsia" w:ascii="仿宋" w:hAnsi="仿宋" w:eastAsia="仿宋" w:cs="仿宋"/>
          <w:color w:val="auto"/>
          <w:kern w:val="0"/>
          <w:sz w:val="32"/>
          <w:szCs w:val="32"/>
          <w:highlight w:val="none"/>
          <w:shd w:val="clear" w:color="auto" w:fill="FFFFFF"/>
          <w:lang w:val="en-US" w:eastAsia="zh-CN"/>
        </w:rPr>
        <w:t>座谈</w:t>
      </w:r>
      <w:r>
        <w:rPr>
          <w:rFonts w:hint="eastAsia" w:ascii="仿宋" w:hAnsi="仿宋" w:eastAsia="仿宋" w:cs="仿宋"/>
          <w:color w:val="auto"/>
          <w:kern w:val="0"/>
          <w:sz w:val="32"/>
          <w:szCs w:val="32"/>
          <w:highlight w:val="none"/>
          <w:shd w:val="clear" w:color="auto" w:fill="FFFFFF"/>
          <w:lang w:val="en-US" w:eastAsia="zh-Hans"/>
        </w:rPr>
        <w:t>是本次评价的一个重要手段，通过对</w:t>
      </w:r>
      <w:r>
        <w:rPr>
          <w:rFonts w:hint="eastAsia" w:ascii="仿宋" w:hAnsi="仿宋" w:eastAsia="仿宋" w:cs="仿宋"/>
          <w:color w:val="auto"/>
          <w:kern w:val="0"/>
          <w:sz w:val="32"/>
          <w:szCs w:val="32"/>
          <w:highlight w:val="none"/>
          <w:shd w:val="clear" w:color="auto" w:fill="FFFFFF"/>
          <w:lang w:val="en-US" w:eastAsia="zh-CN"/>
        </w:rPr>
        <w:t>新区对外经济投资合作局年度重点工作安排等</w:t>
      </w:r>
      <w:r>
        <w:rPr>
          <w:rFonts w:hint="eastAsia" w:ascii="仿宋" w:hAnsi="仿宋" w:eastAsia="仿宋" w:cs="仿宋"/>
          <w:color w:val="auto"/>
          <w:kern w:val="0"/>
          <w:sz w:val="32"/>
          <w:szCs w:val="32"/>
          <w:highlight w:val="none"/>
          <w:shd w:val="clear" w:color="auto" w:fill="FFFFFF"/>
          <w:lang w:val="en-US" w:eastAsia="zh-Hans"/>
        </w:rPr>
        <w:t>等进行现场</w:t>
      </w:r>
      <w:r>
        <w:rPr>
          <w:rFonts w:hint="eastAsia" w:ascii="仿宋" w:hAnsi="仿宋" w:eastAsia="仿宋" w:cs="仿宋"/>
          <w:color w:val="auto"/>
          <w:kern w:val="0"/>
          <w:sz w:val="32"/>
          <w:szCs w:val="32"/>
          <w:highlight w:val="none"/>
          <w:shd w:val="clear" w:color="auto" w:fill="FFFFFF"/>
          <w:lang w:val="en-US" w:eastAsia="zh-CN"/>
        </w:rPr>
        <w:t>座谈</w:t>
      </w:r>
      <w:r>
        <w:rPr>
          <w:rFonts w:hint="eastAsia" w:ascii="仿宋" w:hAnsi="仿宋" w:eastAsia="仿宋" w:cs="仿宋"/>
          <w:color w:val="auto"/>
          <w:kern w:val="0"/>
          <w:sz w:val="32"/>
          <w:szCs w:val="32"/>
          <w:highlight w:val="none"/>
          <w:shd w:val="clear" w:color="auto" w:fill="FFFFFF"/>
          <w:lang w:val="en-US" w:eastAsia="zh-Hans"/>
        </w:rPr>
        <w:t>，并在前期书面资料分析的基础上，进一步核查重点</w:t>
      </w:r>
      <w:r>
        <w:rPr>
          <w:rFonts w:hint="eastAsia" w:ascii="仿宋" w:hAnsi="仿宋" w:eastAsia="仿宋" w:cs="仿宋"/>
          <w:color w:val="auto"/>
          <w:kern w:val="0"/>
          <w:sz w:val="32"/>
          <w:szCs w:val="32"/>
          <w:highlight w:val="none"/>
          <w:shd w:val="clear" w:color="auto" w:fill="FFFFFF"/>
          <w:lang w:val="en-US" w:eastAsia="zh-CN"/>
        </w:rPr>
        <w:t>工作安排情况，</w:t>
      </w:r>
      <w:r>
        <w:rPr>
          <w:rFonts w:hint="eastAsia" w:ascii="仿宋" w:hAnsi="仿宋" w:eastAsia="仿宋" w:cs="仿宋"/>
          <w:color w:val="auto"/>
          <w:kern w:val="0"/>
          <w:sz w:val="32"/>
          <w:szCs w:val="32"/>
          <w:highlight w:val="none"/>
          <w:shd w:val="clear" w:color="auto" w:fill="FFFFFF"/>
          <w:lang w:val="en-US" w:eastAsia="zh-Hans"/>
        </w:rPr>
        <w:t>任务完成及效益实现等情况，修正指标评分，发现典型问题并探究原因。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（4）因素分析法</w:t>
      </w:r>
      <w:r>
        <w:rPr>
          <w:rFonts w:hint="eastAsia" w:ascii="仿宋" w:hAnsi="仿宋" w:eastAsia="仿宋" w:cs="仿宋"/>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在评价过程中，通过综合分析相关资料，挖掘影响绩效目标实现、实施效果的内外部因素，科学评判项目实施过程中存在的问题，有效提出相关建议。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3、评价指标体系</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根据部门整体支出绩效评价的基本原理、原则和部门特点，结合《铜川市市级部门整体支出绩效评价指标及评分标准》的要求，本次绩效评价指标体系包括投入、过程、产出及效果4个一级指标，</w:t>
      </w:r>
      <w:r>
        <w:rPr>
          <w:rFonts w:hint="eastAsia" w:ascii="仿宋" w:hAnsi="仿宋" w:eastAsia="仿宋" w:cs="仿宋"/>
          <w:color w:val="auto"/>
          <w:kern w:val="0"/>
          <w:sz w:val="32"/>
          <w:szCs w:val="32"/>
          <w:highlight w:val="none"/>
          <w:shd w:val="clear" w:color="auto" w:fill="FFFFFF"/>
          <w:lang w:val="en-US" w:eastAsia="zh-CN"/>
        </w:rPr>
        <w:t>10</w:t>
      </w:r>
      <w:r>
        <w:rPr>
          <w:rFonts w:hint="eastAsia" w:ascii="仿宋" w:hAnsi="仿宋" w:eastAsia="仿宋" w:cs="仿宋"/>
          <w:color w:val="auto"/>
          <w:kern w:val="0"/>
          <w:sz w:val="32"/>
          <w:szCs w:val="32"/>
          <w:highlight w:val="none"/>
          <w:shd w:val="clear" w:color="auto" w:fill="FFFFFF"/>
          <w:lang w:val="en-US" w:eastAsia="zh-Hans"/>
        </w:rPr>
        <w:t>个二级指标和</w:t>
      </w:r>
      <w:r>
        <w:rPr>
          <w:rFonts w:hint="eastAsia" w:ascii="仿宋" w:hAnsi="仿宋" w:eastAsia="仿宋" w:cs="仿宋"/>
          <w:color w:val="auto"/>
          <w:kern w:val="0"/>
          <w:sz w:val="32"/>
          <w:szCs w:val="32"/>
          <w:highlight w:val="none"/>
          <w:shd w:val="clear" w:color="auto" w:fill="FFFFFF"/>
          <w:lang w:val="en-US" w:eastAsia="zh-CN"/>
        </w:rPr>
        <w:t>33</w:t>
      </w:r>
      <w:r>
        <w:rPr>
          <w:rFonts w:hint="eastAsia" w:ascii="仿宋" w:hAnsi="仿宋" w:eastAsia="仿宋" w:cs="仿宋"/>
          <w:color w:val="auto"/>
          <w:kern w:val="0"/>
          <w:sz w:val="32"/>
          <w:szCs w:val="32"/>
          <w:highlight w:val="none"/>
          <w:shd w:val="clear" w:color="auto" w:fill="FFFFFF"/>
          <w:lang w:val="en-US" w:eastAsia="zh-Hans"/>
        </w:rPr>
        <w:t>个三级指标（详见附件</w:t>
      </w:r>
      <w:r>
        <w:rPr>
          <w:rFonts w:hint="eastAsia" w:ascii="仿宋" w:hAnsi="仿宋" w:eastAsia="仿宋" w:cs="仿宋"/>
          <w:color w:val="auto"/>
          <w:kern w:val="0"/>
          <w:sz w:val="32"/>
          <w:szCs w:val="32"/>
          <w:highlight w:val="none"/>
          <w:shd w:val="clear" w:color="auto" w:fill="FFFFFF"/>
          <w:lang w:val="en-US" w:eastAsia="zh-CN"/>
        </w:rPr>
        <w:t>3</w:t>
      </w:r>
      <w:r>
        <w:rPr>
          <w:rFonts w:hint="eastAsia" w:ascii="仿宋" w:hAnsi="仿宋" w:eastAsia="仿宋" w:cs="仿宋"/>
          <w:color w:val="auto"/>
          <w:kern w:val="0"/>
          <w:sz w:val="32"/>
          <w:szCs w:val="32"/>
          <w:highlight w:val="none"/>
          <w:shd w:val="clear" w:color="auto" w:fill="FFFFFF"/>
          <w:lang w:val="en-US" w:eastAsia="zh-Hans"/>
        </w:rPr>
        <w:t>），满分为100分。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（1）投入：从目标设定和预算配置两方面评价绩效目标合理性、绩效指标明确性、在职人员控制率</w:t>
      </w:r>
      <w:r>
        <w:rPr>
          <w:rFonts w:hint="eastAsia" w:ascii="仿宋" w:hAnsi="仿宋" w:eastAsia="仿宋" w:cs="仿宋"/>
          <w:color w:val="auto"/>
          <w:kern w:val="0"/>
          <w:sz w:val="32"/>
          <w:szCs w:val="32"/>
          <w:highlight w:val="none"/>
          <w:shd w:val="clear" w:color="auto" w:fill="FFFFFF"/>
          <w:lang w:val="en-US" w:eastAsia="zh-CN"/>
        </w:rPr>
        <w:t>、</w:t>
      </w: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三公</w:t>
      </w:r>
      <w:r>
        <w:rPr>
          <w:rFonts w:hint="eastAsia" w:ascii="仿宋" w:hAnsi="仿宋" w:eastAsia="仿宋" w:cs="仿宋"/>
          <w:color w:val="auto"/>
          <w:kern w:val="0"/>
          <w:sz w:val="32"/>
          <w:szCs w:val="32"/>
          <w:highlight w:val="none"/>
          <w:shd w:val="clear" w:color="auto" w:fill="FFFFFF"/>
          <w:lang w:val="en-US" w:eastAsia="zh-Hans"/>
        </w:rPr>
        <w:t>经费”变动率、重点支出安排率等内容。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（2）过程：从预算执行、预算管理和资产管理三方面评价预算完成率、</w:t>
      </w:r>
      <w:r>
        <w:rPr>
          <w:rFonts w:hint="eastAsia" w:ascii="仿宋" w:hAnsi="仿宋" w:eastAsia="仿宋" w:cs="仿宋"/>
          <w:color w:val="auto"/>
          <w:kern w:val="0"/>
          <w:sz w:val="32"/>
          <w:szCs w:val="32"/>
          <w:highlight w:val="none"/>
          <w:shd w:val="clear" w:color="auto" w:fill="FFFFFF"/>
          <w:lang w:val="en-US" w:eastAsia="zh-CN"/>
        </w:rPr>
        <w:t>预算调整率、支付进度率、</w:t>
      </w:r>
      <w:r>
        <w:rPr>
          <w:rFonts w:hint="eastAsia" w:ascii="仿宋" w:hAnsi="仿宋" w:eastAsia="仿宋" w:cs="仿宋"/>
          <w:color w:val="auto"/>
          <w:kern w:val="0"/>
          <w:sz w:val="32"/>
          <w:szCs w:val="32"/>
          <w:highlight w:val="none"/>
          <w:shd w:val="clear" w:color="auto" w:fill="FFFFFF"/>
          <w:lang w:val="en-US" w:eastAsia="zh-Hans"/>
        </w:rPr>
        <w:t>结转结余率、</w:t>
      </w:r>
      <w:r>
        <w:rPr>
          <w:rFonts w:hint="eastAsia" w:ascii="仿宋" w:hAnsi="仿宋" w:eastAsia="仿宋" w:cs="仿宋"/>
          <w:color w:val="auto"/>
          <w:kern w:val="0"/>
          <w:sz w:val="32"/>
          <w:szCs w:val="32"/>
          <w:highlight w:val="none"/>
          <w:shd w:val="clear" w:color="auto" w:fill="FFFFFF"/>
          <w:lang w:val="en-US" w:eastAsia="zh-CN"/>
        </w:rPr>
        <w:t>结转结余变动率、</w:t>
      </w:r>
      <w:r>
        <w:rPr>
          <w:rFonts w:hint="eastAsia" w:ascii="仿宋" w:hAnsi="仿宋" w:eastAsia="仿宋" w:cs="仿宋"/>
          <w:color w:val="auto"/>
          <w:kern w:val="0"/>
          <w:sz w:val="32"/>
          <w:szCs w:val="32"/>
          <w:highlight w:val="none"/>
          <w:shd w:val="clear" w:color="auto" w:fill="FFFFFF"/>
          <w:lang w:val="en-US" w:eastAsia="zh-Hans"/>
        </w:rPr>
        <w:t>公用经费控制率、“三公经费”控制率、政府采购执行率和管理制度健全性、资金使用合规性、预决算信息公开性</w:t>
      </w:r>
      <w:r>
        <w:rPr>
          <w:rFonts w:hint="eastAsia" w:ascii="仿宋" w:hAnsi="仿宋" w:eastAsia="仿宋" w:cs="仿宋"/>
          <w:color w:val="auto"/>
          <w:kern w:val="0"/>
          <w:sz w:val="32"/>
          <w:szCs w:val="32"/>
          <w:highlight w:val="none"/>
          <w:shd w:val="clear" w:color="auto" w:fill="FFFFFF"/>
          <w:lang w:val="en-US" w:eastAsia="zh-CN"/>
        </w:rPr>
        <w:t>、运行监控和自评有效性、基础信息完善性</w:t>
      </w: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管理制度健全性</w:t>
      </w:r>
      <w:r>
        <w:rPr>
          <w:rFonts w:hint="eastAsia" w:ascii="仿宋" w:hAnsi="仿宋" w:eastAsia="仿宋" w:cs="仿宋"/>
          <w:color w:val="auto"/>
          <w:kern w:val="0"/>
          <w:sz w:val="32"/>
          <w:szCs w:val="32"/>
          <w:highlight w:val="none"/>
          <w:shd w:val="clear" w:color="auto" w:fill="FFFFFF"/>
          <w:lang w:val="en-US" w:eastAsia="zh-Hans"/>
        </w:rPr>
        <w:t>以及资产管理</w:t>
      </w:r>
      <w:r>
        <w:rPr>
          <w:rFonts w:hint="eastAsia" w:ascii="仿宋" w:hAnsi="仿宋" w:eastAsia="仿宋" w:cs="仿宋"/>
          <w:color w:val="auto"/>
          <w:kern w:val="0"/>
          <w:sz w:val="32"/>
          <w:szCs w:val="32"/>
          <w:highlight w:val="none"/>
          <w:shd w:val="clear" w:color="auto" w:fill="FFFFFF"/>
          <w:lang w:val="en-US" w:eastAsia="zh-CN"/>
        </w:rPr>
        <w:t>安全</w:t>
      </w:r>
      <w:r>
        <w:rPr>
          <w:rFonts w:hint="eastAsia" w:ascii="仿宋" w:hAnsi="仿宋" w:eastAsia="仿宋" w:cs="仿宋"/>
          <w:color w:val="auto"/>
          <w:kern w:val="0"/>
          <w:sz w:val="32"/>
          <w:szCs w:val="32"/>
          <w:highlight w:val="none"/>
          <w:shd w:val="clear" w:color="auto" w:fill="FFFFFF"/>
          <w:lang w:val="en-US" w:eastAsia="zh-Hans"/>
        </w:rPr>
        <w:t>性、固定资产利用率等内容。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（3）产出：用于考察年度</w:t>
      </w:r>
      <w:r>
        <w:rPr>
          <w:rFonts w:hint="eastAsia" w:ascii="仿宋" w:hAnsi="仿宋" w:eastAsia="仿宋" w:cs="仿宋"/>
          <w:color w:val="auto"/>
          <w:kern w:val="0"/>
          <w:sz w:val="32"/>
          <w:szCs w:val="32"/>
          <w:highlight w:val="none"/>
          <w:shd w:val="clear" w:color="auto" w:fill="FFFFFF"/>
          <w:lang w:val="en-US" w:eastAsia="zh-CN"/>
        </w:rPr>
        <w:t>部门职责履行</w:t>
      </w:r>
      <w:r>
        <w:rPr>
          <w:rFonts w:hint="eastAsia" w:ascii="仿宋" w:hAnsi="仿宋" w:eastAsia="仿宋" w:cs="仿宋"/>
          <w:color w:val="auto"/>
          <w:kern w:val="0"/>
          <w:sz w:val="32"/>
          <w:szCs w:val="32"/>
          <w:highlight w:val="none"/>
          <w:shd w:val="clear" w:color="auto" w:fill="FFFFFF"/>
          <w:lang w:val="en-US" w:eastAsia="zh-Hans"/>
        </w:rPr>
        <w:t>的</w:t>
      </w:r>
      <w:r>
        <w:rPr>
          <w:rFonts w:hint="eastAsia" w:ascii="仿宋" w:hAnsi="仿宋" w:eastAsia="仿宋" w:cs="仿宋"/>
          <w:color w:val="auto"/>
          <w:kern w:val="0"/>
          <w:sz w:val="32"/>
          <w:szCs w:val="32"/>
          <w:highlight w:val="none"/>
          <w:shd w:val="clear" w:color="auto" w:fill="FFFFFF"/>
          <w:lang w:val="en-US" w:eastAsia="zh-CN"/>
        </w:rPr>
        <w:t>部门年度工作实际完成率、完成及时率、质量达标率、重点工作办结率</w:t>
      </w:r>
      <w:r>
        <w:rPr>
          <w:rFonts w:hint="eastAsia" w:ascii="仿宋" w:hAnsi="仿宋" w:eastAsia="仿宋" w:cs="仿宋"/>
          <w:color w:val="auto"/>
          <w:kern w:val="0"/>
          <w:sz w:val="32"/>
          <w:szCs w:val="32"/>
          <w:highlight w:val="none"/>
          <w:shd w:val="clear" w:color="auto" w:fill="FFFFFF"/>
          <w:lang w:val="en-US" w:eastAsia="zh-Hans"/>
        </w:rPr>
        <w:t>等内容。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（4）效果：用于综合评价部门年度总体工作及资金投用所得</w:t>
      </w:r>
      <w:r>
        <w:rPr>
          <w:rFonts w:hint="eastAsia" w:ascii="仿宋" w:hAnsi="仿宋" w:eastAsia="仿宋" w:cs="仿宋"/>
          <w:color w:val="auto"/>
          <w:kern w:val="0"/>
          <w:sz w:val="32"/>
          <w:szCs w:val="32"/>
          <w:highlight w:val="none"/>
          <w:shd w:val="clear" w:color="auto" w:fill="FFFFFF"/>
          <w:lang w:val="en-US" w:eastAsia="zh-CN"/>
        </w:rPr>
        <w:t>部门履职</w:t>
      </w:r>
      <w:r>
        <w:rPr>
          <w:rFonts w:hint="eastAsia" w:ascii="仿宋" w:hAnsi="仿宋" w:eastAsia="仿宋" w:cs="仿宋"/>
          <w:color w:val="auto"/>
          <w:kern w:val="0"/>
          <w:sz w:val="32"/>
          <w:szCs w:val="32"/>
          <w:highlight w:val="none"/>
          <w:shd w:val="clear" w:color="auto" w:fill="FFFFFF"/>
          <w:lang w:val="en-US" w:eastAsia="zh-Hans"/>
        </w:rPr>
        <w:t>产生的</w:t>
      </w:r>
      <w:r>
        <w:rPr>
          <w:rFonts w:hint="eastAsia" w:ascii="仿宋" w:hAnsi="仿宋" w:eastAsia="仿宋" w:cs="仿宋"/>
          <w:color w:val="auto"/>
          <w:kern w:val="0"/>
          <w:sz w:val="32"/>
          <w:szCs w:val="32"/>
          <w:highlight w:val="none"/>
          <w:shd w:val="clear" w:color="auto" w:fill="FFFFFF"/>
          <w:lang w:val="en-US" w:eastAsia="zh-CN"/>
        </w:rPr>
        <w:t>经济效益、</w:t>
      </w:r>
      <w:r>
        <w:rPr>
          <w:rFonts w:hint="eastAsia" w:ascii="仿宋" w:hAnsi="仿宋" w:eastAsia="仿宋" w:cs="仿宋"/>
          <w:color w:val="auto"/>
          <w:kern w:val="0"/>
          <w:sz w:val="32"/>
          <w:szCs w:val="32"/>
          <w:highlight w:val="none"/>
          <w:shd w:val="clear" w:color="auto" w:fill="FFFFFF"/>
          <w:lang w:val="en-US" w:eastAsia="zh-Hans"/>
        </w:rPr>
        <w:t>社会效益</w:t>
      </w:r>
      <w:r>
        <w:rPr>
          <w:rFonts w:hint="eastAsia" w:ascii="仿宋" w:hAnsi="仿宋" w:eastAsia="仿宋" w:cs="仿宋"/>
          <w:color w:val="auto"/>
          <w:kern w:val="0"/>
          <w:sz w:val="32"/>
          <w:szCs w:val="32"/>
          <w:highlight w:val="none"/>
          <w:shd w:val="clear" w:color="auto" w:fill="FFFFFF"/>
          <w:lang w:val="en-US" w:eastAsia="zh-CN"/>
        </w:rPr>
        <w:t>、可持续性影响</w:t>
      </w:r>
      <w:r>
        <w:rPr>
          <w:rFonts w:hint="eastAsia" w:ascii="仿宋" w:hAnsi="仿宋" w:eastAsia="仿宋" w:cs="仿宋"/>
          <w:color w:val="auto"/>
          <w:kern w:val="0"/>
          <w:sz w:val="32"/>
          <w:szCs w:val="32"/>
          <w:highlight w:val="none"/>
          <w:shd w:val="clear" w:color="auto" w:fill="FFFFFF"/>
          <w:lang w:val="en-US" w:eastAsia="zh-Hans"/>
        </w:rPr>
        <w:t>及社会公众满意度。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4、绩效评价的局限性</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bookmarkStart w:id="10" w:name="_Toc1318217999"/>
      <w:r>
        <w:rPr>
          <w:rFonts w:hint="eastAsia" w:ascii="仿宋" w:hAnsi="仿宋" w:eastAsia="仿宋" w:cs="仿宋"/>
          <w:color w:val="auto"/>
          <w:kern w:val="0"/>
          <w:sz w:val="32"/>
          <w:szCs w:val="32"/>
          <w:highlight w:val="none"/>
          <w:shd w:val="clear" w:color="auto" w:fill="FFFFFF"/>
          <w:lang w:val="en-US" w:eastAsia="zh-Hans"/>
        </w:rPr>
        <w:t>本次对</w:t>
      </w:r>
      <w:r>
        <w:rPr>
          <w:rFonts w:hint="eastAsia" w:ascii="仿宋" w:hAnsi="仿宋" w:eastAsia="仿宋" w:cs="仿宋"/>
          <w:color w:val="auto"/>
          <w:kern w:val="0"/>
          <w:sz w:val="32"/>
          <w:szCs w:val="32"/>
          <w:highlight w:val="none"/>
          <w:shd w:val="clear" w:color="auto" w:fill="FFFFFF"/>
          <w:lang w:val="en-US" w:eastAsia="zh-CN"/>
        </w:rPr>
        <w:t>新区对外经济投资合作局</w:t>
      </w:r>
      <w:r>
        <w:rPr>
          <w:rFonts w:hint="eastAsia" w:ascii="仿宋" w:hAnsi="仿宋" w:eastAsia="仿宋" w:cs="仿宋"/>
          <w:color w:val="auto"/>
          <w:kern w:val="0"/>
          <w:sz w:val="32"/>
          <w:szCs w:val="32"/>
          <w:highlight w:val="none"/>
          <w:shd w:val="clear" w:color="auto" w:fill="FFFFFF"/>
          <w:lang w:val="en-US" w:eastAsia="zh-Hans"/>
        </w:rPr>
        <w:t>202</w:t>
      </w:r>
      <w:r>
        <w:rPr>
          <w:rFonts w:hint="eastAsia" w:ascii="仿宋" w:hAnsi="仿宋" w:eastAsia="仿宋" w:cs="仿宋"/>
          <w:color w:val="auto"/>
          <w:kern w:val="0"/>
          <w:sz w:val="32"/>
          <w:szCs w:val="32"/>
          <w:highlight w:val="none"/>
          <w:shd w:val="clear" w:color="auto" w:fill="FFFFFF"/>
          <w:lang w:val="en-US" w:eastAsia="zh-CN"/>
        </w:rPr>
        <w:t>1</w:t>
      </w:r>
      <w:r>
        <w:rPr>
          <w:rFonts w:hint="eastAsia" w:ascii="仿宋" w:hAnsi="仿宋" w:eastAsia="仿宋" w:cs="仿宋"/>
          <w:color w:val="auto"/>
          <w:kern w:val="0"/>
          <w:sz w:val="32"/>
          <w:szCs w:val="32"/>
          <w:highlight w:val="none"/>
          <w:shd w:val="clear" w:color="auto" w:fill="FFFFFF"/>
          <w:lang w:val="en-US" w:eastAsia="zh-Hans"/>
        </w:rPr>
        <w:t>年度部门整体支出绩效进行分析和评价打分的基础数据来源于其提供的202</w:t>
      </w:r>
      <w:r>
        <w:rPr>
          <w:rFonts w:hint="eastAsia" w:ascii="仿宋" w:hAnsi="仿宋" w:eastAsia="仿宋" w:cs="仿宋"/>
          <w:color w:val="auto"/>
          <w:kern w:val="0"/>
          <w:sz w:val="32"/>
          <w:szCs w:val="32"/>
          <w:highlight w:val="none"/>
          <w:shd w:val="clear" w:color="auto" w:fill="FFFFFF"/>
          <w:lang w:val="en-US" w:eastAsia="zh-CN"/>
        </w:rPr>
        <w:t>1</w:t>
      </w:r>
      <w:r>
        <w:rPr>
          <w:rFonts w:hint="eastAsia" w:ascii="仿宋" w:hAnsi="仿宋" w:eastAsia="仿宋" w:cs="仿宋"/>
          <w:color w:val="auto"/>
          <w:kern w:val="0"/>
          <w:sz w:val="32"/>
          <w:szCs w:val="32"/>
          <w:highlight w:val="none"/>
          <w:shd w:val="clear" w:color="auto" w:fill="FFFFFF"/>
          <w:lang w:val="en-US" w:eastAsia="zh-Hans"/>
        </w:rPr>
        <w:t>年</w:t>
      </w:r>
      <w:r>
        <w:rPr>
          <w:rFonts w:hint="eastAsia" w:ascii="仿宋" w:hAnsi="仿宋" w:eastAsia="仿宋" w:cs="仿宋"/>
          <w:color w:val="auto"/>
          <w:kern w:val="0"/>
          <w:sz w:val="32"/>
          <w:szCs w:val="32"/>
          <w:highlight w:val="none"/>
          <w:shd w:val="clear" w:color="auto" w:fill="FFFFFF"/>
          <w:lang w:val="en-US" w:eastAsia="zh-CN"/>
        </w:rPr>
        <w:t>新区对外经济投资合作局</w:t>
      </w:r>
      <w:r>
        <w:rPr>
          <w:rFonts w:hint="eastAsia" w:ascii="仿宋" w:hAnsi="仿宋" w:eastAsia="仿宋" w:cs="仿宋"/>
          <w:color w:val="auto"/>
          <w:kern w:val="0"/>
          <w:sz w:val="32"/>
          <w:szCs w:val="32"/>
          <w:highlight w:val="none"/>
          <w:shd w:val="clear" w:color="auto" w:fill="FFFFFF"/>
          <w:lang w:val="en-US" w:eastAsia="zh-Hans"/>
        </w:rPr>
        <w:t>本级部门预算表、202</w:t>
      </w:r>
      <w:r>
        <w:rPr>
          <w:rFonts w:hint="eastAsia" w:ascii="仿宋" w:hAnsi="仿宋" w:eastAsia="仿宋" w:cs="仿宋"/>
          <w:color w:val="auto"/>
          <w:kern w:val="0"/>
          <w:sz w:val="32"/>
          <w:szCs w:val="32"/>
          <w:highlight w:val="none"/>
          <w:shd w:val="clear" w:color="auto" w:fill="FFFFFF"/>
          <w:lang w:val="en-US" w:eastAsia="zh-CN"/>
        </w:rPr>
        <w:t>1</w:t>
      </w:r>
      <w:r>
        <w:rPr>
          <w:rFonts w:hint="eastAsia" w:ascii="仿宋" w:hAnsi="仿宋" w:eastAsia="仿宋" w:cs="仿宋"/>
          <w:color w:val="auto"/>
          <w:kern w:val="0"/>
          <w:sz w:val="32"/>
          <w:szCs w:val="32"/>
          <w:highlight w:val="none"/>
          <w:shd w:val="clear" w:color="auto" w:fill="FFFFFF"/>
          <w:lang w:val="en-US" w:eastAsia="zh-Hans"/>
        </w:rPr>
        <w:t>年度部门决算报表、</w:t>
      </w:r>
      <w:r>
        <w:rPr>
          <w:rFonts w:hint="eastAsia" w:ascii="仿宋" w:hAnsi="仿宋" w:eastAsia="仿宋" w:cs="仿宋"/>
          <w:color w:val="auto"/>
          <w:kern w:val="0"/>
          <w:sz w:val="32"/>
          <w:szCs w:val="32"/>
          <w:highlight w:val="none"/>
          <w:shd w:val="clear" w:color="auto" w:fill="FFFFFF"/>
          <w:lang w:val="en-US" w:eastAsia="zh-CN"/>
        </w:rPr>
        <w:t>新区经济投资合作局</w:t>
      </w:r>
      <w:r>
        <w:rPr>
          <w:rFonts w:hint="eastAsia" w:ascii="仿宋" w:hAnsi="仿宋" w:eastAsia="仿宋" w:cs="仿宋"/>
          <w:color w:val="auto"/>
          <w:kern w:val="0"/>
          <w:sz w:val="32"/>
          <w:szCs w:val="32"/>
          <w:highlight w:val="none"/>
          <w:shd w:val="clear" w:color="auto" w:fill="FFFFFF"/>
          <w:lang w:val="en-US" w:eastAsia="zh-Hans"/>
        </w:rPr>
        <w:t>提供的档案资料以及调查者反映的情况等资料，上述数据的完整性、真实性、准确性直接影响绩效评价结果。</w:t>
      </w:r>
      <w:bookmarkEnd w:id="10"/>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楷体" w:hAnsi="楷体" w:eastAsia="楷体" w:cs="楷体"/>
          <w:color w:val="auto"/>
          <w:kern w:val="0"/>
          <w:sz w:val="32"/>
          <w:szCs w:val="32"/>
          <w:highlight w:val="none"/>
          <w:shd w:val="clear" w:color="auto" w:fill="FFFFFF"/>
          <w:lang w:val="en-US" w:eastAsia="zh-Hans"/>
        </w:rPr>
      </w:pPr>
      <w:bookmarkStart w:id="11" w:name="_Toc21754"/>
      <w:r>
        <w:rPr>
          <w:rFonts w:hint="eastAsia" w:ascii="楷体" w:hAnsi="楷体" w:eastAsia="楷体" w:cs="楷体"/>
          <w:b/>
          <w:bCs/>
          <w:color w:val="auto"/>
          <w:kern w:val="0"/>
          <w:sz w:val="32"/>
          <w:szCs w:val="32"/>
          <w:highlight w:val="none"/>
          <w:shd w:val="clear" w:color="auto" w:fill="FFFFFF"/>
          <w:lang w:val="en-US" w:eastAsia="zh-Hans"/>
        </w:rPr>
        <w:t>（四）评价工作过程</w:t>
      </w:r>
      <w:bookmarkEnd w:id="11"/>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本次绩效评价工作主要分为前期准备、组织实施、</w:t>
      </w:r>
      <w:r>
        <w:rPr>
          <w:rFonts w:hint="eastAsia" w:ascii="仿宋" w:hAnsi="仿宋" w:eastAsia="仿宋" w:cs="仿宋"/>
          <w:color w:val="auto"/>
          <w:kern w:val="0"/>
          <w:sz w:val="32"/>
          <w:szCs w:val="32"/>
          <w:highlight w:val="none"/>
          <w:shd w:val="clear" w:color="auto" w:fill="FFFFFF"/>
          <w:lang w:val="en-US" w:eastAsia="zh-CN"/>
        </w:rPr>
        <w:t>报告撰写</w:t>
      </w:r>
      <w:r>
        <w:rPr>
          <w:rFonts w:hint="eastAsia" w:ascii="仿宋" w:hAnsi="仿宋" w:eastAsia="仿宋" w:cs="仿宋"/>
          <w:color w:val="auto"/>
          <w:kern w:val="0"/>
          <w:sz w:val="32"/>
          <w:szCs w:val="32"/>
          <w:highlight w:val="none"/>
          <w:shd w:val="clear" w:color="auto" w:fill="FFFFFF"/>
          <w:lang w:val="en-US" w:eastAsia="zh-Hans"/>
        </w:rPr>
        <w:t>以及资料整理归档四个阶段。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1.前期准备阶段</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（1）项目启动。</w:t>
      </w:r>
      <w:r>
        <w:rPr>
          <w:rFonts w:hint="eastAsia" w:ascii="仿宋" w:hAnsi="仿宋" w:eastAsia="仿宋" w:cs="仿宋"/>
          <w:color w:val="auto"/>
          <w:kern w:val="0"/>
          <w:sz w:val="32"/>
          <w:szCs w:val="32"/>
          <w:highlight w:val="none"/>
          <w:shd w:val="clear" w:color="auto" w:fill="FFFFFF"/>
          <w:lang w:val="en-US" w:eastAsia="zh-CN"/>
        </w:rPr>
        <w:t>首先成立</w:t>
      </w:r>
      <w:r>
        <w:rPr>
          <w:rFonts w:hint="eastAsia" w:ascii="仿宋" w:hAnsi="仿宋" w:eastAsia="仿宋" w:cs="仿宋"/>
          <w:color w:val="auto"/>
          <w:kern w:val="0"/>
          <w:sz w:val="32"/>
          <w:szCs w:val="32"/>
          <w:highlight w:val="none"/>
          <w:shd w:val="clear" w:color="auto" w:fill="FFFFFF"/>
          <w:lang w:val="en-US" w:eastAsia="zh-Hans"/>
        </w:rPr>
        <w:t>评价小组，联络本次绩效评价的相关部门及人员，收集相关资料。</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（2）开展前期调研并</w:t>
      </w:r>
      <w:r>
        <w:rPr>
          <w:rFonts w:hint="eastAsia" w:ascii="仿宋" w:hAnsi="仿宋" w:eastAsia="仿宋" w:cs="仿宋"/>
          <w:color w:val="auto"/>
          <w:kern w:val="0"/>
          <w:sz w:val="32"/>
          <w:szCs w:val="32"/>
          <w:highlight w:val="none"/>
          <w:shd w:val="clear" w:color="auto" w:fill="FFFFFF"/>
          <w:lang w:val="en-US" w:eastAsia="zh-CN"/>
        </w:rPr>
        <w:t>制定指标体系</w:t>
      </w:r>
      <w:r>
        <w:rPr>
          <w:rFonts w:hint="eastAsia" w:ascii="仿宋" w:hAnsi="仿宋" w:eastAsia="仿宋" w:cs="仿宋"/>
          <w:color w:val="auto"/>
          <w:kern w:val="0"/>
          <w:sz w:val="32"/>
          <w:szCs w:val="32"/>
          <w:highlight w:val="none"/>
          <w:shd w:val="clear" w:color="auto" w:fill="FFFFFF"/>
          <w:lang w:val="en-US" w:eastAsia="zh-Hans"/>
        </w:rPr>
        <w:t>。由评价小组成员与被评价部门进行充分沟通，了解部门的机构职能、职责划分、内设机构、下属预算单位等基本信息，并收集该部门202</w:t>
      </w:r>
      <w:r>
        <w:rPr>
          <w:rFonts w:hint="eastAsia" w:ascii="仿宋" w:hAnsi="仿宋" w:eastAsia="仿宋" w:cs="仿宋"/>
          <w:color w:val="auto"/>
          <w:kern w:val="0"/>
          <w:sz w:val="32"/>
          <w:szCs w:val="32"/>
          <w:highlight w:val="none"/>
          <w:shd w:val="clear" w:color="auto" w:fill="FFFFFF"/>
          <w:lang w:val="en-US" w:eastAsia="zh-CN"/>
        </w:rPr>
        <w:t>1</w:t>
      </w:r>
      <w:r>
        <w:rPr>
          <w:rFonts w:hint="eastAsia" w:ascii="仿宋" w:hAnsi="仿宋" w:eastAsia="仿宋" w:cs="仿宋"/>
          <w:color w:val="auto"/>
          <w:kern w:val="0"/>
          <w:sz w:val="32"/>
          <w:szCs w:val="32"/>
          <w:highlight w:val="none"/>
          <w:shd w:val="clear" w:color="auto" w:fill="FFFFFF"/>
          <w:lang w:val="en-US" w:eastAsia="zh-Hans"/>
        </w:rPr>
        <w:t>年度内开展建设及运营监管项目的立项文件、预算安排、项目年度目标、工作实施计划、管理制度等文件资料。</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根据部门实际情况和</w:t>
      </w:r>
      <w:r>
        <w:rPr>
          <w:rFonts w:hint="eastAsia" w:ascii="仿宋" w:hAnsi="仿宋" w:eastAsia="仿宋" w:cs="仿宋"/>
          <w:color w:val="auto"/>
          <w:kern w:val="0"/>
          <w:sz w:val="32"/>
          <w:szCs w:val="32"/>
          <w:highlight w:val="none"/>
          <w:shd w:val="clear" w:color="auto" w:fill="FFFFFF"/>
          <w:lang w:val="en-US" w:eastAsia="zh-CN"/>
        </w:rPr>
        <w:t>经济投资合作局</w:t>
      </w:r>
      <w:r>
        <w:rPr>
          <w:rFonts w:hint="eastAsia" w:ascii="仿宋" w:hAnsi="仿宋" w:eastAsia="仿宋" w:cs="仿宋"/>
          <w:color w:val="auto"/>
          <w:kern w:val="0"/>
          <w:sz w:val="32"/>
          <w:szCs w:val="32"/>
          <w:highlight w:val="none"/>
          <w:shd w:val="clear" w:color="auto" w:fill="FFFFFF"/>
          <w:lang w:val="en-US" w:eastAsia="zh-Hans"/>
        </w:rPr>
        <w:t>工作特点，形成绩效评价的总体思路，设计指标体系、问卷调查及访谈内容广泛听取意见、进行完善。</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2.组织实施阶段</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（1）数据收集和审核资料</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评价小组根据评价工作需要和相关要求，多渠道收集基础信息资料，根据绩效目标设立的依据和调整情况，整理投入、过程、产出和</w:t>
      </w:r>
      <w:r>
        <w:rPr>
          <w:rFonts w:hint="eastAsia" w:ascii="仿宋" w:hAnsi="仿宋" w:eastAsia="仿宋" w:cs="仿宋"/>
          <w:color w:val="auto"/>
          <w:kern w:val="0"/>
          <w:sz w:val="32"/>
          <w:szCs w:val="32"/>
          <w:highlight w:val="none"/>
          <w:shd w:val="clear" w:color="auto" w:fill="FFFFFF"/>
          <w:lang w:val="en-US" w:eastAsia="zh-CN"/>
        </w:rPr>
        <w:t>效益</w:t>
      </w:r>
      <w:r>
        <w:rPr>
          <w:rFonts w:hint="eastAsia" w:ascii="仿宋" w:hAnsi="仿宋" w:eastAsia="仿宋" w:cs="仿宋"/>
          <w:color w:val="auto"/>
          <w:kern w:val="0"/>
          <w:sz w:val="32"/>
          <w:szCs w:val="32"/>
          <w:highlight w:val="none"/>
          <w:shd w:val="clear" w:color="auto" w:fill="FFFFFF"/>
          <w:lang w:val="en-US" w:eastAsia="zh-Hans"/>
        </w:rPr>
        <w:t>资料，相关业务和财务资料，管理措施及组织实施情况与绩效评价相关的计划标准、行业标准、历史标准等，以及其他必要的相关资料。在收集齐全的基础上对所有资料进行分类整理，对相关资料进行核实和分析，并要求预算单位对缺失的资料及时补充，对存在疑问的资料和数据进行解释和说明。</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（2）现场</w:t>
      </w:r>
      <w:r>
        <w:rPr>
          <w:rFonts w:hint="eastAsia" w:ascii="仿宋" w:hAnsi="仿宋" w:eastAsia="仿宋" w:cs="仿宋"/>
          <w:color w:val="auto"/>
          <w:kern w:val="0"/>
          <w:sz w:val="32"/>
          <w:szCs w:val="32"/>
          <w:highlight w:val="none"/>
          <w:shd w:val="clear" w:color="auto" w:fill="FFFFFF"/>
          <w:lang w:val="en-US" w:eastAsia="zh-CN"/>
        </w:rPr>
        <w:t>座谈</w:t>
      </w:r>
      <w:r>
        <w:rPr>
          <w:rFonts w:hint="eastAsia" w:ascii="仿宋" w:hAnsi="仿宋" w:eastAsia="仿宋" w:cs="仿宋"/>
          <w:color w:val="auto"/>
          <w:kern w:val="0"/>
          <w:sz w:val="32"/>
          <w:szCs w:val="32"/>
          <w:highlight w:val="none"/>
          <w:shd w:val="clear" w:color="auto" w:fill="FFFFFF"/>
          <w:lang w:val="en-US" w:eastAsia="zh-Hans"/>
        </w:rPr>
        <w:t>及社会调查阶段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对部门单位及实施项目进行访谈、联系部门和项目单位组织人员进行社会调查，对有关情况和基础材料进行核实，掌握评价基础资料。</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3.</w:t>
      </w:r>
      <w:r>
        <w:rPr>
          <w:rFonts w:hint="eastAsia" w:ascii="仿宋" w:hAnsi="仿宋" w:eastAsia="仿宋" w:cs="仿宋"/>
          <w:b/>
          <w:bCs/>
          <w:color w:val="auto"/>
          <w:kern w:val="0"/>
          <w:sz w:val="32"/>
          <w:szCs w:val="32"/>
          <w:highlight w:val="none"/>
          <w:shd w:val="clear" w:color="auto" w:fill="FFFFFF"/>
          <w:lang w:val="en-US" w:eastAsia="zh-CN"/>
        </w:rPr>
        <w:t>报告撰写</w:t>
      </w:r>
      <w:r>
        <w:rPr>
          <w:rFonts w:hint="eastAsia" w:ascii="仿宋" w:hAnsi="仿宋" w:eastAsia="仿宋" w:cs="仿宋"/>
          <w:b/>
          <w:bCs/>
          <w:color w:val="auto"/>
          <w:kern w:val="0"/>
          <w:sz w:val="32"/>
          <w:szCs w:val="32"/>
          <w:highlight w:val="none"/>
          <w:shd w:val="clear" w:color="auto" w:fill="FFFFFF"/>
          <w:lang w:val="en-US" w:eastAsia="zh-Hans"/>
        </w:rPr>
        <w:t>阶段</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（1）综合分析评价。根据收集和审核的基础资料，结合现场</w:t>
      </w:r>
      <w:r>
        <w:rPr>
          <w:rFonts w:hint="eastAsia" w:ascii="仿宋" w:hAnsi="仿宋" w:eastAsia="仿宋" w:cs="仿宋"/>
          <w:color w:val="auto"/>
          <w:kern w:val="0"/>
          <w:sz w:val="32"/>
          <w:szCs w:val="32"/>
          <w:highlight w:val="none"/>
          <w:shd w:val="clear" w:color="auto" w:fill="FFFFFF"/>
          <w:lang w:val="en-US" w:eastAsia="zh-CN"/>
        </w:rPr>
        <w:t>座谈</w:t>
      </w:r>
      <w:r>
        <w:rPr>
          <w:rFonts w:hint="eastAsia" w:ascii="仿宋" w:hAnsi="仿宋" w:eastAsia="仿宋" w:cs="仿宋"/>
          <w:color w:val="auto"/>
          <w:kern w:val="0"/>
          <w:sz w:val="32"/>
          <w:szCs w:val="32"/>
          <w:highlight w:val="none"/>
          <w:shd w:val="clear" w:color="auto" w:fill="FFFFFF"/>
          <w:lang w:val="en-US" w:eastAsia="zh-Hans"/>
        </w:rPr>
        <w:t>的有关情况，整理出绩效评价所需的资料和数据；按照评价工作方案确定的评价指标、评价标准和评价方法，对本部门的绩效情况进行全面的定量、定性分析和综合评价，并进行量化打分，根据评分结果确定相应档次，并形成评价结论。</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（2）撰写提交绩效评价报告。综合前期收集和审核的部门及项目资料、现场调研的结果，评价工作组对部门年度工作情况进行综合分析，并按照规定的文本格式和相关要求撰写评价报告。报告内容</w:t>
      </w:r>
      <w:r>
        <w:rPr>
          <w:rFonts w:hint="eastAsia" w:ascii="仿宋" w:hAnsi="仿宋" w:eastAsia="仿宋" w:cs="仿宋"/>
          <w:color w:val="auto"/>
          <w:kern w:val="0"/>
          <w:sz w:val="32"/>
          <w:szCs w:val="32"/>
          <w:highlight w:val="none"/>
          <w:shd w:val="clear" w:color="auto" w:fill="FFFFFF"/>
          <w:lang w:val="en-US" w:eastAsia="zh-CN"/>
        </w:rPr>
        <w:t>详实</w:t>
      </w:r>
      <w:r>
        <w:rPr>
          <w:rFonts w:hint="eastAsia" w:ascii="仿宋" w:hAnsi="仿宋" w:eastAsia="仿宋" w:cs="仿宋"/>
          <w:color w:val="auto"/>
          <w:kern w:val="0"/>
          <w:sz w:val="32"/>
          <w:szCs w:val="32"/>
          <w:highlight w:val="none"/>
          <w:shd w:val="clear" w:color="auto" w:fill="FFFFFF"/>
          <w:lang w:val="en-US" w:eastAsia="zh-Hans"/>
        </w:rPr>
        <w:t>，逻辑清晰，结论鲜明，依据真实、充分，底稿及附件齐全。评价报告在经过</w:t>
      </w:r>
      <w:r>
        <w:rPr>
          <w:rFonts w:hint="eastAsia" w:ascii="仿宋" w:hAnsi="仿宋" w:eastAsia="仿宋" w:cs="仿宋"/>
          <w:color w:val="auto"/>
          <w:kern w:val="0"/>
          <w:sz w:val="32"/>
          <w:szCs w:val="32"/>
          <w:highlight w:val="none"/>
          <w:shd w:val="clear" w:color="auto" w:fill="FFFFFF"/>
          <w:lang w:val="en-US" w:eastAsia="zh-CN"/>
        </w:rPr>
        <w:t>与被评价部门</w:t>
      </w:r>
      <w:r>
        <w:rPr>
          <w:rFonts w:hint="eastAsia" w:ascii="仿宋" w:hAnsi="仿宋" w:eastAsia="仿宋" w:cs="仿宋"/>
          <w:color w:val="auto"/>
          <w:kern w:val="0"/>
          <w:sz w:val="32"/>
          <w:szCs w:val="32"/>
          <w:highlight w:val="none"/>
          <w:shd w:val="clear" w:color="auto" w:fill="FFFFFF"/>
          <w:lang w:val="en-US" w:eastAsia="zh-Hans"/>
        </w:rPr>
        <w:t>沟通意见，修改完善绩效评价报告，及时提交</w:t>
      </w:r>
      <w:r>
        <w:rPr>
          <w:rFonts w:hint="eastAsia" w:ascii="仿宋" w:hAnsi="仿宋" w:eastAsia="仿宋" w:cs="仿宋"/>
          <w:color w:val="auto"/>
          <w:kern w:val="0"/>
          <w:sz w:val="32"/>
          <w:szCs w:val="32"/>
          <w:highlight w:val="none"/>
          <w:shd w:val="clear" w:color="auto" w:fill="FFFFFF"/>
          <w:lang w:val="en-US" w:eastAsia="zh-CN"/>
        </w:rPr>
        <w:t>委托方</w:t>
      </w:r>
      <w:r>
        <w:rPr>
          <w:rFonts w:hint="eastAsia" w:ascii="仿宋" w:hAnsi="仿宋" w:eastAsia="仿宋" w:cs="仿宋"/>
          <w:color w:val="auto"/>
          <w:kern w:val="0"/>
          <w:sz w:val="32"/>
          <w:szCs w:val="32"/>
          <w:highlight w:val="none"/>
          <w:shd w:val="clear" w:color="auto" w:fill="FFFFFF"/>
          <w:lang w:val="en-US" w:eastAsia="zh-Hans"/>
        </w:rPr>
        <w:t>确认。</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4.资料整理阶段</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绩效评价工作结束后，评价工作组将绩效评价过程中所涉及的材料（电子版、纸质版），及时收集和整理，并归档备查。同时，根据绩效评价结果，应相关要求，及时帮助被评价方就相关问题、建议积极落实结果应用，切实提升项目绩效。</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0"/>
        <w:rPr>
          <w:rFonts w:hint="eastAsia" w:ascii="黑体" w:hAnsi="黑体" w:eastAsia="黑体" w:cs="黑体"/>
          <w:b w:val="0"/>
          <w:bCs w:val="0"/>
          <w:color w:val="auto"/>
          <w:kern w:val="0"/>
          <w:sz w:val="32"/>
          <w:szCs w:val="32"/>
          <w:highlight w:val="none"/>
          <w:shd w:val="clear" w:color="auto" w:fill="FFFFFF"/>
          <w:lang w:val="en-US" w:eastAsia="zh-Hans"/>
        </w:rPr>
      </w:pPr>
      <w:bookmarkStart w:id="12" w:name="_Toc27023"/>
      <w:r>
        <w:rPr>
          <w:rFonts w:hint="eastAsia" w:ascii="黑体" w:hAnsi="黑体" w:eastAsia="黑体" w:cs="黑体"/>
          <w:b w:val="0"/>
          <w:bCs w:val="0"/>
          <w:color w:val="auto"/>
          <w:kern w:val="0"/>
          <w:sz w:val="32"/>
          <w:szCs w:val="32"/>
          <w:highlight w:val="none"/>
          <w:shd w:val="clear" w:color="auto" w:fill="FFFFFF"/>
          <w:lang w:val="en-US" w:eastAsia="zh-Hans"/>
        </w:rPr>
        <w:t>三、评价结论</w:t>
      </w:r>
      <w:bookmarkEnd w:id="12"/>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通过对</w:t>
      </w:r>
      <w:r>
        <w:rPr>
          <w:rFonts w:hint="eastAsia" w:ascii="仿宋" w:hAnsi="仿宋" w:eastAsia="仿宋" w:cs="仿宋"/>
          <w:color w:val="auto"/>
          <w:kern w:val="0"/>
          <w:sz w:val="32"/>
          <w:szCs w:val="32"/>
          <w:highlight w:val="none"/>
          <w:shd w:val="clear" w:color="auto" w:fill="FFFFFF"/>
          <w:lang w:val="en-US" w:eastAsia="zh-CN"/>
        </w:rPr>
        <w:t>新区对外经济投资合作局</w:t>
      </w:r>
      <w:r>
        <w:rPr>
          <w:rFonts w:hint="eastAsia" w:ascii="仿宋" w:hAnsi="仿宋" w:eastAsia="仿宋" w:cs="仿宋"/>
          <w:color w:val="auto"/>
          <w:kern w:val="0"/>
          <w:sz w:val="32"/>
          <w:szCs w:val="32"/>
          <w:highlight w:val="none"/>
          <w:shd w:val="clear" w:color="auto" w:fill="FFFFFF"/>
          <w:lang w:val="en-US" w:eastAsia="zh-Hans"/>
        </w:rPr>
        <w:t>的</w:t>
      </w:r>
      <w:r>
        <w:rPr>
          <w:rFonts w:hint="eastAsia" w:ascii="仿宋" w:hAnsi="仿宋" w:eastAsia="仿宋" w:cs="仿宋"/>
          <w:color w:val="auto"/>
          <w:kern w:val="0"/>
          <w:sz w:val="32"/>
          <w:szCs w:val="32"/>
          <w:highlight w:val="none"/>
          <w:shd w:val="clear" w:color="auto" w:fill="FFFFFF"/>
          <w:lang w:val="en-US" w:eastAsia="zh-CN"/>
        </w:rPr>
        <w:t>相关</w:t>
      </w:r>
      <w:r>
        <w:rPr>
          <w:rFonts w:hint="eastAsia" w:ascii="仿宋" w:hAnsi="仿宋" w:eastAsia="仿宋" w:cs="仿宋"/>
          <w:color w:val="auto"/>
          <w:kern w:val="0"/>
          <w:sz w:val="32"/>
          <w:szCs w:val="32"/>
          <w:highlight w:val="none"/>
          <w:shd w:val="clear" w:color="auto" w:fill="FFFFFF"/>
          <w:lang w:val="en-US" w:eastAsia="zh-Hans"/>
        </w:rPr>
        <w:t>材料审核和现场</w:t>
      </w:r>
      <w:r>
        <w:rPr>
          <w:rFonts w:hint="eastAsia" w:ascii="仿宋" w:hAnsi="仿宋" w:eastAsia="仿宋" w:cs="仿宋"/>
          <w:color w:val="auto"/>
          <w:kern w:val="0"/>
          <w:sz w:val="32"/>
          <w:szCs w:val="32"/>
          <w:highlight w:val="none"/>
          <w:shd w:val="clear" w:color="auto" w:fill="FFFFFF"/>
          <w:lang w:val="en-US" w:eastAsia="zh-CN"/>
        </w:rPr>
        <w:t>座谈</w:t>
      </w:r>
      <w:r>
        <w:rPr>
          <w:rFonts w:hint="eastAsia" w:ascii="仿宋" w:hAnsi="仿宋" w:eastAsia="仿宋" w:cs="仿宋"/>
          <w:color w:val="auto"/>
          <w:kern w:val="0"/>
          <w:sz w:val="32"/>
          <w:szCs w:val="32"/>
          <w:highlight w:val="none"/>
          <w:shd w:val="clear" w:color="auto" w:fill="FFFFFF"/>
          <w:lang w:val="en-US" w:eastAsia="zh-Hans"/>
        </w:rPr>
        <w:t>、评审等，从</w:t>
      </w:r>
      <w:r>
        <w:rPr>
          <w:rFonts w:hint="eastAsia" w:ascii="仿宋" w:hAnsi="仿宋" w:eastAsia="仿宋" w:cs="仿宋"/>
          <w:color w:val="auto"/>
          <w:kern w:val="0"/>
          <w:sz w:val="32"/>
          <w:szCs w:val="32"/>
          <w:highlight w:val="none"/>
          <w:shd w:val="clear" w:color="auto" w:fill="FFFFFF"/>
          <w:lang w:val="en-US" w:eastAsia="zh-CN"/>
        </w:rPr>
        <w:t>投入</w:t>
      </w: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过程</w:t>
      </w:r>
      <w:r>
        <w:rPr>
          <w:rFonts w:hint="eastAsia" w:ascii="仿宋" w:hAnsi="仿宋" w:eastAsia="仿宋" w:cs="仿宋"/>
          <w:color w:val="auto"/>
          <w:kern w:val="0"/>
          <w:sz w:val="32"/>
          <w:szCs w:val="32"/>
          <w:highlight w:val="none"/>
          <w:shd w:val="clear" w:color="auto" w:fill="FFFFFF"/>
          <w:lang w:val="en-US" w:eastAsia="zh-Hans"/>
        </w:rPr>
        <w:t>、产出、</w:t>
      </w:r>
      <w:r>
        <w:rPr>
          <w:rFonts w:hint="eastAsia" w:ascii="仿宋" w:hAnsi="仿宋" w:eastAsia="仿宋" w:cs="仿宋"/>
          <w:color w:val="auto"/>
          <w:kern w:val="0"/>
          <w:sz w:val="32"/>
          <w:szCs w:val="32"/>
          <w:highlight w:val="none"/>
          <w:shd w:val="clear" w:color="auto" w:fill="FFFFFF"/>
          <w:lang w:val="en-US" w:eastAsia="zh-CN"/>
        </w:rPr>
        <w:t>效果</w:t>
      </w:r>
      <w:r>
        <w:rPr>
          <w:rFonts w:hint="eastAsia" w:ascii="仿宋" w:hAnsi="仿宋" w:eastAsia="仿宋" w:cs="仿宋"/>
          <w:color w:val="auto"/>
          <w:kern w:val="0"/>
          <w:sz w:val="32"/>
          <w:szCs w:val="32"/>
          <w:highlight w:val="none"/>
          <w:shd w:val="clear" w:color="auto" w:fill="FFFFFF"/>
          <w:lang w:val="en-US" w:eastAsia="zh-Hans"/>
        </w:rPr>
        <w:t>四个维度综合评价铜川市</w:t>
      </w:r>
      <w:r>
        <w:rPr>
          <w:rFonts w:hint="eastAsia" w:ascii="仿宋" w:hAnsi="仿宋" w:eastAsia="仿宋" w:cs="仿宋"/>
          <w:color w:val="auto"/>
          <w:kern w:val="0"/>
          <w:sz w:val="32"/>
          <w:szCs w:val="32"/>
          <w:highlight w:val="none"/>
          <w:shd w:val="clear" w:color="auto" w:fill="FFFFFF"/>
          <w:lang w:val="en-US" w:eastAsia="zh-CN"/>
        </w:rPr>
        <w:t>新区对外经济投资合作局</w:t>
      </w:r>
      <w:r>
        <w:rPr>
          <w:rFonts w:hint="eastAsia" w:ascii="仿宋" w:hAnsi="仿宋" w:eastAsia="仿宋" w:cs="仿宋"/>
          <w:color w:val="auto"/>
          <w:kern w:val="0"/>
          <w:sz w:val="32"/>
          <w:szCs w:val="32"/>
          <w:highlight w:val="none"/>
          <w:shd w:val="clear" w:color="auto" w:fill="FFFFFF"/>
          <w:lang w:val="en-US" w:eastAsia="zh-Hans"/>
        </w:rPr>
        <w:t>202</w:t>
      </w:r>
      <w:r>
        <w:rPr>
          <w:rFonts w:hint="eastAsia" w:ascii="仿宋" w:hAnsi="仿宋" w:eastAsia="仿宋" w:cs="仿宋"/>
          <w:color w:val="auto"/>
          <w:kern w:val="0"/>
          <w:sz w:val="32"/>
          <w:szCs w:val="32"/>
          <w:highlight w:val="none"/>
          <w:shd w:val="clear" w:color="auto" w:fill="FFFFFF"/>
          <w:lang w:val="en-US" w:eastAsia="zh-CN"/>
        </w:rPr>
        <w:t>1</w:t>
      </w:r>
      <w:r>
        <w:rPr>
          <w:rFonts w:hint="eastAsia" w:ascii="仿宋" w:hAnsi="仿宋" w:eastAsia="仿宋" w:cs="仿宋"/>
          <w:color w:val="auto"/>
          <w:kern w:val="0"/>
          <w:sz w:val="32"/>
          <w:szCs w:val="32"/>
          <w:highlight w:val="none"/>
          <w:shd w:val="clear" w:color="auto" w:fill="FFFFFF"/>
          <w:lang w:val="en-US" w:eastAsia="zh-Hans"/>
        </w:rPr>
        <w:t>年部门整体支出绩效，评价工作组认为：总体上</w:t>
      </w:r>
      <w:r>
        <w:rPr>
          <w:rFonts w:hint="eastAsia" w:ascii="仿宋" w:hAnsi="仿宋" w:eastAsia="仿宋" w:cs="仿宋"/>
          <w:color w:val="auto"/>
          <w:kern w:val="0"/>
          <w:sz w:val="32"/>
          <w:szCs w:val="32"/>
          <w:highlight w:val="none"/>
          <w:shd w:val="clear" w:color="auto" w:fill="FFFFFF"/>
          <w:lang w:val="en-US" w:eastAsia="zh-CN"/>
        </w:rPr>
        <w:t>新区对外经济投资合作局在投入、职责履行和履职效益表现较好，但在过程管理方面存在一定问题。评价结果分为优(</w:t>
      </w:r>
      <w:r>
        <w:rPr>
          <w:rFonts w:hint="default" w:ascii="仿宋" w:hAnsi="仿宋" w:eastAsia="仿宋" w:cs="仿宋"/>
          <w:color w:val="auto"/>
          <w:kern w:val="0"/>
          <w:sz w:val="32"/>
          <w:szCs w:val="32"/>
          <w:highlight w:val="none"/>
          <w:shd w:val="clear" w:color="auto" w:fill="FFFFFF"/>
          <w:lang w:eastAsia="zh-CN"/>
        </w:rPr>
        <w:t>90</w:t>
      </w:r>
      <w:r>
        <w:rPr>
          <w:rFonts w:hint="eastAsia" w:ascii="仿宋" w:hAnsi="仿宋" w:eastAsia="仿宋" w:cs="仿宋"/>
          <w:color w:val="auto"/>
          <w:kern w:val="0"/>
          <w:sz w:val="32"/>
          <w:szCs w:val="32"/>
          <w:highlight w:val="none"/>
          <w:shd w:val="clear" w:color="auto" w:fill="FFFFFF"/>
          <w:lang w:val="en-US" w:eastAsia="zh-CN"/>
        </w:rPr>
        <w:t>分以上)、良(</w:t>
      </w:r>
      <w:r>
        <w:rPr>
          <w:rFonts w:hint="default" w:ascii="仿宋" w:hAnsi="仿宋" w:eastAsia="仿宋" w:cs="仿宋"/>
          <w:color w:val="auto"/>
          <w:kern w:val="0"/>
          <w:sz w:val="32"/>
          <w:szCs w:val="32"/>
          <w:highlight w:val="none"/>
          <w:shd w:val="clear" w:color="auto" w:fill="FFFFFF"/>
          <w:lang w:eastAsia="zh-CN"/>
        </w:rPr>
        <w:t>80</w:t>
      </w:r>
      <w:r>
        <w:rPr>
          <w:rFonts w:hint="eastAsia" w:ascii="仿宋" w:hAnsi="仿宋" w:eastAsia="仿宋" w:cs="仿宋"/>
          <w:color w:val="auto"/>
          <w:kern w:val="0"/>
          <w:sz w:val="32"/>
          <w:szCs w:val="32"/>
          <w:highlight w:val="none"/>
          <w:shd w:val="clear" w:color="auto" w:fill="FFFFFF"/>
          <w:lang w:val="en-US" w:eastAsia="zh-Hans"/>
        </w:rPr>
        <w:t>含</w:t>
      </w:r>
      <w:r>
        <w:rPr>
          <w:rFonts w:hint="eastAsia" w:ascii="仿宋" w:hAnsi="仿宋" w:eastAsia="仿宋" w:cs="仿宋"/>
          <w:color w:val="auto"/>
          <w:kern w:val="0"/>
          <w:sz w:val="32"/>
          <w:szCs w:val="32"/>
          <w:highlight w:val="none"/>
          <w:shd w:val="clear" w:color="auto" w:fill="FFFFFF"/>
          <w:lang w:val="en-US" w:eastAsia="zh-CN"/>
        </w:rPr>
        <w:t>-</w:t>
      </w:r>
      <w:r>
        <w:rPr>
          <w:rFonts w:hint="default" w:ascii="仿宋" w:hAnsi="仿宋" w:eastAsia="仿宋" w:cs="仿宋"/>
          <w:color w:val="auto"/>
          <w:kern w:val="0"/>
          <w:sz w:val="32"/>
          <w:szCs w:val="32"/>
          <w:highlight w:val="none"/>
          <w:shd w:val="clear" w:color="auto" w:fill="FFFFFF"/>
          <w:lang w:eastAsia="zh-CN"/>
        </w:rPr>
        <w:t>90</w:t>
      </w:r>
      <w:r>
        <w:rPr>
          <w:rFonts w:hint="eastAsia" w:ascii="仿宋" w:hAnsi="仿宋" w:eastAsia="仿宋" w:cs="仿宋"/>
          <w:color w:val="auto"/>
          <w:kern w:val="0"/>
          <w:sz w:val="32"/>
          <w:szCs w:val="32"/>
          <w:highlight w:val="none"/>
          <w:shd w:val="clear" w:color="auto" w:fill="FFFFFF"/>
          <w:lang w:val="en-US" w:eastAsia="zh-CN"/>
        </w:rPr>
        <w:t>分)、中(</w:t>
      </w:r>
      <w:r>
        <w:rPr>
          <w:rFonts w:hint="default" w:ascii="仿宋" w:hAnsi="仿宋" w:eastAsia="仿宋" w:cs="仿宋"/>
          <w:color w:val="auto"/>
          <w:kern w:val="0"/>
          <w:sz w:val="32"/>
          <w:szCs w:val="32"/>
          <w:highlight w:val="none"/>
          <w:shd w:val="clear" w:color="auto" w:fill="FFFFFF"/>
          <w:lang w:eastAsia="zh-CN"/>
        </w:rPr>
        <w:t>60</w:t>
      </w:r>
      <w:r>
        <w:rPr>
          <w:rFonts w:hint="eastAsia" w:ascii="仿宋" w:hAnsi="仿宋" w:eastAsia="仿宋" w:cs="仿宋"/>
          <w:color w:val="auto"/>
          <w:kern w:val="0"/>
          <w:sz w:val="32"/>
          <w:szCs w:val="32"/>
          <w:highlight w:val="none"/>
          <w:shd w:val="clear" w:color="auto" w:fill="FFFFFF"/>
          <w:lang w:val="en-US" w:eastAsia="zh-Hans"/>
        </w:rPr>
        <w:t>含</w:t>
      </w:r>
      <w:r>
        <w:rPr>
          <w:rFonts w:hint="eastAsia" w:ascii="仿宋" w:hAnsi="仿宋" w:eastAsia="仿宋" w:cs="仿宋"/>
          <w:color w:val="auto"/>
          <w:kern w:val="0"/>
          <w:sz w:val="32"/>
          <w:szCs w:val="32"/>
          <w:highlight w:val="none"/>
          <w:shd w:val="clear" w:color="auto" w:fill="FFFFFF"/>
          <w:lang w:val="en-US" w:eastAsia="zh-CN"/>
        </w:rPr>
        <w:t>-</w:t>
      </w:r>
      <w:r>
        <w:rPr>
          <w:rFonts w:hint="default" w:ascii="仿宋" w:hAnsi="仿宋" w:eastAsia="仿宋" w:cs="仿宋"/>
          <w:color w:val="auto"/>
          <w:kern w:val="0"/>
          <w:sz w:val="32"/>
          <w:szCs w:val="32"/>
          <w:highlight w:val="none"/>
          <w:shd w:val="clear" w:color="auto" w:fill="FFFFFF"/>
          <w:lang w:eastAsia="zh-CN"/>
        </w:rPr>
        <w:t>80</w:t>
      </w:r>
      <w:r>
        <w:rPr>
          <w:rFonts w:hint="eastAsia" w:ascii="仿宋" w:hAnsi="仿宋" w:eastAsia="仿宋" w:cs="仿宋"/>
          <w:color w:val="auto"/>
          <w:kern w:val="0"/>
          <w:sz w:val="32"/>
          <w:szCs w:val="32"/>
          <w:highlight w:val="none"/>
          <w:shd w:val="clear" w:color="auto" w:fill="FFFFFF"/>
          <w:lang w:val="en-US" w:eastAsia="zh-CN"/>
        </w:rPr>
        <w:t>分) 和差(</w:t>
      </w:r>
      <w:r>
        <w:rPr>
          <w:rFonts w:hint="default" w:ascii="仿宋" w:hAnsi="仿宋" w:eastAsia="仿宋" w:cs="仿宋"/>
          <w:color w:val="auto"/>
          <w:kern w:val="0"/>
          <w:sz w:val="32"/>
          <w:szCs w:val="32"/>
          <w:highlight w:val="none"/>
          <w:shd w:val="clear" w:color="auto" w:fill="FFFFFF"/>
          <w:lang w:eastAsia="zh-CN"/>
        </w:rPr>
        <w:t>60</w:t>
      </w:r>
      <w:r>
        <w:rPr>
          <w:rFonts w:hint="eastAsia" w:ascii="仿宋" w:hAnsi="仿宋" w:eastAsia="仿宋" w:cs="仿宋"/>
          <w:color w:val="auto"/>
          <w:kern w:val="0"/>
          <w:sz w:val="32"/>
          <w:szCs w:val="32"/>
          <w:highlight w:val="none"/>
          <w:shd w:val="clear" w:color="auto" w:fill="FFFFFF"/>
          <w:lang w:val="en-US" w:eastAsia="zh-CN"/>
        </w:rPr>
        <w:t>分以下)四个等次。经综合分析，该部门整体支出综合评价得分为96.78分，绩效等级为“优”。</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center"/>
        <w:textAlignment w:val="auto"/>
        <w:outlineLvl w:val="9"/>
        <w:rPr>
          <w:rFonts w:hint="eastAsia" w:ascii="仿宋" w:hAnsi="仿宋" w:eastAsia="仿宋" w:cs="仿宋"/>
          <w:b/>
          <w:bCs/>
          <w:color w:val="auto"/>
          <w:kern w:val="0"/>
          <w:sz w:val="28"/>
          <w:szCs w:val="28"/>
          <w:highlight w:val="none"/>
          <w:shd w:val="clear" w:color="auto" w:fill="FFFFFF"/>
          <w:lang w:val="en-US" w:eastAsia="zh-Hans"/>
        </w:rPr>
      </w:pPr>
      <w:r>
        <w:rPr>
          <w:rFonts w:hint="eastAsia" w:ascii="仿宋" w:hAnsi="仿宋" w:eastAsia="仿宋" w:cs="仿宋"/>
          <w:b/>
          <w:bCs/>
          <w:color w:val="auto"/>
          <w:kern w:val="0"/>
          <w:sz w:val="28"/>
          <w:szCs w:val="28"/>
          <w:highlight w:val="none"/>
          <w:shd w:val="clear" w:color="auto" w:fill="FFFFFF"/>
          <w:lang w:val="en-US" w:eastAsia="zh-Hans"/>
        </w:rPr>
        <w:t>表3-1 202</w:t>
      </w:r>
      <w:r>
        <w:rPr>
          <w:rFonts w:hint="eastAsia" w:ascii="仿宋" w:hAnsi="仿宋" w:eastAsia="仿宋" w:cs="仿宋"/>
          <w:b/>
          <w:bCs/>
          <w:color w:val="auto"/>
          <w:kern w:val="0"/>
          <w:sz w:val="28"/>
          <w:szCs w:val="28"/>
          <w:highlight w:val="none"/>
          <w:shd w:val="clear" w:color="auto" w:fill="FFFFFF"/>
          <w:lang w:val="en-US" w:eastAsia="zh-CN"/>
        </w:rPr>
        <w:t>1</w:t>
      </w:r>
      <w:r>
        <w:rPr>
          <w:rFonts w:hint="eastAsia" w:ascii="仿宋" w:hAnsi="仿宋" w:eastAsia="仿宋" w:cs="仿宋"/>
          <w:b/>
          <w:bCs/>
          <w:color w:val="auto"/>
          <w:kern w:val="0"/>
          <w:sz w:val="28"/>
          <w:szCs w:val="28"/>
          <w:highlight w:val="none"/>
          <w:shd w:val="clear" w:color="auto" w:fill="FFFFFF"/>
          <w:lang w:val="en-US" w:eastAsia="zh-Hans"/>
        </w:rPr>
        <w:t>年</w:t>
      </w:r>
      <w:r>
        <w:rPr>
          <w:rFonts w:hint="eastAsia" w:ascii="仿宋" w:hAnsi="仿宋" w:eastAsia="仿宋" w:cs="仿宋"/>
          <w:b/>
          <w:bCs/>
          <w:color w:val="auto"/>
          <w:kern w:val="0"/>
          <w:sz w:val="28"/>
          <w:szCs w:val="28"/>
          <w:highlight w:val="none"/>
          <w:shd w:val="clear" w:color="auto" w:fill="FFFFFF"/>
          <w:lang w:val="en-US" w:eastAsia="zh-CN"/>
        </w:rPr>
        <w:t>新区对外经济投资合作局</w:t>
      </w:r>
      <w:r>
        <w:rPr>
          <w:rFonts w:hint="eastAsia" w:ascii="仿宋" w:hAnsi="仿宋" w:eastAsia="仿宋" w:cs="仿宋"/>
          <w:b/>
          <w:bCs/>
          <w:color w:val="auto"/>
          <w:kern w:val="0"/>
          <w:sz w:val="28"/>
          <w:szCs w:val="28"/>
          <w:highlight w:val="none"/>
          <w:shd w:val="clear" w:color="auto" w:fill="FFFFFF"/>
          <w:lang w:val="en-US" w:eastAsia="zh-Hans"/>
        </w:rPr>
        <w:t>部门整体支出绩效</w:t>
      </w:r>
      <w:r>
        <w:rPr>
          <w:rFonts w:hint="eastAsia" w:ascii="仿宋" w:hAnsi="仿宋" w:eastAsia="仿宋" w:cs="仿宋"/>
          <w:b/>
          <w:bCs/>
          <w:color w:val="auto"/>
          <w:kern w:val="0"/>
          <w:sz w:val="28"/>
          <w:szCs w:val="28"/>
          <w:highlight w:val="none"/>
          <w:shd w:val="clear" w:color="auto" w:fill="FFFFFF"/>
          <w:lang w:val="en-US" w:eastAsia="zh-CN"/>
        </w:rPr>
        <w:t>评价得分</w:t>
      </w:r>
      <w:r>
        <w:rPr>
          <w:rFonts w:hint="eastAsia" w:ascii="仿宋" w:hAnsi="仿宋" w:eastAsia="仿宋" w:cs="仿宋"/>
          <w:b/>
          <w:bCs/>
          <w:color w:val="auto"/>
          <w:kern w:val="0"/>
          <w:sz w:val="28"/>
          <w:szCs w:val="28"/>
          <w:highlight w:val="none"/>
          <w:shd w:val="clear" w:color="auto" w:fill="FFFFFF"/>
          <w:lang w:val="en-US" w:eastAsia="zh-Hans"/>
        </w:rPr>
        <w:t>表</w:t>
      </w:r>
    </w:p>
    <w:tbl>
      <w:tblPr>
        <w:tblStyle w:val="15"/>
        <w:tblW w:w="4998" w:type="pct"/>
        <w:tblInd w:w="0" w:type="dxa"/>
        <w:shd w:val="clear" w:color="auto" w:fill="auto"/>
        <w:tblLayout w:type="autofit"/>
        <w:tblCellMar>
          <w:top w:w="0" w:type="dxa"/>
          <w:left w:w="0" w:type="dxa"/>
          <w:bottom w:w="0" w:type="dxa"/>
          <w:right w:w="0" w:type="dxa"/>
        </w:tblCellMar>
      </w:tblPr>
      <w:tblGrid>
        <w:gridCol w:w="2076"/>
        <w:gridCol w:w="2076"/>
        <w:gridCol w:w="2595"/>
        <w:gridCol w:w="2079"/>
      </w:tblGrid>
      <w:tr>
        <w:tblPrEx>
          <w:shd w:val="clear" w:color="auto" w:fill="auto"/>
          <w:tblCellMar>
            <w:top w:w="0" w:type="dxa"/>
            <w:left w:w="0" w:type="dxa"/>
            <w:bottom w:w="0" w:type="dxa"/>
            <w:right w:w="0" w:type="dxa"/>
          </w:tblCellMar>
        </w:tblPrEx>
        <w:trPr>
          <w:trHeight w:val="300" w:hRule="atLeast"/>
        </w:trPr>
        <w:tc>
          <w:tcPr>
            <w:tcW w:w="117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一级指标</w:t>
            </w:r>
          </w:p>
        </w:tc>
        <w:tc>
          <w:tcPr>
            <w:tcW w:w="117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分值</w:t>
            </w:r>
          </w:p>
        </w:tc>
        <w:tc>
          <w:tcPr>
            <w:tcW w:w="147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得分</w:t>
            </w:r>
          </w:p>
        </w:tc>
        <w:tc>
          <w:tcPr>
            <w:tcW w:w="117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得分率</w:t>
            </w:r>
          </w:p>
        </w:tc>
      </w:tr>
      <w:tr>
        <w:tblPrEx>
          <w:shd w:val="clear" w:color="auto" w:fill="auto"/>
          <w:tblCellMar>
            <w:top w:w="0" w:type="dxa"/>
            <w:left w:w="0" w:type="dxa"/>
            <w:bottom w:w="0" w:type="dxa"/>
            <w:right w:w="0" w:type="dxa"/>
          </w:tblCellMar>
        </w:tblPrEx>
        <w:trPr>
          <w:trHeight w:val="300" w:hRule="atLeast"/>
        </w:trPr>
        <w:tc>
          <w:tcPr>
            <w:tcW w:w="117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决策</w:t>
            </w:r>
          </w:p>
        </w:tc>
        <w:tc>
          <w:tcPr>
            <w:tcW w:w="20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c>
          <w:tcPr>
            <w:tcW w:w="259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c>
          <w:tcPr>
            <w:tcW w:w="207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cs="宋体"/>
                <w:i w:val="0"/>
                <w:color w:val="000000"/>
                <w:kern w:val="0"/>
                <w:sz w:val="24"/>
                <w:szCs w:val="24"/>
                <w:u w:val="none"/>
                <w:lang w:val="en-US" w:eastAsia="zh-CN" w:bidi="ar"/>
              </w:rPr>
              <w:t>100</w:t>
            </w:r>
            <w:r>
              <w:rPr>
                <w:rFonts w:hint="eastAsia" w:ascii="宋体" w:hAnsi="宋体" w:eastAsia="宋体" w:cs="宋体"/>
                <w:i w:val="0"/>
                <w:color w:val="000000"/>
                <w:kern w:val="0"/>
                <w:sz w:val="24"/>
                <w:szCs w:val="24"/>
                <w:u w:val="none"/>
                <w:lang w:val="en-US" w:eastAsia="zh-CN" w:bidi="ar"/>
              </w:rPr>
              <w:t>%</w:t>
            </w:r>
          </w:p>
        </w:tc>
      </w:tr>
      <w:tr>
        <w:tblPrEx>
          <w:shd w:val="clear" w:color="auto" w:fill="auto"/>
          <w:tblCellMar>
            <w:top w:w="0" w:type="dxa"/>
            <w:left w:w="0" w:type="dxa"/>
            <w:bottom w:w="0" w:type="dxa"/>
            <w:right w:w="0" w:type="dxa"/>
          </w:tblCellMar>
        </w:tblPrEx>
        <w:trPr>
          <w:trHeight w:val="300" w:hRule="atLeast"/>
        </w:trPr>
        <w:tc>
          <w:tcPr>
            <w:tcW w:w="117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过程</w:t>
            </w:r>
          </w:p>
        </w:tc>
        <w:tc>
          <w:tcPr>
            <w:tcW w:w="20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25</w:t>
            </w:r>
          </w:p>
        </w:tc>
        <w:tc>
          <w:tcPr>
            <w:tcW w:w="259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21.78</w:t>
            </w:r>
          </w:p>
        </w:tc>
        <w:tc>
          <w:tcPr>
            <w:tcW w:w="207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cs="宋体"/>
                <w:i w:val="0"/>
                <w:color w:val="000000"/>
                <w:kern w:val="0"/>
                <w:sz w:val="24"/>
                <w:szCs w:val="24"/>
                <w:u w:val="none"/>
                <w:lang w:val="en-US" w:eastAsia="zh-CN" w:bidi="ar"/>
              </w:rPr>
              <w:t>87.12</w:t>
            </w:r>
            <w:r>
              <w:rPr>
                <w:rFonts w:hint="eastAsia" w:ascii="宋体" w:hAnsi="宋体" w:eastAsia="宋体" w:cs="宋体"/>
                <w:i w:val="0"/>
                <w:color w:val="000000"/>
                <w:kern w:val="0"/>
                <w:sz w:val="24"/>
                <w:szCs w:val="24"/>
                <w:u w:val="none"/>
                <w:lang w:val="en-US" w:eastAsia="zh-CN" w:bidi="ar"/>
              </w:rPr>
              <w:t>%</w:t>
            </w:r>
          </w:p>
        </w:tc>
      </w:tr>
      <w:tr>
        <w:tblPrEx>
          <w:shd w:val="clear" w:color="auto" w:fill="auto"/>
          <w:tblCellMar>
            <w:top w:w="0" w:type="dxa"/>
            <w:left w:w="0" w:type="dxa"/>
            <w:bottom w:w="0" w:type="dxa"/>
            <w:right w:w="0" w:type="dxa"/>
          </w:tblCellMar>
        </w:tblPrEx>
        <w:trPr>
          <w:trHeight w:val="300" w:hRule="atLeast"/>
        </w:trPr>
        <w:tc>
          <w:tcPr>
            <w:tcW w:w="117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产出</w:t>
            </w:r>
          </w:p>
        </w:tc>
        <w:tc>
          <w:tcPr>
            <w:tcW w:w="20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35</w:t>
            </w:r>
          </w:p>
        </w:tc>
        <w:tc>
          <w:tcPr>
            <w:tcW w:w="259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35</w:t>
            </w:r>
          </w:p>
        </w:tc>
        <w:tc>
          <w:tcPr>
            <w:tcW w:w="207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cs="宋体"/>
                <w:i w:val="0"/>
                <w:color w:val="000000"/>
                <w:kern w:val="0"/>
                <w:sz w:val="24"/>
                <w:szCs w:val="24"/>
                <w:u w:val="none"/>
                <w:lang w:val="en-US" w:eastAsia="zh-CN" w:bidi="ar"/>
              </w:rPr>
              <w:t>100</w:t>
            </w:r>
            <w:r>
              <w:rPr>
                <w:rFonts w:hint="eastAsia" w:ascii="宋体" w:hAnsi="宋体" w:eastAsia="宋体" w:cs="宋体"/>
                <w:i w:val="0"/>
                <w:color w:val="000000"/>
                <w:kern w:val="0"/>
                <w:sz w:val="24"/>
                <w:szCs w:val="24"/>
                <w:u w:val="none"/>
                <w:lang w:val="en-US" w:eastAsia="zh-CN" w:bidi="ar"/>
              </w:rPr>
              <w:t>%</w:t>
            </w:r>
          </w:p>
        </w:tc>
      </w:tr>
      <w:tr>
        <w:tblPrEx>
          <w:shd w:val="clear" w:color="auto" w:fill="auto"/>
          <w:tblCellMar>
            <w:top w:w="0" w:type="dxa"/>
            <w:left w:w="0" w:type="dxa"/>
            <w:bottom w:w="0" w:type="dxa"/>
            <w:right w:w="0" w:type="dxa"/>
          </w:tblCellMar>
        </w:tblPrEx>
        <w:trPr>
          <w:trHeight w:val="300" w:hRule="atLeast"/>
        </w:trPr>
        <w:tc>
          <w:tcPr>
            <w:tcW w:w="117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效益</w:t>
            </w:r>
          </w:p>
        </w:tc>
        <w:tc>
          <w:tcPr>
            <w:tcW w:w="20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25</w:t>
            </w:r>
          </w:p>
        </w:tc>
        <w:tc>
          <w:tcPr>
            <w:tcW w:w="259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rPr>
            </w:pPr>
            <w:r>
              <w:rPr>
                <w:rFonts w:hint="eastAsia" w:ascii="仿宋" w:hAnsi="仿宋" w:eastAsia="仿宋" w:cs="仿宋"/>
                <w:i w:val="0"/>
                <w:color w:val="000000"/>
                <w:kern w:val="0"/>
                <w:sz w:val="24"/>
                <w:szCs w:val="24"/>
                <w:u w:val="none"/>
                <w:lang w:val="en-US" w:eastAsia="zh-CN" w:bidi="ar"/>
              </w:rPr>
              <w:t>25</w:t>
            </w:r>
          </w:p>
        </w:tc>
        <w:tc>
          <w:tcPr>
            <w:tcW w:w="207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cs="宋体"/>
                <w:i w:val="0"/>
                <w:color w:val="000000"/>
                <w:kern w:val="0"/>
                <w:sz w:val="24"/>
                <w:szCs w:val="24"/>
                <w:u w:val="none"/>
                <w:lang w:val="en-US" w:eastAsia="zh-CN" w:bidi="ar"/>
              </w:rPr>
              <w:t>100.00</w:t>
            </w:r>
            <w:r>
              <w:rPr>
                <w:rFonts w:hint="eastAsia" w:ascii="宋体" w:hAnsi="宋体" w:eastAsia="宋体" w:cs="宋体"/>
                <w:i w:val="0"/>
                <w:color w:val="000000"/>
                <w:kern w:val="0"/>
                <w:sz w:val="24"/>
                <w:szCs w:val="24"/>
                <w:u w:val="none"/>
                <w:lang w:val="en-US" w:eastAsia="zh-CN" w:bidi="ar"/>
              </w:rPr>
              <w:t>%</w:t>
            </w:r>
          </w:p>
        </w:tc>
      </w:tr>
      <w:tr>
        <w:tblPrEx>
          <w:shd w:val="clear" w:color="auto" w:fill="auto"/>
          <w:tblCellMar>
            <w:top w:w="0" w:type="dxa"/>
            <w:left w:w="0" w:type="dxa"/>
            <w:bottom w:w="0" w:type="dxa"/>
            <w:right w:w="0" w:type="dxa"/>
          </w:tblCellMar>
        </w:tblPrEx>
        <w:trPr>
          <w:trHeight w:val="300" w:hRule="atLeast"/>
        </w:trPr>
        <w:tc>
          <w:tcPr>
            <w:tcW w:w="117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合计</w:t>
            </w:r>
          </w:p>
        </w:tc>
        <w:tc>
          <w:tcPr>
            <w:tcW w:w="20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100</w:t>
            </w:r>
          </w:p>
        </w:tc>
        <w:tc>
          <w:tcPr>
            <w:tcW w:w="259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cs="宋体"/>
                <w:i w:val="0"/>
                <w:color w:val="000000"/>
                <w:kern w:val="0"/>
                <w:sz w:val="24"/>
                <w:szCs w:val="24"/>
                <w:u w:val="none"/>
                <w:lang w:val="en-US" w:eastAsia="zh-CN" w:bidi="ar"/>
              </w:rPr>
              <w:t>96.78</w:t>
            </w:r>
          </w:p>
        </w:tc>
        <w:tc>
          <w:tcPr>
            <w:tcW w:w="207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cs="宋体"/>
                <w:i w:val="0"/>
                <w:color w:val="000000"/>
                <w:kern w:val="0"/>
                <w:sz w:val="24"/>
                <w:szCs w:val="24"/>
                <w:u w:val="none"/>
                <w:lang w:val="en-US" w:eastAsia="zh-CN" w:bidi="ar"/>
              </w:rPr>
              <w:t>96.78</w:t>
            </w:r>
            <w:r>
              <w:rPr>
                <w:rFonts w:hint="eastAsia" w:ascii="宋体" w:hAnsi="宋体" w:eastAsia="宋体" w:cs="宋体"/>
                <w:i w:val="0"/>
                <w:color w:val="000000"/>
                <w:kern w:val="0"/>
                <w:sz w:val="24"/>
                <w:szCs w:val="24"/>
                <w:u w:val="none"/>
                <w:lang w:val="en-US" w:eastAsia="zh-CN" w:bidi="ar"/>
              </w:rPr>
              <w:t>%</w:t>
            </w:r>
          </w:p>
        </w:tc>
      </w:tr>
      <w:tr>
        <w:tblPrEx>
          <w:shd w:val="clear" w:color="auto" w:fill="auto"/>
          <w:tblCellMar>
            <w:top w:w="0" w:type="dxa"/>
            <w:left w:w="0" w:type="dxa"/>
            <w:bottom w:w="0" w:type="dxa"/>
            <w:right w:w="0" w:type="dxa"/>
          </w:tblCellMar>
        </w:tblPrEx>
        <w:trPr>
          <w:trHeight w:val="450" w:hRule="atLeast"/>
        </w:trPr>
        <w:tc>
          <w:tcPr>
            <w:tcW w:w="117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绩效评价得分：</w:t>
            </w:r>
          </w:p>
        </w:tc>
        <w:tc>
          <w:tcPr>
            <w:tcW w:w="117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rPr>
            </w:pPr>
            <w:r>
              <w:rPr>
                <w:rFonts w:hint="eastAsia" w:cs="宋体"/>
                <w:i w:val="0"/>
                <w:color w:val="000000"/>
                <w:kern w:val="0"/>
                <w:sz w:val="24"/>
                <w:szCs w:val="24"/>
                <w:u w:val="none"/>
                <w:lang w:val="en-US" w:eastAsia="zh-CN" w:bidi="ar"/>
              </w:rPr>
              <w:t>96.78</w:t>
            </w:r>
          </w:p>
        </w:tc>
        <w:tc>
          <w:tcPr>
            <w:tcW w:w="147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综合评价结果等级：</w:t>
            </w:r>
          </w:p>
        </w:tc>
        <w:tc>
          <w:tcPr>
            <w:tcW w:w="117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优</w:t>
            </w:r>
          </w:p>
        </w:tc>
      </w:tr>
    </w:tbl>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0"/>
        <w:rPr>
          <w:rFonts w:hint="eastAsia" w:ascii="黑体" w:hAnsi="黑体" w:eastAsia="黑体" w:cs="黑体"/>
          <w:b w:val="0"/>
          <w:bCs w:val="0"/>
          <w:color w:val="auto"/>
          <w:kern w:val="0"/>
          <w:sz w:val="32"/>
          <w:szCs w:val="32"/>
          <w:highlight w:val="none"/>
          <w:lang w:val="en-US" w:eastAsia="zh-Hans"/>
        </w:rPr>
      </w:pPr>
      <w:bookmarkStart w:id="13" w:name="_Toc24355"/>
      <w:r>
        <w:rPr>
          <w:rFonts w:hint="eastAsia" w:ascii="黑体" w:hAnsi="黑体" w:eastAsia="黑体" w:cs="黑体"/>
          <w:b w:val="0"/>
          <w:bCs w:val="0"/>
          <w:color w:val="auto"/>
          <w:kern w:val="0"/>
          <w:sz w:val="32"/>
          <w:szCs w:val="32"/>
          <w:highlight w:val="none"/>
          <w:lang w:val="en-US" w:eastAsia="zh-Hans"/>
        </w:rPr>
        <w:t>四、绩效评价分析</w:t>
      </w:r>
      <w:bookmarkEnd w:id="13"/>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楷体" w:hAnsi="楷体" w:eastAsia="楷体" w:cs="楷体"/>
          <w:b/>
          <w:bCs/>
          <w:color w:val="auto"/>
          <w:kern w:val="0"/>
          <w:sz w:val="32"/>
          <w:szCs w:val="32"/>
          <w:highlight w:val="none"/>
          <w:shd w:val="clear" w:color="auto" w:fill="FFFFFF"/>
          <w:lang w:val="en-US" w:eastAsia="zh-CN"/>
        </w:rPr>
      </w:pPr>
      <w:bookmarkStart w:id="14" w:name="_Toc30110"/>
      <w:r>
        <w:rPr>
          <w:rFonts w:hint="eastAsia" w:ascii="楷体" w:hAnsi="楷体" w:eastAsia="楷体" w:cs="楷体"/>
          <w:b/>
          <w:bCs/>
          <w:color w:val="auto"/>
          <w:kern w:val="0"/>
          <w:sz w:val="32"/>
          <w:szCs w:val="32"/>
          <w:highlight w:val="none"/>
          <w:shd w:val="clear" w:color="auto" w:fill="FFFFFF"/>
          <w:lang w:val="en-US" w:eastAsia="zh-CN"/>
        </w:rPr>
        <w:t>（一）投入方面</w:t>
      </w:r>
      <w:bookmarkEnd w:id="14"/>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该指标主要考核部门</w:t>
      </w:r>
      <w:r>
        <w:rPr>
          <w:rFonts w:hint="eastAsia" w:ascii="仿宋" w:hAnsi="仿宋" w:eastAsia="仿宋" w:cs="仿宋"/>
          <w:color w:val="auto"/>
          <w:kern w:val="0"/>
          <w:sz w:val="32"/>
          <w:szCs w:val="32"/>
          <w:highlight w:val="none"/>
          <w:shd w:val="clear" w:color="auto" w:fill="FFFFFF"/>
          <w:lang w:val="en-US" w:eastAsia="zh-Hans"/>
        </w:rPr>
        <w:t>目标设定和预算配置两方面内容</w:t>
      </w:r>
      <w:r>
        <w:rPr>
          <w:rFonts w:hint="eastAsia" w:ascii="仿宋" w:hAnsi="仿宋" w:eastAsia="仿宋" w:cs="仿宋"/>
          <w:color w:val="auto"/>
          <w:kern w:val="0"/>
          <w:sz w:val="32"/>
          <w:szCs w:val="32"/>
          <w:highlight w:val="none"/>
          <w:shd w:val="clear" w:color="auto" w:fill="FFFFFF"/>
          <w:lang w:val="en-US" w:eastAsia="zh-CN"/>
        </w:rPr>
        <w:t>，包括绩效目标合理性、</w:t>
      </w:r>
      <w:r>
        <w:rPr>
          <w:rFonts w:hint="eastAsia" w:ascii="仿宋" w:hAnsi="仿宋" w:eastAsia="仿宋" w:cs="仿宋"/>
          <w:color w:val="auto"/>
          <w:kern w:val="0"/>
          <w:sz w:val="32"/>
          <w:szCs w:val="32"/>
          <w:highlight w:val="none"/>
          <w:shd w:val="clear" w:color="auto" w:fill="FFFFFF"/>
          <w:lang w:val="en-US" w:eastAsia="zh-Hans"/>
        </w:rPr>
        <w:t>绩效指标明确性、在职人员控制率、“</w:t>
      </w:r>
      <w:r>
        <w:rPr>
          <w:rFonts w:hint="eastAsia" w:ascii="仿宋" w:hAnsi="仿宋" w:eastAsia="仿宋" w:cs="仿宋"/>
          <w:color w:val="auto"/>
          <w:kern w:val="0"/>
          <w:sz w:val="32"/>
          <w:szCs w:val="32"/>
          <w:highlight w:val="none"/>
          <w:shd w:val="clear" w:color="auto" w:fill="FFFFFF"/>
          <w:lang w:val="en-US" w:eastAsia="zh-CN"/>
        </w:rPr>
        <w:t>三公经费</w:t>
      </w:r>
      <w:r>
        <w:rPr>
          <w:rFonts w:hint="eastAsia" w:ascii="仿宋" w:hAnsi="仿宋" w:eastAsia="仿宋" w:cs="仿宋"/>
          <w:color w:val="auto"/>
          <w:kern w:val="0"/>
          <w:sz w:val="32"/>
          <w:szCs w:val="32"/>
          <w:highlight w:val="none"/>
          <w:shd w:val="clear" w:color="auto" w:fill="FFFFFF"/>
          <w:lang w:val="en-US" w:eastAsia="zh-Hans"/>
        </w:rPr>
        <w:t>”变动率、重点支出安排率</w:t>
      </w:r>
      <w:r>
        <w:rPr>
          <w:rFonts w:hint="eastAsia" w:ascii="仿宋" w:hAnsi="仿宋" w:eastAsia="仿宋" w:cs="仿宋"/>
          <w:color w:val="auto"/>
          <w:kern w:val="0"/>
          <w:sz w:val="32"/>
          <w:szCs w:val="32"/>
          <w:highlight w:val="none"/>
          <w:shd w:val="clear" w:color="auto" w:fill="FFFFFF"/>
          <w:lang w:val="en-US" w:eastAsia="zh-CN"/>
        </w:rPr>
        <w:t>等5个三级指标，指标权重15分，评价得分15分，得分率为100%。</w:t>
      </w:r>
    </w:p>
    <w:tbl>
      <w:tblPr>
        <w:tblStyle w:val="15"/>
        <w:tblW w:w="497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0" w:type="dxa"/>
          <w:bottom w:w="0" w:type="dxa"/>
          <w:right w:w="0" w:type="dxa"/>
        </w:tblCellMar>
      </w:tblPr>
      <w:tblGrid>
        <w:gridCol w:w="1383"/>
        <w:gridCol w:w="1384"/>
        <w:gridCol w:w="2611"/>
        <w:gridCol w:w="2023"/>
        <w:gridCol w:w="1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520" w:hRule="atLeast"/>
        </w:trPr>
        <w:tc>
          <w:tcPr>
            <w:tcW w:w="787" w:type="pct"/>
            <w:shd w:val="clear" w:color="auto" w:fill="auto"/>
            <w:tcMar>
              <w:top w:w="10" w:type="dxa"/>
              <w:left w:w="10" w:type="dxa"/>
              <w:right w:w="10" w:type="dxa"/>
            </w:tcMar>
            <w:vAlign w:val="center"/>
          </w:tcPr>
          <w:p>
            <w:pPr>
              <w:keepNext w:val="0"/>
              <w:keepLines w:val="0"/>
              <w:widowControl/>
              <w:suppressLineNumbers w:val="0"/>
              <w:jc w:val="center"/>
              <w:textAlignment w:val="center"/>
              <w:rPr>
                <w:rFonts w:ascii="楷体_GB2312" w:hAnsi="宋体" w:eastAsia="楷体_GB2312" w:cs="楷体_GB2312"/>
                <w:b/>
                <w:i w:val="0"/>
                <w:color w:val="000000"/>
                <w:sz w:val="20"/>
                <w:szCs w:val="20"/>
                <w:u w:val="none"/>
              </w:rPr>
            </w:pPr>
            <w:r>
              <w:rPr>
                <w:rFonts w:hint="default" w:ascii="楷体_GB2312" w:hAnsi="宋体" w:eastAsia="楷体_GB2312" w:cs="楷体_GB2312"/>
                <w:b/>
                <w:i w:val="0"/>
                <w:color w:val="000000"/>
                <w:kern w:val="0"/>
                <w:sz w:val="20"/>
                <w:szCs w:val="20"/>
                <w:u w:val="none"/>
                <w:lang w:val="en-US" w:eastAsia="zh-CN" w:bidi="ar"/>
              </w:rPr>
              <w:t>一级指标</w:t>
            </w:r>
          </w:p>
        </w:tc>
        <w:tc>
          <w:tcPr>
            <w:tcW w:w="787" w:type="pct"/>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b/>
                <w:i w:val="0"/>
                <w:color w:val="000000"/>
                <w:sz w:val="20"/>
                <w:szCs w:val="20"/>
                <w:u w:val="none"/>
              </w:rPr>
            </w:pPr>
            <w:r>
              <w:rPr>
                <w:rFonts w:hint="default" w:ascii="楷体_GB2312" w:hAnsi="宋体" w:eastAsia="楷体_GB2312" w:cs="楷体_GB2312"/>
                <w:b/>
                <w:i w:val="0"/>
                <w:color w:val="000000"/>
                <w:kern w:val="0"/>
                <w:sz w:val="20"/>
                <w:szCs w:val="20"/>
                <w:u w:val="none"/>
                <w:lang w:val="en-US" w:eastAsia="zh-CN" w:bidi="ar"/>
              </w:rPr>
              <w:t>二级指标</w:t>
            </w:r>
          </w:p>
        </w:tc>
        <w:tc>
          <w:tcPr>
            <w:tcW w:w="1485" w:type="pct"/>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b/>
                <w:i w:val="0"/>
                <w:color w:val="000000"/>
                <w:sz w:val="20"/>
                <w:szCs w:val="20"/>
                <w:u w:val="none"/>
              </w:rPr>
            </w:pPr>
            <w:r>
              <w:rPr>
                <w:rFonts w:hint="default" w:ascii="楷体_GB2312" w:hAnsi="宋体" w:eastAsia="楷体_GB2312" w:cs="楷体_GB2312"/>
                <w:b/>
                <w:i w:val="0"/>
                <w:color w:val="000000"/>
                <w:kern w:val="0"/>
                <w:sz w:val="20"/>
                <w:szCs w:val="20"/>
                <w:u w:val="none"/>
                <w:lang w:val="en-US" w:eastAsia="zh-CN" w:bidi="ar"/>
              </w:rPr>
              <w:t>三级指标</w:t>
            </w:r>
          </w:p>
        </w:tc>
        <w:tc>
          <w:tcPr>
            <w:tcW w:w="1151" w:type="pct"/>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b/>
                <w:i w:val="0"/>
                <w:color w:val="000000"/>
                <w:sz w:val="20"/>
                <w:szCs w:val="20"/>
                <w:u w:val="none"/>
              </w:rPr>
            </w:pPr>
            <w:r>
              <w:rPr>
                <w:rFonts w:hint="default" w:ascii="楷体_GB2312" w:hAnsi="宋体" w:eastAsia="楷体_GB2312" w:cs="楷体_GB2312"/>
                <w:b/>
                <w:i w:val="0"/>
                <w:color w:val="000000"/>
                <w:kern w:val="0"/>
                <w:sz w:val="20"/>
                <w:szCs w:val="20"/>
                <w:u w:val="none"/>
                <w:lang w:val="en-US" w:eastAsia="zh-CN" w:bidi="ar"/>
              </w:rPr>
              <w:t>指标分值</w:t>
            </w:r>
          </w:p>
        </w:tc>
        <w:tc>
          <w:tcPr>
            <w:tcW w:w="788" w:type="pct"/>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b/>
                <w:i w:val="0"/>
                <w:color w:val="000000"/>
                <w:sz w:val="20"/>
                <w:szCs w:val="20"/>
                <w:u w:val="none"/>
              </w:rPr>
            </w:pPr>
            <w:r>
              <w:rPr>
                <w:rFonts w:hint="default" w:ascii="楷体_GB2312" w:hAnsi="宋体" w:eastAsia="楷体_GB2312" w:cs="楷体_GB2312"/>
                <w:b/>
                <w:i w:val="0"/>
                <w:color w:val="000000"/>
                <w:kern w:val="0"/>
                <w:sz w:val="20"/>
                <w:szCs w:val="20"/>
                <w:u w:val="none"/>
                <w:lang w:val="en-US" w:eastAsia="zh-CN" w:bidi="ar"/>
              </w:rPr>
              <w:t>评价得分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00" w:hRule="atLeast"/>
        </w:trPr>
        <w:tc>
          <w:tcPr>
            <w:tcW w:w="787" w:type="pct"/>
            <w:vMerge w:val="restart"/>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投入</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（15分）</w:t>
            </w:r>
          </w:p>
        </w:tc>
        <w:tc>
          <w:tcPr>
            <w:tcW w:w="787" w:type="pct"/>
            <w:vMerge w:val="restart"/>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目标</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设定</w:t>
            </w:r>
          </w:p>
        </w:tc>
        <w:tc>
          <w:tcPr>
            <w:tcW w:w="1485"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绩效目标合理性</w:t>
            </w:r>
          </w:p>
        </w:tc>
        <w:tc>
          <w:tcPr>
            <w:tcW w:w="1151" w:type="pct"/>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c>
          <w:tcPr>
            <w:tcW w:w="1385" w:type="dxa"/>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00" w:hRule="atLeast"/>
        </w:trPr>
        <w:tc>
          <w:tcPr>
            <w:tcW w:w="787" w:type="pct"/>
            <w:vMerge w:val="continue"/>
            <w:shd w:val="clear" w:color="auto" w:fill="auto"/>
            <w:noWrap/>
            <w:tcMar>
              <w:top w:w="10" w:type="dxa"/>
              <w:left w:w="10" w:type="dxa"/>
              <w:right w:w="10" w:type="dxa"/>
            </w:tcMar>
            <w:vAlign w:val="center"/>
          </w:tcPr>
          <w:p>
            <w:pPr>
              <w:rPr>
                <w:rFonts w:hint="eastAsia" w:ascii="仿宋" w:hAnsi="仿宋" w:eastAsia="仿宋" w:cs="仿宋"/>
                <w:i w:val="0"/>
                <w:color w:val="000000"/>
                <w:sz w:val="24"/>
                <w:szCs w:val="24"/>
                <w:u w:val="none"/>
              </w:rPr>
            </w:pPr>
          </w:p>
        </w:tc>
        <w:tc>
          <w:tcPr>
            <w:tcW w:w="787" w:type="pct"/>
            <w:vMerge w:val="continue"/>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85"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绩效指标明确性</w:t>
            </w:r>
          </w:p>
        </w:tc>
        <w:tc>
          <w:tcPr>
            <w:tcW w:w="1151" w:type="pct"/>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w:t>
            </w:r>
          </w:p>
        </w:tc>
        <w:tc>
          <w:tcPr>
            <w:tcW w:w="1385" w:type="dxa"/>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00" w:hRule="atLeast"/>
        </w:trPr>
        <w:tc>
          <w:tcPr>
            <w:tcW w:w="787" w:type="pct"/>
            <w:vMerge w:val="continue"/>
            <w:shd w:val="clear" w:color="auto" w:fill="auto"/>
            <w:noWrap/>
            <w:tcMar>
              <w:top w:w="10" w:type="dxa"/>
              <w:left w:w="10" w:type="dxa"/>
              <w:right w:w="10" w:type="dxa"/>
            </w:tcMar>
            <w:vAlign w:val="center"/>
          </w:tcPr>
          <w:p>
            <w:pPr>
              <w:rPr>
                <w:rFonts w:hint="eastAsia" w:ascii="仿宋" w:hAnsi="仿宋" w:eastAsia="仿宋" w:cs="仿宋"/>
                <w:i w:val="0"/>
                <w:color w:val="000000"/>
                <w:sz w:val="24"/>
                <w:szCs w:val="24"/>
                <w:u w:val="none"/>
              </w:rPr>
            </w:pPr>
          </w:p>
        </w:tc>
        <w:tc>
          <w:tcPr>
            <w:tcW w:w="787" w:type="pct"/>
            <w:vMerge w:val="restart"/>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预算</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配置</w:t>
            </w:r>
          </w:p>
        </w:tc>
        <w:tc>
          <w:tcPr>
            <w:tcW w:w="1485"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在职人员控制率</w:t>
            </w:r>
          </w:p>
        </w:tc>
        <w:tc>
          <w:tcPr>
            <w:tcW w:w="1151" w:type="pct"/>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1385" w:type="dxa"/>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00" w:hRule="atLeast"/>
        </w:trPr>
        <w:tc>
          <w:tcPr>
            <w:tcW w:w="787" w:type="pct"/>
            <w:vMerge w:val="continue"/>
            <w:shd w:val="clear" w:color="auto" w:fill="auto"/>
            <w:noWrap/>
            <w:tcMar>
              <w:top w:w="10" w:type="dxa"/>
              <w:left w:w="10" w:type="dxa"/>
              <w:right w:w="10" w:type="dxa"/>
            </w:tcMar>
            <w:vAlign w:val="center"/>
          </w:tcPr>
          <w:p>
            <w:pPr>
              <w:rPr>
                <w:rFonts w:hint="eastAsia" w:ascii="仿宋" w:hAnsi="仿宋" w:eastAsia="仿宋" w:cs="仿宋"/>
                <w:i w:val="0"/>
                <w:color w:val="000000"/>
                <w:sz w:val="24"/>
                <w:szCs w:val="24"/>
                <w:u w:val="none"/>
              </w:rPr>
            </w:pPr>
          </w:p>
        </w:tc>
        <w:tc>
          <w:tcPr>
            <w:tcW w:w="787" w:type="pct"/>
            <w:vMerge w:val="continue"/>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85"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“三公经费”变动率</w:t>
            </w:r>
          </w:p>
        </w:tc>
        <w:tc>
          <w:tcPr>
            <w:tcW w:w="1151" w:type="pct"/>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1385" w:type="dxa"/>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00" w:hRule="atLeast"/>
        </w:trPr>
        <w:tc>
          <w:tcPr>
            <w:tcW w:w="787" w:type="pct"/>
            <w:vMerge w:val="continue"/>
            <w:shd w:val="clear" w:color="auto" w:fill="auto"/>
            <w:noWrap/>
            <w:tcMar>
              <w:top w:w="10" w:type="dxa"/>
              <w:left w:w="10" w:type="dxa"/>
              <w:right w:w="10" w:type="dxa"/>
            </w:tcMar>
            <w:vAlign w:val="center"/>
          </w:tcPr>
          <w:p>
            <w:pPr>
              <w:rPr>
                <w:rFonts w:hint="eastAsia" w:ascii="仿宋" w:hAnsi="仿宋" w:eastAsia="仿宋" w:cs="仿宋"/>
                <w:i w:val="0"/>
                <w:color w:val="000000"/>
                <w:sz w:val="24"/>
                <w:szCs w:val="24"/>
                <w:u w:val="none"/>
              </w:rPr>
            </w:pPr>
          </w:p>
        </w:tc>
        <w:tc>
          <w:tcPr>
            <w:tcW w:w="787" w:type="pct"/>
            <w:vMerge w:val="continue"/>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85"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重点支出安排率</w:t>
            </w:r>
          </w:p>
        </w:tc>
        <w:tc>
          <w:tcPr>
            <w:tcW w:w="1151" w:type="pct"/>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w:t>
            </w:r>
          </w:p>
        </w:tc>
        <w:tc>
          <w:tcPr>
            <w:tcW w:w="1385" w:type="dxa"/>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00" w:hRule="atLeast"/>
        </w:trPr>
        <w:tc>
          <w:tcPr>
            <w:tcW w:w="1574" w:type="pct"/>
            <w:gridSpan w:val="2"/>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合计</w:t>
            </w:r>
          </w:p>
        </w:tc>
        <w:tc>
          <w:tcPr>
            <w:tcW w:w="1485"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p>
        </w:tc>
        <w:tc>
          <w:tcPr>
            <w:tcW w:w="1151" w:type="pct"/>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15</w:t>
            </w:r>
          </w:p>
        </w:tc>
        <w:tc>
          <w:tcPr>
            <w:tcW w:w="788" w:type="pct"/>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15</w:t>
            </w:r>
          </w:p>
        </w:tc>
      </w:tr>
    </w:tbl>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1.目标设定</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（1）绩效目标合理性</w:t>
      </w:r>
      <w:r>
        <w:rPr>
          <w:rFonts w:hint="eastAsia" w:ascii="仿宋" w:hAnsi="仿宋" w:eastAsia="仿宋" w:cs="仿宋"/>
          <w:color w:val="auto"/>
          <w:kern w:val="0"/>
          <w:sz w:val="32"/>
          <w:szCs w:val="32"/>
          <w:highlight w:val="none"/>
          <w:shd w:val="clear" w:color="auto" w:fill="FFFFFF"/>
          <w:lang w:val="en-US" w:eastAsia="zh-CN"/>
        </w:rPr>
        <w:t>--3分。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铜川市新区对外经济合作局2021年度部门预算公开内容，新区对外经济合作局根据2021年度部门任务和预算安排编制了部门整体支出绩效目标表，包括年度总体目标和产出、效益、满意度等绩效目标，目标内容设立依据部门职责和年度工作任务等实际工作内容，目标设立依据充分，与年度工作任务相符。部门职责主要负责国内外有关投资者的联系和投资合作，组织多种形式的联络、投资考察招商洽谈活动；负责区内招商网络建设、搜集、整理、编辑招商信息；负责来铜川新区投资客商提供环境考察，信息咨询等服务，协助做好客商投资运作的组织、协调报批、注册和管理等工作；负责全区招商引资政策的制定和落实。部门绩效目标包括举办丝博会和产品交易会、参加各项经济合作活动，招商宣传等方面的内容，绩效目标符合部门“三定”方案确定的职责，符合部门中长期实施规划。绩效目标合理性较好。</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结合部门整体支出绩效评价指标体系内容和评分标准，经综合评价，该项指标得分为3分。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（2）绩效指标明确性</w:t>
      </w:r>
      <w:r>
        <w:rPr>
          <w:rFonts w:hint="eastAsia" w:ascii="仿宋" w:hAnsi="仿宋" w:eastAsia="仿宋" w:cs="仿宋"/>
          <w:color w:val="auto"/>
          <w:kern w:val="0"/>
          <w:sz w:val="32"/>
          <w:szCs w:val="32"/>
          <w:highlight w:val="none"/>
          <w:shd w:val="clear" w:color="auto" w:fill="FFFFFF"/>
          <w:lang w:val="en-US" w:eastAsia="zh-CN"/>
        </w:rPr>
        <w:t>--4分。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2021年部门编制预算时，同步编制了部门整体支出绩效目标表，根据部门年度工作计划，明确年度总体目标，进一步将年度目标进行分解细化为具体的工作任务，并细化为产出、效益和满意度三个维度的绩效指标，明确清晰、可衡量的指标值。年度绩效指标清晰、明确，各项指标内容与年度部门预算资金相匹配。</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结合部门整体支出绩效评价指标体系内容和评分标准，经综合评价，该项指标得分为4分</w:t>
      </w:r>
      <w:r>
        <w:rPr>
          <w:rFonts w:hint="eastAsia" w:ascii="仿宋" w:hAnsi="仿宋" w:eastAsia="仿宋" w:cs="仿宋"/>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2.预算配置</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1</w:t>
      </w:r>
      <w:r>
        <w:rPr>
          <w:rFonts w:hint="eastAsia" w:ascii="仿宋" w:hAnsi="仿宋" w:eastAsia="仿宋" w:cs="仿宋"/>
          <w:color w:val="auto"/>
          <w:kern w:val="0"/>
          <w:sz w:val="32"/>
          <w:szCs w:val="32"/>
          <w:highlight w:val="none"/>
          <w:shd w:val="clear" w:color="auto" w:fill="FFFFFF"/>
          <w:lang w:val="en-US" w:eastAsia="zh-Hans"/>
        </w:rPr>
        <w:t>）在职人员控制率</w:t>
      </w:r>
      <w:r>
        <w:rPr>
          <w:rFonts w:hint="eastAsia" w:ascii="仿宋" w:hAnsi="仿宋" w:eastAsia="仿宋" w:cs="仿宋"/>
          <w:color w:val="auto"/>
          <w:kern w:val="0"/>
          <w:sz w:val="32"/>
          <w:szCs w:val="32"/>
          <w:highlight w:val="none"/>
          <w:shd w:val="clear" w:color="auto" w:fill="FFFFFF"/>
          <w:lang w:val="en-US" w:eastAsia="zh-CN"/>
        </w:rPr>
        <w:t>--2分。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新区对外经济投资合作局2021年度部门整体支出绩效自评报告和预算文件内容，部门内设综合办公室、招商科和项目科，部门人员编制4名，结合铜川市新区对外经济投资合作局单位人员工资明细和汇总表，部门实际在职人员4人。</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在职人员控制率为100%。结合部门整体支出绩效评价指标体系内容和评分标准，经综合评价，该项指标得分为2分。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（2）“三公经费”变动率--2分。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新区对外经济投资合作局2021年度部门预算公开内容和新区招商局2020年度部门预算公开内容。铜川市新区招商局成立于2004年4月9日，于2021年4月2日更名为铜川市新区对外经济投资合作局。2021年本部门当年一般公共预算“三公”经费预算支出4.5万元，相比于2020年5.5万元的“三公经费”预算减少1万。部门严格贯彻落实中央八项规定及其实施细则精神，部门对行政成本的控制程度良好。</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结合部门整体支出绩效评价指标体系内容和评分标准，经综合评价，该项指标得分为2分。</w:t>
      </w:r>
      <w:bookmarkStart w:id="15" w:name="_Toc373329643_WPSOffice_Level2"/>
      <w:bookmarkStart w:id="16" w:name="_Toc1682881084_WPSOffice_Level2"/>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（3）重点支出安排率--4分。</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default" w:ascii="仿宋" w:hAnsi="仿宋" w:eastAsia="仿宋" w:cs="仿宋"/>
          <w:color w:val="auto"/>
          <w:kern w:val="0"/>
          <w:sz w:val="32"/>
          <w:szCs w:val="32"/>
          <w:highlight w:val="none"/>
          <w:shd w:val="clear" w:color="auto" w:fill="FFFFFF"/>
          <w:lang w:val="en-US" w:eastAsia="zh-CN" w:bidi="ar-SA"/>
        </w:rPr>
      </w:pPr>
      <w:r>
        <w:rPr>
          <w:rFonts w:hint="default" w:ascii="仿宋" w:hAnsi="仿宋" w:eastAsia="仿宋" w:cs="仿宋"/>
          <w:color w:val="auto"/>
          <w:kern w:val="0"/>
          <w:sz w:val="32"/>
          <w:szCs w:val="32"/>
          <w:highlight w:val="none"/>
          <w:shd w:val="clear" w:color="auto" w:fill="FFFFFF"/>
          <w:lang w:val="en-US" w:eastAsia="zh-CN" w:bidi="ar-SA"/>
        </w:rPr>
        <w:t>根据2021年度新区对外经济投资合作局部门预算公开内容，年初部门年度预算安排资金97.12万元，其中基本支出47.12万元，项目支出50万元。项目支出主要为招商引资专项经费，包括招商引资宣传、举办第五届丝博会、参加陕西-长三角地区经济合作活动、参加陕粤港澳经济合作活动、参加杨凌农高会、中国国际进口博览会和中国国际投资贸易洽谈会等相关费用。项目支出预算安排相关费用皆与部门履职和年度工作计划密切相关，有助于推动铜川市经济和社会发展，具有明显的社会和经济影响，受到社会公众广泛关注。因此部门年度重点项目支出安排率为100%。</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default" w:ascii="仿宋" w:hAnsi="仿宋" w:eastAsia="仿宋" w:cs="仿宋"/>
          <w:color w:val="auto"/>
          <w:kern w:val="0"/>
          <w:sz w:val="32"/>
          <w:szCs w:val="32"/>
          <w:highlight w:val="none"/>
          <w:shd w:val="clear" w:color="auto" w:fill="FFFFFF"/>
          <w:lang w:val="en-US" w:eastAsia="zh-CN" w:bidi="ar-SA"/>
        </w:rPr>
      </w:pPr>
      <w:r>
        <w:rPr>
          <w:rFonts w:hint="default" w:ascii="仿宋" w:hAnsi="仿宋" w:eastAsia="仿宋" w:cs="仿宋"/>
          <w:color w:val="auto"/>
          <w:kern w:val="0"/>
          <w:sz w:val="32"/>
          <w:szCs w:val="32"/>
          <w:highlight w:val="none"/>
          <w:shd w:val="clear" w:color="auto" w:fill="FFFFFF"/>
          <w:lang w:val="en-US" w:eastAsia="zh-CN" w:bidi="ar-SA"/>
        </w:rPr>
        <w:t>结合部门整体支出绩效评价指标体系内容和评分标准，经综合评价，该项指标得分为4分</w:t>
      </w:r>
      <w:r>
        <w:rPr>
          <w:rFonts w:hint="eastAsia" w:ascii="仿宋" w:hAnsi="仿宋" w:eastAsia="仿宋" w:cs="仿宋"/>
          <w:color w:val="auto"/>
          <w:kern w:val="0"/>
          <w:sz w:val="32"/>
          <w:szCs w:val="32"/>
          <w:highlight w:val="none"/>
          <w:shd w:val="clear" w:color="auto" w:fill="FFFFFF"/>
          <w:lang w:val="en-US" w:eastAsia="zh-CN" w:bidi="ar-SA"/>
        </w:rPr>
        <w:t>。</w:t>
      </w:r>
    </w:p>
    <w:bookmarkEnd w:id="15"/>
    <w:bookmarkEnd w:id="16"/>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仿宋" w:hAnsi="仿宋" w:eastAsia="仿宋" w:cs="仿宋"/>
          <w:color w:val="auto"/>
          <w:kern w:val="0"/>
          <w:sz w:val="32"/>
          <w:szCs w:val="32"/>
          <w:highlight w:val="none"/>
          <w:shd w:val="clear" w:color="auto" w:fill="FFFFFF"/>
          <w:lang w:val="en-US" w:eastAsia="zh-CN"/>
        </w:rPr>
      </w:pPr>
      <w:bookmarkStart w:id="17" w:name="_Toc22772"/>
      <w:r>
        <w:rPr>
          <w:rFonts w:hint="eastAsia" w:ascii="楷体" w:hAnsi="楷体" w:eastAsia="楷体" w:cs="楷体"/>
          <w:b/>
          <w:bCs/>
          <w:color w:val="auto"/>
          <w:kern w:val="0"/>
          <w:sz w:val="32"/>
          <w:szCs w:val="32"/>
          <w:highlight w:val="none"/>
          <w:shd w:val="clear" w:color="auto" w:fill="FFFFFF"/>
          <w:lang w:val="en-US" w:eastAsia="zh-CN"/>
        </w:rPr>
        <w:t>（二）过程管理</w:t>
      </w:r>
      <w:bookmarkEnd w:id="17"/>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该指标主要考核部门</w:t>
      </w:r>
      <w:r>
        <w:rPr>
          <w:rFonts w:hint="eastAsia" w:ascii="仿宋" w:hAnsi="仿宋" w:eastAsia="仿宋" w:cs="仿宋"/>
          <w:color w:val="auto"/>
          <w:kern w:val="0"/>
          <w:sz w:val="32"/>
          <w:szCs w:val="32"/>
          <w:highlight w:val="none"/>
          <w:shd w:val="clear" w:color="auto" w:fill="FFFFFF"/>
          <w:lang w:val="en-US" w:eastAsia="zh-Hans"/>
        </w:rPr>
        <w:t>预算执行、预算管理和资产管理三方面内容</w:t>
      </w:r>
      <w:r>
        <w:rPr>
          <w:rFonts w:hint="eastAsia" w:ascii="仿宋" w:hAnsi="仿宋" w:eastAsia="仿宋" w:cs="仿宋"/>
          <w:color w:val="auto"/>
          <w:kern w:val="0"/>
          <w:sz w:val="32"/>
          <w:szCs w:val="32"/>
          <w:highlight w:val="none"/>
          <w:shd w:val="clear" w:color="auto" w:fill="FFFFFF"/>
          <w:lang w:val="en-US" w:eastAsia="zh-CN"/>
        </w:rPr>
        <w:t>，包括预算完成率、预算调整率、支付进度率、结转结余率、结转结余变动率、公用经费控制率、“三公经费”控制率、政府采购执行率、管理制度健全性、资金使用合规性、预决算信息公开性、运行监控和自评有效性、基础信息完善性、管理制度健全性、资产管理安全性、固定资产利用率等16个三级指标，指标权重25分，评价得分21.78分，得分率为87.12%。</w:t>
      </w:r>
    </w:p>
    <w:tbl>
      <w:tblPr>
        <w:tblStyle w:val="15"/>
        <w:tblW w:w="4975" w:type="pct"/>
        <w:tblInd w:w="0" w:type="dxa"/>
        <w:shd w:val="clear" w:color="auto" w:fill="auto"/>
        <w:tblLayout w:type="autofit"/>
        <w:tblCellMar>
          <w:top w:w="0" w:type="dxa"/>
          <w:left w:w="0" w:type="dxa"/>
          <w:bottom w:w="0" w:type="dxa"/>
          <w:right w:w="0" w:type="dxa"/>
        </w:tblCellMar>
      </w:tblPr>
      <w:tblGrid>
        <w:gridCol w:w="1383"/>
        <w:gridCol w:w="1384"/>
        <w:gridCol w:w="2611"/>
        <w:gridCol w:w="2023"/>
        <w:gridCol w:w="1385"/>
      </w:tblGrid>
      <w:tr>
        <w:tblPrEx>
          <w:tblCellMar>
            <w:top w:w="0" w:type="dxa"/>
            <w:left w:w="0" w:type="dxa"/>
            <w:bottom w:w="0" w:type="dxa"/>
            <w:right w:w="0" w:type="dxa"/>
          </w:tblCellMar>
        </w:tblPrEx>
        <w:trPr>
          <w:trHeight w:val="520" w:hRule="atLeast"/>
        </w:trPr>
        <w:tc>
          <w:tcPr>
            <w:tcW w:w="78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b/>
                <w:i w:val="0"/>
                <w:color w:val="000000"/>
                <w:kern w:val="0"/>
                <w:sz w:val="24"/>
                <w:szCs w:val="24"/>
                <w:u w:val="none"/>
                <w:lang w:val="en-US" w:eastAsia="zh-CN" w:bidi="ar"/>
              </w:rPr>
            </w:pPr>
            <w:r>
              <w:rPr>
                <w:rFonts w:hint="eastAsia" w:ascii="仿宋" w:hAnsi="仿宋" w:eastAsia="仿宋" w:cs="仿宋"/>
                <w:b/>
                <w:i w:val="0"/>
                <w:color w:val="000000"/>
                <w:kern w:val="0"/>
                <w:sz w:val="24"/>
                <w:szCs w:val="24"/>
                <w:u w:val="none"/>
                <w:lang w:val="en-US" w:eastAsia="zh-CN" w:bidi="ar"/>
              </w:rPr>
              <w:t>一级</w:t>
            </w:r>
          </w:p>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指标</w:t>
            </w:r>
          </w:p>
        </w:tc>
        <w:tc>
          <w:tcPr>
            <w:tcW w:w="78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b/>
                <w:i w:val="0"/>
                <w:color w:val="000000"/>
                <w:kern w:val="0"/>
                <w:sz w:val="24"/>
                <w:szCs w:val="24"/>
                <w:u w:val="none"/>
                <w:lang w:val="en-US" w:eastAsia="zh-CN" w:bidi="ar"/>
              </w:rPr>
            </w:pPr>
            <w:r>
              <w:rPr>
                <w:rFonts w:hint="eastAsia" w:ascii="仿宋" w:hAnsi="仿宋" w:eastAsia="仿宋" w:cs="仿宋"/>
                <w:b/>
                <w:i w:val="0"/>
                <w:color w:val="000000"/>
                <w:kern w:val="0"/>
                <w:sz w:val="24"/>
                <w:szCs w:val="24"/>
                <w:u w:val="none"/>
                <w:lang w:val="en-US" w:eastAsia="zh-CN" w:bidi="ar"/>
              </w:rPr>
              <w:t>二级</w:t>
            </w:r>
          </w:p>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指标</w:t>
            </w: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三级指标</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指标分值</w:t>
            </w:r>
          </w:p>
        </w:tc>
        <w:tc>
          <w:tcPr>
            <w:tcW w:w="78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评价得分</w:t>
            </w:r>
          </w:p>
        </w:tc>
      </w:tr>
      <w:tr>
        <w:tblPrEx>
          <w:shd w:val="clear" w:color="auto" w:fill="auto"/>
          <w:tblCellMar>
            <w:top w:w="0" w:type="dxa"/>
            <w:left w:w="0" w:type="dxa"/>
            <w:bottom w:w="0" w:type="dxa"/>
            <w:right w:w="0" w:type="dxa"/>
          </w:tblCellMar>
        </w:tblPrEx>
        <w:trPr>
          <w:trHeight w:val="300" w:hRule="atLeast"/>
        </w:trPr>
        <w:tc>
          <w:tcPr>
            <w:tcW w:w="787" w:type="pct"/>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过程</w:t>
            </w:r>
          </w:p>
        </w:tc>
        <w:tc>
          <w:tcPr>
            <w:tcW w:w="787"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预算</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执行</w:t>
            </w: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预算完成率</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1.5</w:t>
            </w:r>
          </w:p>
        </w:tc>
      </w:tr>
      <w:tr>
        <w:tblPrEx>
          <w:shd w:val="clear" w:color="auto" w:fill="auto"/>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预算调整率</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0.25</w:t>
            </w:r>
          </w:p>
        </w:tc>
      </w:tr>
      <w:tr>
        <w:tblPrEx>
          <w:shd w:val="clear" w:color="auto" w:fill="auto"/>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支付进度率</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1.15</w:t>
            </w:r>
          </w:p>
        </w:tc>
      </w:tr>
      <w:tr>
        <w:tblPrEx>
          <w:shd w:val="clear" w:color="auto" w:fill="auto"/>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预算执行</w:t>
            </w: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结转结余率</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r>
      <w:tr>
        <w:tblPrEx>
          <w:shd w:val="clear" w:color="auto" w:fill="auto"/>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结转结余变动率</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r>
      <w:tr>
        <w:tblPrEx>
          <w:shd w:val="clear" w:color="auto" w:fill="auto"/>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公用经费控制率</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shd w:val="clear" w:color="auto" w:fill="auto"/>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“三公经费”控制率</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1.5</w:t>
            </w:r>
          </w:p>
        </w:tc>
      </w:tr>
      <w:tr>
        <w:tblPrEx>
          <w:shd w:val="clear" w:color="auto" w:fill="auto"/>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政府采购执行率</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1.38</w:t>
            </w:r>
          </w:p>
        </w:tc>
      </w:tr>
      <w:tr>
        <w:tblPrEx>
          <w:shd w:val="clear" w:color="auto" w:fill="auto"/>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预算</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管理</w:t>
            </w: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管理制度健全性</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资金使用合规性</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2.5</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2.5</w:t>
            </w:r>
          </w:p>
        </w:tc>
      </w:tr>
      <w:tr>
        <w:tblPrEx>
          <w:shd w:val="clear" w:color="auto" w:fill="auto"/>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预决算信息公开性</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0.6</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0.6</w:t>
            </w:r>
          </w:p>
        </w:tc>
      </w:tr>
      <w:tr>
        <w:tblPrEx>
          <w:shd w:val="clear" w:color="auto" w:fill="auto"/>
          <w:tblCellMar>
            <w:top w:w="0" w:type="dxa"/>
            <w:left w:w="0" w:type="dxa"/>
            <w:bottom w:w="0" w:type="dxa"/>
            <w:right w:w="0" w:type="dxa"/>
          </w:tblCellMar>
        </w:tblPrEx>
        <w:trPr>
          <w:trHeight w:val="12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运行监控和自评有效性</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r>
      <w:tr>
        <w:tblPrEx>
          <w:shd w:val="clear" w:color="auto" w:fill="auto"/>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基础信息完善性</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0.9</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0.9</w:t>
            </w:r>
          </w:p>
        </w:tc>
      </w:tr>
      <w:tr>
        <w:tblPrEx>
          <w:shd w:val="clear" w:color="auto" w:fill="auto"/>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资产</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管理</w:t>
            </w: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管理制度健全性</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1.5</w:t>
            </w:r>
          </w:p>
        </w:tc>
      </w:tr>
      <w:tr>
        <w:tblPrEx>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资产管理安全性</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1.5</w:t>
            </w:r>
          </w:p>
        </w:tc>
      </w:tr>
      <w:tr>
        <w:tblPrEx>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固定资产利用率</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r>
      <w:tr>
        <w:tblPrEx>
          <w:tblCellMar>
            <w:top w:w="0" w:type="dxa"/>
            <w:left w:w="0" w:type="dxa"/>
            <w:bottom w:w="0" w:type="dxa"/>
            <w:right w:w="0" w:type="dxa"/>
          </w:tblCellMar>
        </w:tblPrEx>
        <w:trPr>
          <w:trHeight w:val="300" w:hRule="atLeast"/>
        </w:trPr>
        <w:tc>
          <w:tcPr>
            <w:tcW w:w="1574"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合计</w:t>
            </w: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25</w:t>
            </w:r>
          </w:p>
        </w:tc>
        <w:tc>
          <w:tcPr>
            <w:tcW w:w="78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21.78</w:t>
            </w:r>
          </w:p>
        </w:tc>
      </w:tr>
    </w:tbl>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1.预算执行</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（1）预算完成率</w:t>
      </w:r>
      <w:r>
        <w:rPr>
          <w:rFonts w:hint="eastAsia" w:ascii="仿宋" w:hAnsi="仿宋" w:eastAsia="仿宋" w:cs="仿宋"/>
          <w:color w:val="auto"/>
          <w:kern w:val="0"/>
          <w:sz w:val="32"/>
          <w:szCs w:val="32"/>
          <w:highlight w:val="none"/>
          <w:shd w:val="clear" w:color="auto" w:fill="FFFFFF"/>
          <w:lang w:val="en-US" w:eastAsia="zh-CN"/>
        </w:rPr>
        <w:t>--1.5分。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根据新区对外经济投资合作局2021年度部门综合预算和决算文件内容，2021年度部门决算完成数为530.15万元，年度决算调整预算数为543.89万元。预算完成率为97.47%。</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结合部门整体支出绩效评价指标体系内容和评分标准，经综合评价，该项指标得分为1.5分。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w:t>
      </w:r>
      <w:r>
        <w:rPr>
          <w:rFonts w:hint="default" w:ascii="仿宋" w:hAnsi="仿宋" w:eastAsia="仿宋" w:cs="仿宋"/>
          <w:color w:val="auto"/>
          <w:kern w:val="0"/>
          <w:sz w:val="32"/>
          <w:szCs w:val="32"/>
          <w:highlight w:val="none"/>
          <w:shd w:val="clear" w:color="auto" w:fill="FFFFFF"/>
          <w:lang w:eastAsia="zh-Hans"/>
        </w:rPr>
        <w:t>2</w:t>
      </w: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预算调整率--1分。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根据新区对外经济投资合作局2021年度部门综合预算和决算文件内容，年度决算调整预算数为543.89万元。年初预算数为138.29万元，预算调整数为405.6万元，预算调整率为74.57%。</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结合部门整体支出绩效评价指标体系内容和评分标准，经综合评价，该项指标得分为0.25分。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（3）支付进度率--1分</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default" w:ascii="仿宋" w:hAnsi="仿宋" w:eastAsia="仿宋" w:cs="仿宋"/>
          <w:color w:val="auto"/>
          <w:kern w:val="0"/>
          <w:sz w:val="32"/>
          <w:szCs w:val="32"/>
          <w:highlight w:val="none"/>
          <w:shd w:val="clear" w:color="auto" w:fill="FFFFFF"/>
          <w:lang w:val="en-US" w:eastAsia="zh-CN" w:bidi="ar-SA"/>
        </w:rPr>
      </w:pPr>
      <w:r>
        <w:rPr>
          <w:rFonts w:hint="default" w:ascii="仿宋" w:hAnsi="仿宋" w:eastAsia="仿宋" w:cs="仿宋"/>
          <w:color w:val="auto"/>
          <w:kern w:val="0"/>
          <w:sz w:val="32"/>
          <w:szCs w:val="32"/>
          <w:highlight w:val="none"/>
          <w:shd w:val="clear" w:color="auto" w:fill="FFFFFF"/>
          <w:lang w:val="en-US" w:eastAsia="zh-CN" w:bidi="ar-SA"/>
        </w:rPr>
        <w:t>根据新区对外经济投资合作局公共财政支出台账、2021年收入支出决算统计表等部门相关资料内容。部门2021年支出决算完成数为7669.63万元，2021年3月底，部门公共财政支出完成9.46万元，序时支出进度为132.54万元，支付进度率为7.13%。以3月为时点，支付进度率得分为0.12分。2021年6月底，公共财政支出完成417.18万元，序时支出进度为265.07万元，支付进度率为157.38%。以6月为时点，支付进度率得分为1.5分。2021年9月底，公共财政支出完成467.64万元，序时支出进度为397.61万元，支付进度率为117.61%。以9月为时点，支付进度率得分为1.5分。2021年11月底，公共财政支出完成520.38万元，序时支出进度为485.97万元，支付进度率为107.01%。以11月为时点，支付进度率得分为1.5分。</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default" w:ascii="仿宋" w:hAnsi="仿宋" w:eastAsia="仿宋" w:cs="仿宋"/>
          <w:color w:val="auto"/>
          <w:kern w:val="0"/>
          <w:sz w:val="32"/>
          <w:szCs w:val="32"/>
          <w:highlight w:val="none"/>
          <w:shd w:val="clear" w:color="auto" w:fill="FFFFFF"/>
          <w:lang w:val="en-US" w:eastAsia="zh-CN" w:bidi="ar-SA"/>
        </w:rPr>
      </w:pPr>
      <w:r>
        <w:rPr>
          <w:rFonts w:hint="default" w:ascii="仿宋" w:hAnsi="仿宋" w:eastAsia="仿宋" w:cs="仿宋"/>
          <w:color w:val="auto"/>
          <w:kern w:val="0"/>
          <w:sz w:val="32"/>
          <w:szCs w:val="32"/>
          <w:highlight w:val="none"/>
          <w:shd w:val="clear" w:color="auto" w:fill="FFFFFF"/>
          <w:lang w:val="en-US" w:eastAsia="zh-CN" w:bidi="ar-SA"/>
        </w:rPr>
        <w:t>结合部门整体支出绩效评价指标体系内容和评分标准，经综合评价，该项指标得分为1.15分。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（4）结转结余率--1分。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根据新区对外经济投资合作局2021年度部门综合预算和决算文件内容，2021年度部门决算收入数为543.89万元，结转结余总额为13.74万元。结转结余率为2.52%。小于5%。</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结合部门整体支出绩效评价指标体系内容和评分标准，经综合评价，该项指标得分为1分。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5</w:t>
      </w: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结转结余变动率--1分。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根据新区对外经济投资合作局2021年度部门综合预算和决算文件内容，2021年度部门决算结转结余总额为13.74万元，2020年度部门结转结余资金总额为41.17万元。结转结余有效控制。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结合部门整体支出绩效评价指标体系内容和评分标准，经综合评价，该项指标得分为1分</w:t>
      </w:r>
      <w:r>
        <w:rPr>
          <w:rFonts w:hint="eastAsia" w:ascii="仿宋" w:hAnsi="仿宋" w:eastAsia="仿宋" w:cs="仿宋"/>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（6）公用经费控制率--1分。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根据新区对外经济投资合作局2021年度部门整体绩效自评、部门预决算资料和2021年工作总结等相关资料，2021年公用经费决算支出8万元，年初公用经费预算安排5万元。公用经费控制率大于100%。</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结合部门整体支出绩效评价指标体系内容和评分标准，经综合评价，该项指标得分为0分。</w:t>
      </w:r>
    </w:p>
    <w:p>
      <w:pPr>
        <w:pStyle w:val="2"/>
        <w:numPr>
          <w:ilvl w:val="0"/>
          <w:numId w:val="0"/>
        </w:numPr>
        <w:ind w:firstLine="640" w:firstLineChars="200"/>
        <w:rPr>
          <w:rFonts w:hint="default"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（7）“三公经费”控制率--1.5分。</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根据部门2021年度整体支出绩效自评报告和决算资料等内容，2021年度“三公经费”预算安排4.5万元，年度“三公经费”实际支出2.91万元，“三公经费”控制率为64.67%。</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结合部门整体支出绩效评价指标体系内容和评分标准，经综合评价，该项指标得分为1.5分。</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（8）政府采购执行率--1.5分。</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根据铜川市新区对外经济投资合作局2021年6月17日制定的采购清单内容，计划采购2台台式电脑，采购预算1万元，结合铜川市瑞丰科技有限公司与新区对外经济投资合作局签订的采购合同内容，2台一体机合计支出9300元。两台电脑经部门验收确认合格。政府采购执行率为93%。</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default"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结合部门整体支出绩效评价指标体系内容和评分标准，经综合评价，该项指标得分为1.38分。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2.预算管理</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（1）管理制度健全性</w:t>
      </w:r>
      <w:r>
        <w:rPr>
          <w:rFonts w:hint="eastAsia" w:ascii="仿宋" w:hAnsi="仿宋" w:eastAsia="仿宋" w:cs="仿宋"/>
          <w:color w:val="auto"/>
          <w:kern w:val="0"/>
          <w:sz w:val="32"/>
          <w:szCs w:val="32"/>
          <w:highlight w:val="none"/>
          <w:shd w:val="clear" w:color="auto" w:fill="FFFFFF"/>
          <w:lang w:val="en-US" w:eastAsia="zh-CN"/>
        </w:rPr>
        <w:t>--3分。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部门所提供相关资料内容和现场座谈内容，新区对外经济投资合作局制定了财务管理制度，包括联签会审制度、经费开支报销规定、固定资产管理、政府采购管理等管理制度，财务管理制度对预算绩效管理、会计核算等相关方面的制度尚有不足，财务制度的完整性有待完善。扣1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结合部门整体支出绩效评价指标体系内容和评分标准，经综合评价，该项指标得分为2分。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（2）</w:t>
      </w:r>
      <w:r>
        <w:rPr>
          <w:rFonts w:hint="eastAsia" w:ascii="仿宋" w:hAnsi="仿宋" w:eastAsia="仿宋" w:cs="仿宋"/>
          <w:color w:val="auto"/>
          <w:kern w:val="0"/>
          <w:sz w:val="32"/>
          <w:szCs w:val="32"/>
          <w:highlight w:val="none"/>
          <w:shd w:val="clear" w:color="auto" w:fill="FFFFFF"/>
          <w:lang w:val="en-US" w:eastAsia="zh-Hans"/>
        </w:rPr>
        <w:t>资金使用合规性</w:t>
      </w:r>
      <w:r>
        <w:rPr>
          <w:rFonts w:hint="eastAsia" w:ascii="仿宋" w:hAnsi="仿宋" w:eastAsia="仿宋" w:cs="仿宋"/>
          <w:color w:val="auto"/>
          <w:kern w:val="0"/>
          <w:sz w:val="32"/>
          <w:szCs w:val="32"/>
          <w:highlight w:val="none"/>
          <w:shd w:val="clear" w:color="auto" w:fill="FFFFFF"/>
          <w:lang w:val="en-US" w:eastAsia="zh-CN"/>
        </w:rPr>
        <w:t>--2.5分。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部门所提供2021年各项费用支付明细表，支付明细表详细列明支付凭证号、指标文号、结算金额、收款人信息、资金性质、资金支出功能科目等相关信息，各项费用支出在年初预算批复用途，资金拨付有完整的审批程序和手续，年度不存在项目重大开支，不存在截留、挤占、挪用、虚列支出等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结合部门整体支出绩效评价指标体系内容和评分标准，经综合评价，该项指标得分为2.5分。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（3）预决算信息公开性--0.6分</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部门按照财政部门相关要求，2021年3月15日完成部门2021年度综合预算公开，公开内容包括预算编制文件、年度工作任务计划、各项费用情况说明和部门整体绩效目标表、项目支出绩效目标表。2021年部门综合预算公开内容符合相关规定，按规定完成预算公开。2021年部门决算按规定完成编制，根据财政要求，在规定时间公开。</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结合部门整体支出绩效评价指标体系内容和评分标准，经综合评价，该项指标得分为0.6分。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（4）运行监控和自评有效性--3分。</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新区对外经济投资合作局按照财政部门相关要求，在年中7月份开展了部门项目绩效运行监控。在2022年5月份根据2021年预算执行情况和绩效目标完成情况开展了部门绩效自评工作，并形成了2021年整体支出绩效评价报告，详细论述各项经济指标完成情况和重点工作完成情况。并对预算执行中存在的问题深入分析，进一步提出改进措施。</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default"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结合部门整体支出绩效评价指标体系内容和评分标准，经综合评价，该项指标得分为3分。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（5）基础信息完善</w:t>
      </w:r>
      <w:r>
        <w:rPr>
          <w:rFonts w:hint="eastAsia" w:ascii="仿宋" w:hAnsi="仿宋" w:eastAsia="仿宋" w:cs="仿宋"/>
          <w:color w:val="auto"/>
          <w:kern w:val="0"/>
          <w:sz w:val="32"/>
          <w:szCs w:val="32"/>
          <w:highlight w:val="none"/>
          <w:shd w:val="clear" w:color="auto" w:fill="FFFFFF"/>
          <w:lang w:val="en-US" w:eastAsia="zh-Hans"/>
        </w:rPr>
        <w:t>性</w:t>
      </w:r>
      <w:r>
        <w:rPr>
          <w:rFonts w:hint="eastAsia" w:ascii="仿宋" w:hAnsi="仿宋" w:eastAsia="仿宋" w:cs="仿宋"/>
          <w:color w:val="auto"/>
          <w:kern w:val="0"/>
          <w:sz w:val="32"/>
          <w:szCs w:val="32"/>
          <w:highlight w:val="none"/>
          <w:shd w:val="clear" w:color="auto" w:fill="FFFFFF"/>
          <w:lang w:val="en-US" w:eastAsia="zh-CN"/>
        </w:rPr>
        <w:t>--0.9分。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部门所提供相关资料内容和现场座谈，部门通过财政云系统实现预算数字管理，各项费用支出和相关会计信息上传财政云系统，有效保障会计信息的完整。部门根据年度工作内容和项目实施情况，做好相关资料归档、整理，形成了完整、真实的基础数据。基础数据信息和会计信息的真实、完整有效地支撑了部门预算管理工作的开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lang w:val="en-US" w:eastAsia="zh-Hans"/>
        </w:rPr>
      </w:pPr>
      <w:r>
        <w:rPr>
          <w:rFonts w:hint="eastAsia" w:ascii="仿宋" w:hAnsi="仿宋" w:eastAsia="仿宋" w:cs="仿宋"/>
          <w:color w:val="auto"/>
          <w:kern w:val="0"/>
          <w:sz w:val="32"/>
          <w:szCs w:val="32"/>
          <w:highlight w:val="none"/>
          <w:shd w:val="clear" w:color="auto" w:fill="FFFFFF"/>
          <w:lang w:val="en-US" w:eastAsia="zh-CN"/>
        </w:rPr>
        <w:t>结合部门整体支出绩效评价指标体系内容和评分标准，经综合评价，该项指标得分为0.9分。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3.资产管理</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（1）管理制度健全性</w:t>
      </w:r>
      <w:r>
        <w:rPr>
          <w:rFonts w:hint="eastAsia" w:ascii="仿宋" w:hAnsi="仿宋" w:eastAsia="仿宋" w:cs="仿宋"/>
          <w:color w:val="auto"/>
          <w:kern w:val="0"/>
          <w:sz w:val="32"/>
          <w:szCs w:val="32"/>
          <w:highlight w:val="none"/>
          <w:shd w:val="clear" w:color="auto" w:fill="FFFFFF"/>
          <w:lang w:val="en-US" w:eastAsia="zh-CN"/>
        </w:rPr>
        <w:t>--1.5分。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部门所提供相关资料内容，部门在财务管理制度中对固定资产的管理做了明确规定，建立了固定资产明细账，由专人管理，定期清查盘点，对资产的使用、购置和报废处置做出明确要求。资产管理制度合法合规、完整。相关资产管理制度得到有效执行。</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结合部门整体支出绩效评价指标体系内容和评分标准，经综合评价，该项指标 得分为1.5分</w:t>
      </w:r>
      <w:r>
        <w:rPr>
          <w:rFonts w:hint="eastAsia" w:ascii="仿宋" w:hAnsi="仿宋" w:eastAsia="仿宋" w:cs="仿宋"/>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（2）</w:t>
      </w:r>
      <w:r>
        <w:rPr>
          <w:rFonts w:hint="eastAsia" w:ascii="仿宋" w:hAnsi="仿宋" w:eastAsia="仿宋" w:cs="仿宋"/>
          <w:color w:val="auto"/>
          <w:kern w:val="0"/>
          <w:sz w:val="32"/>
          <w:szCs w:val="32"/>
          <w:highlight w:val="none"/>
          <w:shd w:val="clear" w:color="auto" w:fill="FFFFFF"/>
          <w:lang w:val="en-US" w:eastAsia="zh-Hans"/>
        </w:rPr>
        <w:t>资产管理</w:t>
      </w:r>
      <w:r>
        <w:rPr>
          <w:rFonts w:hint="eastAsia" w:ascii="仿宋" w:hAnsi="仿宋" w:eastAsia="仿宋" w:cs="仿宋"/>
          <w:color w:val="auto"/>
          <w:kern w:val="0"/>
          <w:sz w:val="32"/>
          <w:szCs w:val="32"/>
          <w:highlight w:val="none"/>
          <w:shd w:val="clear" w:color="auto" w:fill="FFFFFF"/>
          <w:lang w:val="en-US" w:eastAsia="zh-CN"/>
        </w:rPr>
        <w:t>安全</w:t>
      </w:r>
      <w:r>
        <w:rPr>
          <w:rFonts w:hint="eastAsia" w:ascii="仿宋" w:hAnsi="仿宋" w:eastAsia="仿宋" w:cs="仿宋"/>
          <w:color w:val="auto"/>
          <w:kern w:val="0"/>
          <w:sz w:val="32"/>
          <w:szCs w:val="32"/>
          <w:highlight w:val="none"/>
          <w:shd w:val="clear" w:color="auto" w:fill="FFFFFF"/>
          <w:lang w:val="en-US" w:eastAsia="zh-Hans"/>
        </w:rPr>
        <w:t>性</w:t>
      </w:r>
      <w:r>
        <w:rPr>
          <w:rFonts w:hint="eastAsia" w:ascii="仿宋" w:hAnsi="仿宋" w:eastAsia="仿宋" w:cs="仿宋"/>
          <w:color w:val="auto"/>
          <w:kern w:val="0"/>
          <w:sz w:val="32"/>
          <w:szCs w:val="32"/>
          <w:highlight w:val="none"/>
          <w:shd w:val="clear" w:color="auto" w:fill="FFFFFF"/>
          <w:lang w:val="en-US" w:eastAsia="zh-CN"/>
        </w:rPr>
        <w:t>--1.5分。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根据部门整体支出绩效评价自评报告和固定资产明细账内容，部门资产保存完整、相关资产多为办公用品和家具用具，资产配置合理 ，固定资产入账后定期折旧，资产管理合规，新增资产设备及时入账。资产有偿使用、处置按规定程序审批。资产收益及时、足额上缴财政。</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结合部门整体支出绩效评价指标体系内容和评分标准，经综合评价，该项指标得分为1.5分</w:t>
      </w:r>
      <w:r>
        <w:rPr>
          <w:rFonts w:hint="eastAsia" w:ascii="仿宋" w:hAnsi="仿宋" w:eastAsia="仿宋" w:cs="仿宋"/>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（3）</w:t>
      </w:r>
      <w:r>
        <w:rPr>
          <w:rFonts w:hint="eastAsia" w:ascii="仿宋" w:hAnsi="仿宋" w:eastAsia="仿宋" w:cs="仿宋"/>
          <w:color w:val="auto"/>
          <w:kern w:val="0"/>
          <w:sz w:val="32"/>
          <w:szCs w:val="32"/>
          <w:highlight w:val="none"/>
          <w:shd w:val="clear" w:color="auto" w:fill="FFFFFF"/>
          <w:lang w:val="en-US" w:eastAsia="zh-Hans"/>
        </w:rPr>
        <w:t>固定资产利用率</w:t>
      </w:r>
      <w:r>
        <w:rPr>
          <w:rFonts w:hint="eastAsia" w:ascii="仿宋" w:hAnsi="仿宋" w:eastAsia="仿宋" w:cs="仿宋"/>
          <w:color w:val="auto"/>
          <w:kern w:val="0"/>
          <w:sz w:val="32"/>
          <w:szCs w:val="32"/>
          <w:highlight w:val="none"/>
          <w:shd w:val="clear" w:color="auto" w:fill="FFFFFF"/>
          <w:lang w:val="en-US" w:eastAsia="zh-CN"/>
        </w:rPr>
        <w:t>--2分。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根据部门提供的固定资产明细表，单位所拥有的通用设备、家具用具等相关资产目前使用状况皆为在用。固定资产利用率为100%。</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结合部门整体支出绩效评价指标体系内容和评分标准，经综合评价，该项指标得分为2分。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楷体" w:hAnsi="楷体" w:eastAsia="楷体" w:cs="楷体"/>
          <w:b/>
          <w:bCs/>
          <w:color w:val="auto"/>
          <w:kern w:val="0"/>
          <w:sz w:val="32"/>
          <w:szCs w:val="32"/>
          <w:highlight w:val="none"/>
          <w:shd w:val="clear" w:color="auto" w:fill="FFFFFF"/>
          <w:lang w:val="en-US" w:eastAsia="zh-CN"/>
        </w:rPr>
      </w:pPr>
      <w:bookmarkStart w:id="18" w:name="_Toc21840"/>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楷体" w:hAnsi="楷体" w:eastAsia="楷体" w:cs="楷体"/>
          <w:b/>
          <w:bCs/>
          <w:color w:val="auto"/>
          <w:kern w:val="0"/>
          <w:sz w:val="32"/>
          <w:szCs w:val="32"/>
          <w:highlight w:val="none"/>
          <w:shd w:val="clear" w:color="auto" w:fill="FFFFFF"/>
          <w:lang w:val="en-US" w:eastAsia="zh-CN"/>
        </w:rPr>
      </w:pPr>
      <w:r>
        <w:rPr>
          <w:rFonts w:hint="eastAsia" w:ascii="楷体" w:hAnsi="楷体" w:eastAsia="楷体" w:cs="楷体"/>
          <w:b/>
          <w:bCs/>
          <w:color w:val="auto"/>
          <w:kern w:val="0"/>
          <w:sz w:val="32"/>
          <w:szCs w:val="32"/>
          <w:highlight w:val="none"/>
          <w:shd w:val="clear" w:color="auto" w:fill="FFFFFF"/>
          <w:lang w:val="en-US" w:eastAsia="zh-CN"/>
        </w:rPr>
        <w:t>（三）产出方面</w:t>
      </w:r>
      <w:bookmarkEnd w:id="18"/>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该指标主要考核新区对外经济投资合作局2021年度职责履行的内容，包括部门年度工作实际完成率、完成及时率、质量达标率和重点工作办结率等4个三级指标，指标权重35分，评价得分35分，得分率为100%。</w:t>
      </w:r>
    </w:p>
    <w:tbl>
      <w:tblPr>
        <w:tblStyle w:val="15"/>
        <w:tblW w:w="4975" w:type="pct"/>
        <w:tblInd w:w="0" w:type="dxa"/>
        <w:shd w:val="clear" w:color="auto" w:fill="auto"/>
        <w:tblLayout w:type="autofit"/>
        <w:tblCellMar>
          <w:top w:w="0" w:type="dxa"/>
          <w:left w:w="0" w:type="dxa"/>
          <w:bottom w:w="0" w:type="dxa"/>
          <w:right w:w="0" w:type="dxa"/>
        </w:tblCellMar>
      </w:tblPr>
      <w:tblGrid>
        <w:gridCol w:w="1383"/>
        <w:gridCol w:w="1384"/>
        <w:gridCol w:w="2611"/>
        <w:gridCol w:w="2023"/>
        <w:gridCol w:w="1385"/>
      </w:tblGrid>
      <w:tr>
        <w:tblPrEx>
          <w:shd w:val="clear" w:color="auto" w:fill="auto"/>
          <w:tblCellMar>
            <w:top w:w="0" w:type="dxa"/>
            <w:left w:w="0" w:type="dxa"/>
            <w:bottom w:w="0" w:type="dxa"/>
            <w:right w:w="0" w:type="dxa"/>
          </w:tblCellMar>
        </w:tblPrEx>
        <w:trPr>
          <w:trHeight w:val="520" w:hRule="atLeast"/>
        </w:trPr>
        <w:tc>
          <w:tcPr>
            <w:tcW w:w="78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b/>
                <w:i w:val="0"/>
                <w:color w:val="000000"/>
                <w:kern w:val="0"/>
                <w:sz w:val="24"/>
                <w:szCs w:val="24"/>
                <w:u w:val="none"/>
                <w:lang w:val="en-US" w:eastAsia="zh-CN" w:bidi="ar"/>
              </w:rPr>
            </w:pPr>
            <w:r>
              <w:rPr>
                <w:rFonts w:hint="eastAsia" w:ascii="仿宋" w:hAnsi="仿宋" w:eastAsia="仿宋" w:cs="仿宋"/>
                <w:b/>
                <w:i w:val="0"/>
                <w:color w:val="000000"/>
                <w:kern w:val="0"/>
                <w:sz w:val="24"/>
                <w:szCs w:val="24"/>
                <w:u w:val="none"/>
                <w:lang w:val="en-US" w:eastAsia="zh-CN" w:bidi="ar"/>
              </w:rPr>
              <w:t>一级</w:t>
            </w:r>
          </w:p>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指标</w:t>
            </w:r>
          </w:p>
        </w:tc>
        <w:tc>
          <w:tcPr>
            <w:tcW w:w="78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b/>
                <w:i w:val="0"/>
                <w:color w:val="000000"/>
                <w:kern w:val="0"/>
                <w:sz w:val="24"/>
                <w:szCs w:val="24"/>
                <w:u w:val="none"/>
                <w:lang w:val="en-US" w:eastAsia="zh-CN" w:bidi="ar"/>
              </w:rPr>
            </w:pPr>
            <w:r>
              <w:rPr>
                <w:rFonts w:hint="eastAsia" w:ascii="仿宋" w:hAnsi="仿宋" w:eastAsia="仿宋" w:cs="仿宋"/>
                <w:b/>
                <w:i w:val="0"/>
                <w:color w:val="000000"/>
                <w:kern w:val="0"/>
                <w:sz w:val="24"/>
                <w:szCs w:val="24"/>
                <w:u w:val="none"/>
                <w:lang w:val="en-US" w:eastAsia="zh-CN" w:bidi="ar"/>
              </w:rPr>
              <w:t>二级</w:t>
            </w:r>
          </w:p>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指标</w:t>
            </w: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三级指标</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指标分值</w:t>
            </w:r>
          </w:p>
        </w:tc>
        <w:tc>
          <w:tcPr>
            <w:tcW w:w="78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评价得分</w:t>
            </w:r>
          </w:p>
        </w:tc>
      </w:tr>
      <w:tr>
        <w:tblPrEx>
          <w:tblCellMar>
            <w:top w:w="0" w:type="dxa"/>
            <w:left w:w="0" w:type="dxa"/>
            <w:bottom w:w="0" w:type="dxa"/>
            <w:right w:w="0" w:type="dxa"/>
          </w:tblCellMar>
        </w:tblPrEx>
        <w:trPr>
          <w:trHeight w:val="300" w:hRule="atLeast"/>
        </w:trPr>
        <w:tc>
          <w:tcPr>
            <w:tcW w:w="787" w:type="pct"/>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产出</w:t>
            </w:r>
          </w:p>
        </w:tc>
        <w:tc>
          <w:tcPr>
            <w:tcW w:w="787"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职责</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履行</w:t>
            </w: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实际完成率</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10</w:t>
            </w:r>
          </w:p>
        </w:tc>
      </w:tr>
      <w:tr>
        <w:tblPrEx>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完成及时率</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8</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8</w:t>
            </w:r>
          </w:p>
        </w:tc>
      </w:tr>
      <w:tr>
        <w:tblPrEx>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质量达标率</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8</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8</w:t>
            </w:r>
          </w:p>
        </w:tc>
      </w:tr>
      <w:tr>
        <w:tblPrEx>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重点工作办结率</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9</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9</w:t>
            </w:r>
          </w:p>
        </w:tc>
      </w:tr>
      <w:tr>
        <w:tblPrEx>
          <w:tblCellMar>
            <w:top w:w="0" w:type="dxa"/>
            <w:left w:w="0" w:type="dxa"/>
            <w:bottom w:w="0" w:type="dxa"/>
            <w:right w:w="0" w:type="dxa"/>
          </w:tblCellMar>
        </w:tblPrEx>
        <w:trPr>
          <w:trHeight w:val="300" w:hRule="atLeast"/>
        </w:trPr>
        <w:tc>
          <w:tcPr>
            <w:tcW w:w="1574"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合计</w:t>
            </w: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35</w:t>
            </w:r>
          </w:p>
        </w:tc>
        <w:tc>
          <w:tcPr>
            <w:tcW w:w="78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35</w:t>
            </w:r>
          </w:p>
        </w:tc>
      </w:tr>
    </w:tbl>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1.实际完成</w:t>
      </w:r>
      <w:r>
        <w:rPr>
          <w:rFonts w:hint="eastAsia" w:ascii="仿宋" w:hAnsi="仿宋" w:eastAsia="仿宋" w:cs="仿宋"/>
          <w:color w:val="auto"/>
          <w:kern w:val="0"/>
          <w:sz w:val="32"/>
          <w:szCs w:val="32"/>
          <w:highlight w:val="none"/>
          <w:shd w:val="clear" w:color="auto" w:fill="FFFFFF"/>
          <w:lang w:val="en-US" w:eastAsia="zh-Hans"/>
        </w:rPr>
        <w:t>率</w:t>
      </w:r>
      <w:r>
        <w:rPr>
          <w:rFonts w:hint="eastAsia" w:ascii="仿宋" w:hAnsi="仿宋" w:eastAsia="仿宋" w:cs="仿宋"/>
          <w:color w:val="auto"/>
          <w:kern w:val="0"/>
          <w:sz w:val="32"/>
          <w:szCs w:val="32"/>
          <w:highlight w:val="none"/>
          <w:shd w:val="clear" w:color="auto" w:fill="FFFFFF"/>
          <w:lang w:val="en-US" w:eastAsia="zh-CN"/>
        </w:rPr>
        <w:t>--10分。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2021年度部门预算文件公开内容和部门整体支出绩效目标表内容，年初招商引资专项费用预算安排50万元，包括举办丝博会、招商会等2场会议，参加长三角、粤港澳等5场会议。结合铜川市新区招商局官方公众号和项目支出绩效自评报告内容，2021年度举办丝博会和百日招商推介会2场会议，主动参加京津冀精准招商引资活动、中国国际投资贸易洽谈会、陕西-长三角地区经济合作活动、陕-粤港澳经济合作活动、杨凌农高会等5场活动。工作实际完成率为100%。</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结合部门整体支出绩效评价指标体系内容和评分标准，经综合评价，该项指标得分为10分。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bookmarkStart w:id="19" w:name="_Toc1802972864_WPSOffice_Level2"/>
      <w:bookmarkStart w:id="20" w:name="_Toc1854215658_WPSOffice_Level2"/>
      <w:r>
        <w:rPr>
          <w:rFonts w:hint="eastAsia" w:ascii="仿宋" w:hAnsi="仿宋" w:eastAsia="仿宋" w:cs="仿宋"/>
          <w:color w:val="auto"/>
          <w:kern w:val="0"/>
          <w:sz w:val="32"/>
          <w:szCs w:val="32"/>
          <w:highlight w:val="none"/>
          <w:shd w:val="clear" w:color="auto" w:fill="FFFFFF"/>
          <w:lang w:val="en-US" w:eastAsia="zh-CN"/>
        </w:rPr>
        <w:t>2.</w:t>
      </w:r>
      <w:r>
        <w:rPr>
          <w:rFonts w:hint="eastAsia" w:ascii="仿宋" w:hAnsi="仿宋" w:eastAsia="仿宋" w:cs="仿宋"/>
          <w:color w:val="auto"/>
          <w:kern w:val="0"/>
          <w:sz w:val="32"/>
          <w:szCs w:val="32"/>
          <w:highlight w:val="none"/>
          <w:shd w:val="clear" w:color="auto" w:fill="FFFFFF"/>
          <w:lang w:val="en-US" w:eastAsia="zh-Hans"/>
        </w:rPr>
        <w:t>完成及时率</w:t>
      </w:r>
      <w:bookmarkEnd w:id="19"/>
      <w:bookmarkEnd w:id="20"/>
      <w:r>
        <w:rPr>
          <w:rFonts w:hint="eastAsia" w:ascii="仿宋" w:hAnsi="仿宋" w:eastAsia="仿宋" w:cs="仿宋"/>
          <w:color w:val="auto"/>
          <w:kern w:val="0"/>
          <w:sz w:val="32"/>
          <w:szCs w:val="32"/>
          <w:highlight w:val="none"/>
          <w:shd w:val="clear" w:color="auto" w:fill="FFFFFF"/>
          <w:lang w:val="en-US" w:eastAsia="zh-CN"/>
        </w:rPr>
        <w:t>--8分。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铜川市新区招商局官方公众号媒介宣传内容，2021年4月10日准时参加京津冀招商引资活动。2021年5月11日准时举行第五届丝博会活动，2021年9月8日主动参加在厦门举行的中国国际投资贸易洽谈会，10月25日举行以“云聚创新 铜赢未来”为主题的百日招商云招商推介会。2021年11月29日，主动参与粤港澳大湾区高新技术产业恳谈会。2021年10月12日参加第28届杨凌农业高新科技成果博览会。</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结合部门整体支出绩效评价指标体系内容和评分标准，经综合评价，该项指标得分为8分。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bookmarkStart w:id="21" w:name="_Toc1570666078_WPSOffice_Level2"/>
      <w:bookmarkStart w:id="22" w:name="_Toc1667362389_WPSOffice_Level2"/>
      <w:r>
        <w:rPr>
          <w:rFonts w:hint="eastAsia" w:ascii="仿宋" w:hAnsi="仿宋" w:eastAsia="仿宋" w:cs="仿宋"/>
          <w:color w:val="auto"/>
          <w:kern w:val="0"/>
          <w:sz w:val="32"/>
          <w:szCs w:val="32"/>
          <w:highlight w:val="none"/>
          <w:shd w:val="clear" w:color="auto" w:fill="FFFFFF"/>
          <w:lang w:val="en-US" w:eastAsia="zh-CN"/>
        </w:rPr>
        <w:t>3.</w:t>
      </w:r>
      <w:r>
        <w:rPr>
          <w:rFonts w:hint="eastAsia" w:ascii="仿宋" w:hAnsi="仿宋" w:eastAsia="仿宋" w:cs="仿宋"/>
          <w:color w:val="auto"/>
          <w:kern w:val="0"/>
          <w:sz w:val="32"/>
          <w:szCs w:val="32"/>
          <w:highlight w:val="none"/>
          <w:shd w:val="clear" w:color="auto" w:fill="FFFFFF"/>
          <w:lang w:val="en-US" w:eastAsia="zh-Hans"/>
        </w:rPr>
        <w:t>质量达标率</w:t>
      </w:r>
      <w:bookmarkEnd w:id="21"/>
      <w:bookmarkEnd w:id="22"/>
      <w:r>
        <w:rPr>
          <w:rFonts w:hint="eastAsia" w:ascii="仿宋" w:hAnsi="仿宋" w:eastAsia="仿宋" w:cs="仿宋"/>
          <w:color w:val="auto"/>
          <w:kern w:val="0"/>
          <w:sz w:val="32"/>
          <w:szCs w:val="32"/>
          <w:highlight w:val="none"/>
          <w:shd w:val="clear" w:color="auto" w:fill="FFFFFF"/>
          <w:lang w:val="en-US" w:eastAsia="zh-CN"/>
        </w:rPr>
        <w:t>--8分。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铜川市新区招商局官方宣传内容和部门整体支出绩效自评报告内容，部门2021年积极举办和主动参与各项活动。在赴京津冀精准招商引资的活动中，累计拜访企业86家，企业来铜实地考察6家。会议邀请企业家代表70余人参加。第五次丝博会策划包装上台签约项目4个，百日招商会签约项目13个，涉及金额15.2亿元。年度举办和参与各项会议、活动工作全部达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结合部门整体支出绩效评价指标体系内容和评分标准，经综合评价，该项指标得分为8分。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bookmarkStart w:id="23" w:name="_Toc1742944595_WPSOffice_Level2"/>
      <w:bookmarkStart w:id="24" w:name="_Toc1464939341_WPSOffice_Level2"/>
      <w:r>
        <w:rPr>
          <w:rFonts w:hint="eastAsia" w:ascii="仿宋" w:hAnsi="仿宋" w:eastAsia="仿宋" w:cs="仿宋"/>
          <w:color w:val="auto"/>
          <w:kern w:val="0"/>
          <w:sz w:val="32"/>
          <w:szCs w:val="32"/>
          <w:highlight w:val="none"/>
          <w:shd w:val="clear" w:color="auto" w:fill="FFFFFF"/>
          <w:lang w:val="en-US" w:eastAsia="zh-CN"/>
        </w:rPr>
        <w:t>4.重点工作办结</w:t>
      </w:r>
      <w:r>
        <w:rPr>
          <w:rFonts w:hint="eastAsia" w:ascii="仿宋" w:hAnsi="仿宋" w:eastAsia="仿宋" w:cs="仿宋"/>
          <w:color w:val="auto"/>
          <w:kern w:val="0"/>
          <w:sz w:val="32"/>
          <w:szCs w:val="32"/>
          <w:highlight w:val="none"/>
          <w:shd w:val="clear" w:color="auto" w:fill="FFFFFF"/>
          <w:lang w:val="en-US" w:eastAsia="zh-Hans"/>
        </w:rPr>
        <w:t>率</w:t>
      </w:r>
      <w:bookmarkEnd w:id="23"/>
      <w:bookmarkEnd w:id="24"/>
      <w:r>
        <w:rPr>
          <w:rFonts w:hint="eastAsia" w:ascii="仿宋" w:hAnsi="仿宋" w:eastAsia="仿宋" w:cs="仿宋"/>
          <w:color w:val="auto"/>
          <w:kern w:val="0"/>
          <w:sz w:val="32"/>
          <w:szCs w:val="32"/>
          <w:highlight w:val="none"/>
          <w:shd w:val="clear" w:color="auto" w:fill="FFFFFF"/>
          <w:lang w:val="en-US" w:eastAsia="zh-CN"/>
        </w:rPr>
        <w:t>--9分。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根据部门整体支出绩效自评报告和部门预算文件内容等资料，部门年度内有效完成举办招商会、参与推介会、项目洽谈、外地考察和招商宣传等多项重点工作。重点工作办结率为100%。</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结合部门整体支出绩效评价指标体系内容和评分标准，经综合评价，该项指标得分为9分。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楷体" w:hAnsi="楷体" w:eastAsia="楷体" w:cs="楷体"/>
          <w:b/>
          <w:bCs/>
          <w:color w:val="auto"/>
          <w:kern w:val="0"/>
          <w:sz w:val="32"/>
          <w:szCs w:val="32"/>
          <w:highlight w:val="none"/>
          <w:shd w:val="clear" w:color="auto" w:fill="FFFFFF"/>
          <w:lang w:val="en-US" w:eastAsia="zh-CN"/>
        </w:rPr>
      </w:pPr>
      <w:bookmarkStart w:id="25" w:name="_Toc23833"/>
      <w:r>
        <w:rPr>
          <w:rFonts w:hint="eastAsia" w:ascii="楷体" w:hAnsi="楷体" w:eastAsia="楷体" w:cs="楷体"/>
          <w:b/>
          <w:bCs/>
          <w:color w:val="auto"/>
          <w:kern w:val="0"/>
          <w:sz w:val="32"/>
          <w:szCs w:val="32"/>
          <w:highlight w:val="none"/>
          <w:shd w:val="clear" w:color="auto" w:fill="FFFFFF"/>
          <w:lang w:val="en-US" w:eastAsia="zh-CN"/>
        </w:rPr>
        <w:t>（四）效果方面</w:t>
      </w:r>
      <w:bookmarkEnd w:id="25"/>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该指标主要考核新区经济投资合作局履职效益的内容，包括社会</w:t>
      </w:r>
      <w:r>
        <w:rPr>
          <w:rFonts w:hint="eastAsia" w:ascii="仿宋" w:hAnsi="仿宋" w:eastAsia="仿宋" w:cs="仿宋"/>
          <w:color w:val="auto"/>
          <w:kern w:val="0"/>
          <w:sz w:val="32"/>
          <w:szCs w:val="32"/>
          <w:highlight w:val="none"/>
          <w:shd w:val="clear" w:color="auto" w:fill="FFFFFF"/>
          <w:lang w:val="en-US" w:eastAsia="zh-Hans"/>
        </w:rPr>
        <w:t>效益、</w:t>
      </w:r>
      <w:r>
        <w:rPr>
          <w:rFonts w:hint="eastAsia" w:ascii="仿宋" w:hAnsi="仿宋" w:eastAsia="仿宋" w:cs="仿宋"/>
          <w:color w:val="auto"/>
          <w:kern w:val="0"/>
          <w:sz w:val="32"/>
          <w:szCs w:val="32"/>
          <w:highlight w:val="none"/>
          <w:shd w:val="clear" w:color="auto" w:fill="FFFFFF"/>
          <w:lang w:val="en-US" w:eastAsia="zh-CN"/>
        </w:rPr>
        <w:t>可持续性影响</w:t>
      </w:r>
      <w:r>
        <w:rPr>
          <w:rFonts w:hint="eastAsia" w:ascii="仿宋" w:hAnsi="仿宋" w:eastAsia="仿宋" w:cs="仿宋"/>
          <w:color w:val="auto"/>
          <w:kern w:val="0"/>
          <w:sz w:val="32"/>
          <w:szCs w:val="32"/>
          <w:highlight w:val="none"/>
          <w:shd w:val="clear" w:color="auto" w:fill="FFFFFF"/>
          <w:lang w:val="en-US" w:eastAsia="zh-Hans"/>
        </w:rPr>
        <w:t>和社会公众满意度</w:t>
      </w:r>
      <w:r>
        <w:rPr>
          <w:rFonts w:hint="eastAsia" w:ascii="仿宋" w:hAnsi="仿宋" w:eastAsia="仿宋" w:cs="仿宋"/>
          <w:color w:val="auto"/>
          <w:kern w:val="0"/>
          <w:sz w:val="32"/>
          <w:szCs w:val="32"/>
          <w:highlight w:val="none"/>
          <w:shd w:val="clear" w:color="auto" w:fill="FFFFFF"/>
          <w:lang w:val="en-US" w:eastAsia="zh-CN"/>
        </w:rPr>
        <w:t>4个二级指标，进一步细化8个三级指标，指标权重25分，评价得分25分，得分率为100.00%。</w:t>
      </w:r>
    </w:p>
    <w:tbl>
      <w:tblPr>
        <w:tblStyle w:val="15"/>
        <w:tblW w:w="4931" w:type="pct"/>
        <w:tblInd w:w="0" w:type="dxa"/>
        <w:shd w:val="clear" w:color="auto" w:fill="auto"/>
        <w:tblLayout w:type="autofit"/>
        <w:tblCellMar>
          <w:top w:w="0" w:type="dxa"/>
          <w:left w:w="0" w:type="dxa"/>
          <w:bottom w:w="0" w:type="dxa"/>
          <w:right w:w="0" w:type="dxa"/>
        </w:tblCellMar>
      </w:tblPr>
      <w:tblGrid>
        <w:gridCol w:w="1371"/>
        <w:gridCol w:w="1371"/>
        <w:gridCol w:w="2587"/>
        <w:gridCol w:w="2005"/>
        <w:gridCol w:w="1374"/>
      </w:tblGrid>
      <w:tr>
        <w:tblPrEx>
          <w:shd w:val="clear" w:color="auto" w:fill="auto"/>
          <w:tblCellMar>
            <w:top w:w="0" w:type="dxa"/>
            <w:left w:w="0" w:type="dxa"/>
            <w:bottom w:w="0" w:type="dxa"/>
            <w:right w:w="0" w:type="dxa"/>
          </w:tblCellMar>
        </w:tblPrEx>
        <w:trPr>
          <w:trHeight w:val="520" w:hRule="atLeast"/>
        </w:trPr>
        <w:tc>
          <w:tcPr>
            <w:tcW w:w="78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b/>
                <w:i w:val="0"/>
                <w:color w:val="000000"/>
                <w:kern w:val="0"/>
                <w:sz w:val="24"/>
                <w:szCs w:val="24"/>
                <w:u w:val="none"/>
                <w:lang w:val="en-US" w:eastAsia="zh-CN" w:bidi="ar"/>
              </w:rPr>
            </w:pPr>
            <w:r>
              <w:rPr>
                <w:rFonts w:hint="eastAsia" w:ascii="仿宋" w:hAnsi="仿宋" w:eastAsia="仿宋" w:cs="仿宋"/>
                <w:b/>
                <w:i w:val="0"/>
                <w:color w:val="000000"/>
                <w:kern w:val="0"/>
                <w:sz w:val="24"/>
                <w:szCs w:val="24"/>
                <w:u w:val="none"/>
                <w:lang w:val="en-US" w:eastAsia="zh-CN" w:bidi="ar"/>
              </w:rPr>
              <w:t>一级</w:t>
            </w:r>
          </w:p>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指标</w:t>
            </w:r>
          </w:p>
        </w:tc>
        <w:tc>
          <w:tcPr>
            <w:tcW w:w="78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b/>
                <w:i w:val="0"/>
                <w:color w:val="000000"/>
                <w:kern w:val="0"/>
                <w:sz w:val="24"/>
                <w:szCs w:val="24"/>
                <w:u w:val="none"/>
                <w:lang w:val="en-US" w:eastAsia="zh-CN" w:bidi="ar"/>
              </w:rPr>
            </w:pPr>
            <w:r>
              <w:rPr>
                <w:rFonts w:hint="eastAsia" w:ascii="仿宋" w:hAnsi="仿宋" w:eastAsia="仿宋" w:cs="仿宋"/>
                <w:b/>
                <w:i w:val="0"/>
                <w:color w:val="000000"/>
                <w:kern w:val="0"/>
                <w:sz w:val="24"/>
                <w:szCs w:val="24"/>
                <w:u w:val="none"/>
                <w:lang w:val="en-US" w:eastAsia="zh-CN" w:bidi="ar"/>
              </w:rPr>
              <w:t>二级</w:t>
            </w:r>
          </w:p>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指标</w:t>
            </w: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三级指标</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指标分值</w:t>
            </w:r>
          </w:p>
        </w:tc>
        <w:tc>
          <w:tcPr>
            <w:tcW w:w="78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评价得分</w:t>
            </w:r>
          </w:p>
        </w:tc>
      </w:tr>
      <w:tr>
        <w:tblPrEx>
          <w:shd w:val="clear" w:color="auto" w:fill="auto"/>
          <w:tblCellMar>
            <w:top w:w="0" w:type="dxa"/>
            <w:left w:w="0" w:type="dxa"/>
            <w:bottom w:w="0" w:type="dxa"/>
            <w:right w:w="0" w:type="dxa"/>
          </w:tblCellMar>
        </w:tblPrEx>
        <w:trPr>
          <w:trHeight w:val="300" w:hRule="atLeast"/>
        </w:trPr>
        <w:tc>
          <w:tcPr>
            <w:tcW w:w="787" w:type="pct"/>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效果</w:t>
            </w:r>
          </w:p>
        </w:tc>
        <w:tc>
          <w:tcPr>
            <w:tcW w:w="787"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经济效益</w:t>
            </w: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default" w:ascii="仿宋" w:hAnsi="仿宋" w:eastAsia="仿宋" w:cs="仿宋"/>
                <w:i w:val="0"/>
                <w:color w:val="000000"/>
                <w:kern w:val="0"/>
                <w:sz w:val="24"/>
                <w:szCs w:val="24"/>
                <w:u w:val="none"/>
                <w:lang w:val="en-US" w:eastAsia="zh-CN" w:bidi="ar"/>
              </w:rPr>
              <w:t>招商引资项目金额</w:t>
            </w:r>
          </w:p>
        </w:tc>
        <w:tc>
          <w:tcPr>
            <w:tcW w:w="200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2.5</w:t>
            </w:r>
          </w:p>
        </w:tc>
        <w:tc>
          <w:tcPr>
            <w:tcW w:w="13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2.5</w:t>
            </w:r>
          </w:p>
        </w:tc>
      </w:tr>
      <w:tr>
        <w:tblPrEx>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default" w:ascii="仿宋" w:hAnsi="仿宋" w:eastAsia="仿宋" w:cs="仿宋"/>
                <w:i w:val="0"/>
                <w:color w:val="000000"/>
                <w:kern w:val="0"/>
                <w:sz w:val="24"/>
                <w:szCs w:val="24"/>
                <w:u w:val="none"/>
                <w:lang w:val="en-US" w:eastAsia="zh-CN" w:bidi="ar"/>
              </w:rPr>
              <w:t>市域外项目到位资金</w:t>
            </w:r>
          </w:p>
        </w:tc>
        <w:tc>
          <w:tcPr>
            <w:tcW w:w="200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2.5</w:t>
            </w:r>
          </w:p>
        </w:tc>
        <w:tc>
          <w:tcPr>
            <w:tcW w:w="13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2.5</w:t>
            </w:r>
          </w:p>
        </w:tc>
      </w:tr>
      <w:tr>
        <w:tblPrEx>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default" w:ascii="仿宋" w:hAnsi="仿宋" w:eastAsia="仿宋" w:cs="仿宋"/>
                <w:i w:val="0"/>
                <w:color w:val="000000"/>
                <w:kern w:val="0"/>
                <w:sz w:val="24"/>
                <w:szCs w:val="24"/>
                <w:u w:val="none"/>
                <w:lang w:val="en-US" w:eastAsia="zh-CN" w:bidi="ar"/>
              </w:rPr>
              <w:t>省际项目到位资金</w:t>
            </w:r>
          </w:p>
        </w:tc>
        <w:tc>
          <w:tcPr>
            <w:tcW w:w="200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2.5</w:t>
            </w:r>
          </w:p>
        </w:tc>
        <w:tc>
          <w:tcPr>
            <w:tcW w:w="13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2.5</w:t>
            </w:r>
          </w:p>
        </w:tc>
      </w:tr>
      <w:tr>
        <w:tblPrEx>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default" w:ascii="仿宋" w:hAnsi="仿宋" w:eastAsia="仿宋" w:cs="仿宋"/>
                <w:i w:val="0"/>
                <w:color w:val="000000"/>
                <w:kern w:val="0"/>
                <w:sz w:val="24"/>
                <w:szCs w:val="24"/>
                <w:u w:val="none"/>
                <w:lang w:val="en-US" w:eastAsia="zh-CN" w:bidi="ar"/>
              </w:rPr>
              <w:t>吸引外资</w:t>
            </w:r>
          </w:p>
        </w:tc>
        <w:tc>
          <w:tcPr>
            <w:tcW w:w="200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2.5</w:t>
            </w:r>
          </w:p>
        </w:tc>
        <w:tc>
          <w:tcPr>
            <w:tcW w:w="13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2.5</w:t>
            </w:r>
          </w:p>
        </w:tc>
      </w:tr>
      <w:tr>
        <w:tblPrEx>
          <w:tblCellMar>
            <w:top w:w="0" w:type="dxa"/>
            <w:left w:w="0" w:type="dxa"/>
            <w:bottom w:w="0" w:type="dxa"/>
            <w:right w:w="0" w:type="dxa"/>
          </w:tblCellMar>
        </w:tblPrEx>
        <w:trPr>
          <w:trHeight w:val="52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社会效益</w:t>
            </w: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新增外资企业数量</w:t>
            </w:r>
          </w:p>
        </w:tc>
        <w:tc>
          <w:tcPr>
            <w:tcW w:w="200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5</w:t>
            </w:r>
          </w:p>
        </w:tc>
        <w:tc>
          <w:tcPr>
            <w:tcW w:w="13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5</w:t>
            </w:r>
          </w:p>
        </w:tc>
      </w:tr>
      <w:tr>
        <w:tblPrEx>
          <w:tblCellMar>
            <w:top w:w="0" w:type="dxa"/>
            <w:left w:w="0" w:type="dxa"/>
            <w:bottom w:w="0" w:type="dxa"/>
            <w:right w:w="0" w:type="dxa"/>
          </w:tblCellMar>
        </w:tblPrEx>
        <w:trPr>
          <w:trHeight w:val="52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vMerge w:val="restart"/>
            <w:tcBorders>
              <w:top w:val="single" w:color="000000" w:sz="4" w:space="0"/>
              <w:left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可持续影响</w:t>
            </w: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推动地区经济增长</w:t>
            </w:r>
          </w:p>
        </w:tc>
        <w:tc>
          <w:tcPr>
            <w:tcW w:w="200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2.5</w:t>
            </w:r>
          </w:p>
        </w:tc>
        <w:tc>
          <w:tcPr>
            <w:tcW w:w="13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2.5</w:t>
            </w:r>
          </w:p>
        </w:tc>
      </w:tr>
      <w:tr>
        <w:tblPrEx>
          <w:tblCellMar>
            <w:top w:w="0" w:type="dxa"/>
            <w:left w:w="0" w:type="dxa"/>
            <w:bottom w:w="0" w:type="dxa"/>
            <w:right w:w="0" w:type="dxa"/>
          </w:tblCellMar>
        </w:tblPrEx>
        <w:trPr>
          <w:trHeight w:val="52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vMerge w:val="continue"/>
            <w:tcBorders>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税收增加</w:t>
            </w:r>
          </w:p>
        </w:tc>
        <w:tc>
          <w:tcPr>
            <w:tcW w:w="200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2.5</w:t>
            </w:r>
          </w:p>
        </w:tc>
        <w:tc>
          <w:tcPr>
            <w:tcW w:w="13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2.5</w:t>
            </w:r>
          </w:p>
        </w:tc>
      </w:tr>
      <w:tr>
        <w:tblPrEx>
          <w:tblCellMar>
            <w:top w:w="0" w:type="dxa"/>
            <w:left w:w="0" w:type="dxa"/>
            <w:bottom w:w="0" w:type="dxa"/>
            <w:right w:w="0" w:type="dxa"/>
          </w:tblCellMar>
        </w:tblPrEx>
        <w:trPr>
          <w:trHeight w:val="78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社会公众或服务对象满意度</w:t>
            </w: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社会公众满意度</w:t>
            </w:r>
          </w:p>
        </w:tc>
        <w:tc>
          <w:tcPr>
            <w:tcW w:w="200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c>
          <w:tcPr>
            <w:tcW w:w="13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r>
      <w:tr>
        <w:tblPrEx>
          <w:tblCellMar>
            <w:top w:w="0" w:type="dxa"/>
            <w:left w:w="0" w:type="dxa"/>
            <w:bottom w:w="0" w:type="dxa"/>
            <w:right w:w="0" w:type="dxa"/>
          </w:tblCellMar>
        </w:tblPrEx>
        <w:trPr>
          <w:trHeight w:val="300" w:hRule="atLeast"/>
        </w:trPr>
        <w:tc>
          <w:tcPr>
            <w:tcW w:w="1574"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合计</w:t>
            </w: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25</w:t>
            </w:r>
          </w:p>
        </w:tc>
        <w:tc>
          <w:tcPr>
            <w:tcW w:w="78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25</w:t>
            </w:r>
          </w:p>
        </w:tc>
      </w:tr>
    </w:tbl>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CN"/>
        </w:rPr>
        <w:t>1.社会</w:t>
      </w:r>
      <w:r>
        <w:rPr>
          <w:rFonts w:hint="eastAsia" w:ascii="仿宋" w:hAnsi="仿宋" w:eastAsia="仿宋" w:cs="仿宋"/>
          <w:b/>
          <w:bCs/>
          <w:color w:val="auto"/>
          <w:kern w:val="0"/>
          <w:sz w:val="32"/>
          <w:szCs w:val="32"/>
          <w:highlight w:val="none"/>
          <w:shd w:val="clear" w:color="auto" w:fill="FFFFFF"/>
          <w:lang w:val="en-US" w:eastAsia="zh-Hans"/>
        </w:rPr>
        <w:t>效益</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（1）</w:t>
      </w:r>
      <w:r>
        <w:rPr>
          <w:rFonts w:hint="default" w:ascii="仿宋" w:hAnsi="仿宋" w:eastAsia="仿宋" w:cs="仿宋"/>
          <w:i w:val="0"/>
          <w:color w:val="000000"/>
          <w:kern w:val="0"/>
          <w:sz w:val="24"/>
          <w:szCs w:val="24"/>
          <w:u w:val="none"/>
          <w:lang w:val="en-US" w:eastAsia="zh-CN" w:bidi="ar"/>
        </w:rPr>
        <w:t>招商引资项目金额</w:t>
      </w:r>
      <w:r>
        <w:rPr>
          <w:rFonts w:hint="eastAsia" w:ascii="仿宋" w:hAnsi="仿宋" w:eastAsia="仿宋" w:cs="仿宋"/>
          <w:color w:val="auto"/>
          <w:kern w:val="0"/>
          <w:sz w:val="32"/>
          <w:szCs w:val="32"/>
          <w:highlight w:val="none"/>
          <w:shd w:val="clear" w:color="auto" w:fill="FFFFFF"/>
          <w:lang w:val="en-US" w:eastAsia="zh-CN"/>
        </w:rPr>
        <w:t>--2.5分。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根据部门2021年度整体支出绩效自评报告内容和部门工作总结内容，2021年完成招商引资项目签约95个，涉及金额226.92亿元。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结合部门整体支出绩效评价指标体系内容和评分标准，经综合评价，该项指标得分为</w:t>
      </w:r>
      <w:r>
        <w:rPr>
          <w:rFonts w:hint="eastAsia" w:ascii="仿宋" w:hAnsi="仿宋" w:eastAsia="仿宋" w:cs="仿宋"/>
          <w:color w:val="auto"/>
          <w:kern w:val="0"/>
          <w:sz w:val="32"/>
          <w:szCs w:val="32"/>
          <w:highlight w:val="none"/>
          <w:shd w:val="clear" w:color="auto" w:fill="FFFFFF"/>
          <w:lang w:val="en-US" w:eastAsia="zh-CN"/>
        </w:rPr>
        <w:t>2.5</w:t>
      </w:r>
      <w:r>
        <w:rPr>
          <w:rFonts w:hint="eastAsia" w:ascii="仿宋" w:hAnsi="仿宋" w:eastAsia="仿宋" w:cs="仿宋"/>
          <w:color w:val="auto"/>
          <w:kern w:val="0"/>
          <w:sz w:val="32"/>
          <w:szCs w:val="32"/>
          <w:highlight w:val="none"/>
          <w:shd w:val="clear" w:color="auto" w:fill="FFFFFF"/>
          <w:lang w:val="en-US" w:eastAsia="zh-Hans"/>
        </w:rPr>
        <w:t>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（2）市域外项目到位资金--2.5分</w:t>
      </w:r>
      <w:r>
        <w:rPr>
          <w:rFonts w:hint="eastAsia" w:ascii="仿宋" w:hAnsi="仿宋" w:eastAsia="仿宋" w:cs="仿宋"/>
          <w:color w:val="auto"/>
          <w:kern w:val="0"/>
          <w:sz w:val="32"/>
          <w:szCs w:val="32"/>
          <w:highlight w:val="none"/>
          <w:shd w:val="clear" w:color="auto" w:fill="FFFFFF"/>
          <w:lang w:val="en-US" w:eastAsia="zh-Hans"/>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根据部门2021年度整体支出绩效自评报告内容和部门工作总结内容，2021年完成招商引资项目签约95个，涉及金额226.92亿元。市域外项目到位资金94.77亿元。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结合部门整体支出绩效评价指标体系内容和评分标准，经综合评价，该项指标得分为2.5分。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（3）省际项目到位资金--2.5分。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根据部门2021年度整体支出绩效自评报告内容和部门工作总结内容，2021年完成招商引资项目签约95个，涉及金额226.92亿元。省际项目到位资金48.6亿元。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结合部门整体支出绩效评价指标体系内容和评分标准，经综合评价，该项指标得分为2.5分。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（4）吸引外资--2.5分。</w:t>
      </w:r>
    </w:p>
    <w:p>
      <w:pPr>
        <w:pStyle w:val="2"/>
        <w:keepNext w:val="0"/>
        <w:keepLines w:val="0"/>
        <w:pageBreakBefore w:val="0"/>
        <w:widowControl w:val="0"/>
        <w:numPr>
          <w:ilvl w:val="0"/>
          <w:numId w:val="0"/>
        </w:numPr>
        <w:kinsoku/>
        <w:wordWrap/>
        <w:overflowPunct/>
        <w:topLinePunct w:val="0"/>
        <w:bidi w:val="0"/>
        <w:adjustRightInd/>
        <w:snapToGrid/>
        <w:spacing w:before="0" w:line="600" w:lineRule="exact"/>
        <w:ind w:firstLine="640" w:firstLineChars="200"/>
        <w:textAlignment w:val="auto"/>
        <w:rPr>
          <w:rFonts w:hint="default" w:ascii="仿宋" w:hAnsi="仿宋" w:eastAsia="仿宋" w:cs="仿宋"/>
          <w:color w:val="auto"/>
          <w:kern w:val="0"/>
          <w:sz w:val="32"/>
          <w:szCs w:val="32"/>
          <w:highlight w:val="none"/>
          <w:shd w:val="clear" w:color="auto" w:fill="FFFFFF"/>
          <w:lang w:val="en-US" w:eastAsia="zh-CN" w:bidi="ar-SA"/>
        </w:rPr>
      </w:pPr>
      <w:r>
        <w:rPr>
          <w:rFonts w:hint="default" w:ascii="仿宋" w:hAnsi="仿宋" w:eastAsia="仿宋" w:cs="仿宋"/>
          <w:color w:val="auto"/>
          <w:kern w:val="0"/>
          <w:sz w:val="32"/>
          <w:szCs w:val="32"/>
          <w:highlight w:val="none"/>
          <w:shd w:val="clear" w:color="auto" w:fill="FFFFFF"/>
          <w:lang w:val="en-US" w:eastAsia="zh-CN" w:bidi="ar-SA"/>
        </w:rPr>
        <w:t>根据部门2021年度整体支出绩效自评报告内容和部门工作总结内容，2021年完成招商引资项目签约95个，涉及金额226.92亿元。实际利用外资完成797万美元。</w:t>
      </w:r>
    </w:p>
    <w:p>
      <w:pPr>
        <w:pStyle w:val="2"/>
        <w:keepNext w:val="0"/>
        <w:keepLines w:val="0"/>
        <w:pageBreakBefore w:val="0"/>
        <w:widowControl w:val="0"/>
        <w:numPr>
          <w:ilvl w:val="0"/>
          <w:numId w:val="0"/>
        </w:numPr>
        <w:kinsoku/>
        <w:wordWrap/>
        <w:overflowPunct/>
        <w:topLinePunct w:val="0"/>
        <w:bidi w:val="0"/>
        <w:adjustRightInd/>
        <w:snapToGrid/>
        <w:spacing w:before="0"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SA"/>
        </w:rPr>
      </w:pPr>
      <w:r>
        <w:rPr>
          <w:rFonts w:hint="default" w:ascii="仿宋" w:hAnsi="仿宋" w:eastAsia="仿宋" w:cs="仿宋"/>
          <w:color w:val="auto"/>
          <w:kern w:val="0"/>
          <w:sz w:val="32"/>
          <w:szCs w:val="32"/>
          <w:highlight w:val="none"/>
          <w:shd w:val="clear" w:color="auto" w:fill="FFFFFF"/>
          <w:lang w:val="en-US" w:eastAsia="zh-CN" w:bidi="ar-SA"/>
        </w:rPr>
        <w:t>结合部门整体支出绩效评价指标体系内容和评分标准，经综合评价，该项指标得分为2.5分</w:t>
      </w:r>
      <w:r>
        <w:rPr>
          <w:rFonts w:hint="eastAsia" w:ascii="仿宋" w:hAnsi="仿宋" w:eastAsia="仿宋" w:cs="仿宋"/>
          <w:color w:val="auto"/>
          <w:kern w:val="0"/>
          <w:sz w:val="32"/>
          <w:szCs w:val="32"/>
          <w:highlight w:val="none"/>
          <w:shd w:val="clear" w:color="auto" w:fill="FFFFFF"/>
          <w:lang w:val="en-US" w:eastAsia="zh-CN" w:bidi="ar-SA"/>
        </w:rPr>
        <w:t>。</w:t>
      </w:r>
    </w:p>
    <w:p>
      <w:pPr>
        <w:pStyle w:val="2"/>
        <w:keepNext w:val="0"/>
        <w:keepLines w:val="0"/>
        <w:pageBreakBefore w:val="0"/>
        <w:widowControl w:val="0"/>
        <w:numPr>
          <w:ilvl w:val="0"/>
          <w:numId w:val="0"/>
        </w:numPr>
        <w:kinsoku/>
        <w:wordWrap/>
        <w:overflowPunct/>
        <w:topLinePunct w:val="0"/>
        <w:bidi w:val="0"/>
        <w:adjustRightInd/>
        <w:snapToGrid/>
        <w:spacing w:before="0" w:line="600" w:lineRule="exact"/>
        <w:ind w:firstLine="643" w:firstLineChars="200"/>
        <w:textAlignment w:val="auto"/>
        <w:rPr>
          <w:rFonts w:hint="eastAsia" w:ascii="仿宋" w:hAnsi="仿宋" w:eastAsia="仿宋" w:cs="仿宋"/>
          <w:b/>
          <w:bCs/>
          <w:color w:val="auto"/>
          <w:kern w:val="0"/>
          <w:sz w:val="32"/>
          <w:szCs w:val="32"/>
          <w:highlight w:val="none"/>
          <w:shd w:val="clear" w:color="auto" w:fill="FFFFFF"/>
          <w:lang w:val="en-US" w:eastAsia="zh-CN" w:bidi="ar-SA"/>
        </w:rPr>
      </w:pPr>
      <w:r>
        <w:rPr>
          <w:rFonts w:hint="eastAsia" w:ascii="仿宋" w:hAnsi="仿宋" w:eastAsia="仿宋" w:cs="仿宋"/>
          <w:b/>
          <w:bCs/>
          <w:color w:val="auto"/>
          <w:kern w:val="0"/>
          <w:sz w:val="32"/>
          <w:szCs w:val="32"/>
          <w:highlight w:val="none"/>
          <w:shd w:val="clear" w:color="auto" w:fill="FFFFFF"/>
          <w:lang w:val="en-US" w:eastAsia="zh-CN" w:bidi="ar-SA"/>
        </w:rPr>
        <w:t>2.社会效益。</w:t>
      </w:r>
    </w:p>
    <w:p>
      <w:pPr>
        <w:pStyle w:val="2"/>
        <w:keepNext w:val="0"/>
        <w:keepLines w:val="0"/>
        <w:pageBreakBefore w:val="0"/>
        <w:widowControl w:val="0"/>
        <w:numPr>
          <w:ilvl w:val="0"/>
          <w:numId w:val="0"/>
        </w:numPr>
        <w:kinsoku/>
        <w:wordWrap/>
        <w:overflowPunct/>
        <w:topLinePunct w:val="0"/>
        <w:bidi w:val="0"/>
        <w:adjustRightInd/>
        <w:snapToGrid/>
        <w:spacing w:before="0"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（1）新增外资企业数量</w:t>
      </w:r>
    </w:p>
    <w:p>
      <w:pPr>
        <w:pStyle w:val="2"/>
        <w:keepNext w:val="0"/>
        <w:keepLines w:val="0"/>
        <w:pageBreakBefore w:val="0"/>
        <w:widowControl w:val="0"/>
        <w:numPr>
          <w:ilvl w:val="0"/>
          <w:numId w:val="0"/>
        </w:numPr>
        <w:kinsoku/>
        <w:wordWrap/>
        <w:overflowPunct/>
        <w:topLinePunct w:val="0"/>
        <w:bidi w:val="0"/>
        <w:adjustRightInd/>
        <w:snapToGrid/>
        <w:spacing w:before="0" w:line="600" w:lineRule="exact"/>
        <w:ind w:firstLine="640" w:firstLineChars="200"/>
        <w:textAlignment w:val="auto"/>
        <w:rPr>
          <w:rFonts w:hint="default" w:ascii="仿宋" w:hAnsi="仿宋" w:eastAsia="仿宋" w:cs="仿宋"/>
          <w:color w:val="auto"/>
          <w:kern w:val="0"/>
          <w:sz w:val="32"/>
          <w:szCs w:val="32"/>
          <w:highlight w:val="none"/>
          <w:shd w:val="clear" w:color="auto" w:fill="FFFFFF"/>
          <w:lang w:val="en-US" w:eastAsia="zh-CN" w:bidi="ar-SA"/>
        </w:rPr>
      </w:pPr>
      <w:r>
        <w:rPr>
          <w:rFonts w:hint="default" w:ascii="仿宋" w:hAnsi="仿宋" w:eastAsia="仿宋" w:cs="仿宋"/>
          <w:color w:val="auto"/>
          <w:kern w:val="0"/>
          <w:sz w:val="32"/>
          <w:szCs w:val="32"/>
          <w:highlight w:val="none"/>
          <w:shd w:val="clear" w:color="auto" w:fill="FFFFFF"/>
          <w:lang w:val="en-US" w:eastAsia="zh-CN" w:bidi="ar-SA"/>
        </w:rPr>
        <w:t>根据部门2021年度整体支出绩效自评报告内容和部门工作总结内容，2021年完成招商引资项目签约95个，涉及金额226.92亿元。新增外资企业27户，其中台资企业24户，个体3户。</w:t>
      </w:r>
    </w:p>
    <w:p>
      <w:pPr>
        <w:pStyle w:val="2"/>
        <w:keepNext w:val="0"/>
        <w:keepLines w:val="0"/>
        <w:pageBreakBefore w:val="0"/>
        <w:widowControl w:val="0"/>
        <w:numPr>
          <w:ilvl w:val="0"/>
          <w:numId w:val="0"/>
        </w:numPr>
        <w:kinsoku/>
        <w:wordWrap/>
        <w:overflowPunct/>
        <w:topLinePunct w:val="0"/>
        <w:bidi w:val="0"/>
        <w:adjustRightInd/>
        <w:snapToGrid/>
        <w:spacing w:before="0" w:line="600" w:lineRule="exact"/>
        <w:ind w:firstLine="640" w:firstLineChars="200"/>
        <w:textAlignment w:val="auto"/>
        <w:rPr>
          <w:rFonts w:hint="default" w:ascii="仿宋" w:hAnsi="仿宋" w:eastAsia="仿宋" w:cs="仿宋"/>
          <w:color w:val="auto"/>
          <w:kern w:val="0"/>
          <w:sz w:val="32"/>
          <w:szCs w:val="32"/>
          <w:highlight w:val="none"/>
          <w:shd w:val="clear" w:color="auto" w:fill="FFFFFF"/>
          <w:lang w:val="en-US" w:eastAsia="zh-CN" w:bidi="ar-SA"/>
        </w:rPr>
      </w:pPr>
      <w:r>
        <w:rPr>
          <w:rFonts w:hint="default" w:ascii="仿宋" w:hAnsi="仿宋" w:eastAsia="仿宋" w:cs="仿宋"/>
          <w:color w:val="auto"/>
          <w:kern w:val="0"/>
          <w:sz w:val="32"/>
          <w:szCs w:val="32"/>
          <w:highlight w:val="none"/>
          <w:shd w:val="clear" w:color="auto" w:fill="FFFFFF"/>
          <w:lang w:val="en-US" w:eastAsia="zh-CN" w:bidi="ar-SA"/>
        </w:rPr>
        <w:t>结合部门整体支出绩效评价指标体系内容和评分标准，经综合评价，该项指标得分为2.5分。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b/>
          <w:bCs/>
          <w:color w:val="auto"/>
          <w:kern w:val="0"/>
          <w:sz w:val="32"/>
          <w:szCs w:val="32"/>
          <w:highlight w:val="none"/>
          <w:shd w:val="clear" w:color="auto" w:fill="FFFFFF"/>
          <w:lang w:val="en-US" w:eastAsia="zh-CN"/>
        </w:rPr>
        <w:t>3.可持续性影响。</w:t>
      </w:r>
    </w:p>
    <w:p>
      <w:pPr>
        <w:pStyle w:val="2"/>
        <w:keepNext w:val="0"/>
        <w:keepLines w:val="0"/>
        <w:pageBreakBefore w:val="0"/>
        <w:widowControl w:val="0"/>
        <w:numPr>
          <w:ilvl w:val="0"/>
          <w:numId w:val="0"/>
        </w:numPr>
        <w:kinsoku/>
        <w:wordWrap/>
        <w:overflowPunct/>
        <w:topLinePunct w:val="0"/>
        <w:bidi w:val="0"/>
        <w:adjustRightInd/>
        <w:snapToGrid/>
        <w:spacing w:before="0"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（1）推动地区经济增长--2.5分。</w:t>
      </w:r>
    </w:p>
    <w:p>
      <w:pPr>
        <w:pStyle w:val="2"/>
        <w:keepNext w:val="0"/>
        <w:keepLines w:val="0"/>
        <w:pageBreakBefore w:val="0"/>
        <w:widowControl w:val="0"/>
        <w:numPr>
          <w:ilvl w:val="0"/>
          <w:numId w:val="0"/>
        </w:numPr>
        <w:kinsoku/>
        <w:wordWrap/>
        <w:overflowPunct/>
        <w:topLinePunct w:val="0"/>
        <w:bidi w:val="0"/>
        <w:adjustRightInd/>
        <w:snapToGrid/>
        <w:spacing w:before="0" w:line="600" w:lineRule="exact"/>
        <w:ind w:firstLine="640" w:firstLineChars="200"/>
        <w:textAlignment w:val="auto"/>
        <w:rPr>
          <w:rFonts w:hint="default" w:ascii="仿宋" w:hAnsi="仿宋" w:eastAsia="仿宋" w:cs="仿宋"/>
          <w:color w:val="auto"/>
          <w:kern w:val="0"/>
          <w:sz w:val="32"/>
          <w:szCs w:val="32"/>
          <w:highlight w:val="none"/>
          <w:shd w:val="clear" w:color="auto" w:fill="FFFFFF"/>
          <w:lang w:val="en-US" w:eastAsia="zh-CN" w:bidi="ar-SA"/>
        </w:rPr>
      </w:pPr>
      <w:r>
        <w:rPr>
          <w:rFonts w:hint="default" w:ascii="仿宋" w:hAnsi="仿宋" w:eastAsia="仿宋" w:cs="仿宋"/>
          <w:color w:val="auto"/>
          <w:kern w:val="0"/>
          <w:sz w:val="32"/>
          <w:szCs w:val="32"/>
          <w:highlight w:val="none"/>
          <w:shd w:val="clear" w:color="auto" w:fill="FFFFFF"/>
          <w:lang w:val="en-US" w:eastAsia="zh-CN" w:bidi="ar-SA"/>
        </w:rPr>
        <w:t>根据2020年铜川市国民经济和社会发展统计公报和2021年铜川市国民经济和社会发展统计公报公开内容，2020年铜川市全年生产总值381.75亿元，比上年增长5.0%。2021年全市实现地区生产总值439.41亿元，比上年增长7.5%。GDP增速相比2020年提升。</w:t>
      </w:r>
    </w:p>
    <w:p>
      <w:pPr>
        <w:pStyle w:val="2"/>
        <w:keepNext w:val="0"/>
        <w:keepLines w:val="0"/>
        <w:pageBreakBefore w:val="0"/>
        <w:widowControl w:val="0"/>
        <w:numPr>
          <w:ilvl w:val="0"/>
          <w:numId w:val="0"/>
        </w:numPr>
        <w:kinsoku/>
        <w:wordWrap/>
        <w:overflowPunct/>
        <w:topLinePunct w:val="0"/>
        <w:bidi w:val="0"/>
        <w:adjustRightInd/>
        <w:snapToGrid/>
        <w:spacing w:before="0"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SA"/>
        </w:rPr>
      </w:pPr>
      <w:r>
        <w:rPr>
          <w:rFonts w:hint="default" w:ascii="仿宋" w:hAnsi="仿宋" w:eastAsia="仿宋" w:cs="仿宋"/>
          <w:color w:val="auto"/>
          <w:kern w:val="0"/>
          <w:sz w:val="32"/>
          <w:szCs w:val="32"/>
          <w:highlight w:val="none"/>
          <w:shd w:val="clear" w:color="auto" w:fill="FFFFFF"/>
          <w:lang w:val="en-US" w:eastAsia="zh-CN" w:bidi="ar-SA"/>
        </w:rPr>
        <w:t>结合部门整体支出绩效评价指标体系内容和评分标准，经综合评价，该项指标得分为2.5分</w:t>
      </w:r>
      <w:r>
        <w:rPr>
          <w:rFonts w:hint="eastAsia" w:ascii="仿宋" w:hAnsi="仿宋" w:eastAsia="仿宋" w:cs="仿宋"/>
          <w:color w:val="auto"/>
          <w:kern w:val="0"/>
          <w:sz w:val="32"/>
          <w:szCs w:val="32"/>
          <w:highlight w:val="none"/>
          <w:shd w:val="clear" w:color="auto" w:fill="FFFFFF"/>
          <w:lang w:val="en-US" w:eastAsia="zh-CN" w:bidi="ar-SA"/>
        </w:rPr>
        <w:t>。</w:t>
      </w:r>
    </w:p>
    <w:p>
      <w:pPr>
        <w:pStyle w:val="2"/>
        <w:keepNext w:val="0"/>
        <w:keepLines w:val="0"/>
        <w:pageBreakBefore w:val="0"/>
        <w:widowControl w:val="0"/>
        <w:numPr>
          <w:ilvl w:val="0"/>
          <w:numId w:val="0"/>
        </w:numPr>
        <w:kinsoku/>
        <w:wordWrap/>
        <w:overflowPunct/>
        <w:topLinePunct w:val="0"/>
        <w:bidi w:val="0"/>
        <w:adjustRightInd/>
        <w:snapToGrid/>
        <w:spacing w:before="0"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（2）税收收入</w:t>
      </w:r>
    </w:p>
    <w:p>
      <w:pPr>
        <w:pStyle w:val="2"/>
        <w:keepNext w:val="0"/>
        <w:keepLines w:val="0"/>
        <w:pageBreakBefore w:val="0"/>
        <w:widowControl w:val="0"/>
        <w:numPr>
          <w:ilvl w:val="0"/>
          <w:numId w:val="0"/>
        </w:numPr>
        <w:kinsoku/>
        <w:wordWrap/>
        <w:overflowPunct/>
        <w:topLinePunct w:val="0"/>
        <w:bidi w:val="0"/>
        <w:adjustRightInd/>
        <w:snapToGrid/>
        <w:spacing w:before="0" w:line="600" w:lineRule="exact"/>
        <w:ind w:firstLine="640" w:firstLineChars="200"/>
        <w:textAlignment w:val="auto"/>
        <w:rPr>
          <w:rFonts w:hint="default" w:ascii="仿宋" w:hAnsi="仿宋" w:eastAsia="仿宋" w:cs="仿宋"/>
          <w:color w:val="auto"/>
          <w:kern w:val="0"/>
          <w:sz w:val="32"/>
          <w:szCs w:val="32"/>
          <w:highlight w:val="none"/>
          <w:shd w:val="clear" w:color="auto" w:fill="FFFFFF"/>
          <w:lang w:val="en-US" w:eastAsia="zh-CN" w:bidi="ar-SA"/>
        </w:rPr>
      </w:pPr>
      <w:r>
        <w:rPr>
          <w:rFonts w:hint="default" w:ascii="仿宋" w:hAnsi="仿宋" w:eastAsia="仿宋" w:cs="仿宋"/>
          <w:color w:val="auto"/>
          <w:kern w:val="0"/>
          <w:sz w:val="32"/>
          <w:szCs w:val="32"/>
          <w:highlight w:val="none"/>
          <w:shd w:val="clear" w:color="auto" w:fill="FFFFFF"/>
          <w:lang w:val="en-US" w:eastAsia="zh-CN" w:bidi="ar-SA"/>
        </w:rPr>
        <w:t>根据2020年铜川市国民经济和社会发展统计公报和2021年铜川市国民经济和社会发展统计公报公开内容，2020年铜川市全年地方一般公共预算收入25.01亿元，其中税收收入15.95亿元。2021年全市地方一般公共预算收入完成26.56亿元，其中税收收入18.60亿元。有效实现地区税收增加。</w:t>
      </w:r>
    </w:p>
    <w:p>
      <w:pPr>
        <w:pStyle w:val="2"/>
        <w:keepNext w:val="0"/>
        <w:keepLines w:val="0"/>
        <w:pageBreakBefore w:val="0"/>
        <w:widowControl w:val="0"/>
        <w:numPr>
          <w:ilvl w:val="0"/>
          <w:numId w:val="0"/>
        </w:numPr>
        <w:kinsoku/>
        <w:wordWrap/>
        <w:overflowPunct/>
        <w:topLinePunct w:val="0"/>
        <w:bidi w:val="0"/>
        <w:adjustRightInd/>
        <w:snapToGrid/>
        <w:spacing w:before="0" w:line="600" w:lineRule="exact"/>
        <w:ind w:firstLine="640" w:firstLineChars="200"/>
        <w:textAlignment w:val="auto"/>
        <w:rPr>
          <w:rFonts w:hint="default" w:ascii="仿宋" w:hAnsi="仿宋" w:eastAsia="仿宋" w:cs="仿宋"/>
          <w:color w:val="auto"/>
          <w:kern w:val="0"/>
          <w:sz w:val="32"/>
          <w:szCs w:val="32"/>
          <w:highlight w:val="none"/>
          <w:shd w:val="clear" w:color="auto" w:fill="FFFFFF"/>
          <w:lang w:val="en-US" w:eastAsia="zh-CN" w:bidi="ar-SA"/>
        </w:rPr>
      </w:pPr>
      <w:r>
        <w:rPr>
          <w:rFonts w:hint="default" w:ascii="仿宋" w:hAnsi="仿宋" w:eastAsia="仿宋" w:cs="仿宋"/>
          <w:color w:val="auto"/>
          <w:kern w:val="0"/>
          <w:sz w:val="32"/>
          <w:szCs w:val="32"/>
          <w:highlight w:val="none"/>
          <w:shd w:val="clear" w:color="auto" w:fill="FFFFFF"/>
          <w:lang w:val="en-US" w:eastAsia="zh-CN" w:bidi="ar-SA"/>
        </w:rPr>
        <w:t>结合部门整体支出绩效评价指标体系内容和评分标准，经综合评价，该项指标得分为2.5分。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3.服务对象</w:t>
      </w:r>
      <w:r>
        <w:rPr>
          <w:rFonts w:hint="eastAsia" w:ascii="仿宋" w:hAnsi="仿宋" w:eastAsia="仿宋" w:cs="仿宋"/>
          <w:color w:val="auto"/>
          <w:kern w:val="0"/>
          <w:sz w:val="32"/>
          <w:szCs w:val="32"/>
          <w:highlight w:val="none"/>
          <w:shd w:val="clear" w:color="auto" w:fill="FFFFFF"/>
          <w:lang w:val="en-US" w:eastAsia="zh-Hans"/>
        </w:rPr>
        <w:t>满意度</w:t>
      </w:r>
      <w:r>
        <w:rPr>
          <w:rFonts w:hint="eastAsia" w:ascii="仿宋" w:hAnsi="仿宋" w:eastAsia="仿宋" w:cs="仿宋"/>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对于服务对象满意度的评价，主要评价参会企业的满意度情况。针对参会企业发放20分调查问卷，回收20分，调查问卷有效率为100%，调查问卷经汇总统计后，按照如下方式计算分值：</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①Ai=（Q1+Q2）/20</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Ai（i=1、2、3、…5）:调查问卷中的第i个题项满意度比例。</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Q1:同一对象问卷调查中的对应问题的满意份数。</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Q2:同一对象问卷调查中的对应问题的较满意分数。</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②M=(A1+A2+A3+A4+A5)/5(i=1、2</w:t>
      </w:r>
      <w:r>
        <w:rPr>
          <w:rFonts w:hint="default" w:ascii="Arial" w:hAnsi="Arial" w:eastAsia="仿宋" w:cs="Arial"/>
          <w:color w:val="auto"/>
          <w:kern w:val="0"/>
          <w:sz w:val="32"/>
          <w:szCs w:val="32"/>
          <w:highlight w:val="none"/>
          <w:shd w:val="clear" w:color="auto" w:fill="FFFFFF"/>
          <w:lang w:val="en-US" w:eastAsia="zh-CN"/>
        </w:rPr>
        <w:t>…</w:t>
      </w:r>
      <w:r>
        <w:rPr>
          <w:rFonts w:hint="eastAsia" w:ascii="仿宋" w:hAnsi="仿宋" w:eastAsia="仿宋" w:cs="仿宋"/>
          <w:color w:val="auto"/>
          <w:kern w:val="0"/>
          <w:sz w:val="32"/>
          <w:szCs w:val="32"/>
          <w:highlight w:val="none"/>
          <w:shd w:val="clear" w:color="auto" w:fill="FFFFFF"/>
          <w:lang w:val="en-US" w:eastAsia="zh-CN"/>
        </w:rPr>
        <w:t>5)</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M:服务对象满意度比例。</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根据调查问卷收集情况相关数据和满意度调查分值计算公式统计如下：</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jc w:val="center"/>
        <w:textAlignment w:val="auto"/>
        <w:rPr>
          <w:rFonts w:hint="eastAsia" w:ascii="仿宋" w:hAnsi="仿宋" w:eastAsia="仿宋" w:cs="仿宋"/>
          <w:b/>
          <w:bCs/>
          <w:color w:val="auto"/>
          <w:kern w:val="0"/>
          <w:sz w:val="28"/>
          <w:szCs w:val="28"/>
          <w:highlight w:val="none"/>
          <w:shd w:val="clear" w:color="auto" w:fill="FFFFFF"/>
          <w:lang w:val="en-US" w:eastAsia="zh-CN"/>
        </w:rPr>
      </w:pPr>
      <w:r>
        <w:rPr>
          <w:rFonts w:hint="eastAsia" w:ascii="仿宋" w:hAnsi="仿宋" w:eastAsia="仿宋" w:cs="仿宋"/>
          <w:b/>
          <w:bCs/>
          <w:color w:val="auto"/>
          <w:kern w:val="0"/>
          <w:sz w:val="28"/>
          <w:szCs w:val="28"/>
          <w:highlight w:val="none"/>
          <w:shd w:val="clear" w:color="auto" w:fill="FFFFFF"/>
          <w:lang w:val="en-US" w:eastAsia="zh-CN"/>
        </w:rPr>
        <w:t>表4-1  服务对象满意度调查问卷统计表</w:t>
      </w:r>
    </w:p>
    <w:tbl>
      <w:tblPr>
        <w:tblStyle w:val="15"/>
        <w:tblW w:w="4975" w:type="pct"/>
        <w:tblInd w:w="0" w:type="dxa"/>
        <w:shd w:val="clear" w:color="auto" w:fill="auto"/>
        <w:tblLayout w:type="autofit"/>
        <w:tblCellMar>
          <w:top w:w="0" w:type="dxa"/>
          <w:left w:w="0" w:type="dxa"/>
          <w:bottom w:w="0" w:type="dxa"/>
          <w:right w:w="0" w:type="dxa"/>
        </w:tblCellMar>
      </w:tblPr>
      <w:tblGrid>
        <w:gridCol w:w="3920"/>
        <w:gridCol w:w="1268"/>
        <w:gridCol w:w="858"/>
        <w:gridCol w:w="992"/>
        <w:gridCol w:w="874"/>
        <w:gridCol w:w="874"/>
      </w:tblGrid>
      <w:tr>
        <w:tblPrEx>
          <w:shd w:val="clear" w:color="auto" w:fill="auto"/>
          <w:tblCellMar>
            <w:top w:w="0" w:type="dxa"/>
            <w:left w:w="0" w:type="dxa"/>
            <w:bottom w:w="0" w:type="dxa"/>
            <w:right w:w="0" w:type="dxa"/>
          </w:tblCellMar>
        </w:tblPrEx>
        <w:trPr>
          <w:trHeight w:val="500" w:hRule="atLeast"/>
        </w:trPr>
        <w:tc>
          <w:tcPr>
            <w:tcW w:w="223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问题项</w:t>
            </w:r>
          </w:p>
        </w:tc>
        <w:tc>
          <w:tcPr>
            <w:tcW w:w="72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rPr>
            </w:pPr>
            <w:r>
              <w:rPr>
                <w:rFonts w:hint="eastAsia" w:ascii="仿宋" w:hAnsi="仿宋" w:eastAsia="仿宋" w:cs="仿宋"/>
                <w:i w:val="0"/>
                <w:color w:val="000000"/>
                <w:kern w:val="0"/>
                <w:sz w:val="24"/>
                <w:szCs w:val="24"/>
                <w:u w:val="none"/>
                <w:lang w:val="en-US" w:eastAsia="zh-CN" w:bidi="ar"/>
              </w:rPr>
              <w:t>满意度比例</w:t>
            </w:r>
          </w:p>
        </w:tc>
        <w:tc>
          <w:tcPr>
            <w:tcW w:w="48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满意</w:t>
            </w:r>
          </w:p>
        </w:tc>
        <w:tc>
          <w:tcPr>
            <w:tcW w:w="56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比较满意</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一般</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不满意</w:t>
            </w:r>
          </w:p>
        </w:tc>
      </w:tr>
      <w:tr>
        <w:tblPrEx>
          <w:shd w:val="clear" w:color="auto" w:fill="auto"/>
          <w:tblCellMar>
            <w:top w:w="0" w:type="dxa"/>
            <w:left w:w="0" w:type="dxa"/>
            <w:bottom w:w="0" w:type="dxa"/>
            <w:right w:w="0" w:type="dxa"/>
          </w:tblCellMar>
        </w:tblPrEx>
        <w:trPr>
          <w:trHeight w:val="500" w:hRule="atLeast"/>
        </w:trPr>
        <w:tc>
          <w:tcPr>
            <w:tcW w:w="392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ind w:firstLine="480" w:firstLineChars="20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您对新区招商引资工作整体效果感觉怎么样？</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100.00%</w:t>
            </w:r>
          </w:p>
        </w:tc>
        <w:tc>
          <w:tcPr>
            <w:tcW w:w="8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20</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c>
          <w:tcPr>
            <w:tcW w:w="87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shd w:val="clear" w:color="auto" w:fill="auto"/>
          <w:tblCellMar>
            <w:top w:w="0" w:type="dxa"/>
            <w:left w:w="0" w:type="dxa"/>
            <w:bottom w:w="0" w:type="dxa"/>
            <w:right w:w="0" w:type="dxa"/>
          </w:tblCellMar>
        </w:tblPrEx>
        <w:trPr>
          <w:trHeight w:val="500" w:hRule="atLeast"/>
        </w:trPr>
        <w:tc>
          <w:tcPr>
            <w:tcW w:w="392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ind w:firstLine="480" w:firstLineChars="20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您觉得对外经济投资合作局举办的会展效果怎么样？</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100.00%</w:t>
            </w:r>
          </w:p>
        </w:tc>
        <w:tc>
          <w:tcPr>
            <w:tcW w:w="8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19</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87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shd w:val="clear" w:color="auto" w:fill="auto"/>
          <w:tblCellMar>
            <w:top w:w="0" w:type="dxa"/>
            <w:left w:w="0" w:type="dxa"/>
            <w:bottom w:w="0" w:type="dxa"/>
            <w:right w:w="0" w:type="dxa"/>
          </w:tblCellMar>
        </w:tblPrEx>
        <w:trPr>
          <w:trHeight w:val="500" w:hRule="atLeast"/>
        </w:trPr>
        <w:tc>
          <w:tcPr>
            <w:tcW w:w="392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ind w:firstLine="480" w:firstLineChars="20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您觉得新区招商引资的扶持政策怎么样？</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95.00%</w:t>
            </w:r>
          </w:p>
        </w:tc>
        <w:tc>
          <w:tcPr>
            <w:tcW w:w="8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18</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87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shd w:val="clear" w:color="auto" w:fill="auto"/>
          <w:tblCellMar>
            <w:top w:w="0" w:type="dxa"/>
            <w:left w:w="0" w:type="dxa"/>
            <w:bottom w:w="0" w:type="dxa"/>
            <w:right w:w="0" w:type="dxa"/>
          </w:tblCellMar>
        </w:tblPrEx>
        <w:trPr>
          <w:trHeight w:val="500" w:hRule="atLeast"/>
        </w:trPr>
        <w:tc>
          <w:tcPr>
            <w:tcW w:w="392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ind w:firstLine="480" w:firstLineChars="20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您觉得合作活动对企业的发展促进怎么样？</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95.00%</w:t>
            </w:r>
          </w:p>
        </w:tc>
        <w:tc>
          <w:tcPr>
            <w:tcW w:w="8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19</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c>
          <w:tcPr>
            <w:tcW w:w="87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shd w:val="clear" w:color="auto" w:fill="auto"/>
          <w:tblCellMar>
            <w:top w:w="0" w:type="dxa"/>
            <w:left w:w="0" w:type="dxa"/>
            <w:bottom w:w="0" w:type="dxa"/>
            <w:right w:w="0" w:type="dxa"/>
          </w:tblCellMar>
        </w:tblPrEx>
        <w:trPr>
          <w:trHeight w:val="500" w:hRule="atLeast"/>
        </w:trPr>
        <w:tc>
          <w:tcPr>
            <w:tcW w:w="392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ind w:firstLine="480" w:firstLineChars="20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您觉得新区招商引资宣传效果感觉怎么样？</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100.00%</w:t>
            </w:r>
          </w:p>
        </w:tc>
        <w:tc>
          <w:tcPr>
            <w:tcW w:w="8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18</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87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shd w:val="clear" w:color="auto" w:fill="auto"/>
          <w:tblCellMar>
            <w:top w:w="0" w:type="dxa"/>
            <w:left w:w="0" w:type="dxa"/>
            <w:bottom w:w="0" w:type="dxa"/>
            <w:right w:w="0" w:type="dxa"/>
          </w:tblCellMar>
        </w:tblPrEx>
        <w:trPr>
          <w:trHeight w:val="500" w:hRule="atLeast"/>
        </w:trPr>
        <w:tc>
          <w:tcPr>
            <w:tcW w:w="223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满意度</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98.00%</w:t>
            </w:r>
          </w:p>
        </w:tc>
        <w:tc>
          <w:tcPr>
            <w:tcW w:w="8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87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根据绩效评价指标体系和满意度调查问卷数据统计情况和分值计算公式，新区对外经济投资合作局服务对象满意度指标得分为5分。</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firstLine="640" w:firstLineChars="200"/>
        <w:jc w:val="both"/>
        <w:textAlignment w:val="auto"/>
        <w:outlineLvl w:val="0"/>
        <w:rPr>
          <w:rFonts w:hint="eastAsia" w:ascii="黑体" w:hAnsi="黑体" w:eastAsia="黑体" w:cs="黑体"/>
          <w:b w:val="0"/>
          <w:bCs w:val="0"/>
          <w:color w:val="auto"/>
          <w:kern w:val="0"/>
          <w:sz w:val="32"/>
          <w:szCs w:val="32"/>
          <w:highlight w:val="none"/>
          <w:shd w:val="clear" w:color="auto" w:fill="FFFFFF"/>
          <w:lang w:val="en-US" w:eastAsia="zh-CN"/>
        </w:rPr>
      </w:pPr>
      <w:bookmarkStart w:id="26" w:name="_Toc16209"/>
      <w:r>
        <w:rPr>
          <w:rFonts w:hint="eastAsia" w:ascii="黑体" w:hAnsi="黑体" w:eastAsia="黑体" w:cs="黑体"/>
          <w:b w:val="0"/>
          <w:bCs w:val="0"/>
          <w:color w:val="auto"/>
          <w:kern w:val="0"/>
          <w:sz w:val="32"/>
          <w:szCs w:val="32"/>
          <w:highlight w:val="none"/>
          <w:shd w:val="clear" w:color="auto" w:fill="FFFFFF"/>
          <w:lang w:val="en-US" w:eastAsia="zh-CN"/>
        </w:rPr>
        <w:t>主要经验及做法</w:t>
      </w:r>
      <w:bookmarkEnd w:id="26"/>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default"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通过对于2021年度新区对外经济投资合作局部门整体支出从目标设定、预算配置、预算执行、预算管理、资产管理、职责履行和社会效益、可持续影响、社会公众或服务对象满意度九个方面进行全面绩效评价，部门在如下方面有明显的突破和表现：</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1.绩效目标管理良好。202年初部门编制部门综合预算，同步编制部门整体绩效目标，根据部门年度工作任务进行细化分解产出、效益和满意度指标内容，明确年度内将要举办的相关活动内容、预期时间、期望指标值和参会内容和时间等与部门履职高度相关的各项工作目标。各项指标值充分量化、明确，工作产出效益指标值明确，目标指导性良好。部门整体支出绩效目标经财政部门批复后同步随部门综合预算予新区管委会管网等指定途径进行公开。</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default"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2.职责履行良好。部门及时保质保量完成年度工作任务安排，2021年度举办丝博会和百日招商推介会2场会议，主动参加京津冀精准招商引资活动、中国国际投资贸易洽谈会、陕西-长三角地区经济合作活动、陕-粤港澳经济合作活动、杨凌农高会等5场活动。</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default"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3.履职效益明显。通过招商引资，签约项目95个，涉及金额226.92亿元，市域外项目到位资金94.77亿元，排名全市第一。省级项目到位资金48.6亿元，实际利用外资完成797万美元，新增外资企业27户，其中台资企业24户，个体户3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0"/>
        <w:rPr>
          <w:rFonts w:hint="default" w:ascii="仿宋" w:hAnsi="仿宋" w:eastAsia="仿宋" w:cs="仿宋"/>
          <w:color w:val="auto"/>
          <w:kern w:val="0"/>
          <w:sz w:val="32"/>
          <w:szCs w:val="32"/>
          <w:highlight w:val="none"/>
          <w:shd w:val="clear" w:color="auto" w:fill="FFFFFF"/>
          <w:lang w:val="en-US" w:eastAsia="zh-CN"/>
        </w:rPr>
      </w:pPr>
      <w:bookmarkStart w:id="27" w:name="_Toc1742944595_WPSOffice_Level3"/>
      <w:bookmarkStart w:id="28" w:name="_Toc7003"/>
      <w:bookmarkStart w:id="29" w:name="_Toc315842793_WPSOffice_Level2"/>
      <w:bookmarkStart w:id="30" w:name="_Toc1464939341_WPSOffice_Level3"/>
      <w:r>
        <w:rPr>
          <w:rFonts w:hint="eastAsia" w:ascii="黑体" w:hAnsi="黑体" w:eastAsia="黑体" w:cs="黑体"/>
          <w:b w:val="0"/>
          <w:bCs w:val="0"/>
          <w:color w:val="auto"/>
          <w:kern w:val="0"/>
          <w:sz w:val="32"/>
          <w:szCs w:val="32"/>
          <w:highlight w:val="none"/>
          <w:shd w:val="clear" w:color="auto" w:fill="FFFFFF"/>
          <w:lang w:val="en-US" w:eastAsia="zh-CN"/>
        </w:rPr>
        <w:t>六、存在的问题</w:t>
      </w:r>
      <w:bookmarkEnd w:id="27"/>
      <w:bookmarkEnd w:id="28"/>
      <w:bookmarkEnd w:id="29"/>
      <w:bookmarkEnd w:id="30"/>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default" w:ascii="仿宋" w:hAnsi="仿宋" w:eastAsia="楷体" w:cs="仿宋"/>
          <w:color w:val="auto"/>
          <w:kern w:val="0"/>
          <w:sz w:val="32"/>
          <w:szCs w:val="32"/>
          <w:highlight w:val="none"/>
          <w:shd w:val="clear" w:color="auto" w:fill="FFFFFF"/>
          <w:lang w:val="en-US" w:eastAsia="zh-CN"/>
        </w:rPr>
      </w:pPr>
      <w:r>
        <w:rPr>
          <w:rFonts w:hint="eastAsia" w:ascii="楷体" w:hAnsi="楷体" w:eastAsia="楷体" w:cs="楷体"/>
          <w:b/>
          <w:bCs/>
          <w:color w:val="auto"/>
          <w:kern w:val="0"/>
          <w:sz w:val="32"/>
          <w:szCs w:val="32"/>
          <w:highlight w:val="none"/>
          <w:shd w:val="clear" w:color="auto" w:fill="FFFFFF"/>
          <w:lang w:val="en-US" w:eastAsia="zh-Hans"/>
        </w:rPr>
        <w:t>（</w:t>
      </w:r>
      <w:r>
        <w:rPr>
          <w:rFonts w:hint="eastAsia" w:ascii="楷体" w:hAnsi="楷体" w:eastAsia="楷体" w:cs="楷体"/>
          <w:b/>
          <w:bCs/>
          <w:color w:val="auto"/>
          <w:kern w:val="0"/>
          <w:sz w:val="32"/>
          <w:szCs w:val="32"/>
          <w:highlight w:val="none"/>
          <w:shd w:val="clear" w:color="auto" w:fill="FFFFFF"/>
          <w:lang w:val="en-US" w:eastAsia="zh-CN"/>
        </w:rPr>
        <w:t>一</w:t>
      </w:r>
      <w:r>
        <w:rPr>
          <w:rFonts w:hint="eastAsia" w:ascii="楷体" w:hAnsi="楷体" w:eastAsia="楷体" w:cs="楷体"/>
          <w:b/>
          <w:bCs/>
          <w:color w:val="auto"/>
          <w:kern w:val="0"/>
          <w:sz w:val="32"/>
          <w:szCs w:val="32"/>
          <w:highlight w:val="none"/>
          <w:shd w:val="clear" w:color="auto" w:fill="FFFFFF"/>
          <w:lang w:val="en-US" w:eastAsia="zh-Hans"/>
        </w:rPr>
        <w:t>）</w:t>
      </w:r>
      <w:r>
        <w:rPr>
          <w:rFonts w:hint="eastAsia" w:ascii="楷体" w:hAnsi="楷体" w:eastAsia="楷体" w:cs="楷体"/>
          <w:b/>
          <w:bCs/>
          <w:color w:val="auto"/>
          <w:kern w:val="0"/>
          <w:sz w:val="32"/>
          <w:szCs w:val="32"/>
          <w:highlight w:val="none"/>
          <w:shd w:val="clear" w:color="auto" w:fill="FFFFFF"/>
          <w:lang w:val="en-US" w:eastAsia="zh-CN"/>
        </w:rPr>
        <w:t>预算管理工作需进一步完善</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部门在年度预算执行过程中，部门预算调整率高达74%。相关预算调整数据主要体现在部门年度决算数据和文件中，未发现预算调整的相关批复文件等资料。主要原因在于部门年初对于预算编制的合理性控制需进一步提升，相关预算编制多以历史标准为主，对年度工作计划所涉及的预算安排和资金测算重视度不足，预算执行过程中，发生的预算调整，多以临时性、突发性任务引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default" w:ascii="楷体" w:hAnsi="楷体" w:eastAsia="楷体" w:cs="楷体"/>
          <w:b/>
          <w:bCs/>
          <w:color w:val="auto"/>
          <w:kern w:val="0"/>
          <w:sz w:val="32"/>
          <w:szCs w:val="32"/>
          <w:highlight w:val="none"/>
          <w:shd w:val="clear" w:color="auto" w:fill="FFFFFF"/>
          <w:lang w:val="en-US" w:eastAsia="zh-CN"/>
        </w:rPr>
      </w:pPr>
      <w:r>
        <w:rPr>
          <w:rFonts w:hint="eastAsia" w:ascii="楷体" w:hAnsi="楷体" w:eastAsia="楷体" w:cs="楷体"/>
          <w:b/>
          <w:bCs/>
          <w:color w:val="auto"/>
          <w:kern w:val="0"/>
          <w:sz w:val="32"/>
          <w:szCs w:val="32"/>
          <w:highlight w:val="none"/>
          <w:shd w:val="clear" w:color="auto" w:fill="FFFFFF"/>
          <w:lang w:val="en-US" w:eastAsia="zh-CN"/>
        </w:rPr>
        <w:t>（二</w:t>
      </w:r>
      <w:r>
        <w:rPr>
          <w:rFonts w:hint="eastAsia" w:ascii="楷体" w:hAnsi="楷体" w:eastAsia="楷体" w:cs="楷体"/>
          <w:b/>
          <w:bCs/>
          <w:color w:val="auto"/>
          <w:kern w:val="0"/>
          <w:sz w:val="32"/>
          <w:szCs w:val="32"/>
          <w:highlight w:val="none"/>
          <w:shd w:val="clear" w:color="auto" w:fill="FFFFFF"/>
          <w:lang w:val="en-US" w:eastAsia="zh-Hans"/>
        </w:rPr>
        <w:t>）</w:t>
      </w:r>
      <w:r>
        <w:rPr>
          <w:rFonts w:hint="eastAsia" w:ascii="楷体" w:hAnsi="楷体" w:eastAsia="楷体" w:cs="楷体"/>
          <w:b/>
          <w:bCs/>
          <w:color w:val="auto"/>
          <w:kern w:val="0"/>
          <w:sz w:val="32"/>
          <w:szCs w:val="32"/>
          <w:highlight w:val="none"/>
          <w:shd w:val="clear" w:color="auto" w:fill="FFFFFF"/>
          <w:lang w:val="en-US" w:eastAsia="zh-CN"/>
        </w:rPr>
        <w:t>部门公用经费控制需进一步提升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2021年度部门公用经费支出预算数为5万元，年终决算时，年度公用经费支出决算数据为8万元，出现超预算支出。公用经费相比年初预算安排，产生预算调整，实际支出超出年初预算安排。主要原因在于部门对于运行成本控制的力度和措施有待提升，成本管理相关制度和体制机制有待完善。</w:t>
      </w:r>
    </w:p>
    <w:p>
      <w:pPr>
        <w:pStyle w:val="2"/>
        <w:numPr>
          <w:ilvl w:val="0"/>
          <w:numId w:val="0"/>
        </w:numPr>
        <w:ind w:firstLine="643" w:firstLineChars="200"/>
        <w:rPr>
          <w:rFonts w:hint="eastAsia" w:ascii="楷体" w:hAnsi="楷体" w:eastAsia="楷体" w:cs="楷体"/>
          <w:b/>
          <w:bCs/>
          <w:color w:val="auto"/>
          <w:kern w:val="0"/>
          <w:sz w:val="32"/>
          <w:szCs w:val="32"/>
          <w:highlight w:val="none"/>
          <w:shd w:val="clear" w:color="auto" w:fill="FFFFFF"/>
          <w:lang w:val="en-US" w:eastAsia="zh-CN" w:bidi="ar-SA"/>
        </w:rPr>
      </w:pPr>
      <w:r>
        <w:rPr>
          <w:rFonts w:hint="eastAsia" w:ascii="楷体" w:hAnsi="楷体" w:eastAsia="楷体" w:cs="楷体"/>
          <w:b/>
          <w:bCs/>
          <w:color w:val="auto"/>
          <w:kern w:val="0"/>
          <w:sz w:val="32"/>
          <w:szCs w:val="32"/>
          <w:highlight w:val="none"/>
          <w:shd w:val="clear" w:color="auto" w:fill="FFFFFF"/>
          <w:lang w:val="en-US" w:eastAsia="zh-CN" w:bidi="ar-SA"/>
        </w:rPr>
        <w:t>（三）政府采购管理需进一步强化</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leftChars="0"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SA"/>
        </w:rPr>
      </w:pPr>
      <w:r>
        <w:rPr>
          <w:rFonts w:hint="default" w:ascii="仿宋" w:hAnsi="仿宋" w:eastAsia="仿宋" w:cs="仿宋"/>
          <w:color w:val="auto"/>
          <w:kern w:val="0"/>
          <w:sz w:val="32"/>
          <w:szCs w:val="32"/>
          <w:highlight w:val="none"/>
          <w:shd w:val="clear" w:color="auto" w:fill="FFFFFF"/>
          <w:lang w:val="en-US" w:eastAsia="zh-CN" w:bidi="ar-SA"/>
        </w:rPr>
        <w:t>根据铜川市新区对外经济投资合作局2021</w:t>
      </w:r>
      <w:r>
        <w:rPr>
          <w:rFonts w:hint="eastAsia" w:ascii="仿宋" w:hAnsi="仿宋" w:eastAsia="仿宋" w:cs="仿宋"/>
          <w:color w:val="auto"/>
          <w:kern w:val="0"/>
          <w:sz w:val="32"/>
          <w:szCs w:val="32"/>
          <w:highlight w:val="none"/>
          <w:shd w:val="clear" w:color="auto" w:fill="FFFFFF"/>
          <w:lang w:val="en-US" w:eastAsia="zh-CN" w:bidi="ar-SA"/>
        </w:rPr>
        <w:t>年初编制部门综合预算中未安排政府采购预算。部门履职过程中，根据部门实际履职所需，2021</w:t>
      </w:r>
      <w:r>
        <w:rPr>
          <w:rFonts w:hint="default" w:ascii="仿宋" w:hAnsi="仿宋" w:eastAsia="仿宋" w:cs="仿宋"/>
          <w:color w:val="auto"/>
          <w:kern w:val="0"/>
          <w:sz w:val="32"/>
          <w:szCs w:val="32"/>
          <w:highlight w:val="none"/>
          <w:shd w:val="clear" w:color="auto" w:fill="FFFFFF"/>
          <w:lang w:val="en-US" w:eastAsia="zh-CN" w:bidi="ar-SA"/>
        </w:rPr>
        <w:t>年6月17日制定</w:t>
      </w:r>
      <w:r>
        <w:rPr>
          <w:rFonts w:hint="eastAsia" w:ascii="仿宋" w:hAnsi="仿宋" w:eastAsia="仿宋" w:cs="仿宋"/>
          <w:color w:val="auto"/>
          <w:kern w:val="0"/>
          <w:sz w:val="32"/>
          <w:szCs w:val="32"/>
          <w:highlight w:val="none"/>
          <w:shd w:val="clear" w:color="auto" w:fill="FFFFFF"/>
          <w:lang w:val="en-US" w:eastAsia="zh-CN" w:bidi="ar-SA"/>
        </w:rPr>
        <w:t>部门政府采购计划</w:t>
      </w:r>
      <w:r>
        <w:rPr>
          <w:rFonts w:hint="default" w:ascii="仿宋" w:hAnsi="仿宋" w:eastAsia="仿宋" w:cs="仿宋"/>
          <w:color w:val="auto"/>
          <w:kern w:val="0"/>
          <w:sz w:val="32"/>
          <w:szCs w:val="32"/>
          <w:highlight w:val="none"/>
          <w:shd w:val="clear" w:color="auto" w:fill="FFFFFF"/>
          <w:lang w:val="en-US" w:eastAsia="zh-CN" w:bidi="ar-SA"/>
        </w:rPr>
        <w:t>，</w:t>
      </w:r>
      <w:r>
        <w:rPr>
          <w:rFonts w:hint="eastAsia" w:ascii="仿宋" w:hAnsi="仿宋" w:eastAsia="仿宋" w:cs="仿宋"/>
          <w:color w:val="auto"/>
          <w:kern w:val="0"/>
          <w:sz w:val="32"/>
          <w:szCs w:val="32"/>
          <w:highlight w:val="none"/>
          <w:shd w:val="clear" w:color="auto" w:fill="FFFFFF"/>
          <w:lang w:val="en-US" w:eastAsia="zh-CN" w:bidi="ar-SA"/>
        </w:rPr>
        <w:t>详列采购标的和采购预算，</w:t>
      </w:r>
      <w:r>
        <w:rPr>
          <w:rFonts w:hint="default" w:ascii="仿宋" w:hAnsi="仿宋" w:eastAsia="仿宋" w:cs="仿宋"/>
          <w:color w:val="auto"/>
          <w:kern w:val="0"/>
          <w:sz w:val="32"/>
          <w:szCs w:val="32"/>
          <w:highlight w:val="none"/>
          <w:shd w:val="clear" w:color="auto" w:fill="FFFFFF"/>
          <w:lang w:val="en-US" w:eastAsia="zh-CN" w:bidi="ar-SA"/>
        </w:rPr>
        <w:t>计划采购2台台式电脑，采购预算1万元</w:t>
      </w:r>
      <w:r>
        <w:rPr>
          <w:rFonts w:hint="eastAsia" w:ascii="仿宋" w:hAnsi="仿宋" w:eastAsia="仿宋" w:cs="仿宋"/>
          <w:color w:val="auto"/>
          <w:kern w:val="0"/>
          <w:sz w:val="32"/>
          <w:szCs w:val="32"/>
          <w:highlight w:val="none"/>
          <w:shd w:val="clear" w:color="auto" w:fill="FFFFFF"/>
          <w:lang w:val="en-US" w:eastAsia="zh-CN" w:bidi="ar-SA"/>
        </w:rPr>
        <w:t>。</w:t>
      </w:r>
      <w:r>
        <w:rPr>
          <w:rFonts w:hint="default" w:ascii="仿宋" w:hAnsi="仿宋" w:eastAsia="仿宋" w:cs="仿宋"/>
          <w:color w:val="auto"/>
          <w:kern w:val="0"/>
          <w:sz w:val="32"/>
          <w:szCs w:val="32"/>
          <w:highlight w:val="none"/>
          <w:shd w:val="clear" w:color="auto" w:fill="FFFFFF"/>
          <w:lang w:val="en-US" w:eastAsia="zh-CN" w:bidi="ar-SA"/>
        </w:rPr>
        <w:t>结合铜川市瑞丰科技有限公司与新区对外经济投资合作局签订的采购合同内容，2台一体机合计支出9300元。</w:t>
      </w:r>
      <w:r>
        <w:rPr>
          <w:rFonts w:hint="eastAsia" w:ascii="仿宋" w:hAnsi="仿宋" w:eastAsia="仿宋" w:cs="仿宋"/>
          <w:color w:val="auto"/>
          <w:kern w:val="0"/>
          <w:sz w:val="32"/>
          <w:szCs w:val="32"/>
          <w:highlight w:val="none"/>
          <w:shd w:val="clear" w:color="auto" w:fill="FFFFFF"/>
          <w:lang w:val="en-US" w:eastAsia="zh-CN" w:bidi="ar-SA"/>
        </w:rPr>
        <w:t>政府采购执行率93%。主要原因在于一是政府采购的相关需求多为年度履职过程中根据实际需求的临时性、偶发性工作，对于政府采购货物、服务和工程等计划的明确程度不足。二是对政府采购预算测算的合理性需进一步提高，提升采购标的市场调研深度，在保证产品符合部门需求和标准的基础上，充分调研同类型产品市场价格，提升政府采购预算的精确度和准确性，提高资金使用效率。</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3" w:firstLineChars="200"/>
        <w:textAlignment w:val="auto"/>
        <w:rPr>
          <w:rFonts w:hint="default" w:ascii="楷体" w:hAnsi="楷体" w:eastAsia="楷体" w:cs="楷体"/>
          <w:b/>
          <w:bCs/>
          <w:color w:val="auto"/>
          <w:kern w:val="0"/>
          <w:sz w:val="32"/>
          <w:szCs w:val="32"/>
          <w:highlight w:val="none"/>
          <w:shd w:val="clear" w:color="auto" w:fill="FFFFFF"/>
          <w:lang w:val="en-US" w:eastAsia="zh-CN" w:bidi="ar-SA"/>
        </w:rPr>
      </w:pPr>
      <w:r>
        <w:rPr>
          <w:rFonts w:hint="eastAsia" w:ascii="楷体" w:hAnsi="楷体" w:eastAsia="楷体" w:cs="楷体"/>
          <w:b/>
          <w:bCs/>
          <w:color w:val="auto"/>
          <w:kern w:val="0"/>
          <w:sz w:val="32"/>
          <w:szCs w:val="32"/>
          <w:highlight w:val="none"/>
          <w:shd w:val="clear" w:color="auto" w:fill="FFFFFF"/>
          <w:lang w:val="en-US" w:eastAsia="zh-CN" w:bidi="ar-SA"/>
        </w:rPr>
        <w:t>（四）财务管理制度文件需进一步健全</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default" w:ascii="仿宋" w:hAnsi="仿宋" w:eastAsia="仿宋" w:cs="仿宋"/>
          <w:color w:val="auto"/>
          <w:kern w:val="0"/>
          <w:sz w:val="32"/>
          <w:szCs w:val="32"/>
          <w:highlight w:val="none"/>
          <w:shd w:val="clear" w:color="auto" w:fill="FFFFFF"/>
          <w:lang w:val="en-US" w:eastAsia="zh-CN" w:bidi="ar-SA"/>
        </w:rPr>
      </w:pPr>
      <w:r>
        <w:rPr>
          <w:rFonts w:hint="default" w:ascii="仿宋" w:hAnsi="仿宋" w:eastAsia="仿宋" w:cs="仿宋"/>
          <w:color w:val="auto"/>
          <w:kern w:val="0"/>
          <w:sz w:val="32"/>
          <w:szCs w:val="32"/>
          <w:highlight w:val="none"/>
          <w:shd w:val="clear" w:color="auto" w:fill="FFFFFF"/>
          <w:lang w:val="en-US" w:eastAsia="zh-CN" w:bidi="ar-SA"/>
        </w:rPr>
        <w:t>新区对外经济投资合作局</w:t>
      </w:r>
      <w:r>
        <w:rPr>
          <w:rFonts w:hint="eastAsia" w:ascii="仿宋" w:hAnsi="仿宋" w:eastAsia="仿宋" w:cs="仿宋"/>
          <w:color w:val="auto"/>
          <w:kern w:val="0"/>
          <w:sz w:val="32"/>
          <w:szCs w:val="32"/>
          <w:highlight w:val="none"/>
          <w:shd w:val="clear" w:color="auto" w:fill="FFFFFF"/>
          <w:lang w:val="en-US" w:eastAsia="zh-CN" w:bidi="ar-SA"/>
        </w:rPr>
        <w:t>财务管理制度包括联签会审制度、经费开支报销规定、固定资产管理、政府采购管理等内容，缺乏预算绩效管理相关制度。主要原因在于部门绩效意识薄弱，对于财政资金“重支出、轻绩效”，对预算绩效一体化的重视程度和认知程度不足，财务管理制度多沿用以前的相关制度，未随行业发展和财政政策要求同步健全财务管理制度相关内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0"/>
        <w:rPr>
          <w:rFonts w:hint="eastAsia" w:ascii="黑体" w:hAnsi="黑体" w:eastAsia="黑体" w:cs="黑体"/>
          <w:b w:val="0"/>
          <w:bCs w:val="0"/>
          <w:color w:val="auto"/>
          <w:kern w:val="0"/>
          <w:sz w:val="32"/>
          <w:szCs w:val="32"/>
          <w:highlight w:val="none"/>
          <w:shd w:val="clear" w:color="auto" w:fill="FFFFFF"/>
          <w:lang w:val="en-US" w:eastAsia="zh-Hans"/>
        </w:rPr>
      </w:pPr>
      <w:bookmarkStart w:id="31" w:name="_Toc28892"/>
      <w:r>
        <w:rPr>
          <w:rFonts w:hint="eastAsia" w:ascii="黑体" w:hAnsi="黑体" w:eastAsia="黑体" w:cs="黑体"/>
          <w:b w:val="0"/>
          <w:bCs w:val="0"/>
          <w:color w:val="auto"/>
          <w:kern w:val="0"/>
          <w:sz w:val="32"/>
          <w:szCs w:val="32"/>
          <w:highlight w:val="none"/>
          <w:shd w:val="clear" w:color="auto" w:fill="FFFFFF"/>
          <w:lang w:val="en-US" w:eastAsia="zh-CN"/>
        </w:rPr>
        <w:t>七</w:t>
      </w:r>
      <w:r>
        <w:rPr>
          <w:rFonts w:hint="eastAsia" w:ascii="黑体" w:hAnsi="黑体" w:eastAsia="黑体" w:cs="黑体"/>
          <w:b w:val="0"/>
          <w:bCs w:val="0"/>
          <w:color w:val="auto"/>
          <w:kern w:val="0"/>
          <w:sz w:val="32"/>
          <w:szCs w:val="32"/>
          <w:highlight w:val="none"/>
          <w:shd w:val="clear" w:color="auto" w:fill="FFFFFF"/>
          <w:lang w:val="en-US" w:eastAsia="zh-Hans"/>
        </w:rPr>
        <w:t>、相关建议</w:t>
      </w:r>
      <w:bookmarkEnd w:id="31"/>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default" w:ascii="楷体" w:hAnsi="楷体" w:eastAsia="楷体" w:cs="楷体"/>
          <w:b/>
          <w:bCs/>
          <w:color w:val="auto"/>
          <w:kern w:val="0"/>
          <w:sz w:val="32"/>
          <w:szCs w:val="32"/>
          <w:highlight w:val="none"/>
          <w:shd w:val="clear" w:color="auto" w:fill="FFFFFF"/>
          <w:lang w:val="en-US" w:eastAsia="zh-CN"/>
        </w:rPr>
      </w:pPr>
      <w:bookmarkStart w:id="32" w:name="_Toc994383943_WPSOffice_Level2"/>
      <w:bookmarkStart w:id="33" w:name="_Toc842199943_WPSOffice_Level2"/>
      <w:bookmarkStart w:id="34" w:name="_Toc1462379935_WPSOffice_Level2"/>
      <w:r>
        <w:rPr>
          <w:rFonts w:hint="eastAsia" w:ascii="楷体" w:hAnsi="楷体" w:eastAsia="楷体" w:cs="楷体"/>
          <w:b/>
          <w:bCs/>
          <w:color w:val="auto"/>
          <w:kern w:val="0"/>
          <w:sz w:val="32"/>
          <w:szCs w:val="32"/>
          <w:highlight w:val="none"/>
          <w:shd w:val="clear" w:color="auto" w:fill="FFFFFF"/>
          <w:lang w:val="en-US" w:eastAsia="zh-Hans"/>
        </w:rPr>
        <w:t>（</w:t>
      </w:r>
      <w:r>
        <w:rPr>
          <w:rFonts w:hint="eastAsia" w:ascii="楷体" w:hAnsi="楷体" w:eastAsia="楷体" w:cs="楷体"/>
          <w:b/>
          <w:bCs/>
          <w:color w:val="auto"/>
          <w:kern w:val="0"/>
          <w:sz w:val="32"/>
          <w:szCs w:val="32"/>
          <w:highlight w:val="none"/>
          <w:shd w:val="clear" w:color="auto" w:fill="FFFFFF"/>
          <w:lang w:val="en-US" w:eastAsia="zh-CN"/>
        </w:rPr>
        <w:t>一</w:t>
      </w:r>
      <w:r>
        <w:rPr>
          <w:rFonts w:hint="eastAsia" w:ascii="楷体" w:hAnsi="楷体" w:eastAsia="楷体" w:cs="楷体"/>
          <w:b/>
          <w:bCs/>
          <w:color w:val="auto"/>
          <w:kern w:val="0"/>
          <w:sz w:val="32"/>
          <w:szCs w:val="32"/>
          <w:highlight w:val="none"/>
          <w:shd w:val="clear" w:color="auto" w:fill="FFFFFF"/>
          <w:lang w:val="en-US" w:eastAsia="zh-Hans"/>
        </w:rPr>
        <w:t>）</w:t>
      </w:r>
      <w:r>
        <w:rPr>
          <w:rFonts w:hint="eastAsia" w:ascii="楷体" w:hAnsi="楷体" w:eastAsia="楷体" w:cs="楷体"/>
          <w:b/>
          <w:bCs/>
          <w:color w:val="auto"/>
          <w:kern w:val="0"/>
          <w:sz w:val="32"/>
          <w:szCs w:val="32"/>
          <w:highlight w:val="none"/>
          <w:shd w:val="clear" w:color="auto" w:fill="FFFFFF"/>
          <w:lang w:val="en-US" w:eastAsia="zh-CN"/>
        </w:rPr>
        <w:t>加强预算执行监控，完善预算调整工作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建议预算部门建立健全预算执行监控体制机制，针对预算执行进度和绩效目标实现程度开展监控，落实部门预算执行监控主体责任，加强部门“日常监控”+“重点监控”双监控机制，定期进行预算执行监控分析。主要从两个方面和维度进行监控，一是预算执行进度和绩效目标实现程度。二是对部门预算调整和年初预算偏离情况进行系统监控，根据预算调整内容，按照预算绩效管理相关政策文件、管理办法实行规范管理。对于需要做资金调整的项目尽快及时调整，并同步调整预算和绩效目标内容。财政部门加强对预算部门重点监控，对出现预算执行偏差严重情况，重点监控，分析原因，督促整改，后续进行重点监控和定期汇报。通过预算执行监控机制，不断提升预算资金使用效率，优化财政支出结构。</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default" w:ascii="楷体" w:hAnsi="楷体" w:eastAsia="楷体" w:cs="楷体"/>
          <w:b/>
          <w:bCs/>
          <w:color w:val="auto"/>
          <w:kern w:val="0"/>
          <w:sz w:val="32"/>
          <w:szCs w:val="32"/>
          <w:highlight w:val="none"/>
          <w:shd w:val="clear" w:color="auto" w:fill="FFFFFF"/>
          <w:lang w:val="en-US" w:eastAsia="zh-CN"/>
        </w:rPr>
      </w:pPr>
      <w:r>
        <w:rPr>
          <w:rFonts w:hint="eastAsia" w:ascii="楷体" w:hAnsi="楷体" w:eastAsia="楷体" w:cs="楷体"/>
          <w:b/>
          <w:bCs/>
          <w:color w:val="auto"/>
          <w:kern w:val="0"/>
          <w:sz w:val="32"/>
          <w:szCs w:val="32"/>
          <w:highlight w:val="none"/>
          <w:shd w:val="clear" w:color="auto" w:fill="FFFFFF"/>
          <w:lang w:val="en-US" w:eastAsia="zh-Hans"/>
        </w:rPr>
        <w:t>（</w:t>
      </w:r>
      <w:r>
        <w:rPr>
          <w:rFonts w:hint="eastAsia" w:ascii="楷体" w:hAnsi="楷体" w:eastAsia="楷体" w:cs="楷体"/>
          <w:b/>
          <w:bCs/>
          <w:color w:val="auto"/>
          <w:kern w:val="0"/>
          <w:sz w:val="32"/>
          <w:szCs w:val="32"/>
          <w:highlight w:val="none"/>
          <w:shd w:val="clear" w:color="auto" w:fill="FFFFFF"/>
          <w:lang w:val="en-US" w:eastAsia="zh-CN"/>
        </w:rPr>
        <w:t>二</w:t>
      </w:r>
      <w:r>
        <w:rPr>
          <w:rFonts w:hint="eastAsia" w:ascii="楷体" w:hAnsi="楷体" w:eastAsia="楷体" w:cs="楷体"/>
          <w:b/>
          <w:bCs/>
          <w:color w:val="auto"/>
          <w:kern w:val="0"/>
          <w:sz w:val="32"/>
          <w:szCs w:val="32"/>
          <w:highlight w:val="none"/>
          <w:shd w:val="clear" w:color="auto" w:fill="FFFFFF"/>
          <w:lang w:val="en-US" w:eastAsia="zh-Hans"/>
        </w:rPr>
        <w:t>）</w:t>
      </w:r>
      <w:r>
        <w:rPr>
          <w:rFonts w:hint="eastAsia" w:ascii="楷体" w:hAnsi="楷体" w:eastAsia="楷体" w:cs="楷体"/>
          <w:b/>
          <w:bCs/>
          <w:color w:val="auto"/>
          <w:kern w:val="0"/>
          <w:sz w:val="32"/>
          <w:szCs w:val="32"/>
          <w:highlight w:val="none"/>
          <w:shd w:val="clear" w:color="auto" w:fill="FFFFFF"/>
          <w:lang w:val="en-US" w:eastAsia="zh-CN"/>
        </w:rPr>
        <w:t>加强部门成本控制，落实“过紧日子”思想</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建议部门不断加强“公用经费”、“会议费”、“三公经费”等费用支出控制，避免出现超预算支出、过度支出等情况。</w:t>
      </w:r>
      <w:bookmarkEnd w:id="32"/>
      <w:bookmarkEnd w:id="33"/>
      <w:bookmarkEnd w:id="34"/>
      <w:r>
        <w:rPr>
          <w:rFonts w:hint="eastAsia" w:ascii="仿宋" w:hAnsi="仿宋" w:eastAsia="仿宋" w:cs="仿宋"/>
          <w:color w:val="auto"/>
          <w:kern w:val="0"/>
          <w:sz w:val="32"/>
          <w:szCs w:val="32"/>
          <w:highlight w:val="none"/>
          <w:shd w:val="clear" w:color="auto" w:fill="FFFFFF"/>
          <w:lang w:val="en-US" w:eastAsia="zh-CN"/>
        </w:rPr>
        <w:t>在保部门运转的基础上，合理控制运行成本支出，增加重点项目、重点工作支出安排，提升财政资金使用效益。</w:t>
      </w:r>
    </w:p>
    <w:p>
      <w:pPr>
        <w:pStyle w:val="2"/>
        <w:numPr>
          <w:ilvl w:val="0"/>
          <w:numId w:val="3"/>
        </w:numPr>
        <w:ind w:left="0" w:leftChars="0" w:firstLine="643" w:firstLineChars="200"/>
        <w:rPr>
          <w:rFonts w:hint="eastAsia" w:ascii="楷体" w:hAnsi="楷体" w:eastAsia="楷体" w:cs="楷体"/>
          <w:b/>
          <w:bCs/>
          <w:color w:val="auto"/>
          <w:kern w:val="0"/>
          <w:sz w:val="32"/>
          <w:szCs w:val="32"/>
          <w:highlight w:val="none"/>
          <w:shd w:val="clear" w:color="auto" w:fill="FFFFFF"/>
          <w:lang w:val="en-US" w:eastAsia="zh-CN" w:bidi="ar-SA"/>
        </w:rPr>
      </w:pPr>
      <w:r>
        <w:rPr>
          <w:rFonts w:hint="eastAsia" w:ascii="楷体" w:hAnsi="楷体" w:eastAsia="楷体" w:cs="楷体"/>
          <w:b/>
          <w:bCs/>
          <w:color w:val="auto"/>
          <w:kern w:val="0"/>
          <w:sz w:val="32"/>
          <w:szCs w:val="32"/>
          <w:highlight w:val="none"/>
          <w:shd w:val="clear" w:color="auto" w:fill="FFFFFF"/>
          <w:lang w:val="en-US" w:eastAsia="zh-CN" w:bidi="ar-SA"/>
        </w:rPr>
        <w:t>强化部门采购管理，做好部门采购计划编制</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eastAsia" w:ascii="黑体" w:hAnsi="黑体" w:eastAsia="黑体" w:cs="黑体"/>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bidi="ar-SA"/>
        </w:rPr>
        <w:t>建议部门年初系统梳理年度目标和工作任务，对标部门基础数据和信息支撑。梳理部门采购需求清单，评估采购计划合理性，开展深入市场调研，提升采购预算编制合理性和可行性，提高资金使用效率，优化财政资源配置。</w:t>
      </w:r>
      <w:bookmarkStart w:id="35" w:name="_Toc7790"/>
    </w:p>
    <w:p>
      <w:pPr>
        <w:pStyle w:val="2"/>
        <w:numPr>
          <w:ilvl w:val="0"/>
          <w:numId w:val="3"/>
        </w:numPr>
        <w:ind w:left="0" w:leftChars="0" w:firstLine="643" w:firstLineChars="200"/>
        <w:rPr>
          <w:rFonts w:hint="default" w:ascii="楷体" w:hAnsi="楷体" w:eastAsia="楷体" w:cs="楷体"/>
          <w:b/>
          <w:bCs/>
          <w:color w:val="auto"/>
          <w:kern w:val="0"/>
          <w:sz w:val="32"/>
          <w:szCs w:val="32"/>
          <w:highlight w:val="none"/>
          <w:shd w:val="clear" w:color="auto" w:fill="FFFFFF"/>
          <w:lang w:val="en-US" w:eastAsia="zh-CN" w:bidi="ar-SA"/>
        </w:rPr>
      </w:pPr>
      <w:r>
        <w:rPr>
          <w:rFonts w:hint="eastAsia" w:ascii="楷体" w:hAnsi="楷体" w:eastAsia="楷体" w:cs="楷体"/>
          <w:b/>
          <w:bCs/>
          <w:color w:val="auto"/>
          <w:kern w:val="0"/>
          <w:sz w:val="32"/>
          <w:szCs w:val="32"/>
          <w:highlight w:val="none"/>
          <w:shd w:val="clear" w:color="auto" w:fill="FFFFFF"/>
          <w:lang w:val="en-US" w:eastAsia="zh-CN" w:bidi="ar-SA"/>
        </w:rPr>
        <w:t>健全财务管理制度，提升预算绩效管理一体化</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default" w:ascii="楷体" w:hAnsi="楷体" w:eastAsia="楷体" w:cs="楷体"/>
          <w:b/>
          <w:bCs/>
          <w:color w:val="auto"/>
          <w:kern w:val="0"/>
          <w:sz w:val="32"/>
          <w:szCs w:val="32"/>
          <w:highlight w:val="none"/>
          <w:shd w:val="clear" w:color="auto" w:fill="FFFFFF"/>
          <w:lang w:val="en-US" w:eastAsia="zh-CN" w:bidi="ar-SA"/>
        </w:rPr>
        <w:sectPr>
          <w:footerReference r:id="rId5" w:type="default"/>
          <w:pgSz w:w="11910" w:h="16840"/>
          <w:pgMar w:top="2098" w:right="1474" w:bottom="1984" w:left="1587" w:header="1017" w:footer="1206" w:gutter="0"/>
          <w:pgNumType w:fmt="numberInDash"/>
          <w:cols w:equalWidth="0" w:num="1">
            <w:col w:w="8810"/>
          </w:cols>
          <w:docGrid w:linePitch="326" w:charSpace="0"/>
        </w:sectPr>
      </w:pPr>
      <w:r>
        <w:rPr>
          <w:rFonts w:hint="eastAsia" w:ascii="仿宋" w:hAnsi="仿宋" w:eastAsia="仿宋" w:cs="仿宋"/>
          <w:color w:val="auto"/>
          <w:kern w:val="0"/>
          <w:sz w:val="32"/>
          <w:szCs w:val="32"/>
          <w:highlight w:val="none"/>
          <w:shd w:val="clear" w:color="auto" w:fill="FFFFFF"/>
          <w:lang w:val="en-US" w:eastAsia="zh-CN" w:bidi="ar-SA"/>
        </w:rPr>
        <w:t>建议部门加强部门财务管理制度健全机制，根据行业和财政相关政策要求，及时完善、健全部门财务管理制度内容，加强预算绩效管理工作开展，建立预算绩效管理制度，制定符合“三全”要求的预算绩效管理机制，提升部门绩效意识，不断推动预算绩效一体化。建立以支出绩效为导向的财政资金使用机制，在保障部门正常运转的基础上，不断提升财政资金的使用效益。</w:t>
      </w:r>
    </w:p>
    <w:p>
      <w:pPr>
        <w:widowControl w:val="0"/>
        <w:numPr>
          <w:ilvl w:val="0"/>
          <w:numId w:val="0"/>
        </w:numPr>
        <w:jc w:val="both"/>
        <w:outlineLvl w:val="0"/>
        <w:rPr>
          <w:rFonts w:hint="eastAsia" w:ascii="黑体" w:hAnsi="黑体" w:eastAsia="黑体" w:cs="黑体"/>
          <w:color w:val="auto"/>
          <w:kern w:val="0"/>
          <w:sz w:val="32"/>
          <w:szCs w:val="32"/>
          <w:highlight w:val="none"/>
          <w:shd w:val="clear" w:color="auto" w:fill="FFFFFF"/>
          <w:lang w:val="en-US" w:eastAsia="zh-CN"/>
        </w:rPr>
      </w:pPr>
      <w:r>
        <w:rPr>
          <w:rFonts w:hint="eastAsia" w:ascii="黑体" w:hAnsi="黑体" w:eastAsia="黑体" w:cs="黑体"/>
          <w:color w:val="auto"/>
          <w:kern w:val="0"/>
          <w:sz w:val="32"/>
          <w:szCs w:val="32"/>
          <w:highlight w:val="none"/>
          <w:shd w:val="clear" w:color="auto" w:fill="FFFFFF"/>
          <w:lang w:val="en-US" w:eastAsia="zh-CN"/>
        </w:rPr>
        <w:t>附件1评价工作底稿</w:t>
      </w:r>
      <w:bookmarkEnd w:id="35"/>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jc w:val="center"/>
        <w:textAlignment w:val="auto"/>
        <w:rPr>
          <w:rFonts w:hint="eastAsia" w:cs="宋体"/>
          <w:b/>
          <w:bCs/>
          <w:color w:val="auto"/>
          <w:kern w:val="0"/>
          <w:sz w:val="36"/>
          <w:szCs w:val="36"/>
          <w:highlight w:val="none"/>
          <w:shd w:val="clear" w:color="auto" w:fill="FFFFFF"/>
          <w:lang w:val="en-US" w:eastAsia="zh-CN"/>
        </w:rPr>
      </w:pPr>
      <w:r>
        <w:rPr>
          <w:rFonts w:hint="eastAsia" w:ascii="宋体" w:hAnsi="宋体" w:eastAsia="宋体" w:cs="宋体"/>
          <w:b/>
          <w:bCs/>
          <w:color w:val="auto"/>
          <w:kern w:val="0"/>
          <w:sz w:val="36"/>
          <w:szCs w:val="36"/>
          <w:highlight w:val="none"/>
          <w:shd w:val="clear" w:color="auto" w:fill="FFFFFF"/>
          <w:lang w:val="en-US" w:eastAsia="zh-Hans"/>
        </w:rPr>
        <w:t>202</w:t>
      </w:r>
      <w:r>
        <w:rPr>
          <w:rFonts w:hint="eastAsia" w:cs="宋体"/>
          <w:b/>
          <w:bCs/>
          <w:color w:val="auto"/>
          <w:kern w:val="0"/>
          <w:sz w:val="36"/>
          <w:szCs w:val="36"/>
          <w:highlight w:val="none"/>
          <w:shd w:val="clear" w:color="auto" w:fill="FFFFFF"/>
          <w:lang w:val="en-US" w:eastAsia="zh-CN"/>
        </w:rPr>
        <w:t>1</w:t>
      </w:r>
      <w:r>
        <w:rPr>
          <w:rFonts w:hint="eastAsia" w:ascii="宋体" w:hAnsi="宋体" w:eastAsia="宋体" w:cs="宋体"/>
          <w:b/>
          <w:bCs/>
          <w:color w:val="auto"/>
          <w:kern w:val="0"/>
          <w:sz w:val="36"/>
          <w:szCs w:val="36"/>
          <w:highlight w:val="none"/>
          <w:shd w:val="clear" w:color="auto" w:fill="FFFFFF"/>
          <w:lang w:val="en-US" w:eastAsia="zh-Hans"/>
        </w:rPr>
        <w:t>年度铜川市</w:t>
      </w:r>
      <w:r>
        <w:rPr>
          <w:rFonts w:hint="eastAsia" w:cs="宋体"/>
          <w:b/>
          <w:bCs/>
          <w:color w:val="auto"/>
          <w:kern w:val="0"/>
          <w:sz w:val="36"/>
          <w:szCs w:val="36"/>
          <w:highlight w:val="none"/>
          <w:shd w:val="clear" w:color="auto" w:fill="FFFFFF"/>
          <w:lang w:val="en-US" w:eastAsia="zh-CN"/>
        </w:rPr>
        <w:t>新区对外经济投资合作局</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jc w:val="center"/>
        <w:textAlignment w:val="auto"/>
      </w:pPr>
      <w:r>
        <w:rPr>
          <w:rFonts w:hint="eastAsia" w:cs="宋体"/>
          <w:b/>
          <w:bCs/>
          <w:color w:val="auto"/>
          <w:kern w:val="0"/>
          <w:sz w:val="36"/>
          <w:szCs w:val="36"/>
          <w:highlight w:val="none"/>
          <w:shd w:val="clear" w:color="auto" w:fill="FFFFFF"/>
          <w:lang w:val="en-US" w:eastAsia="zh-CN"/>
        </w:rPr>
        <w:t>部门</w:t>
      </w:r>
      <w:r>
        <w:rPr>
          <w:rFonts w:hint="eastAsia" w:ascii="宋体" w:hAnsi="宋体" w:eastAsia="宋体" w:cs="宋体"/>
          <w:b/>
          <w:bCs/>
          <w:color w:val="auto"/>
          <w:kern w:val="0"/>
          <w:sz w:val="36"/>
          <w:szCs w:val="36"/>
          <w:highlight w:val="none"/>
          <w:shd w:val="clear" w:color="auto" w:fill="FFFFFF"/>
          <w:lang w:val="en-US" w:eastAsia="zh-Hans"/>
        </w:rPr>
        <w:t>整体支出绩效评价</w:t>
      </w:r>
      <w:r>
        <w:rPr>
          <w:rFonts w:hint="eastAsia" w:cs="宋体"/>
          <w:b/>
          <w:bCs/>
          <w:color w:val="auto"/>
          <w:kern w:val="0"/>
          <w:sz w:val="36"/>
          <w:szCs w:val="36"/>
          <w:highlight w:val="none"/>
          <w:shd w:val="clear" w:color="auto" w:fill="FFFFFF"/>
          <w:lang w:val="en-US" w:eastAsia="zh-CN"/>
        </w:rPr>
        <w:t>打</w:t>
      </w:r>
      <w:r>
        <w:rPr>
          <w:rFonts w:hint="eastAsia" w:ascii="宋体" w:hAnsi="宋体" w:eastAsia="宋体" w:cs="宋体"/>
          <w:b/>
          <w:bCs/>
          <w:color w:val="auto"/>
          <w:kern w:val="0"/>
          <w:sz w:val="36"/>
          <w:szCs w:val="36"/>
          <w:highlight w:val="none"/>
          <w:shd w:val="clear" w:color="auto" w:fill="FFFFFF"/>
          <w:lang w:val="en-US" w:eastAsia="zh-Hans"/>
        </w:rPr>
        <w:t>分表</w:t>
      </w:r>
    </w:p>
    <w:tbl>
      <w:tblPr>
        <w:tblStyle w:val="15"/>
        <w:tblW w:w="4998" w:type="pct"/>
        <w:tblInd w:w="0" w:type="dxa"/>
        <w:shd w:val="clear" w:color="auto" w:fill="auto"/>
        <w:tblLayout w:type="autofit"/>
        <w:tblCellMar>
          <w:top w:w="0" w:type="dxa"/>
          <w:left w:w="0" w:type="dxa"/>
          <w:bottom w:w="0" w:type="dxa"/>
          <w:right w:w="0" w:type="dxa"/>
        </w:tblCellMar>
      </w:tblPr>
      <w:tblGrid>
        <w:gridCol w:w="1734"/>
        <w:gridCol w:w="1734"/>
        <w:gridCol w:w="1890"/>
        <w:gridCol w:w="1734"/>
        <w:gridCol w:w="1734"/>
      </w:tblGrid>
      <w:tr>
        <w:tblPrEx>
          <w:tblCellMar>
            <w:top w:w="0" w:type="dxa"/>
            <w:left w:w="0" w:type="dxa"/>
            <w:bottom w:w="0" w:type="dxa"/>
            <w:right w:w="0" w:type="dxa"/>
          </w:tblCellMar>
        </w:tblPrEx>
        <w:trPr>
          <w:trHeight w:val="520" w:hRule="atLeast"/>
        </w:trPr>
        <w:tc>
          <w:tcPr>
            <w:tcW w:w="98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b/>
                <w:i w:val="0"/>
                <w:color w:val="000000"/>
                <w:kern w:val="0"/>
                <w:sz w:val="24"/>
                <w:szCs w:val="24"/>
                <w:u w:val="none"/>
                <w:lang w:val="en-US" w:eastAsia="zh-CN" w:bidi="ar"/>
              </w:rPr>
            </w:pPr>
            <w:r>
              <w:rPr>
                <w:rFonts w:hint="eastAsia" w:ascii="仿宋" w:hAnsi="仿宋" w:eastAsia="仿宋" w:cs="仿宋"/>
                <w:b/>
                <w:i w:val="0"/>
                <w:color w:val="000000"/>
                <w:kern w:val="0"/>
                <w:sz w:val="24"/>
                <w:szCs w:val="24"/>
                <w:u w:val="none"/>
                <w:lang w:val="en-US" w:eastAsia="zh-CN" w:bidi="ar"/>
              </w:rPr>
              <w:t>一级</w:t>
            </w:r>
          </w:p>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指标</w:t>
            </w:r>
          </w:p>
        </w:tc>
        <w:tc>
          <w:tcPr>
            <w:tcW w:w="98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b/>
                <w:i w:val="0"/>
                <w:color w:val="000000"/>
                <w:kern w:val="0"/>
                <w:sz w:val="24"/>
                <w:szCs w:val="24"/>
                <w:u w:val="none"/>
                <w:lang w:val="en-US" w:eastAsia="zh-CN" w:bidi="ar"/>
              </w:rPr>
            </w:pPr>
            <w:r>
              <w:rPr>
                <w:rFonts w:hint="eastAsia" w:ascii="仿宋" w:hAnsi="仿宋" w:eastAsia="仿宋" w:cs="仿宋"/>
                <w:b/>
                <w:i w:val="0"/>
                <w:color w:val="000000"/>
                <w:kern w:val="0"/>
                <w:sz w:val="24"/>
                <w:szCs w:val="24"/>
                <w:u w:val="none"/>
                <w:lang w:val="en-US" w:eastAsia="zh-CN" w:bidi="ar"/>
              </w:rPr>
              <w:t>二级</w:t>
            </w:r>
          </w:p>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指标</w:t>
            </w:r>
          </w:p>
        </w:tc>
        <w:tc>
          <w:tcPr>
            <w:tcW w:w="106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三级指标</w:t>
            </w:r>
          </w:p>
        </w:tc>
        <w:tc>
          <w:tcPr>
            <w:tcW w:w="98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指标分值</w:t>
            </w:r>
          </w:p>
        </w:tc>
        <w:tc>
          <w:tcPr>
            <w:tcW w:w="98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评价得分</w:t>
            </w:r>
          </w:p>
        </w:tc>
      </w:tr>
      <w:tr>
        <w:tblPrEx>
          <w:shd w:val="clear" w:color="auto" w:fill="auto"/>
          <w:tblCellMar>
            <w:top w:w="0" w:type="dxa"/>
            <w:left w:w="0" w:type="dxa"/>
            <w:bottom w:w="0" w:type="dxa"/>
            <w:right w:w="0" w:type="dxa"/>
          </w:tblCellMar>
        </w:tblPrEx>
        <w:trPr>
          <w:trHeight w:val="520" w:hRule="atLeast"/>
        </w:trPr>
        <w:tc>
          <w:tcPr>
            <w:tcW w:w="982" w:type="pct"/>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投入</w:t>
            </w:r>
          </w:p>
        </w:tc>
        <w:tc>
          <w:tcPr>
            <w:tcW w:w="982"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目标</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设定</w:t>
            </w:r>
          </w:p>
        </w:tc>
        <w:tc>
          <w:tcPr>
            <w:tcW w:w="106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绩效目标合理性</w:t>
            </w:r>
          </w:p>
        </w:tc>
        <w:tc>
          <w:tcPr>
            <w:tcW w:w="98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c>
          <w:tcPr>
            <w:tcW w:w="982"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r>
      <w:tr>
        <w:tblPrEx>
          <w:shd w:val="clear" w:color="auto" w:fill="auto"/>
          <w:tblCellMar>
            <w:top w:w="0" w:type="dxa"/>
            <w:left w:w="0" w:type="dxa"/>
            <w:bottom w:w="0" w:type="dxa"/>
            <w:right w:w="0" w:type="dxa"/>
          </w:tblCellMar>
        </w:tblPrEx>
        <w:trPr>
          <w:trHeight w:val="520" w:hRule="atLeast"/>
        </w:trPr>
        <w:tc>
          <w:tcPr>
            <w:tcW w:w="982"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98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6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绩效指标明确性</w:t>
            </w:r>
          </w:p>
        </w:tc>
        <w:tc>
          <w:tcPr>
            <w:tcW w:w="98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w:t>
            </w:r>
          </w:p>
        </w:tc>
        <w:tc>
          <w:tcPr>
            <w:tcW w:w="982"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w:t>
            </w:r>
          </w:p>
        </w:tc>
      </w:tr>
      <w:tr>
        <w:tblPrEx>
          <w:shd w:val="clear" w:color="auto" w:fill="auto"/>
          <w:tblCellMar>
            <w:top w:w="0" w:type="dxa"/>
            <w:left w:w="0" w:type="dxa"/>
            <w:bottom w:w="0" w:type="dxa"/>
            <w:right w:w="0" w:type="dxa"/>
          </w:tblCellMar>
        </w:tblPrEx>
        <w:trPr>
          <w:trHeight w:val="520" w:hRule="atLeast"/>
        </w:trPr>
        <w:tc>
          <w:tcPr>
            <w:tcW w:w="982"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982"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预算</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配置</w:t>
            </w:r>
          </w:p>
        </w:tc>
        <w:tc>
          <w:tcPr>
            <w:tcW w:w="106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在职人员控制率</w:t>
            </w:r>
          </w:p>
        </w:tc>
        <w:tc>
          <w:tcPr>
            <w:tcW w:w="98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982"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780" w:hRule="atLeast"/>
        </w:trPr>
        <w:tc>
          <w:tcPr>
            <w:tcW w:w="982"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98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6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“三公经费”变动率</w:t>
            </w:r>
          </w:p>
        </w:tc>
        <w:tc>
          <w:tcPr>
            <w:tcW w:w="98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982"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520" w:hRule="atLeast"/>
        </w:trPr>
        <w:tc>
          <w:tcPr>
            <w:tcW w:w="982"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98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6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重点支出安排率</w:t>
            </w:r>
          </w:p>
        </w:tc>
        <w:tc>
          <w:tcPr>
            <w:tcW w:w="98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w:t>
            </w:r>
          </w:p>
        </w:tc>
        <w:tc>
          <w:tcPr>
            <w:tcW w:w="982"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w:t>
            </w:r>
          </w:p>
        </w:tc>
      </w:tr>
      <w:tr>
        <w:tblPrEx>
          <w:shd w:val="clear" w:color="auto" w:fill="auto"/>
          <w:tblCellMar>
            <w:top w:w="0" w:type="dxa"/>
            <w:left w:w="0" w:type="dxa"/>
            <w:bottom w:w="0" w:type="dxa"/>
            <w:right w:w="0" w:type="dxa"/>
          </w:tblCellMar>
        </w:tblPrEx>
        <w:trPr>
          <w:trHeight w:val="520" w:hRule="atLeast"/>
        </w:trPr>
        <w:tc>
          <w:tcPr>
            <w:tcW w:w="982" w:type="pct"/>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过程</w:t>
            </w:r>
          </w:p>
        </w:tc>
        <w:tc>
          <w:tcPr>
            <w:tcW w:w="982"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预算</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执行</w:t>
            </w:r>
          </w:p>
        </w:tc>
        <w:tc>
          <w:tcPr>
            <w:tcW w:w="106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预算完成率</w:t>
            </w:r>
          </w:p>
        </w:tc>
        <w:tc>
          <w:tcPr>
            <w:tcW w:w="98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c>
          <w:tcPr>
            <w:tcW w:w="982"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r>
      <w:tr>
        <w:tblPrEx>
          <w:shd w:val="clear" w:color="auto" w:fill="auto"/>
          <w:tblCellMar>
            <w:top w:w="0" w:type="dxa"/>
            <w:left w:w="0" w:type="dxa"/>
            <w:bottom w:w="0" w:type="dxa"/>
            <w:right w:w="0" w:type="dxa"/>
          </w:tblCellMar>
        </w:tblPrEx>
        <w:trPr>
          <w:trHeight w:val="520" w:hRule="atLeast"/>
        </w:trPr>
        <w:tc>
          <w:tcPr>
            <w:tcW w:w="982"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98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6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预算调整率</w:t>
            </w:r>
          </w:p>
        </w:tc>
        <w:tc>
          <w:tcPr>
            <w:tcW w:w="98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982"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0.25</w:t>
            </w:r>
          </w:p>
        </w:tc>
      </w:tr>
      <w:tr>
        <w:tblPrEx>
          <w:shd w:val="clear" w:color="auto" w:fill="auto"/>
          <w:tblCellMar>
            <w:top w:w="0" w:type="dxa"/>
            <w:left w:w="0" w:type="dxa"/>
            <w:bottom w:w="0" w:type="dxa"/>
            <w:right w:w="0" w:type="dxa"/>
          </w:tblCellMar>
        </w:tblPrEx>
        <w:trPr>
          <w:trHeight w:val="520" w:hRule="atLeast"/>
        </w:trPr>
        <w:tc>
          <w:tcPr>
            <w:tcW w:w="982"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98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6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支付进度率</w:t>
            </w:r>
          </w:p>
        </w:tc>
        <w:tc>
          <w:tcPr>
            <w:tcW w:w="98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c>
          <w:tcPr>
            <w:tcW w:w="982"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1.15</w:t>
            </w:r>
          </w:p>
        </w:tc>
      </w:tr>
      <w:tr>
        <w:tblPrEx>
          <w:shd w:val="clear" w:color="auto" w:fill="auto"/>
        </w:tblPrEx>
        <w:trPr>
          <w:trHeight w:val="520" w:hRule="atLeast"/>
        </w:trPr>
        <w:tc>
          <w:tcPr>
            <w:tcW w:w="982"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98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6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结转结余率</w:t>
            </w:r>
          </w:p>
        </w:tc>
        <w:tc>
          <w:tcPr>
            <w:tcW w:w="98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982"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r>
      <w:tr>
        <w:tblPrEx>
          <w:shd w:val="clear" w:color="auto" w:fill="auto"/>
          <w:tblCellMar>
            <w:top w:w="0" w:type="dxa"/>
            <w:left w:w="0" w:type="dxa"/>
            <w:bottom w:w="0" w:type="dxa"/>
            <w:right w:w="0" w:type="dxa"/>
          </w:tblCellMar>
        </w:tblPrEx>
        <w:trPr>
          <w:trHeight w:val="520" w:hRule="atLeast"/>
        </w:trPr>
        <w:tc>
          <w:tcPr>
            <w:tcW w:w="982"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98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6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结转结余变动率</w:t>
            </w:r>
          </w:p>
        </w:tc>
        <w:tc>
          <w:tcPr>
            <w:tcW w:w="98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982"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r>
      <w:tr>
        <w:tblPrEx>
          <w:shd w:val="clear" w:color="auto" w:fill="auto"/>
          <w:tblCellMar>
            <w:top w:w="0" w:type="dxa"/>
            <w:left w:w="0" w:type="dxa"/>
            <w:bottom w:w="0" w:type="dxa"/>
            <w:right w:w="0" w:type="dxa"/>
          </w:tblCellMar>
        </w:tblPrEx>
        <w:trPr>
          <w:trHeight w:val="520" w:hRule="atLeast"/>
        </w:trPr>
        <w:tc>
          <w:tcPr>
            <w:tcW w:w="982"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98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6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公用经费控制率</w:t>
            </w:r>
          </w:p>
        </w:tc>
        <w:tc>
          <w:tcPr>
            <w:tcW w:w="98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982"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shd w:val="clear" w:color="auto" w:fill="auto"/>
          <w:tblCellMar>
            <w:top w:w="0" w:type="dxa"/>
            <w:left w:w="0" w:type="dxa"/>
            <w:bottom w:w="0" w:type="dxa"/>
            <w:right w:w="0" w:type="dxa"/>
          </w:tblCellMar>
        </w:tblPrEx>
        <w:trPr>
          <w:trHeight w:val="780" w:hRule="atLeast"/>
        </w:trPr>
        <w:tc>
          <w:tcPr>
            <w:tcW w:w="982"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98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6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“三公经费”控制率</w:t>
            </w:r>
          </w:p>
        </w:tc>
        <w:tc>
          <w:tcPr>
            <w:tcW w:w="98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c>
          <w:tcPr>
            <w:tcW w:w="982"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r>
      <w:tr>
        <w:tblPrEx>
          <w:shd w:val="clear" w:color="auto" w:fill="auto"/>
          <w:tblCellMar>
            <w:top w:w="0" w:type="dxa"/>
            <w:left w:w="0" w:type="dxa"/>
            <w:bottom w:w="0" w:type="dxa"/>
            <w:right w:w="0" w:type="dxa"/>
          </w:tblCellMar>
        </w:tblPrEx>
        <w:trPr>
          <w:trHeight w:val="520" w:hRule="atLeast"/>
        </w:trPr>
        <w:tc>
          <w:tcPr>
            <w:tcW w:w="982"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98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6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政府采购执行率</w:t>
            </w:r>
          </w:p>
        </w:tc>
        <w:tc>
          <w:tcPr>
            <w:tcW w:w="98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c>
          <w:tcPr>
            <w:tcW w:w="982"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1.38</w:t>
            </w:r>
          </w:p>
        </w:tc>
      </w:tr>
      <w:tr>
        <w:tblPrEx>
          <w:tblCellMar>
            <w:top w:w="0" w:type="dxa"/>
            <w:left w:w="0" w:type="dxa"/>
            <w:bottom w:w="0" w:type="dxa"/>
            <w:right w:w="0" w:type="dxa"/>
          </w:tblCellMar>
        </w:tblPrEx>
        <w:trPr>
          <w:trHeight w:val="520" w:hRule="atLeast"/>
        </w:trPr>
        <w:tc>
          <w:tcPr>
            <w:tcW w:w="982"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982"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预算</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管理</w:t>
            </w:r>
          </w:p>
        </w:tc>
        <w:tc>
          <w:tcPr>
            <w:tcW w:w="106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管理制度健全性</w:t>
            </w:r>
          </w:p>
        </w:tc>
        <w:tc>
          <w:tcPr>
            <w:tcW w:w="98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c>
          <w:tcPr>
            <w:tcW w:w="982"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520" w:hRule="atLeast"/>
        </w:trPr>
        <w:tc>
          <w:tcPr>
            <w:tcW w:w="982"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98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6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资金使用合规性</w:t>
            </w:r>
          </w:p>
        </w:tc>
        <w:tc>
          <w:tcPr>
            <w:tcW w:w="98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2.5</w:t>
            </w:r>
          </w:p>
        </w:tc>
        <w:tc>
          <w:tcPr>
            <w:tcW w:w="982"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2.5</w:t>
            </w:r>
          </w:p>
        </w:tc>
      </w:tr>
      <w:tr>
        <w:tblPrEx>
          <w:shd w:val="clear" w:color="auto" w:fill="auto"/>
          <w:tblCellMar>
            <w:top w:w="0" w:type="dxa"/>
            <w:left w:w="0" w:type="dxa"/>
            <w:bottom w:w="0" w:type="dxa"/>
            <w:right w:w="0" w:type="dxa"/>
          </w:tblCellMar>
        </w:tblPrEx>
        <w:trPr>
          <w:trHeight w:val="520" w:hRule="atLeast"/>
        </w:trPr>
        <w:tc>
          <w:tcPr>
            <w:tcW w:w="982"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98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6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预决算信息公开性</w:t>
            </w:r>
          </w:p>
        </w:tc>
        <w:tc>
          <w:tcPr>
            <w:tcW w:w="98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0.6</w:t>
            </w:r>
          </w:p>
        </w:tc>
        <w:tc>
          <w:tcPr>
            <w:tcW w:w="982"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0.6</w:t>
            </w:r>
          </w:p>
        </w:tc>
      </w:tr>
      <w:tr>
        <w:tblPrEx>
          <w:tblCellMar>
            <w:top w:w="0" w:type="dxa"/>
            <w:left w:w="0" w:type="dxa"/>
            <w:bottom w:w="0" w:type="dxa"/>
            <w:right w:w="0" w:type="dxa"/>
          </w:tblCellMar>
        </w:tblPrEx>
        <w:trPr>
          <w:trHeight w:val="780" w:hRule="atLeast"/>
        </w:trPr>
        <w:tc>
          <w:tcPr>
            <w:tcW w:w="982"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98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6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运行监控和自评有效性</w:t>
            </w:r>
          </w:p>
        </w:tc>
        <w:tc>
          <w:tcPr>
            <w:tcW w:w="98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c>
          <w:tcPr>
            <w:tcW w:w="982"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r>
      <w:tr>
        <w:tblPrEx>
          <w:tblCellMar>
            <w:top w:w="0" w:type="dxa"/>
            <w:left w:w="0" w:type="dxa"/>
            <w:bottom w:w="0" w:type="dxa"/>
            <w:right w:w="0" w:type="dxa"/>
          </w:tblCellMar>
        </w:tblPrEx>
        <w:trPr>
          <w:trHeight w:val="520" w:hRule="atLeast"/>
        </w:trPr>
        <w:tc>
          <w:tcPr>
            <w:tcW w:w="982"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98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6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基础信息完善性</w:t>
            </w:r>
          </w:p>
        </w:tc>
        <w:tc>
          <w:tcPr>
            <w:tcW w:w="98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0.9</w:t>
            </w:r>
          </w:p>
        </w:tc>
        <w:tc>
          <w:tcPr>
            <w:tcW w:w="982"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0.9</w:t>
            </w:r>
          </w:p>
        </w:tc>
      </w:tr>
      <w:tr>
        <w:tblPrEx>
          <w:shd w:val="clear" w:color="auto" w:fill="auto"/>
          <w:tblCellMar>
            <w:top w:w="0" w:type="dxa"/>
            <w:left w:w="0" w:type="dxa"/>
            <w:bottom w:w="0" w:type="dxa"/>
            <w:right w:w="0" w:type="dxa"/>
          </w:tblCellMar>
        </w:tblPrEx>
        <w:trPr>
          <w:trHeight w:val="520" w:hRule="atLeast"/>
        </w:trPr>
        <w:tc>
          <w:tcPr>
            <w:tcW w:w="982"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982"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资产</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管理</w:t>
            </w:r>
          </w:p>
        </w:tc>
        <w:tc>
          <w:tcPr>
            <w:tcW w:w="106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管理制度健全性</w:t>
            </w:r>
          </w:p>
        </w:tc>
        <w:tc>
          <w:tcPr>
            <w:tcW w:w="98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c>
          <w:tcPr>
            <w:tcW w:w="982"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r>
      <w:tr>
        <w:tblPrEx>
          <w:shd w:val="clear" w:color="auto" w:fill="auto"/>
          <w:tblCellMar>
            <w:top w:w="0" w:type="dxa"/>
            <w:left w:w="0" w:type="dxa"/>
            <w:bottom w:w="0" w:type="dxa"/>
            <w:right w:w="0" w:type="dxa"/>
          </w:tblCellMar>
        </w:tblPrEx>
        <w:trPr>
          <w:trHeight w:val="520" w:hRule="atLeast"/>
        </w:trPr>
        <w:tc>
          <w:tcPr>
            <w:tcW w:w="982"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98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6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资产管理安全性</w:t>
            </w:r>
          </w:p>
        </w:tc>
        <w:tc>
          <w:tcPr>
            <w:tcW w:w="98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c>
          <w:tcPr>
            <w:tcW w:w="982"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r>
      <w:tr>
        <w:tblPrEx>
          <w:shd w:val="clear" w:color="auto" w:fill="auto"/>
          <w:tblCellMar>
            <w:top w:w="0" w:type="dxa"/>
            <w:left w:w="0" w:type="dxa"/>
            <w:bottom w:w="0" w:type="dxa"/>
            <w:right w:w="0" w:type="dxa"/>
          </w:tblCellMar>
        </w:tblPrEx>
        <w:trPr>
          <w:trHeight w:val="520" w:hRule="atLeast"/>
        </w:trPr>
        <w:tc>
          <w:tcPr>
            <w:tcW w:w="982"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98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6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固定资产利用率</w:t>
            </w:r>
          </w:p>
        </w:tc>
        <w:tc>
          <w:tcPr>
            <w:tcW w:w="98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982"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520" w:hRule="atLeast"/>
        </w:trPr>
        <w:tc>
          <w:tcPr>
            <w:tcW w:w="982" w:type="pct"/>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产出</w:t>
            </w:r>
          </w:p>
        </w:tc>
        <w:tc>
          <w:tcPr>
            <w:tcW w:w="982"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职责</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履行</w:t>
            </w:r>
          </w:p>
        </w:tc>
        <w:tc>
          <w:tcPr>
            <w:tcW w:w="106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实际完成率</w:t>
            </w:r>
          </w:p>
        </w:tc>
        <w:tc>
          <w:tcPr>
            <w:tcW w:w="98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10</w:t>
            </w:r>
          </w:p>
        </w:tc>
        <w:tc>
          <w:tcPr>
            <w:tcW w:w="982"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10</w:t>
            </w:r>
          </w:p>
        </w:tc>
      </w:tr>
      <w:tr>
        <w:tblPrEx>
          <w:shd w:val="clear" w:color="auto" w:fill="auto"/>
          <w:tblCellMar>
            <w:top w:w="0" w:type="dxa"/>
            <w:left w:w="0" w:type="dxa"/>
            <w:bottom w:w="0" w:type="dxa"/>
            <w:right w:w="0" w:type="dxa"/>
          </w:tblCellMar>
        </w:tblPrEx>
        <w:trPr>
          <w:trHeight w:val="520" w:hRule="atLeast"/>
        </w:trPr>
        <w:tc>
          <w:tcPr>
            <w:tcW w:w="982"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98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6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完成及时率</w:t>
            </w:r>
          </w:p>
        </w:tc>
        <w:tc>
          <w:tcPr>
            <w:tcW w:w="98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8</w:t>
            </w:r>
          </w:p>
        </w:tc>
        <w:tc>
          <w:tcPr>
            <w:tcW w:w="982"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8</w:t>
            </w:r>
          </w:p>
        </w:tc>
      </w:tr>
      <w:tr>
        <w:tblPrEx>
          <w:shd w:val="clear" w:color="auto" w:fill="auto"/>
          <w:tblCellMar>
            <w:top w:w="0" w:type="dxa"/>
            <w:left w:w="0" w:type="dxa"/>
            <w:bottom w:w="0" w:type="dxa"/>
            <w:right w:w="0" w:type="dxa"/>
          </w:tblCellMar>
        </w:tblPrEx>
        <w:trPr>
          <w:trHeight w:val="520" w:hRule="atLeast"/>
        </w:trPr>
        <w:tc>
          <w:tcPr>
            <w:tcW w:w="982"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98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6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质量达标率</w:t>
            </w:r>
          </w:p>
        </w:tc>
        <w:tc>
          <w:tcPr>
            <w:tcW w:w="98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8</w:t>
            </w:r>
          </w:p>
        </w:tc>
        <w:tc>
          <w:tcPr>
            <w:tcW w:w="982"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8</w:t>
            </w:r>
          </w:p>
        </w:tc>
      </w:tr>
      <w:tr>
        <w:tblPrEx>
          <w:shd w:val="clear" w:color="auto" w:fill="auto"/>
          <w:tblCellMar>
            <w:top w:w="0" w:type="dxa"/>
            <w:left w:w="0" w:type="dxa"/>
            <w:bottom w:w="0" w:type="dxa"/>
            <w:right w:w="0" w:type="dxa"/>
          </w:tblCellMar>
        </w:tblPrEx>
        <w:trPr>
          <w:trHeight w:val="520" w:hRule="atLeast"/>
        </w:trPr>
        <w:tc>
          <w:tcPr>
            <w:tcW w:w="982"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98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6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重点工作办结率</w:t>
            </w:r>
          </w:p>
        </w:tc>
        <w:tc>
          <w:tcPr>
            <w:tcW w:w="98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9</w:t>
            </w:r>
          </w:p>
        </w:tc>
        <w:tc>
          <w:tcPr>
            <w:tcW w:w="982"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9</w:t>
            </w:r>
          </w:p>
        </w:tc>
      </w:tr>
      <w:tr>
        <w:tblPrEx>
          <w:shd w:val="clear" w:color="auto" w:fill="auto"/>
          <w:tblCellMar>
            <w:top w:w="0" w:type="dxa"/>
            <w:left w:w="0" w:type="dxa"/>
            <w:bottom w:w="0" w:type="dxa"/>
            <w:right w:w="0" w:type="dxa"/>
          </w:tblCellMar>
        </w:tblPrEx>
        <w:trPr>
          <w:trHeight w:val="520" w:hRule="atLeast"/>
        </w:trPr>
        <w:tc>
          <w:tcPr>
            <w:tcW w:w="982" w:type="pct"/>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效果</w:t>
            </w:r>
          </w:p>
        </w:tc>
        <w:tc>
          <w:tcPr>
            <w:tcW w:w="982"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经济效益</w:t>
            </w:r>
          </w:p>
        </w:tc>
        <w:tc>
          <w:tcPr>
            <w:tcW w:w="106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招商引资项目金额</w:t>
            </w:r>
          </w:p>
        </w:tc>
        <w:tc>
          <w:tcPr>
            <w:tcW w:w="98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2.5</w:t>
            </w:r>
          </w:p>
        </w:tc>
        <w:tc>
          <w:tcPr>
            <w:tcW w:w="982"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2.5</w:t>
            </w:r>
          </w:p>
        </w:tc>
      </w:tr>
      <w:tr>
        <w:tblPrEx>
          <w:shd w:val="clear" w:color="auto" w:fill="auto"/>
          <w:tblCellMar>
            <w:top w:w="0" w:type="dxa"/>
            <w:left w:w="0" w:type="dxa"/>
            <w:bottom w:w="0" w:type="dxa"/>
            <w:right w:w="0" w:type="dxa"/>
          </w:tblCellMar>
        </w:tblPrEx>
        <w:trPr>
          <w:trHeight w:val="780" w:hRule="atLeast"/>
        </w:trPr>
        <w:tc>
          <w:tcPr>
            <w:tcW w:w="982"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98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6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市域外项目到位资金</w:t>
            </w:r>
          </w:p>
        </w:tc>
        <w:tc>
          <w:tcPr>
            <w:tcW w:w="98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2.5</w:t>
            </w:r>
          </w:p>
        </w:tc>
        <w:tc>
          <w:tcPr>
            <w:tcW w:w="982"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2.5</w:t>
            </w:r>
          </w:p>
        </w:tc>
      </w:tr>
      <w:tr>
        <w:tblPrEx>
          <w:shd w:val="clear" w:color="auto" w:fill="auto"/>
          <w:tblCellMar>
            <w:top w:w="0" w:type="dxa"/>
            <w:left w:w="0" w:type="dxa"/>
            <w:bottom w:w="0" w:type="dxa"/>
            <w:right w:w="0" w:type="dxa"/>
          </w:tblCellMar>
        </w:tblPrEx>
        <w:trPr>
          <w:trHeight w:val="520" w:hRule="atLeast"/>
        </w:trPr>
        <w:tc>
          <w:tcPr>
            <w:tcW w:w="982"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98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6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省际项目到位资金</w:t>
            </w:r>
          </w:p>
        </w:tc>
        <w:tc>
          <w:tcPr>
            <w:tcW w:w="98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2.5</w:t>
            </w:r>
          </w:p>
        </w:tc>
        <w:tc>
          <w:tcPr>
            <w:tcW w:w="982"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2.5</w:t>
            </w:r>
          </w:p>
        </w:tc>
      </w:tr>
      <w:tr>
        <w:tblPrEx>
          <w:shd w:val="clear" w:color="auto" w:fill="auto"/>
          <w:tblCellMar>
            <w:top w:w="0" w:type="dxa"/>
            <w:left w:w="0" w:type="dxa"/>
            <w:bottom w:w="0" w:type="dxa"/>
            <w:right w:w="0" w:type="dxa"/>
          </w:tblCellMar>
        </w:tblPrEx>
        <w:trPr>
          <w:trHeight w:val="300" w:hRule="atLeast"/>
        </w:trPr>
        <w:tc>
          <w:tcPr>
            <w:tcW w:w="982"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98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6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吸引外资</w:t>
            </w:r>
          </w:p>
        </w:tc>
        <w:tc>
          <w:tcPr>
            <w:tcW w:w="98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2.5</w:t>
            </w:r>
          </w:p>
        </w:tc>
        <w:tc>
          <w:tcPr>
            <w:tcW w:w="982"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2.5</w:t>
            </w:r>
          </w:p>
        </w:tc>
      </w:tr>
      <w:tr>
        <w:tblPrEx>
          <w:shd w:val="clear" w:color="auto" w:fill="auto"/>
          <w:tblCellMar>
            <w:top w:w="0" w:type="dxa"/>
            <w:left w:w="0" w:type="dxa"/>
            <w:bottom w:w="0" w:type="dxa"/>
            <w:right w:w="0" w:type="dxa"/>
          </w:tblCellMar>
        </w:tblPrEx>
        <w:trPr>
          <w:trHeight w:val="520" w:hRule="atLeast"/>
        </w:trPr>
        <w:tc>
          <w:tcPr>
            <w:tcW w:w="982"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98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社会效益</w:t>
            </w:r>
          </w:p>
        </w:tc>
        <w:tc>
          <w:tcPr>
            <w:tcW w:w="106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新增外资企业数量</w:t>
            </w:r>
          </w:p>
        </w:tc>
        <w:tc>
          <w:tcPr>
            <w:tcW w:w="98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c>
          <w:tcPr>
            <w:tcW w:w="982"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r>
      <w:tr>
        <w:tblPrEx>
          <w:shd w:val="clear" w:color="auto" w:fill="auto"/>
          <w:tblCellMar>
            <w:top w:w="0" w:type="dxa"/>
            <w:left w:w="0" w:type="dxa"/>
            <w:bottom w:w="0" w:type="dxa"/>
            <w:right w:w="0" w:type="dxa"/>
          </w:tblCellMar>
        </w:tblPrEx>
        <w:trPr>
          <w:trHeight w:val="520" w:hRule="atLeast"/>
        </w:trPr>
        <w:tc>
          <w:tcPr>
            <w:tcW w:w="982"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982"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可持续影响</w:t>
            </w:r>
          </w:p>
        </w:tc>
        <w:tc>
          <w:tcPr>
            <w:tcW w:w="106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推动地区经济增长</w:t>
            </w:r>
          </w:p>
        </w:tc>
        <w:tc>
          <w:tcPr>
            <w:tcW w:w="98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2.5</w:t>
            </w:r>
          </w:p>
        </w:tc>
        <w:tc>
          <w:tcPr>
            <w:tcW w:w="982"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2.5</w:t>
            </w:r>
          </w:p>
        </w:tc>
      </w:tr>
      <w:tr>
        <w:tblPrEx>
          <w:shd w:val="clear" w:color="auto" w:fill="auto"/>
          <w:tblCellMar>
            <w:top w:w="0" w:type="dxa"/>
            <w:left w:w="0" w:type="dxa"/>
            <w:bottom w:w="0" w:type="dxa"/>
            <w:right w:w="0" w:type="dxa"/>
          </w:tblCellMar>
        </w:tblPrEx>
        <w:trPr>
          <w:trHeight w:val="300" w:hRule="atLeast"/>
        </w:trPr>
        <w:tc>
          <w:tcPr>
            <w:tcW w:w="982"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98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6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税收增加</w:t>
            </w:r>
          </w:p>
        </w:tc>
        <w:tc>
          <w:tcPr>
            <w:tcW w:w="98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2.5</w:t>
            </w:r>
          </w:p>
        </w:tc>
        <w:tc>
          <w:tcPr>
            <w:tcW w:w="982"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2.5</w:t>
            </w:r>
          </w:p>
        </w:tc>
      </w:tr>
      <w:tr>
        <w:tblPrEx>
          <w:shd w:val="clear" w:color="auto" w:fill="auto"/>
          <w:tblCellMar>
            <w:top w:w="0" w:type="dxa"/>
            <w:left w:w="0" w:type="dxa"/>
            <w:bottom w:w="0" w:type="dxa"/>
            <w:right w:w="0" w:type="dxa"/>
          </w:tblCellMar>
        </w:tblPrEx>
        <w:trPr>
          <w:trHeight w:val="780" w:hRule="atLeast"/>
        </w:trPr>
        <w:tc>
          <w:tcPr>
            <w:tcW w:w="982"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98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社会公众或服务对象满意度</w:t>
            </w:r>
          </w:p>
        </w:tc>
        <w:tc>
          <w:tcPr>
            <w:tcW w:w="106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社会公众满意度</w:t>
            </w:r>
          </w:p>
        </w:tc>
        <w:tc>
          <w:tcPr>
            <w:tcW w:w="98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c>
          <w:tcPr>
            <w:tcW w:w="982"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r>
      <w:tr>
        <w:tblPrEx>
          <w:shd w:val="clear" w:color="auto" w:fill="auto"/>
          <w:tblCellMar>
            <w:top w:w="0" w:type="dxa"/>
            <w:left w:w="0" w:type="dxa"/>
            <w:bottom w:w="0" w:type="dxa"/>
            <w:right w:w="0" w:type="dxa"/>
          </w:tblCellMar>
        </w:tblPrEx>
        <w:trPr>
          <w:trHeight w:val="300" w:hRule="atLeast"/>
        </w:trPr>
        <w:tc>
          <w:tcPr>
            <w:tcW w:w="3034" w:type="pct"/>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合计</w:t>
            </w:r>
          </w:p>
        </w:tc>
        <w:tc>
          <w:tcPr>
            <w:tcW w:w="98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100</w:t>
            </w:r>
          </w:p>
        </w:tc>
        <w:tc>
          <w:tcPr>
            <w:tcW w:w="982"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96.78</w:t>
            </w:r>
          </w:p>
        </w:tc>
      </w:tr>
    </w:tbl>
    <w:p>
      <w:pPr>
        <w:pStyle w:val="2"/>
        <w:ind w:left="0" w:leftChars="0" w:firstLine="0" w:firstLineChars="0"/>
        <w:sectPr>
          <w:pgSz w:w="11910" w:h="16840"/>
          <w:pgMar w:top="2098" w:right="1474" w:bottom="1984" w:left="1587" w:header="1017" w:footer="1206" w:gutter="0"/>
          <w:pgNumType w:fmt="numberInDash"/>
          <w:cols w:equalWidth="0" w:num="1">
            <w:col w:w="8810"/>
          </w:cols>
          <w:docGrid w:linePitch="326" w:charSpace="0"/>
        </w:sectPr>
      </w:pPr>
    </w:p>
    <w:p>
      <w:pPr>
        <w:widowControl w:val="0"/>
        <w:numPr>
          <w:ilvl w:val="0"/>
          <w:numId w:val="0"/>
        </w:numPr>
        <w:jc w:val="both"/>
        <w:outlineLvl w:val="0"/>
        <w:rPr>
          <w:rFonts w:hint="eastAsia" w:ascii="黑体" w:hAnsi="黑体" w:eastAsia="黑体" w:cs="黑体"/>
          <w:color w:val="auto"/>
          <w:kern w:val="0"/>
          <w:sz w:val="32"/>
          <w:szCs w:val="32"/>
          <w:highlight w:val="none"/>
          <w:shd w:val="clear" w:color="auto" w:fill="FFFFFF"/>
          <w:lang w:val="en-US" w:eastAsia="zh-CN"/>
        </w:rPr>
      </w:pPr>
      <w:bookmarkStart w:id="36" w:name="_Toc2728"/>
      <w:bookmarkStart w:id="37" w:name="_Toc13811"/>
      <w:bookmarkStart w:id="38" w:name="_Toc2079370722_WPSOffice_Level2"/>
      <w:bookmarkStart w:id="39" w:name="_Toc1721938646_WPSOffice_Level2"/>
      <w:r>
        <w:rPr>
          <w:rFonts w:hint="eastAsia" w:ascii="黑体" w:hAnsi="黑体" w:eastAsia="黑体" w:cs="黑体"/>
          <w:color w:val="auto"/>
          <w:kern w:val="0"/>
          <w:sz w:val="32"/>
          <w:szCs w:val="32"/>
          <w:highlight w:val="none"/>
          <w:shd w:val="clear" w:color="auto" w:fill="FFFFFF"/>
          <w:lang w:val="en-US" w:eastAsia="zh-CN"/>
        </w:rPr>
        <w:t>附件2 问题清单</w:t>
      </w:r>
      <w:bookmarkEnd w:id="36"/>
    </w:p>
    <w:p>
      <w:pPr>
        <w:pStyle w:val="2"/>
        <w:rPr>
          <w:rFonts w:hint="eastAsia"/>
          <w:lang w:val="en-US" w:eastAsia="zh-CN"/>
        </w:rPr>
      </w:pPr>
    </w:p>
    <w:p>
      <w:pPr>
        <w:pStyle w:val="2"/>
        <w:keepNext w:val="0"/>
        <w:keepLines w:val="0"/>
        <w:pageBreakBefore w:val="0"/>
        <w:widowControl w:val="0"/>
        <w:kinsoku/>
        <w:wordWrap/>
        <w:overflowPunct/>
        <w:topLinePunct w:val="0"/>
        <w:autoSpaceDE w:val="0"/>
        <w:autoSpaceDN w:val="0"/>
        <w:bidi w:val="0"/>
        <w:adjustRightInd/>
        <w:snapToGrid/>
        <w:spacing w:before="0" w:line="600" w:lineRule="exact"/>
        <w:ind w:left="221"/>
        <w:jc w:val="center"/>
        <w:textAlignment w:val="auto"/>
        <w:rPr>
          <w:rFonts w:hint="eastAsia" w:asciiTheme="minorEastAsia" w:hAnsiTheme="minorEastAsia" w:eastAsiaTheme="minorEastAsia" w:cstheme="minorEastAsia"/>
          <w:b/>
          <w:bCs/>
          <w:color w:val="auto"/>
          <w:kern w:val="0"/>
          <w:sz w:val="36"/>
          <w:szCs w:val="36"/>
          <w:highlight w:val="none"/>
          <w:shd w:val="clear" w:color="auto" w:fill="FFFFFF"/>
          <w:lang w:val="en-US" w:eastAsia="zh-CN"/>
        </w:rPr>
      </w:pPr>
      <w:r>
        <w:rPr>
          <w:rFonts w:hint="eastAsia" w:asciiTheme="minorEastAsia" w:hAnsiTheme="minorEastAsia" w:eastAsiaTheme="minorEastAsia" w:cstheme="minorEastAsia"/>
          <w:b/>
          <w:bCs/>
          <w:color w:val="auto"/>
          <w:kern w:val="0"/>
          <w:sz w:val="36"/>
          <w:szCs w:val="36"/>
          <w:highlight w:val="none"/>
          <w:shd w:val="clear" w:color="auto" w:fill="FFFFFF"/>
          <w:lang w:val="en-US" w:eastAsia="zh-CN"/>
        </w:rPr>
        <w:t>铜川市新区2021年度经济投资合作局部门整体</w:t>
      </w:r>
    </w:p>
    <w:p>
      <w:pPr>
        <w:pStyle w:val="2"/>
        <w:keepNext w:val="0"/>
        <w:keepLines w:val="0"/>
        <w:pageBreakBefore w:val="0"/>
        <w:widowControl w:val="0"/>
        <w:kinsoku/>
        <w:wordWrap/>
        <w:overflowPunct/>
        <w:topLinePunct w:val="0"/>
        <w:autoSpaceDE w:val="0"/>
        <w:autoSpaceDN w:val="0"/>
        <w:bidi w:val="0"/>
        <w:adjustRightInd/>
        <w:snapToGrid/>
        <w:spacing w:before="0" w:line="600" w:lineRule="exact"/>
        <w:ind w:left="221"/>
        <w:jc w:val="center"/>
        <w:textAlignment w:val="auto"/>
        <w:rPr>
          <w:rFonts w:hint="default"/>
          <w:lang w:val="en-US" w:eastAsia="zh-CN"/>
        </w:rPr>
      </w:pPr>
      <w:r>
        <w:rPr>
          <w:rFonts w:hint="eastAsia" w:asciiTheme="minorEastAsia" w:hAnsiTheme="minorEastAsia" w:eastAsiaTheme="minorEastAsia" w:cstheme="minorEastAsia"/>
          <w:b/>
          <w:bCs/>
          <w:color w:val="auto"/>
          <w:kern w:val="0"/>
          <w:sz w:val="36"/>
          <w:szCs w:val="36"/>
          <w:highlight w:val="none"/>
          <w:shd w:val="clear" w:color="auto" w:fill="FFFFFF"/>
          <w:lang w:val="en-US" w:eastAsia="zh-CN"/>
        </w:rPr>
        <w:t>绩效评价</w:t>
      </w:r>
      <w:r>
        <w:rPr>
          <w:rFonts w:hint="eastAsia" w:ascii="宋体" w:hAnsi="宋体" w:eastAsia="宋体" w:cs="宋体"/>
          <w:b/>
          <w:bCs/>
          <w:color w:val="auto"/>
          <w:kern w:val="0"/>
          <w:sz w:val="36"/>
          <w:szCs w:val="36"/>
          <w:highlight w:val="none"/>
          <w:shd w:val="clear" w:color="auto" w:fill="FFFFFF"/>
          <w:lang w:val="en-US" w:eastAsia="zh-CN"/>
        </w:rPr>
        <w:t>问题清单</w:t>
      </w:r>
    </w:p>
    <w:tbl>
      <w:tblPr>
        <w:tblStyle w:val="15"/>
        <w:tblW w:w="5035" w:type="pct"/>
        <w:tblInd w:w="-257" w:type="dxa"/>
        <w:tblLayout w:type="autofit"/>
        <w:tblCellMar>
          <w:top w:w="0" w:type="dxa"/>
          <w:left w:w="108" w:type="dxa"/>
          <w:bottom w:w="0" w:type="dxa"/>
          <w:right w:w="108" w:type="dxa"/>
        </w:tblCellMar>
      </w:tblPr>
      <w:tblGrid>
        <w:gridCol w:w="2714"/>
        <w:gridCol w:w="784"/>
        <w:gridCol w:w="5591"/>
      </w:tblGrid>
      <w:tr>
        <w:tblPrEx>
          <w:tblCellMar>
            <w:top w:w="0" w:type="dxa"/>
            <w:left w:w="108" w:type="dxa"/>
            <w:bottom w:w="0" w:type="dxa"/>
            <w:right w:w="108" w:type="dxa"/>
          </w:tblCellMar>
        </w:tblPrEx>
        <w:trPr>
          <w:trHeight w:val="520" w:hRule="atLeast"/>
        </w:trPr>
        <w:tc>
          <w:tcPr>
            <w:tcW w:w="149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问题分类</w:t>
            </w:r>
          </w:p>
        </w:tc>
        <w:tc>
          <w:tcPr>
            <w:tcW w:w="43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序号</w:t>
            </w:r>
          </w:p>
        </w:tc>
        <w:tc>
          <w:tcPr>
            <w:tcW w:w="3075"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问题描述</w:t>
            </w:r>
          </w:p>
        </w:tc>
      </w:tr>
      <w:tr>
        <w:tblPrEx>
          <w:tblCellMar>
            <w:top w:w="0" w:type="dxa"/>
            <w:left w:w="108" w:type="dxa"/>
            <w:bottom w:w="0" w:type="dxa"/>
            <w:right w:w="108" w:type="dxa"/>
          </w:tblCellMar>
        </w:tblPrEx>
        <w:trPr>
          <w:trHeight w:val="570" w:hRule="atLeast"/>
        </w:trPr>
        <w:tc>
          <w:tcPr>
            <w:tcW w:w="1493" w:type="pct"/>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过程存在的问题</w:t>
            </w:r>
          </w:p>
        </w:tc>
        <w:tc>
          <w:tcPr>
            <w:tcW w:w="43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w:t>
            </w:r>
          </w:p>
        </w:tc>
        <w:tc>
          <w:tcPr>
            <w:tcW w:w="3075"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预算调整率较高。</w:t>
            </w:r>
          </w:p>
        </w:tc>
      </w:tr>
      <w:tr>
        <w:tblPrEx>
          <w:tblCellMar>
            <w:top w:w="0" w:type="dxa"/>
            <w:left w:w="108" w:type="dxa"/>
            <w:bottom w:w="0" w:type="dxa"/>
            <w:right w:w="108" w:type="dxa"/>
          </w:tblCellMar>
        </w:tblPrEx>
        <w:trPr>
          <w:trHeight w:val="570" w:hRule="atLeast"/>
        </w:trPr>
        <w:tc>
          <w:tcPr>
            <w:tcW w:w="1493"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43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w:t>
            </w:r>
          </w:p>
        </w:tc>
        <w:tc>
          <w:tcPr>
            <w:tcW w:w="3075"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公用经费支出控制力度不足</w:t>
            </w:r>
          </w:p>
        </w:tc>
      </w:tr>
      <w:tr>
        <w:tblPrEx>
          <w:tblCellMar>
            <w:top w:w="0" w:type="dxa"/>
            <w:left w:w="108" w:type="dxa"/>
            <w:bottom w:w="0" w:type="dxa"/>
            <w:right w:w="108" w:type="dxa"/>
          </w:tblCellMar>
        </w:tblPrEx>
        <w:trPr>
          <w:trHeight w:val="570" w:hRule="atLeast"/>
        </w:trPr>
        <w:tc>
          <w:tcPr>
            <w:tcW w:w="1493"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43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3</w:t>
            </w:r>
          </w:p>
        </w:tc>
        <w:tc>
          <w:tcPr>
            <w:tcW w:w="3075"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政府采购控制工作有待强化</w:t>
            </w:r>
          </w:p>
        </w:tc>
      </w:tr>
      <w:tr>
        <w:tblPrEx>
          <w:tblCellMar>
            <w:top w:w="0" w:type="dxa"/>
            <w:left w:w="108" w:type="dxa"/>
            <w:bottom w:w="0" w:type="dxa"/>
            <w:right w:w="108" w:type="dxa"/>
          </w:tblCellMar>
        </w:tblPrEx>
        <w:trPr>
          <w:trHeight w:val="570" w:hRule="atLeast"/>
        </w:trPr>
        <w:tc>
          <w:tcPr>
            <w:tcW w:w="1493"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43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4</w:t>
            </w:r>
          </w:p>
        </w:tc>
        <w:tc>
          <w:tcPr>
            <w:tcW w:w="3075"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财务管理制度内容有待完善</w:t>
            </w:r>
          </w:p>
        </w:tc>
      </w:tr>
    </w:tbl>
    <w:p>
      <w:pPr>
        <w:widowControl w:val="0"/>
        <w:numPr>
          <w:ilvl w:val="0"/>
          <w:numId w:val="0"/>
        </w:numPr>
        <w:jc w:val="both"/>
        <w:outlineLvl w:val="0"/>
        <w:rPr>
          <w:rFonts w:hint="eastAsia" w:ascii="黑体" w:hAnsi="黑体" w:eastAsia="黑体" w:cs="黑体"/>
          <w:color w:val="auto"/>
          <w:kern w:val="0"/>
          <w:sz w:val="32"/>
          <w:szCs w:val="32"/>
          <w:highlight w:val="none"/>
          <w:shd w:val="clear" w:color="auto" w:fill="FFFFFF"/>
          <w:lang w:val="en-US" w:eastAsia="zh-CN"/>
        </w:rPr>
        <w:sectPr>
          <w:footerReference r:id="rId6" w:type="default"/>
          <w:pgSz w:w="11910" w:h="16840"/>
          <w:pgMar w:top="2098" w:right="1474" w:bottom="1984" w:left="1587" w:header="1017" w:footer="1206" w:gutter="0"/>
          <w:pgNumType w:fmt="numberInDash"/>
          <w:cols w:equalWidth="0" w:num="1">
            <w:col w:w="8810"/>
          </w:cols>
        </w:sectPr>
      </w:pPr>
    </w:p>
    <w:p>
      <w:pPr>
        <w:widowControl w:val="0"/>
        <w:numPr>
          <w:ilvl w:val="0"/>
          <w:numId w:val="0"/>
        </w:numPr>
        <w:jc w:val="both"/>
        <w:outlineLvl w:val="9"/>
        <w:rPr>
          <w:rFonts w:hint="eastAsia" w:cs="宋体"/>
          <w:b/>
          <w:bCs/>
          <w:color w:val="auto"/>
          <w:kern w:val="0"/>
          <w:sz w:val="36"/>
          <w:szCs w:val="36"/>
          <w:highlight w:val="none"/>
          <w:shd w:val="clear" w:color="auto" w:fill="FFFFFF"/>
          <w:lang w:val="en-US" w:eastAsia="zh-CN"/>
        </w:rPr>
      </w:pPr>
      <w:r>
        <w:rPr>
          <w:rFonts w:hint="eastAsia" w:cs="宋体"/>
          <w:b/>
          <w:bCs/>
          <w:color w:val="auto"/>
          <w:kern w:val="0"/>
          <w:sz w:val="36"/>
          <w:szCs w:val="36"/>
          <w:highlight w:val="none"/>
          <w:shd w:val="clear" w:color="auto" w:fill="FFFFFF"/>
          <w:lang w:val="en-US" w:eastAsia="zh-CN"/>
        </w:rPr>
        <w:t xml:space="preserve">附件3 </w:t>
      </w:r>
      <w:r>
        <w:rPr>
          <w:rFonts w:hint="eastAsia" w:ascii="宋体" w:hAnsi="宋体" w:eastAsia="宋体" w:cs="宋体"/>
          <w:b/>
          <w:bCs/>
          <w:color w:val="auto"/>
          <w:kern w:val="0"/>
          <w:sz w:val="36"/>
          <w:szCs w:val="36"/>
          <w:highlight w:val="none"/>
          <w:shd w:val="clear" w:color="auto" w:fill="FFFFFF"/>
          <w:lang w:val="en-US" w:eastAsia="zh-Hans"/>
        </w:rPr>
        <w:t>202</w:t>
      </w:r>
      <w:r>
        <w:rPr>
          <w:rFonts w:hint="eastAsia" w:cs="宋体"/>
          <w:b/>
          <w:bCs/>
          <w:color w:val="auto"/>
          <w:kern w:val="0"/>
          <w:sz w:val="36"/>
          <w:szCs w:val="36"/>
          <w:highlight w:val="none"/>
          <w:shd w:val="clear" w:color="auto" w:fill="FFFFFF"/>
          <w:lang w:val="en-US" w:eastAsia="zh-CN"/>
        </w:rPr>
        <w:t>1</w:t>
      </w:r>
      <w:r>
        <w:rPr>
          <w:rFonts w:hint="eastAsia" w:ascii="宋体" w:hAnsi="宋体" w:eastAsia="宋体" w:cs="宋体"/>
          <w:b/>
          <w:bCs/>
          <w:color w:val="auto"/>
          <w:kern w:val="0"/>
          <w:sz w:val="36"/>
          <w:szCs w:val="36"/>
          <w:highlight w:val="none"/>
          <w:shd w:val="clear" w:color="auto" w:fill="FFFFFF"/>
          <w:lang w:val="en-US" w:eastAsia="zh-Hans"/>
        </w:rPr>
        <w:t>年度</w:t>
      </w:r>
      <w:r>
        <w:rPr>
          <w:rFonts w:hint="eastAsia" w:ascii="宋体" w:hAnsi="宋体" w:eastAsia="宋体" w:cs="宋体"/>
          <w:b/>
          <w:bCs/>
          <w:color w:val="auto"/>
          <w:kern w:val="0"/>
          <w:sz w:val="36"/>
          <w:szCs w:val="36"/>
          <w:highlight w:val="none"/>
          <w:shd w:val="clear" w:color="auto" w:fill="FFFFFF"/>
          <w:lang w:val="en-US" w:eastAsia="zh-CN"/>
        </w:rPr>
        <w:t>铜川市新区</w:t>
      </w:r>
      <w:r>
        <w:rPr>
          <w:rFonts w:hint="eastAsia" w:cs="宋体"/>
          <w:b/>
          <w:bCs/>
          <w:color w:val="auto"/>
          <w:kern w:val="0"/>
          <w:sz w:val="36"/>
          <w:szCs w:val="36"/>
          <w:highlight w:val="none"/>
          <w:shd w:val="clear" w:color="auto" w:fill="FFFFFF"/>
          <w:lang w:val="en-US" w:eastAsia="zh-CN"/>
        </w:rPr>
        <w:t>对外经济投资局</w:t>
      </w:r>
      <w:r>
        <w:rPr>
          <w:rFonts w:hint="eastAsia" w:ascii="宋体" w:hAnsi="宋体" w:eastAsia="宋体" w:cs="宋体"/>
          <w:b/>
          <w:bCs/>
          <w:color w:val="auto"/>
          <w:kern w:val="0"/>
          <w:sz w:val="36"/>
          <w:szCs w:val="36"/>
          <w:highlight w:val="none"/>
          <w:shd w:val="clear" w:color="auto" w:fill="FFFFFF"/>
          <w:lang w:val="en-US" w:eastAsia="zh-CN"/>
        </w:rPr>
        <w:t>部门</w:t>
      </w:r>
      <w:r>
        <w:rPr>
          <w:rFonts w:hint="eastAsia" w:ascii="宋体" w:hAnsi="宋体" w:eastAsia="宋体" w:cs="宋体"/>
          <w:b/>
          <w:bCs/>
          <w:color w:val="auto"/>
          <w:kern w:val="0"/>
          <w:sz w:val="36"/>
          <w:szCs w:val="36"/>
          <w:highlight w:val="none"/>
          <w:shd w:val="clear" w:color="auto" w:fill="FFFFFF"/>
          <w:lang w:val="en-US" w:eastAsia="zh-Hans"/>
        </w:rPr>
        <w:t>整体</w:t>
      </w:r>
      <w:r>
        <w:rPr>
          <w:rFonts w:hint="eastAsia" w:ascii="宋体" w:hAnsi="宋体" w:eastAsia="宋体" w:cs="宋体"/>
          <w:b/>
          <w:bCs/>
          <w:color w:val="auto"/>
          <w:kern w:val="0"/>
          <w:sz w:val="36"/>
          <w:szCs w:val="36"/>
          <w:highlight w:val="none"/>
          <w:shd w:val="clear" w:color="auto" w:fill="FFFFFF"/>
          <w:lang w:val="en-US" w:eastAsia="zh-CN"/>
        </w:rPr>
        <w:t>绩效评价</w:t>
      </w:r>
      <w:r>
        <w:rPr>
          <w:rFonts w:hint="eastAsia" w:cs="宋体"/>
          <w:b/>
          <w:bCs/>
          <w:color w:val="auto"/>
          <w:kern w:val="0"/>
          <w:sz w:val="36"/>
          <w:szCs w:val="36"/>
          <w:highlight w:val="none"/>
          <w:shd w:val="clear" w:color="auto" w:fill="FFFFFF"/>
          <w:lang w:val="en-US" w:eastAsia="zh-CN"/>
        </w:rPr>
        <w:t>指标体系</w:t>
      </w:r>
    </w:p>
    <w:tbl>
      <w:tblPr>
        <w:tblStyle w:val="15"/>
        <w:tblW w:w="12776" w:type="dxa"/>
        <w:tblInd w:w="0" w:type="dxa"/>
        <w:shd w:val="clear" w:color="auto" w:fill="auto"/>
        <w:tblLayout w:type="fixed"/>
        <w:tblCellMar>
          <w:top w:w="0" w:type="dxa"/>
          <w:left w:w="0" w:type="dxa"/>
          <w:bottom w:w="0" w:type="dxa"/>
          <w:right w:w="0" w:type="dxa"/>
        </w:tblCellMar>
      </w:tblPr>
      <w:tblGrid>
        <w:gridCol w:w="1040"/>
        <w:gridCol w:w="1040"/>
        <w:gridCol w:w="1040"/>
        <w:gridCol w:w="3010"/>
        <w:gridCol w:w="5616"/>
        <w:gridCol w:w="1030"/>
      </w:tblGrid>
      <w:tr>
        <w:tblPrEx>
          <w:shd w:val="clear" w:color="auto" w:fill="auto"/>
          <w:tblCellMar>
            <w:top w:w="0" w:type="dxa"/>
            <w:left w:w="0" w:type="dxa"/>
            <w:bottom w:w="0" w:type="dxa"/>
            <w:right w:w="0" w:type="dxa"/>
          </w:tblCellMar>
        </w:tblPrEx>
        <w:trPr>
          <w:trHeight w:val="520" w:hRule="atLeast"/>
        </w:trPr>
        <w:tc>
          <w:tcPr>
            <w:tcW w:w="10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一级指标</w:t>
            </w: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二级指标</w:t>
            </w: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三级指标</w:t>
            </w:r>
          </w:p>
        </w:tc>
        <w:tc>
          <w:tcPr>
            <w:tcW w:w="30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指标解释</w:t>
            </w:r>
          </w:p>
        </w:tc>
        <w:tc>
          <w:tcPr>
            <w:tcW w:w="561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评分标准</w:t>
            </w: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指标分值</w:t>
            </w:r>
          </w:p>
        </w:tc>
      </w:tr>
      <w:tr>
        <w:tblPrEx>
          <w:shd w:val="clear" w:color="auto" w:fill="auto"/>
          <w:tblCellMar>
            <w:top w:w="0" w:type="dxa"/>
            <w:left w:w="0" w:type="dxa"/>
            <w:bottom w:w="0" w:type="dxa"/>
            <w:right w:w="0" w:type="dxa"/>
          </w:tblCellMar>
        </w:tblPrEx>
        <w:trPr>
          <w:trHeight w:val="1300" w:hRule="atLeast"/>
        </w:trPr>
        <w:tc>
          <w:tcPr>
            <w:tcW w:w="104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投入</w:t>
            </w:r>
          </w:p>
        </w:tc>
        <w:tc>
          <w:tcPr>
            <w:tcW w:w="104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目标设定</w:t>
            </w: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绩效目标合理性</w:t>
            </w:r>
          </w:p>
        </w:tc>
        <w:tc>
          <w:tcPr>
            <w:tcW w:w="30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部门（单位）所设立的整体绩效目标依据充分，符合客观实际，用以反映和考核部门（单位）整体绩效目标与部门履职、年度工作任务的相符性情况。</w:t>
            </w:r>
          </w:p>
        </w:tc>
        <w:tc>
          <w:tcPr>
            <w:tcW w:w="561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1.符合国家法律法规、国民经济和社会发展总体规划；（1分）</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2.符合部门“三定”方案确定的职责；（1分）</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3.符合部门制定的中长期实施规划。（1分）</w:t>
            </w: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r>
      <w:tr>
        <w:tblPrEx>
          <w:shd w:val="clear" w:color="auto" w:fill="auto"/>
          <w:tblCellMar>
            <w:top w:w="0" w:type="dxa"/>
            <w:left w:w="0" w:type="dxa"/>
            <w:bottom w:w="0" w:type="dxa"/>
            <w:right w:w="0" w:type="dxa"/>
          </w:tblCellMar>
        </w:tblPrEx>
        <w:trPr>
          <w:trHeight w:val="1560" w:hRule="atLeast"/>
        </w:trPr>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仿宋" w:hAnsi="仿宋" w:eastAsia="仿宋" w:cs="仿宋"/>
                <w:i w:val="0"/>
                <w:color w:val="000000"/>
                <w:sz w:val="24"/>
                <w:szCs w:val="24"/>
                <w:u w:val="none"/>
              </w:rPr>
            </w:pP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color w:val="000000"/>
                <w:sz w:val="24"/>
                <w:szCs w:val="24"/>
                <w:u w:val="none"/>
              </w:rPr>
            </w:pP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绩效指标明确性</w:t>
            </w:r>
          </w:p>
        </w:tc>
        <w:tc>
          <w:tcPr>
            <w:tcW w:w="30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部门（单位）依据整体绩效目标所设定的绩效指标清晰、细化、可衡量，用以反映和考核部门（单位）整体绩效目标的明细化情况。</w:t>
            </w:r>
          </w:p>
        </w:tc>
        <w:tc>
          <w:tcPr>
            <w:tcW w:w="561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kern w:val="0"/>
                <w:sz w:val="24"/>
                <w:szCs w:val="24"/>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1.将部门整体的绩效目标细化分解为具体的工作任务；（1分）</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2.通过清晰、可衡量的指标值予以体现。（1分）                                   3.与部门年度的任务数或计划数相对应；（1分）</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4.与本年度部门预算资金相匹配。（1分）</w:t>
            </w: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w:t>
            </w:r>
          </w:p>
        </w:tc>
      </w:tr>
      <w:tr>
        <w:tblPrEx>
          <w:shd w:val="clear" w:color="auto" w:fill="auto"/>
          <w:tblCellMar>
            <w:top w:w="0" w:type="dxa"/>
            <w:left w:w="0" w:type="dxa"/>
            <w:bottom w:w="0" w:type="dxa"/>
            <w:right w:w="0" w:type="dxa"/>
          </w:tblCellMar>
        </w:tblPrEx>
        <w:trPr>
          <w:trHeight w:val="1560" w:hRule="atLeast"/>
        </w:trPr>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仿宋" w:hAnsi="仿宋" w:eastAsia="仿宋" w:cs="仿宋"/>
                <w:i w:val="0"/>
                <w:color w:val="000000"/>
                <w:sz w:val="24"/>
                <w:szCs w:val="24"/>
                <w:u w:val="none"/>
              </w:rPr>
            </w:pPr>
          </w:p>
        </w:tc>
        <w:tc>
          <w:tcPr>
            <w:tcW w:w="104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预算配置</w:t>
            </w: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在职人员控制率</w:t>
            </w:r>
          </w:p>
        </w:tc>
        <w:tc>
          <w:tcPr>
            <w:tcW w:w="30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部门（单位）本年度实际在职人员数与编制数的比率，用以反映和考核部门（单位）对人员成本的控制程度。</w:t>
            </w:r>
          </w:p>
        </w:tc>
        <w:tc>
          <w:tcPr>
            <w:tcW w:w="561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在职人员控制率=（在职人员数/编制数）×100%。</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在职人员数：部门（单位）实际在职人数，以财政部确定的部门决算编制口径为准。</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编制数：机构编制部门核定批复的部门（单位）的人员编制数。                                                                                                                                                                       得分=在职人员控制率*2分，此项最高得2分。</w:t>
            </w: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570" w:hRule="atLeast"/>
        </w:trPr>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仿宋" w:hAnsi="仿宋" w:eastAsia="仿宋" w:cs="仿宋"/>
                <w:i w:val="0"/>
                <w:color w:val="000000"/>
                <w:sz w:val="24"/>
                <w:szCs w:val="24"/>
                <w:u w:val="none"/>
              </w:rPr>
            </w:pP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color w:val="000000"/>
                <w:sz w:val="24"/>
                <w:szCs w:val="24"/>
                <w:u w:val="none"/>
              </w:rPr>
            </w:pP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“三公经费”变动率</w:t>
            </w:r>
          </w:p>
        </w:tc>
        <w:tc>
          <w:tcPr>
            <w:tcW w:w="30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部门（单位）本年度“三公经费”预算数与上年度“三公经费”预算数的变动比率，用以反映和考核部门（单位）对控制重点行政成本的努力程度。</w:t>
            </w:r>
          </w:p>
        </w:tc>
        <w:tc>
          <w:tcPr>
            <w:tcW w:w="561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“三公经费”变动率=[（本年度“三公经费”总额</w:t>
            </w:r>
            <w:r>
              <w:rPr>
                <w:rFonts w:hint="eastAsia" w:ascii="仿宋" w:hAnsi="仿宋" w:eastAsia="仿宋" w:cs="仿宋"/>
                <w:i w:val="0"/>
                <w:color w:val="000000"/>
                <w:kern w:val="0"/>
                <w:sz w:val="24"/>
                <w:szCs w:val="24"/>
                <w:highlight w:val="none"/>
                <w:u w:val="none"/>
                <w:lang w:val="en-US" w:eastAsia="zh-CN" w:bidi="ar"/>
              </w:rPr>
              <w:t>-</w:t>
            </w:r>
            <w:r>
              <w:rPr>
                <w:rFonts w:hint="eastAsia" w:ascii="仿宋" w:hAnsi="仿宋" w:eastAsia="仿宋" w:cs="仿宋"/>
                <w:i w:val="0"/>
                <w:color w:val="000000"/>
                <w:kern w:val="0"/>
                <w:sz w:val="24"/>
                <w:szCs w:val="24"/>
                <w:u w:val="none"/>
                <w:lang w:val="en-US" w:eastAsia="zh-CN" w:bidi="ar"/>
              </w:rPr>
              <w:t>上年度“三公经费”总额）/上年度“三公经费”总额]×100%。</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“三公经费”：年度预算安排的因公出国（境）费、公务车辆购置及运行费和公务招待费。                                                                                                                                                       得分=“三公经费”变动率*2分。</w:t>
            </w: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2080" w:hRule="atLeast"/>
        </w:trPr>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仿宋" w:hAnsi="仿宋" w:eastAsia="仿宋" w:cs="仿宋"/>
                <w:i w:val="0"/>
                <w:color w:val="000000"/>
                <w:sz w:val="24"/>
                <w:szCs w:val="24"/>
                <w:u w:val="none"/>
              </w:rPr>
            </w:pP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color w:val="000000"/>
                <w:sz w:val="24"/>
                <w:szCs w:val="24"/>
                <w:u w:val="none"/>
              </w:rPr>
            </w:pP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重点支出安排率</w:t>
            </w:r>
          </w:p>
        </w:tc>
        <w:tc>
          <w:tcPr>
            <w:tcW w:w="30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部门（单位）本年度预算安排的重点项目支出与部门项目总支出的比率，用以反映和考核部门（单位）对履行主要职责或完成重点任务的保障程度。</w:t>
            </w:r>
          </w:p>
        </w:tc>
        <w:tc>
          <w:tcPr>
            <w:tcW w:w="561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重点支出安排率=（重点项目支出/项目总支出）×100%。</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重点项目支出：部门（单位）年度预算安排的，与本部门履职和发展密切相关、具有明显社会和经济影响、党委政府关心或社会比较关注的项目支出总额。</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项目总支出：部门（单位）年度预算安排的项目支出总额。                                                          重点支出安排率大于等于95%的，得满分；完成率小于等于85%的，得0分；完成率在95%-85%之间的，按公式计算得分，得分=重点支出安排率*4分。</w:t>
            </w: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w:t>
            </w:r>
          </w:p>
        </w:tc>
      </w:tr>
      <w:tr>
        <w:tblPrEx>
          <w:shd w:val="clear" w:color="auto" w:fill="auto"/>
          <w:tblCellMar>
            <w:top w:w="0" w:type="dxa"/>
            <w:left w:w="0" w:type="dxa"/>
            <w:bottom w:w="0" w:type="dxa"/>
            <w:right w:w="0" w:type="dxa"/>
          </w:tblCellMar>
        </w:tblPrEx>
        <w:trPr>
          <w:trHeight w:val="1560" w:hRule="atLeast"/>
        </w:trPr>
        <w:tc>
          <w:tcPr>
            <w:tcW w:w="104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过程</w:t>
            </w:r>
          </w:p>
        </w:tc>
        <w:tc>
          <w:tcPr>
            <w:tcW w:w="104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预算执行</w:t>
            </w: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预算完成率</w:t>
            </w:r>
          </w:p>
        </w:tc>
        <w:tc>
          <w:tcPr>
            <w:tcW w:w="30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 xml:space="preserve"> </w:t>
            </w:r>
          </w:p>
        </w:tc>
        <w:tc>
          <w:tcPr>
            <w:tcW w:w="561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预算完成率=（决算完成数/预算数）×100%。</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决算完成数：部门（单位）本年度实际完成的支出数。</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预算数：财政部门批复的本年度部门（单位）预算数。                                                                                 预算完成率大于等于95%的，得满分；完成率小于等于85%的，得0分；完成率在95%-85%之间的，按公式计算得分，得分=预算完成率*1.5分，此项最高得1.5分。</w:t>
            </w: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r>
      <w:tr>
        <w:tblPrEx>
          <w:shd w:val="clear" w:color="auto" w:fill="auto"/>
          <w:tblCellMar>
            <w:top w:w="0" w:type="dxa"/>
            <w:left w:w="0" w:type="dxa"/>
            <w:bottom w:w="0" w:type="dxa"/>
            <w:right w:w="0" w:type="dxa"/>
          </w:tblCellMar>
        </w:tblPrEx>
        <w:trPr>
          <w:trHeight w:val="1300" w:hRule="atLeast"/>
        </w:trPr>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color w:val="000000"/>
                <w:sz w:val="24"/>
                <w:szCs w:val="24"/>
                <w:u w:val="none"/>
              </w:rPr>
            </w:pP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color w:val="000000"/>
                <w:sz w:val="24"/>
                <w:szCs w:val="24"/>
                <w:u w:val="none"/>
              </w:rPr>
            </w:pP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预算调整率</w:t>
            </w:r>
          </w:p>
        </w:tc>
        <w:tc>
          <w:tcPr>
            <w:tcW w:w="30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部门（单位）本年度预算调整数与预算数的比率，用以反映和考核部门（单位）预算的调整程度。</w:t>
            </w:r>
          </w:p>
        </w:tc>
        <w:tc>
          <w:tcPr>
            <w:tcW w:w="561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预算调整率=（预算调整数/预算数）×100%。</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预算调整数：部门（单位）在本年度内涉及预算的追加、追减或结构调整的资金总和（因落实国家政策、发生不可抗力、上级部门或本级党委政府临时交办而产生的调整除外）。                                                               得分=（1</w:t>
            </w:r>
            <w:r>
              <w:rPr>
                <w:rFonts w:hint="eastAsia" w:ascii="仿宋" w:hAnsi="仿宋" w:eastAsia="仿宋" w:cs="仿宋"/>
                <w:i w:val="0"/>
                <w:color w:val="000000"/>
                <w:kern w:val="0"/>
                <w:sz w:val="24"/>
                <w:szCs w:val="24"/>
                <w:highlight w:val="none"/>
                <w:u w:val="none"/>
                <w:lang w:val="en-US" w:eastAsia="zh-CN" w:bidi="ar"/>
              </w:rPr>
              <w:t>-</w:t>
            </w:r>
            <w:r>
              <w:rPr>
                <w:rFonts w:hint="eastAsia" w:ascii="仿宋" w:hAnsi="仿宋" w:eastAsia="仿宋" w:cs="仿宋"/>
                <w:i w:val="0"/>
                <w:color w:val="000000"/>
                <w:kern w:val="0"/>
                <w:sz w:val="24"/>
                <w:szCs w:val="24"/>
                <w:u w:val="none"/>
                <w:lang w:val="en-US" w:eastAsia="zh-CN" w:bidi="ar"/>
              </w:rPr>
              <w:t>预算调整率）×1分</w:t>
            </w: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r>
      <w:tr>
        <w:tblPrEx>
          <w:shd w:val="clear" w:color="auto" w:fill="auto"/>
          <w:tblCellMar>
            <w:top w:w="0" w:type="dxa"/>
            <w:left w:w="0" w:type="dxa"/>
            <w:bottom w:w="0" w:type="dxa"/>
            <w:right w:w="0" w:type="dxa"/>
          </w:tblCellMar>
        </w:tblPrEx>
        <w:trPr>
          <w:trHeight w:val="1820" w:hRule="atLeast"/>
        </w:trPr>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color w:val="000000"/>
                <w:sz w:val="24"/>
                <w:szCs w:val="24"/>
                <w:u w:val="none"/>
              </w:rPr>
            </w:pP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color w:val="000000"/>
                <w:sz w:val="24"/>
                <w:szCs w:val="24"/>
                <w:u w:val="none"/>
              </w:rPr>
            </w:pP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支付进度率</w:t>
            </w:r>
          </w:p>
        </w:tc>
        <w:tc>
          <w:tcPr>
            <w:tcW w:w="30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部门（单位）实际支付进度与既定支付进度的比率，用以反映和考核部门（单位）预算执行的及时性和均衡性程度。</w:t>
            </w:r>
          </w:p>
        </w:tc>
        <w:tc>
          <w:tcPr>
            <w:tcW w:w="561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支付进度率=（公共财政支出进度/序时支出进度）×100%。</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 xml:space="preserve">    以3月、6月、9月、11月为时点，用每个时点月底的公共财政支出进度与其序时支出进度的比率。部门实际支出进度大于序时支出进度时，得满分；小于序时支出进度时，按公式计算得分，得分=支付进度率×1.5分。以四个时点平均分为最终得分。</w:t>
            </w: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r>
      <w:tr>
        <w:tblPrEx>
          <w:shd w:val="clear" w:color="auto" w:fill="auto"/>
          <w:tblCellMar>
            <w:top w:w="0" w:type="dxa"/>
            <w:left w:w="0" w:type="dxa"/>
            <w:bottom w:w="0" w:type="dxa"/>
            <w:right w:w="0" w:type="dxa"/>
          </w:tblCellMar>
        </w:tblPrEx>
        <w:trPr>
          <w:trHeight w:val="1560" w:hRule="atLeast"/>
        </w:trPr>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color w:val="000000"/>
                <w:sz w:val="24"/>
                <w:szCs w:val="24"/>
                <w:u w:val="none"/>
              </w:rPr>
            </w:pP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color w:val="000000"/>
                <w:sz w:val="24"/>
                <w:szCs w:val="24"/>
                <w:u w:val="none"/>
              </w:rPr>
            </w:pP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结转结余率</w:t>
            </w:r>
          </w:p>
        </w:tc>
        <w:tc>
          <w:tcPr>
            <w:tcW w:w="30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部门（单位）本年度结转结余总额与支出预算数的比率，用以反映和考核部门（单位）对本年度结转结余资金的实际控制程度。</w:t>
            </w:r>
          </w:p>
        </w:tc>
        <w:tc>
          <w:tcPr>
            <w:tcW w:w="561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结转结余率=结转结余总额/决算收入数×100%。</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结转结余总额：部门（单位）本年度的结转资金与结余资金之和（以决算数为准）。                                                      结转结余率小于或等于5%的，得满分；结转结余率大于或等于15%的，得0分；结转结余率在5%-15%之间的，按公式计算得分，得分=（15%</w:t>
            </w:r>
            <w:r>
              <w:rPr>
                <w:rFonts w:hint="eastAsia" w:ascii="仿宋" w:hAnsi="仿宋" w:eastAsia="仿宋" w:cs="仿宋"/>
                <w:i w:val="0"/>
                <w:color w:val="000000"/>
                <w:kern w:val="0"/>
                <w:sz w:val="24"/>
                <w:szCs w:val="24"/>
                <w:highlight w:val="none"/>
                <w:u w:val="none"/>
                <w:lang w:val="en-US" w:eastAsia="zh-CN" w:bidi="ar"/>
              </w:rPr>
              <w:t>-</w:t>
            </w:r>
            <w:r>
              <w:rPr>
                <w:rFonts w:hint="eastAsia" w:ascii="仿宋" w:hAnsi="仿宋" w:eastAsia="仿宋" w:cs="仿宋"/>
                <w:i w:val="0"/>
                <w:color w:val="000000"/>
                <w:kern w:val="0"/>
                <w:sz w:val="24"/>
                <w:szCs w:val="24"/>
                <w:u w:val="none"/>
                <w:lang w:val="en-US" w:eastAsia="zh-CN" w:bidi="ar"/>
              </w:rPr>
              <w:t>结转结余率</w:t>
            </w:r>
            <w:r>
              <w:rPr>
                <w:rFonts w:hint="eastAsia" w:ascii="仿宋" w:hAnsi="仿宋" w:eastAsia="仿宋" w:cs="仿宋"/>
                <w:i w:val="0"/>
                <w:color w:val="000000"/>
                <w:kern w:val="0"/>
                <w:sz w:val="24"/>
                <w:szCs w:val="24"/>
                <w:highlight w:val="none"/>
                <w:u w:val="none"/>
                <w:lang w:val="en-US" w:eastAsia="zh-CN" w:bidi="ar"/>
              </w:rPr>
              <w:t>)</w:t>
            </w:r>
            <w:r>
              <w:rPr>
                <w:rFonts w:hint="eastAsia" w:ascii="仿宋" w:hAnsi="仿宋" w:eastAsia="仿宋" w:cs="仿宋"/>
                <w:i w:val="0"/>
                <w:color w:val="000000"/>
                <w:kern w:val="0"/>
                <w:sz w:val="24"/>
                <w:szCs w:val="24"/>
                <w:u w:val="none"/>
                <w:lang w:val="en-US" w:eastAsia="zh-CN" w:bidi="ar"/>
              </w:rPr>
              <w:t>÷（15%-5%）×1分。</w:t>
            </w: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r>
      <w:tr>
        <w:tblPrEx>
          <w:shd w:val="clear" w:color="auto" w:fill="auto"/>
          <w:tblCellMar>
            <w:top w:w="0" w:type="dxa"/>
            <w:left w:w="0" w:type="dxa"/>
            <w:bottom w:w="0" w:type="dxa"/>
            <w:right w:w="0" w:type="dxa"/>
          </w:tblCellMar>
        </w:tblPrEx>
        <w:trPr>
          <w:trHeight w:val="1560" w:hRule="atLeast"/>
        </w:trPr>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color w:val="000000"/>
                <w:sz w:val="24"/>
                <w:szCs w:val="24"/>
                <w:u w:val="none"/>
              </w:rPr>
            </w:pP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color w:val="000000"/>
                <w:sz w:val="24"/>
                <w:szCs w:val="24"/>
                <w:u w:val="none"/>
              </w:rPr>
            </w:pP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结转结余变动率</w:t>
            </w:r>
          </w:p>
        </w:tc>
        <w:tc>
          <w:tcPr>
            <w:tcW w:w="30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部门（单位）本年度结转结余资金总额与上年度结转结余资金总额的变动比率，用以反映和考核部门（单位）对控制结转结余资金的努力程度。</w:t>
            </w:r>
          </w:p>
        </w:tc>
        <w:tc>
          <w:tcPr>
            <w:tcW w:w="561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结转结余变动率=[（本年度累计结转结余资金总额</w:t>
            </w:r>
            <w:r>
              <w:rPr>
                <w:rFonts w:hint="eastAsia" w:ascii="仿宋" w:hAnsi="仿宋" w:eastAsia="仿宋" w:cs="仿宋"/>
                <w:i w:val="0"/>
                <w:color w:val="000000"/>
                <w:kern w:val="0"/>
                <w:sz w:val="24"/>
                <w:szCs w:val="24"/>
                <w:highlight w:val="none"/>
                <w:u w:val="none"/>
                <w:lang w:val="en-US" w:eastAsia="zh-CN" w:bidi="ar"/>
              </w:rPr>
              <w:t>-</w:t>
            </w:r>
            <w:r>
              <w:rPr>
                <w:rFonts w:hint="eastAsia" w:ascii="仿宋" w:hAnsi="仿宋" w:eastAsia="仿宋" w:cs="仿宋"/>
                <w:i w:val="0"/>
                <w:color w:val="000000"/>
                <w:kern w:val="0"/>
                <w:sz w:val="24"/>
                <w:szCs w:val="24"/>
                <w:u w:val="none"/>
                <w:lang w:val="en-US" w:eastAsia="zh-CN" w:bidi="ar"/>
              </w:rPr>
              <w:t>上年度累计结转结余资金总额）/上年度累计结转结余资金总额]×100%。                                                                                                              结转结余变动率小于或等于5%的，得满分；大于或等于15%的，得0分；在5%-15%之间的，按公式计算得分，得分=（15%</w:t>
            </w:r>
            <w:r>
              <w:rPr>
                <w:rFonts w:hint="eastAsia" w:ascii="仿宋" w:hAnsi="仿宋" w:eastAsia="仿宋" w:cs="仿宋"/>
                <w:i w:val="0"/>
                <w:color w:val="000000"/>
                <w:kern w:val="0"/>
                <w:sz w:val="24"/>
                <w:szCs w:val="24"/>
                <w:highlight w:val="none"/>
                <w:u w:val="none"/>
                <w:lang w:val="en-US" w:eastAsia="zh-CN" w:bidi="ar"/>
              </w:rPr>
              <w:t>-</w:t>
            </w:r>
            <w:r>
              <w:rPr>
                <w:rFonts w:hint="eastAsia" w:ascii="仿宋" w:hAnsi="仿宋" w:eastAsia="仿宋" w:cs="仿宋"/>
                <w:i w:val="0"/>
                <w:color w:val="000000"/>
                <w:kern w:val="0"/>
                <w:sz w:val="24"/>
                <w:szCs w:val="24"/>
                <w:u w:val="none"/>
                <w:lang w:val="en-US" w:eastAsia="zh-CN" w:bidi="ar"/>
              </w:rPr>
              <w:t>结转结余变动率</w:t>
            </w:r>
            <w:r>
              <w:rPr>
                <w:rFonts w:hint="eastAsia" w:ascii="仿宋" w:hAnsi="仿宋" w:eastAsia="仿宋" w:cs="仿宋"/>
                <w:i w:val="0"/>
                <w:color w:val="000000"/>
                <w:kern w:val="0"/>
                <w:sz w:val="24"/>
                <w:szCs w:val="24"/>
                <w:highlight w:val="none"/>
                <w:u w:val="none"/>
                <w:lang w:val="en-US" w:eastAsia="zh-CN" w:bidi="ar"/>
              </w:rPr>
              <w:t>)</w:t>
            </w:r>
            <w:r>
              <w:rPr>
                <w:rFonts w:hint="eastAsia" w:ascii="仿宋" w:hAnsi="仿宋" w:eastAsia="仿宋" w:cs="仿宋"/>
                <w:i w:val="0"/>
                <w:color w:val="000000"/>
                <w:kern w:val="0"/>
                <w:sz w:val="24"/>
                <w:szCs w:val="24"/>
                <w:u w:val="none"/>
                <w:lang w:val="en-US" w:eastAsia="zh-CN" w:bidi="ar"/>
              </w:rPr>
              <w:t>÷（15%-5%）×1分。</w:t>
            </w: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r>
      <w:tr>
        <w:tblPrEx>
          <w:shd w:val="clear" w:color="auto" w:fill="auto"/>
          <w:tblCellMar>
            <w:top w:w="0" w:type="dxa"/>
            <w:left w:w="0" w:type="dxa"/>
            <w:bottom w:w="0" w:type="dxa"/>
            <w:right w:w="0" w:type="dxa"/>
          </w:tblCellMar>
        </w:tblPrEx>
        <w:trPr>
          <w:trHeight w:val="1300" w:hRule="atLeast"/>
        </w:trPr>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color w:val="000000"/>
                <w:sz w:val="24"/>
                <w:szCs w:val="24"/>
                <w:u w:val="none"/>
              </w:rPr>
            </w:pP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color w:val="000000"/>
                <w:sz w:val="24"/>
                <w:szCs w:val="24"/>
                <w:u w:val="none"/>
              </w:rPr>
            </w:pP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公用经费控制率</w:t>
            </w:r>
          </w:p>
        </w:tc>
        <w:tc>
          <w:tcPr>
            <w:tcW w:w="30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部门（单位）本年度实际支出的公用经费总额与预算安排的公用经费总额的比率，用以反映和考核部门（单位）对机构运转成本的实际控制程度。</w:t>
            </w:r>
          </w:p>
        </w:tc>
        <w:tc>
          <w:tcPr>
            <w:tcW w:w="561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公用经费控制率=（实际支出公用经费总额/预算安排公用经费总额）×100%。                                                       公用经费控制率小于或等于100%的得满分，否则得0分。</w:t>
            </w: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r>
      <w:tr>
        <w:tblPrEx>
          <w:shd w:val="clear" w:color="auto" w:fill="auto"/>
          <w:tblCellMar>
            <w:top w:w="0" w:type="dxa"/>
            <w:left w:w="0" w:type="dxa"/>
            <w:bottom w:w="0" w:type="dxa"/>
            <w:right w:w="0" w:type="dxa"/>
          </w:tblCellMar>
        </w:tblPrEx>
        <w:trPr>
          <w:trHeight w:val="1300" w:hRule="atLeast"/>
        </w:trPr>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color w:val="000000"/>
                <w:sz w:val="24"/>
                <w:szCs w:val="24"/>
                <w:u w:val="none"/>
              </w:rPr>
            </w:pP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color w:val="000000"/>
                <w:sz w:val="24"/>
                <w:szCs w:val="24"/>
                <w:u w:val="none"/>
              </w:rPr>
            </w:pP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“三公经费”控制率</w:t>
            </w:r>
          </w:p>
        </w:tc>
        <w:tc>
          <w:tcPr>
            <w:tcW w:w="30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部门（单位）本年度“三公经费”实际支出数与预算安排数的比率，用以反映和考核部门（单位）对“三公经费”的实际控制程度。</w:t>
            </w:r>
          </w:p>
        </w:tc>
        <w:tc>
          <w:tcPr>
            <w:tcW w:w="561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“三公经费”控制率=（“三公经费”实际支出数/“三公经费”预算安排数）×100%。                                                     部门三公经费控制率小于或等于100%时，得满分，控制率大于100%的，得0分。</w:t>
            </w: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r>
      <w:tr>
        <w:tblPrEx>
          <w:shd w:val="clear" w:color="auto" w:fill="auto"/>
          <w:tblCellMar>
            <w:top w:w="0" w:type="dxa"/>
            <w:left w:w="0" w:type="dxa"/>
            <w:bottom w:w="0" w:type="dxa"/>
            <w:right w:w="0" w:type="dxa"/>
          </w:tblCellMar>
        </w:tblPrEx>
        <w:trPr>
          <w:trHeight w:val="1820" w:hRule="atLeast"/>
        </w:trPr>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color w:val="000000"/>
                <w:sz w:val="24"/>
                <w:szCs w:val="24"/>
                <w:u w:val="none"/>
              </w:rPr>
            </w:pP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color w:val="000000"/>
                <w:sz w:val="24"/>
                <w:szCs w:val="24"/>
                <w:u w:val="none"/>
              </w:rPr>
            </w:pP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政府采购执行率</w:t>
            </w:r>
          </w:p>
        </w:tc>
        <w:tc>
          <w:tcPr>
            <w:tcW w:w="30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部门（单位）本年度实际政府采购金额与年初政府采购预算的比率，用以反映和考核部门（单位）政府采购预算执行情况。</w:t>
            </w:r>
          </w:p>
        </w:tc>
        <w:tc>
          <w:tcPr>
            <w:tcW w:w="561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政府采购执行率=（实际政府采购金额/政府采购预算数）×100%；</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政府采购预算：采购机关根据事业发展计划和行政任务编制的、并经过规定程序批准的年度政府采购计划。                                                 政府采购执行率大于等于95%的，得满分；执行率在70%-95%的，按公式计算</w:t>
            </w:r>
            <w:r>
              <w:rPr>
                <w:rFonts w:hint="eastAsia" w:ascii="仿宋" w:hAnsi="仿宋" w:eastAsia="仿宋" w:cs="仿宋"/>
                <w:i w:val="0"/>
                <w:color w:val="000000"/>
                <w:kern w:val="0"/>
                <w:sz w:val="24"/>
                <w:szCs w:val="24"/>
                <w:highlight w:val="none"/>
                <w:u w:val="none"/>
                <w:lang w:val="en-US" w:eastAsia="zh-CN" w:bidi="ar"/>
              </w:rPr>
              <w:t>得分</w:t>
            </w:r>
            <w:r>
              <w:rPr>
                <w:rFonts w:hint="eastAsia" w:ascii="仿宋" w:hAnsi="仿宋" w:eastAsia="仿宋" w:cs="仿宋"/>
                <w:i w:val="0"/>
                <w:color w:val="000000"/>
                <w:kern w:val="0"/>
                <w:sz w:val="24"/>
                <w:szCs w:val="24"/>
                <w:u w:val="none"/>
                <w:lang w:val="en-US" w:eastAsia="zh-CN" w:bidi="ar"/>
              </w:rPr>
              <w:t>=</w:t>
            </w:r>
            <w:r>
              <w:rPr>
                <w:rFonts w:hint="eastAsia" w:ascii="仿宋" w:hAnsi="仿宋" w:eastAsia="仿宋" w:cs="仿宋"/>
                <w:i w:val="0"/>
                <w:color w:val="000000"/>
                <w:kern w:val="0"/>
                <w:sz w:val="24"/>
                <w:szCs w:val="24"/>
                <w:highlight w:val="none"/>
                <w:u w:val="none"/>
                <w:lang w:val="en-US" w:eastAsia="zh-CN" w:bidi="ar"/>
              </w:rPr>
              <w:t>（</w:t>
            </w:r>
            <w:r>
              <w:rPr>
                <w:rFonts w:hint="eastAsia" w:ascii="仿宋" w:hAnsi="仿宋" w:eastAsia="仿宋" w:cs="仿宋"/>
                <w:i w:val="0"/>
                <w:color w:val="000000"/>
                <w:kern w:val="0"/>
                <w:sz w:val="24"/>
                <w:szCs w:val="24"/>
                <w:u w:val="none"/>
                <w:lang w:val="en-US" w:eastAsia="zh-CN" w:bidi="ar"/>
              </w:rPr>
              <w:t>[政府采购预算完成率-70%]÷（95%-70%）×分值；小于等于70%的，得0分。</w:t>
            </w: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r>
      <w:tr>
        <w:tblPrEx>
          <w:shd w:val="clear" w:color="auto" w:fill="auto"/>
          <w:tblCellMar>
            <w:top w:w="0" w:type="dxa"/>
            <w:left w:w="0" w:type="dxa"/>
            <w:bottom w:w="0" w:type="dxa"/>
            <w:right w:w="0" w:type="dxa"/>
          </w:tblCellMar>
        </w:tblPrEx>
        <w:trPr>
          <w:trHeight w:val="1560" w:hRule="atLeast"/>
        </w:trPr>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color w:val="000000"/>
                <w:sz w:val="24"/>
                <w:szCs w:val="24"/>
                <w:u w:val="none"/>
              </w:rPr>
            </w:pPr>
          </w:p>
        </w:tc>
        <w:tc>
          <w:tcPr>
            <w:tcW w:w="104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预算管理</w:t>
            </w: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管理制度健全性</w:t>
            </w:r>
          </w:p>
        </w:tc>
        <w:tc>
          <w:tcPr>
            <w:tcW w:w="30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部门（单位）为加强预算管理、规范财务行为而制定的管理制度健全完整，用以反映和考核部门（单位）预算管理制度对完成主要职责或促进事业发展的保障情况。</w:t>
            </w:r>
          </w:p>
        </w:tc>
        <w:tc>
          <w:tcPr>
            <w:tcW w:w="561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kern w:val="0"/>
                <w:sz w:val="24"/>
                <w:szCs w:val="24"/>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1.已制定或具有预算资金管理办法、内部财务管理制度、会计核算制度等管理制度；（1分）</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2.相关管理制度合法、合规、完整；（1分）</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3.相关管理制度得到有效执行。（1分）</w:t>
            </w: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r>
      <w:tr>
        <w:tblPrEx>
          <w:shd w:val="clear" w:color="auto" w:fill="auto"/>
          <w:tblCellMar>
            <w:top w:w="0" w:type="dxa"/>
            <w:left w:w="0" w:type="dxa"/>
            <w:bottom w:w="0" w:type="dxa"/>
            <w:right w:w="0" w:type="dxa"/>
          </w:tblCellMar>
        </w:tblPrEx>
        <w:trPr>
          <w:trHeight w:val="1820" w:hRule="atLeast"/>
        </w:trPr>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color w:val="000000"/>
                <w:sz w:val="24"/>
                <w:szCs w:val="24"/>
                <w:u w:val="none"/>
              </w:rPr>
            </w:pP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color w:val="000000"/>
                <w:sz w:val="24"/>
                <w:szCs w:val="24"/>
                <w:u w:val="none"/>
              </w:rPr>
            </w:pP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资金使用合规性</w:t>
            </w:r>
          </w:p>
        </w:tc>
        <w:tc>
          <w:tcPr>
            <w:tcW w:w="30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部门（单位）使用预算资金符合相关的预算财务管理制度的规定，用以反映和考核部门（单位）预算资金的规范运行情况。</w:t>
            </w:r>
          </w:p>
        </w:tc>
        <w:tc>
          <w:tcPr>
            <w:tcW w:w="561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kern w:val="0"/>
                <w:sz w:val="24"/>
                <w:szCs w:val="24"/>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1.符合国家财经法规和财务管理制度规定以及有关专项资金管理办法的规定；（0.5分）</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2.资金的拨付有完整的审批程序和手续；（0.5分）</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3.项目的重大开支经过评估论证；（0.5分）</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4.符合部门预算批复的用途；（0.5分）</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5.不存在截留、挤占、挪用、虚列支出等情况。（0.5分）</w:t>
            </w: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2.5</w:t>
            </w:r>
          </w:p>
        </w:tc>
      </w:tr>
      <w:tr>
        <w:tblPrEx>
          <w:shd w:val="clear" w:color="auto" w:fill="auto"/>
          <w:tblCellMar>
            <w:top w:w="0" w:type="dxa"/>
            <w:left w:w="0" w:type="dxa"/>
            <w:bottom w:w="0" w:type="dxa"/>
            <w:right w:w="0" w:type="dxa"/>
          </w:tblCellMar>
        </w:tblPrEx>
        <w:trPr>
          <w:trHeight w:val="1300" w:hRule="atLeast"/>
        </w:trPr>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color w:val="000000"/>
                <w:sz w:val="24"/>
                <w:szCs w:val="24"/>
                <w:u w:val="none"/>
              </w:rPr>
            </w:pP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color w:val="000000"/>
                <w:sz w:val="24"/>
                <w:szCs w:val="24"/>
                <w:u w:val="none"/>
              </w:rPr>
            </w:pP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预决算信息公开性</w:t>
            </w:r>
          </w:p>
        </w:tc>
        <w:tc>
          <w:tcPr>
            <w:tcW w:w="30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部门（单位）是否按照政府信息公开有关规定公开相关预决算信息，用以反映和考核部门（单位）预决算管理的公开透明情况。</w:t>
            </w:r>
          </w:p>
        </w:tc>
        <w:tc>
          <w:tcPr>
            <w:tcW w:w="561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kern w:val="0"/>
                <w:sz w:val="24"/>
                <w:szCs w:val="24"/>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1.是否按规定内容公开预决算信息；（0.3分）</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2.是否按规定时限公开预决算信息。（0.3）</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预决算信息是指与部门预算、执行、决算、监督、绩效等管理相关的信息。</w:t>
            </w: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0.6</w:t>
            </w:r>
          </w:p>
        </w:tc>
      </w:tr>
      <w:tr>
        <w:tblPrEx>
          <w:shd w:val="clear" w:color="auto" w:fill="auto"/>
          <w:tblCellMar>
            <w:top w:w="0" w:type="dxa"/>
            <w:left w:w="0" w:type="dxa"/>
            <w:bottom w:w="0" w:type="dxa"/>
            <w:right w:w="0" w:type="dxa"/>
          </w:tblCellMar>
        </w:tblPrEx>
        <w:trPr>
          <w:trHeight w:val="1040" w:hRule="atLeast"/>
        </w:trPr>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color w:val="000000"/>
                <w:sz w:val="24"/>
                <w:szCs w:val="24"/>
                <w:u w:val="none"/>
              </w:rPr>
            </w:pP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color w:val="000000"/>
                <w:sz w:val="24"/>
                <w:szCs w:val="24"/>
                <w:u w:val="none"/>
              </w:rPr>
            </w:pP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运行监控和自评有效性</w:t>
            </w:r>
          </w:p>
        </w:tc>
        <w:tc>
          <w:tcPr>
            <w:tcW w:w="30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项目主管单位按照绩效运行监控和绩效自评管理要求开展相关工作。</w:t>
            </w:r>
          </w:p>
        </w:tc>
        <w:tc>
          <w:tcPr>
            <w:tcW w:w="561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1.项目主管单位开展绩效运行监控工作，按时完整报送资料；（1.5分）                                                                                                                                                                           2.项目主管单位开展绩效自评管理工作，按时完整报送资料。（1.5分）</w:t>
            </w: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r>
      <w:tr>
        <w:tblPrEx>
          <w:shd w:val="clear" w:color="auto" w:fill="auto"/>
          <w:tblCellMar>
            <w:top w:w="0" w:type="dxa"/>
            <w:left w:w="0" w:type="dxa"/>
            <w:bottom w:w="0" w:type="dxa"/>
            <w:right w:w="0" w:type="dxa"/>
          </w:tblCellMar>
        </w:tblPrEx>
        <w:trPr>
          <w:trHeight w:val="1040" w:hRule="atLeast"/>
        </w:trPr>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color w:val="000000"/>
                <w:sz w:val="24"/>
                <w:szCs w:val="24"/>
                <w:u w:val="none"/>
              </w:rPr>
            </w:pP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color w:val="000000"/>
                <w:sz w:val="24"/>
                <w:szCs w:val="24"/>
                <w:u w:val="none"/>
              </w:rPr>
            </w:pP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基础信息完善性</w:t>
            </w:r>
          </w:p>
        </w:tc>
        <w:tc>
          <w:tcPr>
            <w:tcW w:w="30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部门（单位）基础信息完善，用以反映和考核基础信息对预算管理工作的支撑情况。</w:t>
            </w:r>
          </w:p>
        </w:tc>
        <w:tc>
          <w:tcPr>
            <w:tcW w:w="561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kern w:val="0"/>
                <w:sz w:val="24"/>
                <w:szCs w:val="24"/>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1.基础数据信息和会计信息资料真实；（0.3分）</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2.基础数据信息和会计信息资料完整；（0.3分）</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3.基础数据信息和会计信息资料准确。（0.3分）</w:t>
            </w: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0.9</w:t>
            </w:r>
          </w:p>
        </w:tc>
      </w:tr>
      <w:tr>
        <w:tblPrEx>
          <w:shd w:val="clear" w:color="auto" w:fill="auto"/>
          <w:tblCellMar>
            <w:top w:w="0" w:type="dxa"/>
            <w:left w:w="0" w:type="dxa"/>
            <w:bottom w:w="0" w:type="dxa"/>
            <w:right w:w="0" w:type="dxa"/>
          </w:tblCellMar>
        </w:tblPrEx>
        <w:trPr>
          <w:trHeight w:val="1560" w:hRule="atLeast"/>
        </w:trPr>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color w:val="000000"/>
                <w:sz w:val="24"/>
                <w:szCs w:val="24"/>
                <w:u w:val="none"/>
              </w:rPr>
            </w:pPr>
          </w:p>
        </w:tc>
        <w:tc>
          <w:tcPr>
            <w:tcW w:w="104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资产管理</w:t>
            </w: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管理制度健全性</w:t>
            </w:r>
          </w:p>
        </w:tc>
        <w:tc>
          <w:tcPr>
            <w:tcW w:w="30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部门（单位）为加强资产管理、规范资产管理行为而制定的管理制度健全完整，用以反映和考核部门（单位）资产管理制度对完成主要职责或促进社会发展的保障情况。</w:t>
            </w:r>
          </w:p>
        </w:tc>
        <w:tc>
          <w:tcPr>
            <w:tcW w:w="561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kern w:val="0"/>
                <w:sz w:val="24"/>
                <w:szCs w:val="24"/>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1.已制定或具有资产管理制度；（0.5分）                                                                                                                                                                                                2.相关资金管理制度合法、合规、完整；（0.5分）</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3.相关资产管理制度得到有效执行。（0.5分）</w:t>
            </w: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r>
      <w:tr>
        <w:tblPrEx>
          <w:shd w:val="clear" w:color="auto" w:fill="auto"/>
          <w:tblCellMar>
            <w:top w:w="0" w:type="dxa"/>
            <w:left w:w="0" w:type="dxa"/>
            <w:bottom w:w="0" w:type="dxa"/>
            <w:right w:w="0" w:type="dxa"/>
          </w:tblCellMar>
        </w:tblPrEx>
        <w:trPr>
          <w:trHeight w:val="1560" w:hRule="atLeast"/>
        </w:trPr>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color w:val="000000"/>
                <w:sz w:val="24"/>
                <w:szCs w:val="24"/>
                <w:u w:val="none"/>
              </w:rPr>
            </w:pP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color w:val="000000"/>
                <w:sz w:val="24"/>
                <w:szCs w:val="24"/>
                <w:u w:val="none"/>
              </w:rPr>
            </w:pP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资产管理安全性</w:t>
            </w:r>
          </w:p>
        </w:tc>
        <w:tc>
          <w:tcPr>
            <w:tcW w:w="30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部门（单位）的资产保存完整、使用合规、配置合理、处置规范、收入及时足额上缴，用以反映和考核部门（单位）资产安全运行情况。</w:t>
            </w:r>
          </w:p>
        </w:tc>
        <w:tc>
          <w:tcPr>
            <w:tcW w:w="561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kern w:val="0"/>
                <w:sz w:val="24"/>
                <w:szCs w:val="24"/>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1.资产保存完整；（0.3分）</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2.资产配置合理；（0.3分）</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3.资产处置规范；（0.3分）</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4.资产账务管理合规，</w:t>
            </w:r>
            <w:r>
              <w:rPr>
                <w:rFonts w:hint="eastAsia" w:ascii="仿宋" w:hAnsi="仿宋" w:eastAsia="仿宋" w:cs="仿宋"/>
                <w:i w:val="0"/>
                <w:color w:val="000000"/>
                <w:kern w:val="0"/>
                <w:sz w:val="24"/>
                <w:szCs w:val="24"/>
                <w:highlight w:val="none"/>
                <w:u w:val="none"/>
                <w:lang w:val="en-US" w:eastAsia="zh-CN" w:bidi="ar"/>
              </w:rPr>
              <w:t>账实相符</w:t>
            </w:r>
            <w:r>
              <w:rPr>
                <w:rFonts w:hint="eastAsia" w:ascii="仿宋" w:hAnsi="仿宋" w:eastAsia="仿宋" w:cs="仿宋"/>
                <w:i w:val="0"/>
                <w:color w:val="000000"/>
                <w:kern w:val="0"/>
                <w:sz w:val="24"/>
                <w:szCs w:val="24"/>
                <w:u w:val="none"/>
                <w:lang w:val="en-US" w:eastAsia="zh-CN" w:bidi="ar"/>
              </w:rPr>
              <w:t>；（0.3分）</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5.资产有偿使用及处置收入及时足额上缴。（0.3分）</w:t>
            </w: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r>
      <w:tr>
        <w:tblPrEx>
          <w:shd w:val="clear" w:color="auto" w:fill="auto"/>
          <w:tblCellMar>
            <w:top w:w="0" w:type="dxa"/>
            <w:left w:w="0" w:type="dxa"/>
            <w:bottom w:w="0" w:type="dxa"/>
            <w:right w:w="0" w:type="dxa"/>
          </w:tblCellMar>
        </w:tblPrEx>
        <w:trPr>
          <w:trHeight w:val="1040" w:hRule="atLeast"/>
        </w:trPr>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color w:val="000000"/>
                <w:sz w:val="24"/>
                <w:szCs w:val="24"/>
                <w:u w:val="none"/>
              </w:rPr>
            </w:pP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color w:val="000000"/>
                <w:sz w:val="24"/>
                <w:szCs w:val="24"/>
                <w:u w:val="none"/>
              </w:rPr>
            </w:pP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固定资产利用率</w:t>
            </w:r>
          </w:p>
        </w:tc>
        <w:tc>
          <w:tcPr>
            <w:tcW w:w="30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部门（单位）实际在用固定资产总额与所有固定资产总额的比率，用以反映和考核部门（单位）固定资产使用效率程度。</w:t>
            </w:r>
          </w:p>
        </w:tc>
        <w:tc>
          <w:tcPr>
            <w:tcW w:w="561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固定资产利用率=（实际在用固定资产总额/所有固定资产总额）×100%。                                                                                                                                                                    得分=固定资产利用率×2分</w:t>
            </w: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1560" w:hRule="atLeast"/>
        </w:trPr>
        <w:tc>
          <w:tcPr>
            <w:tcW w:w="104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产出</w:t>
            </w:r>
          </w:p>
        </w:tc>
        <w:tc>
          <w:tcPr>
            <w:tcW w:w="104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职责履行</w:t>
            </w: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实际完成率</w:t>
            </w:r>
          </w:p>
        </w:tc>
        <w:tc>
          <w:tcPr>
            <w:tcW w:w="30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部门（单位）履行职责而实际完成工作数与计划工作数的比率，用以反映和考核部门（单位）履职工作任务目标的实现程度。</w:t>
            </w:r>
          </w:p>
        </w:tc>
        <w:tc>
          <w:tcPr>
            <w:tcW w:w="561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实际完成率=（实际完成工作数/计划工作数）×100%。</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实际完成工作数：一定时期（年度或规划期）内部门（单位）实际完成工作任务的数量。</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计划工作数：部门（单位）整体绩效目标确定的一定时期（年度或规划期）内预计完成工作任务的数量。                                                                                                                                         得分=实际完成率×10分</w:t>
            </w: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10</w:t>
            </w:r>
          </w:p>
        </w:tc>
      </w:tr>
      <w:tr>
        <w:tblPrEx>
          <w:shd w:val="clear" w:color="auto" w:fill="auto"/>
          <w:tblCellMar>
            <w:top w:w="0" w:type="dxa"/>
            <w:left w:w="0" w:type="dxa"/>
            <w:bottom w:w="0" w:type="dxa"/>
            <w:right w:w="0" w:type="dxa"/>
          </w:tblCellMar>
        </w:tblPrEx>
        <w:trPr>
          <w:trHeight w:val="1040" w:hRule="atLeast"/>
        </w:trPr>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color w:val="000000"/>
                <w:sz w:val="24"/>
                <w:szCs w:val="24"/>
                <w:u w:val="none"/>
              </w:rPr>
            </w:pP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color w:val="000000"/>
                <w:sz w:val="24"/>
                <w:szCs w:val="24"/>
                <w:u w:val="none"/>
              </w:rPr>
            </w:pP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完成及时率</w:t>
            </w:r>
          </w:p>
        </w:tc>
        <w:tc>
          <w:tcPr>
            <w:tcW w:w="30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部门（单位）在规定时限内及时完成的实际工作数与计划工作数的比率</w:t>
            </w:r>
            <w:r>
              <w:rPr>
                <w:rFonts w:hint="eastAsia" w:ascii="仿宋" w:hAnsi="仿宋" w:eastAsia="仿宋" w:cs="仿宋"/>
                <w:i w:val="0"/>
                <w:color w:val="000000"/>
                <w:kern w:val="0"/>
                <w:sz w:val="24"/>
                <w:szCs w:val="24"/>
                <w:highlight w:val="none"/>
                <w:u w:val="none"/>
                <w:lang w:val="en-US" w:eastAsia="zh-CN" w:bidi="ar"/>
              </w:rPr>
              <w:t>,</w:t>
            </w:r>
            <w:r>
              <w:rPr>
                <w:rFonts w:hint="eastAsia" w:ascii="仿宋" w:hAnsi="仿宋" w:eastAsia="仿宋" w:cs="仿宋"/>
                <w:i w:val="0"/>
                <w:color w:val="000000"/>
                <w:kern w:val="0"/>
                <w:sz w:val="24"/>
                <w:szCs w:val="24"/>
                <w:u w:val="none"/>
                <w:lang w:val="en-US" w:eastAsia="zh-CN" w:bidi="ar"/>
              </w:rPr>
              <w:t>用以反映和考核部门履职时效目标的实现程度。</w:t>
            </w:r>
          </w:p>
        </w:tc>
        <w:tc>
          <w:tcPr>
            <w:tcW w:w="561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完成及时率=（及时完成实际工作数/计划工作数）×100%。</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及时完成实际工作数：部门（单位）按照整体绩效目标确定的时限实际完成的工作任务数量。                                                                                                                                                    得分=完成及时率×8分</w:t>
            </w: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8</w:t>
            </w:r>
          </w:p>
        </w:tc>
      </w:tr>
      <w:tr>
        <w:tblPrEx>
          <w:shd w:val="clear" w:color="auto" w:fill="auto"/>
          <w:tblCellMar>
            <w:top w:w="0" w:type="dxa"/>
            <w:left w:w="0" w:type="dxa"/>
            <w:bottom w:w="0" w:type="dxa"/>
            <w:right w:w="0" w:type="dxa"/>
          </w:tblCellMar>
        </w:tblPrEx>
        <w:trPr>
          <w:trHeight w:val="1040" w:hRule="atLeast"/>
        </w:trPr>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color w:val="000000"/>
                <w:sz w:val="24"/>
                <w:szCs w:val="24"/>
                <w:u w:val="none"/>
              </w:rPr>
            </w:pP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color w:val="000000"/>
                <w:sz w:val="24"/>
                <w:szCs w:val="24"/>
                <w:u w:val="none"/>
              </w:rPr>
            </w:pP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质量达标率</w:t>
            </w:r>
          </w:p>
        </w:tc>
        <w:tc>
          <w:tcPr>
            <w:tcW w:w="30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达到质量标准（绩效标准值）的实际工作数与计划工作数的比率</w:t>
            </w:r>
            <w:r>
              <w:rPr>
                <w:rFonts w:hint="eastAsia" w:ascii="仿宋" w:hAnsi="仿宋" w:eastAsia="仿宋" w:cs="仿宋"/>
                <w:i w:val="0"/>
                <w:color w:val="000000"/>
                <w:kern w:val="0"/>
                <w:sz w:val="24"/>
                <w:szCs w:val="24"/>
                <w:highlight w:val="none"/>
                <w:u w:val="none"/>
                <w:lang w:val="en-US" w:eastAsia="zh-CN" w:bidi="ar"/>
              </w:rPr>
              <w:t>,</w:t>
            </w:r>
            <w:r>
              <w:rPr>
                <w:rFonts w:hint="eastAsia" w:ascii="仿宋" w:hAnsi="仿宋" w:eastAsia="仿宋" w:cs="仿宋"/>
                <w:i w:val="0"/>
                <w:color w:val="000000"/>
                <w:kern w:val="0"/>
                <w:sz w:val="24"/>
                <w:szCs w:val="24"/>
                <w:u w:val="none"/>
                <w:lang w:val="en-US" w:eastAsia="zh-CN" w:bidi="ar"/>
              </w:rPr>
              <w:t>用以反映和考核部门履职质量目标的实现程度。</w:t>
            </w:r>
          </w:p>
        </w:tc>
        <w:tc>
          <w:tcPr>
            <w:tcW w:w="561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质量达标率=（质量达标实际工作数/计划工作数）×100%。</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质量达标实际工作数：一定时期（年度或规划期）内部门（单位）实际完成工作数中达到部门绩效目标要求（绩效标准值）的工作任务数量。</w:t>
            </w: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8</w:t>
            </w:r>
          </w:p>
        </w:tc>
      </w:tr>
      <w:tr>
        <w:tblPrEx>
          <w:shd w:val="clear" w:color="auto" w:fill="auto"/>
          <w:tblCellMar>
            <w:top w:w="0" w:type="dxa"/>
            <w:left w:w="0" w:type="dxa"/>
            <w:bottom w:w="0" w:type="dxa"/>
            <w:right w:w="0" w:type="dxa"/>
          </w:tblCellMar>
        </w:tblPrEx>
        <w:trPr>
          <w:trHeight w:val="1040" w:hRule="atLeast"/>
        </w:trPr>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color w:val="000000"/>
                <w:sz w:val="24"/>
                <w:szCs w:val="24"/>
                <w:u w:val="none"/>
              </w:rPr>
            </w:pP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color w:val="000000"/>
                <w:sz w:val="24"/>
                <w:szCs w:val="24"/>
                <w:u w:val="none"/>
              </w:rPr>
            </w:pP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重点工作办结率</w:t>
            </w:r>
          </w:p>
        </w:tc>
        <w:tc>
          <w:tcPr>
            <w:tcW w:w="30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部门（单位）年度重点工作实际完成数与交办或下达数的比率，用以反映部门（单位）对重点工作的办理落实程度。</w:t>
            </w:r>
          </w:p>
        </w:tc>
        <w:tc>
          <w:tcPr>
            <w:tcW w:w="561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重点工作办结率=（重点工作实际完成数/交办或下达数）×100%。</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重点工作是指党委、政府、人大、相关部门交办或下达的工作任务。</w:t>
            </w: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9</w:t>
            </w:r>
          </w:p>
        </w:tc>
      </w:tr>
      <w:tr>
        <w:tblPrEx>
          <w:shd w:val="clear" w:color="auto" w:fill="auto"/>
          <w:tblCellMar>
            <w:top w:w="0" w:type="dxa"/>
            <w:left w:w="0" w:type="dxa"/>
            <w:bottom w:w="0" w:type="dxa"/>
            <w:right w:w="0" w:type="dxa"/>
          </w:tblCellMar>
        </w:tblPrEx>
        <w:trPr>
          <w:trHeight w:val="780" w:hRule="atLeast"/>
        </w:trPr>
        <w:tc>
          <w:tcPr>
            <w:tcW w:w="104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效果</w:t>
            </w:r>
          </w:p>
        </w:tc>
        <w:tc>
          <w:tcPr>
            <w:tcW w:w="104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经济效益</w:t>
            </w: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kern w:val="0"/>
                <w:sz w:val="24"/>
                <w:szCs w:val="24"/>
                <w:u w:val="none"/>
                <w:lang w:val="en-US" w:eastAsia="zh-CN" w:bidi="ar"/>
              </w:rPr>
            </w:pPr>
            <w:r>
              <w:rPr>
                <w:rFonts w:hint="default" w:ascii="仿宋" w:hAnsi="仿宋" w:eastAsia="仿宋" w:cs="仿宋"/>
                <w:i w:val="0"/>
                <w:color w:val="000000"/>
                <w:kern w:val="0"/>
                <w:sz w:val="24"/>
                <w:szCs w:val="24"/>
                <w:u w:val="none"/>
                <w:lang w:val="en-US" w:eastAsia="zh-CN" w:bidi="ar"/>
              </w:rPr>
              <w:t>招商引资项目金额</w:t>
            </w:r>
          </w:p>
        </w:tc>
        <w:tc>
          <w:tcPr>
            <w:tcW w:w="30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2021年度招商引资签约项目金额。用以反映和考核部门履职所产生的经济效益</w:t>
            </w:r>
          </w:p>
        </w:tc>
        <w:tc>
          <w:tcPr>
            <w:tcW w:w="561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kern w:val="0"/>
                <w:sz w:val="24"/>
                <w:szCs w:val="24"/>
                <w:u w:val="none"/>
                <w:lang w:val="en-US" w:eastAsia="zh-CN" w:bidi="ar"/>
              </w:rPr>
            </w:pPr>
            <w:r>
              <w:rPr>
                <w:rFonts w:hint="default" w:ascii="仿宋" w:hAnsi="仿宋" w:eastAsia="仿宋" w:cs="仿宋"/>
                <w:i w:val="0"/>
                <w:color w:val="000000"/>
                <w:kern w:val="0"/>
                <w:sz w:val="24"/>
                <w:szCs w:val="24"/>
                <w:u w:val="none"/>
                <w:lang w:val="en-US" w:eastAsia="zh-CN" w:bidi="ar"/>
              </w:rPr>
              <w:t>2021年度通过招商引资项目签约，吸引资金达到180亿元，得满分。资金金额不足189亿元，按比例得分。</w:t>
            </w: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2.5</w:t>
            </w:r>
          </w:p>
        </w:tc>
      </w:tr>
      <w:tr>
        <w:tblPrEx>
          <w:shd w:val="clear" w:color="auto" w:fill="auto"/>
          <w:tblCellMar>
            <w:top w:w="0" w:type="dxa"/>
            <w:left w:w="0" w:type="dxa"/>
            <w:bottom w:w="0" w:type="dxa"/>
            <w:right w:w="0" w:type="dxa"/>
          </w:tblCellMar>
        </w:tblPrEx>
        <w:trPr>
          <w:trHeight w:val="780" w:hRule="atLeast"/>
        </w:trPr>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color w:val="000000"/>
                <w:sz w:val="24"/>
                <w:szCs w:val="24"/>
                <w:u w:val="none"/>
              </w:rPr>
            </w:pP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color w:val="000000"/>
                <w:sz w:val="24"/>
                <w:szCs w:val="24"/>
                <w:u w:val="none"/>
              </w:rPr>
            </w:pP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kern w:val="0"/>
                <w:sz w:val="24"/>
                <w:szCs w:val="24"/>
                <w:u w:val="none"/>
                <w:lang w:val="en-US" w:eastAsia="zh-CN" w:bidi="ar"/>
              </w:rPr>
            </w:pPr>
            <w:r>
              <w:rPr>
                <w:rFonts w:hint="default" w:ascii="仿宋" w:hAnsi="仿宋" w:eastAsia="仿宋" w:cs="仿宋"/>
                <w:i w:val="0"/>
                <w:color w:val="000000"/>
                <w:kern w:val="0"/>
                <w:sz w:val="24"/>
                <w:szCs w:val="24"/>
                <w:u w:val="none"/>
                <w:lang w:val="en-US" w:eastAsia="zh-CN" w:bidi="ar"/>
              </w:rPr>
              <w:t>市域外项目到位资金</w:t>
            </w:r>
          </w:p>
        </w:tc>
        <w:tc>
          <w:tcPr>
            <w:tcW w:w="30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2021年度市域外项目到位资金。用以反映和考核部门履职所产生的经济效益</w:t>
            </w:r>
          </w:p>
        </w:tc>
        <w:tc>
          <w:tcPr>
            <w:tcW w:w="561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kern w:val="0"/>
                <w:sz w:val="24"/>
                <w:szCs w:val="24"/>
                <w:u w:val="none"/>
                <w:lang w:val="en-US" w:eastAsia="zh-CN" w:bidi="ar"/>
              </w:rPr>
            </w:pPr>
            <w:r>
              <w:rPr>
                <w:rFonts w:hint="default" w:ascii="仿宋" w:hAnsi="仿宋" w:eastAsia="仿宋" w:cs="仿宋"/>
                <w:i w:val="0"/>
                <w:color w:val="000000"/>
                <w:kern w:val="0"/>
                <w:sz w:val="24"/>
                <w:szCs w:val="24"/>
                <w:u w:val="none"/>
                <w:lang w:val="en-US" w:eastAsia="zh-CN" w:bidi="ar"/>
              </w:rPr>
              <w:t>2021年度通过招商引资项目签约，吸引市域外项目资金到位75亿元，得满分。资金金额不足75亿元，按比例得分。</w:t>
            </w: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2.5</w:t>
            </w:r>
          </w:p>
        </w:tc>
      </w:tr>
      <w:tr>
        <w:tblPrEx>
          <w:shd w:val="clear" w:color="auto" w:fill="auto"/>
          <w:tblCellMar>
            <w:top w:w="0" w:type="dxa"/>
            <w:left w:w="0" w:type="dxa"/>
            <w:bottom w:w="0" w:type="dxa"/>
            <w:right w:w="0" w:type="dxa"/>
          </w:tblCellMar>
        </w:tblPrEx>
        <w:trPr>
          <w:trHeight w:val="780" w:hRule="atLeast"/>
        </w:trPr>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color w:val="000000"/>
                <w:sz w:val="24"/>
                <w:szCs w:val="24"/>
                <w:u w:val="none"/>
              </w:rPr>
            </w:pP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color w:val="000000"/>
                <w:sz w:val="24"/>
                <w:szCs w:val="24"/>
                <w:u w:val="none"/>
              </w:rPr>
            </w:pP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kern w:val="0"/>
                <w:sz w:val="24"/>
                <w:szCs w:val="24"/>
                <w:u w:val="none"/>
                <w:lang w:val="en-US" w:eastAsia="zh-CN" w:bidi="ar"/>
              </w:rPr>
            </w:pPr>
            <w:r>
              <w:rPr>
                <w:rFonts w:hint="default" w:ascii="仿宋" w:hAnsi="仿宋" w:eastAsia="仿宋" w:cs="仿宋"/>
                <w:i w:val="0"/>
                <w:color w:val="000000"/>
                <w:kern w:val="0"/>
                <w:sz w:val="24"/>
                <w:szCs w:val="24"/>
                <w:u w:val="none"/>
                <w:lang w:val="en-US" w:eastAsia="zh-CN" w:bidi="ar"/>
              </w:rPr>
              <w:t>省际项目到位资金</w:t>
            </w:r>
          </w:p>
        </w:tc>
        <w:tc>
          <w:tcPr>
            <w:tcW w:w="30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2021年度省际项目到位资金。用以反映和考核部门履职所产生的经济效益</w:t>
            </w:r>
          </w:p>
        </w:tc>
        <w:tc>
          <w:tcPr>
            <w:tcW w:w="561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kern w:val="0"/>
                <w:sz w:val="24"/>
                <w:szCs w:val="24"/>
                <w:u w:val="none"/>
                <w:lang w:val="en-US" w:eastAsia="zh-CN" w:bidi="ar"/>
              </w:rPr>
            </w:pPr>
            <w:r>
              <w:rPr>
                <w:rFonts w:hint="default" w:ascii="仿宋" w:hAnsi="仿宋" w:eastAsia="仿宋" w:cs="仿宋"/>
                <w:i w:val="0"/>
                <w:color w:val="000000"/>
                <w:kern w:val="0"/>
                <w:sz w:val="24"/>
                <w:szCs w:val="24"/>
                <w:u w:val="none"/>
                <w:lang w:val="en-US" w:eastAsia="zh-CN" w:bidi="ar"/>
              </w:rPr>
              <w:t>2021年度通过招商引资项目签约，吸引省际项目资金到位48亿元，得满分。资金金额不足48亿元，按比例得分。</w:t>
            </w: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2.5</w:t>
            </w:r>
          </w:p>
        </w:tc>
      </w:tr>
      <w:tr>
        <w:tblPrEx>
          <w:shd w:val="clear" w:color="auto" w:fill="auto"/>
          <w:tblCellMar>
            <w:top w:w="0" w:type="dxa"/>
            <w:left w:w="0" w:type="dxa"/>
            <w:bottom w:w="0" w:type="dxa"/>
            <w:right w:w="0" w:type="dxa"/>
          </w:tblCellMar>
        </w:tblPrEx>
        <w:trPr>
          <w:trHeight w:val="780" w:hRule="atLeast"/>
        </w:trPr>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color w:val="000000"/>
                <w:sz w:val="24"/>
                <w:szCs w:val="24"/>
                <w:u w:val="none"/>
              </w:rPr>
            </w:pP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color w:val="000000"/>
                <w:sz w:val="24"/>
                <w:szCs w:val="24"/>
                <w:u w:val="none"/>
              </w:rPr>
            </w:pP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kern w:val="0"/>
                <w:sz w:val="24"/>
                <w:szCs w:val="24"/>
                <w:u w:val="none"/>
                <w:lang w:val="en-US" w:eastAsia="zh-CN" w:bidi="ar"/>
              </w:rPr>
            </w:pPr>
            <w:r>
              <w:rPr>
                <w:rFonts w:hint="default" w:ascii="仿宋" w:hAnsi="仿宋" w:eastAsia="仿宋" w:cs="仿宋"/>
                <w:i w:val="0"/>
                <w:color w:val="000000"/>
                <w:kern w:val="0"/>
                <w:sz w:val="24"/>
                <w:szCs w:val="24"/>
                <w:u w:val="none"/>
                <w:lang w:val="en-US" w:eastAsia="zh-CN" w:bidi="ar"/>
              </w:rPr>
              <w:t>吸引外资</w:t>
            </w:r>
          </w:p>
        </w:tc>
        <w:tc>
          <w:tcPr>
            <w:tcW w:w="30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2021年度吸引外资资金。用以反映和考核部门履职所产生的经济效益</w:t>
            </w:r>
          </w:p>
        </w:tc>
        <w:tc>
          <w:tcPr>
            <w:tcW w:w="561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kern w:val="0"/>
                <w:sz w:val="24"/>
                <w:szCs w:val="24"/>
                <w:u w:val="none"/>
                <w:lang w:val="en-US" w:eastAsia="zh-CN" w:bidi="ar"/>
              </w:rPr>
            </w:pPr>
            <w:r>
              <w:rPr>
                <w:rFonts w:hint="default" w:ascii="仿宋" w:hAnsi="仿宋" w:eastAsia="仿宋" w:cs="仿宋"/>
                <w:i w:val="0"/>
                <w:color w:val="000000"/>
                <w:kern w:val="0"/>
                <w:sz w:val="24"/>
                <w:szCs w:val="24"/>
                <w:u w:val="none"/>
                <w:lang w:val="en-US" w:eastAsia="zh-CN" w:bidi="ar"/>
              </w:rPr>
              <w:t>2021年度通过招商引资项目签约，吸引外资300万美元，得满分。资金金额不足300万美元，按比例得分。</w:t>
            </w: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2.5</w:t>
            </w:r>
          </w:p>
        </w:tc>
      </w:tr>
      <w:tr>
        <w:tblPrEx>
          <w:shd w:val="clear" w:color="auto" w:fill="auto"/>
          <w:tblCellMar>
            <w:top w:w="0" w:type="dxa"/>
            <w:left w:w="0" w:type="dxa"/>
            <w:bottom w:w="0" w:type="dxa"/>
            <w:right w:w="0" w:type="dxa"/>
          </w:tblCellMar>
        </w:tblPrEx>
        <w:trPr>
          <w:trHeight w:val="780" w:hRule="atLeast"/>
        </w:trPr>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color w:val="000000"/>
                <w:sz w:val="24"/>
                <w:szCs w:val="24"/>
                <w:u w:val="none"/>
              </w:rPr>
            </w:pP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kern w:val="0"/>
                <w:sz w:val="24"/>
                <w:szCs w:val="24"/>
                <w:u w:val="none"/>
                <w:lang w:val="en-US" w:eastAsia="zh-CN" w:bidi="ar"/>
              </w:rPr>
            </w:pPr>
            <w:r>
              <w:rPr>
                <w:rFonts w:hint="default" w:ascii="仿宋" w:hAnsi="仿宋" w:eastAsia="仿宋" w:cs="仿宋"/>
                <w:i w:val="0"/>
                <w:color w:val="000000"/>
                <w:kern w:val="0"/>
                <w:sz w:val="24"/>
                <w:szCs w:val="24"/>
                <w:u w:val="none"/>
                <w:lang w:val="en-US" w:eastAsia="zh-CN" w:bidi="ar"/>
              </w:rPr>
              <w:t>社会效益</w:t>
            </w: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kern w:val="0"/>
                <w:sz w:val="24"/>
                <w:szCs w:val="24"/>
                <w:u w:val="none"/>
                <w:lang w:val="en-US" w:eastAsia="zh-CN" w:bidi="ar"/>
              </w:rPr>
            </w:pPr>
            <w:r>
              <w:rPr>
                <w:rFonts w:hint="default" w:ascii="仿宋" w:hAnsi="仿宋" w:eastAsia="仿宋" w:cs="仿宋"/>
                <w:i w:val="0"/>
                <w:color w:val="000000"/>
                <w:kern w:val="0"/>
                <w:sz w:val="24"/>
                <w:szCs w:val="24"/>
                <w:u w:val="none"/>
                <w:lang w:val="en-US" w:eastAsia="zh-CN" w:bidi="ar"/>
              </w:rPr>
              <w:t>新增外资企业数量</w:t>
            </w:r>
          </w:p>
        </w:tc>
        <w:tc>
          <w:tcPr>
            <w:tcW w:w="30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2021年度吸引外资企业数量。用以反映和考核部门履职所产生的社会</w:t>
            </w:r>
          </w:p>
        </w:tc>
        <w:tc>
          <w:tcPr>
            <w:tcW w:w="561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kern w:val="0"/>
                <w:sz w:val="24"/>
                <w:szCs w:val="24"/>
                <w:u w:val="none"/>
                <w:lang w:val="en-US" w:eastAsia="zh-CN" w:bidi="ar"/>
              </w:rPr>
            </w:pPr>
            <w:r>
              <w:rPr>
                <w:rFonts w:hint="default" w:ascii="仿宋" w:hAnsi="仿宋" w:eastAsia="仿宋" w:cs="仿宋"/>
                <w:i w:val="0"/>
                <w:color w:val="000000"/>
                <w:kern w:val="0"/>
                <w:sz w:val="24"/>
                <w:szCs w:val="24"/>
                <w:u w:val="none"/>
                <w:lang w:val="en-US" w:eastAsia="zh-CN" w:bidi="ar"/>
              </w:rPr>
              <w:t>2021年度通过招商引资活动，吸引外资企业20家，得满分。不足20家，按比例得分。</w:t>
            </w: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color w:val="000000"/>
                <w:kern w:val="0"/>
                <w:sz w:val="24"/>
                <w:szCs w:val="24"/>
                <w:u w:val="none"/>
                <w:lang w:val="en-US" w:eastAsia="zh-CN" w:bidi="ar"/>
              </w:rPr>
            </w:pPr>
            <w:r>
              <w:rPr>
                <w:rFonts w:hint="default" w:ascii="仿宋" w:hAnsi="仿宋" w:eastAsia="仿宋" w:cs="仿宋"/>
                <w:i w:val="0"/>
                <w:color w:val="000000"/>
                <w:kern w:val="0"/>
                <w:sz w:val="24"/>
                <w:szCs w:val="24"/>
                <w:u w:val="none"/>
                <w:lang w:val="en-US" w:eastAsia="zh-CN" w:bidi="ar"/>
              </w:rPr>
              <w:t>5</w:t>
            </w:r>
          </w:p>
        </w:tc>
      </w:tr>
      <w:tr>
        <w:tblPrEx>
          <w:shd w:val="clear" w:color="auto" w:fill="auto"/>
          <w:tblCellMar>
            <w:top w:w="0" w:type="dxa"/>
            <w:left w:w="0" w:type="dxa"/>
            <w:bottom w:w="0" w:type="dxa"/>
            <w:right w:w="0" w:type="dxa"/>
          </w:tblCellMar>
        </w:tblPrEx>
        <w:trPr>
          <w:trHeight w:val="780" w:hRule="atLeast"/>
        </w:trPr>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color w:val="000000"/>
                <w:sz w:val="24"/>
                <w:szCs w:val="24"/>
                <w:u w:val="none"/>
              </w:rPr>
            </w:pPr>
          </w:p>
        </w:tc>
        <w:tc>
          <w:tcPr>
            <w:tcW w:w="1040" w:type="dxa"/>
            <w:vMerge w:val="restart"/>
            <w:tcBorders>
              <w:top w:val="single" w:color="000000" w:sz="4" w:space="0"/>
              <w:left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可持续影响</w:t>
            </w: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kern w:val="0"/>
                <w:sz w:val="24"/>
                <w:szCs w:val="24"/>
                <w:u w:val="none"/>
                <w:lang w:val="en-US" w:eastAsia="zh-CN" w:bidi="ar"/>
              </w:rPr>
            </w:pPr>
            <w:r>
              <w:rPr>
                <w:rFonts w:hint="default" w:ascii="仿宋" w:hAnsi="仿宋" w:eastAsia="仿宋" w:cs="仿宋"/>
                <w:i w:val="0"/>
                <w:color w:val="000000"/>
                <w:kern w:val="0"/>
                <w:sz w:val="24"/>
                <w:szCs w:val="24"/>
                <w:u w:val="none"/>
                <w:lang w:val="en-US" w:eastAsia="zh-CN" w:bidi="ar"/>
              </w:rPr>
              <w:t>推动地区经济增长</w:t>
            </w:r>
          </w:p>
        </w:tc>
        <w:tc>
          <w:tcPr>
            <w:tcW w:w="30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部门履职对经济增长的推动。用以反映和考核部门履职所产生的可持续影响</w:t>
            </w:r>
          </w:p>
        </w:tc>
        <w:tc>
          <w:tcPr>
            <w:tcW w:w="561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color w:val="000000"/>
                <w:kern w:val="0"/>
                <w:sz w:val="24"/>
                <w:szCs w:val="24"/>
                <w:u w:val="none"/>
                <w:lang w:val="en-US" w:eastAsia="zh-CN" w:bidi="ar"/>
              </w:rPr>
            </w:pPr>
            <w:r>
              <w:rPr>
                <w:rFonts w:hint="default" w:ascii="仿宋" w:hAnsi="仿宋" w:eastAsia="仿宋" w:cs="仿宋"/>
                <w:i w:val="0"/>
                <w:color w:val="000000"/>
                <w:kern w:val="0"/>
                <w:sz w:val="24"/>
                <w:szCs w:val="24"/>
                <w:u w:val="none"/>
                <w:lang w:val="en-US" w:eastAsia="zh-CN" w:bidi="ar"/>
              </w:rPr>
              <w:t>2021年铜川市GDP增速大于2020年铜川市GDP增速，得满分。否则，不得分。</w:t>
            </w: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color w:val="000000"/>
                <w:kern w:val="0"/>
                <w:sz w:val="24"/>
                <w:szCs w:val="24"/>
                <w:u w:val="none"/>
                <w:lang w:val="en-US" w:eastAsia="zh-CN" w:bidi="ar"/>
              </w:rPr>
            </w:pPr>
            <w:r>
              <w:rPr>
                <w:rFonts w:hint="default" w:ascii="仿宋" w:hAnsi="仿宋" w:eastAsia="仿宋" w:cs="仿宋"/>
                <w:i w:val="0"/>
                <w:color w:val="000000"/>
                <w:kern w:val="0"/>
                <w:sz w:val="24"/>
                <w:szCs w:val="24"/>
                <w:u w:val="none"/>
                <w:lang w:val="en-US" w:eastAsia="zh-CN" w:bidi="ar"/>
              </w:rPr>
              <w:t>2.5</w:t>
            </w:r>
          </w:p>
        </w:tc>
      </w:tr>
      <w:tr>
        <w:tblPrEx>
          <w:tblCellMar>
            <w:top w:w="0" w:type="dxa"/>
            <w:left w:w="0" w:type="dxa"/>
            <w:bottom w:w="0" w:type="dxa"/>
            <w:right w:w="0" w:type="dxa"/>
          </w:tblCellMar>
        </w:tblPrEx>
        <w:trPr>
          <w:trHeight w:val="1560" w:hRule="atLeast"/>
        </w:trPr>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color w:val="000000"/>
                <w:sz w:val="24"/>
                <w:szCs w:val="24"/>
                <w:u w:val="none"/>
              </w:rPr>
            </w:pPr>
          </w:p>
        </w:tc>
        <w:tc>
          <w:tcPr>
            <w:tcW w:w="1040" w:type="dxa"/>
            <w:vMerge w:val="continue"/>
            <w:tcBorders>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kern w:val="0"/>
                <w:sz w:val="24"/>
                <w:szCs w:val="24"/>
                <w:u w:val="none"/>
                <w:lang w:val="en-US" w:eastAsia="zh-CN" w:bidi="ar"/>
              </w:rPr>
            </w:pP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kern w:val="0"/>
                <w:sz w:val="24"/>
                <w:szCs w:val="24"/>
                <w:u w:val="none"/>
                <w:lang w:val="en-US" w:eastAsia="zh-CN" w:bidi="ar"/>
              </w:rPr>
            </w:pPr>
            <w:r>
              <w:rPr>
                <w:rFonts w:hint="default" w:ascii="仿宋" w:hAnsi="仿宋" w:eastAsia="仿宋" w:cs="仿宋"/>
                <w:i w:val="0"/>
                <w:color w:val="000000"/>
                <w:kern w:val="0"/>
                <w:sz w:val="24"/>
                <w:szCs w:val="24"/>
                <w:u w:val="none"/>
                <w:lang w:val="en-US" w:eastAsia="zh-CN" w:bidi="ar"/>
              </w:rPr>
              <w:t>税收增加</w:t>
            </w:r>
          </w:p>
        </w:tc>
        <w:tc>
          <w:tcPr>
            <w:tcW w:w="30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部门履职对税收的推动。用以反映和考核部门履职所产生的可持续影响</w:t>
            </w:r>
          </w:p>
        </w:tc>
        <w:tc>
          <w:tcPr>
            <w:tcW w:w="561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color w:val="000000"/>
                <w:kern w:val="0"/>
                <w:sz w:val="24"/>
                <w:szCs w:val="24"/>
                <w:u w:val="none"/>
                <w:lang w:val="en-US" w:eastAsia="zh-CN" w:bidi="ar"/>
              </w:rPr>
            </w:pPr>
            <w:r>
              <w:rPr>
                <w:rFonts w:hint="default" w:ascii="仿宋" w:hAnsi="仿宋" w:eastAsia="仿宋" w:cs="仿宋"/>
                <w:i w:val="0"/>
                <w:color w:val="000000"/>
                <w:kern w:val="0"/>
                <w:sz w:val="24"/>
                <w:szCs w:val="24"/>
                <w:u w:val="none"/>
                <w:lang w:val="en-US" w:eastAsia="zh-CN" w:bidi="ar"/>
              </w:rPr>
              <w:t>2021年铜川市税收收入相比于2020年市税收收入增加，得满分。否则，不得分。</w:t>
            </w: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color w:val="000000"/>
                <w:kern w:val="0"/>
                <w:sz w:val="24"/>
                <w:szCs w:val="24"/>
                <w:u w:val="none"/>
                <w:lang w:val="en-US" w:eastAsia="zh-CN" w:bidi="ar"/>
              </w:rPr>
            </w:pPr>
            <w:r>
              <w:rPr>
                <w:rFonts w:hint="default" w:ascii="仿宋" w:hAnsi="仿宋" w:eastAsia="仿宋" w:cs="仿宋"/>
                <w:i w:val="0"/>
                <w:color w:val="000000"/>
                <w:kern w:val="0"/>
                <w:sz w:val="24"/>
                <w:szCs w:val="24"/>
                <w:u w:val="none"/>
                <w:lang w:val="en-US" w:eastAsia="zh-CN" w:bidi="ar"/>
              </w:rPr>
              <w:t>2.5</w:t>
            </w:r>
          </w:p>
        </w:tc>
      </w:tr>
      <w:tr>
        <w:tblPrEx>
          <w:shd w:val="clear" w:color="auto" w:fill="auto"/>
          <w:tblCellMar>
            <w:top w:w="0" w:type="dxa"/>
            <w:left w:w="0" w:type="dxa"/>
            <w:bottom w:w="0" w:type="dxa"/>
            <w:right w:w="0" w:type="dxa"/>
          </w:tblCellMar>
        </w:tblPrEx>
        <w:trPr>
          <w:trHeight w:val="1560" w:hRule="atLeast"/>
        </w:trPr>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 w:hAnsi="仿宋" w:eastAsia="仿宋" w:cs="仿宋"/>
                <w:i w:val="0"/>
                <w:color w:val="000000"/>
                <w:sz w:val="24"/>
                <w:szCs w:val="24"/>
                <w:u w:val="none"/>
              </w:rPr>
            </w:pP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社会公众或服务对象满意度</w:t>
            </w:r>
          </w:p>
        </w:tc>
        <w:tc>
          <w:tcPr>
            <w:tcW w:w="10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受益群众满意度</w:t>
            </w:r>
          </w:p>
        </w:tc>
        <w:tc>
          <w:tcPr>
            <w:tcW w:w="30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社会公众或部门（单位）的服务对象对部门履职效果的满意程度。</w:t>
            </w:r>
          </w:p>
        </w:tc>
        <w:tc>
          <w:tcPr>
            <w:tcW w:w="561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社会公众或服务对象是指部门（单位）履行职责而影响到的部门、群体或个人。一般采取社会调查的方式。                                                                                                                                              1. 100%≥满意度＞90%为满意；（5分）                                                                                                                                                                                                    2. 90%≥满意度＞80%；（3分）</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3. 80%≥满意度≥60%；（1分）</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 满意度＜60%不得分。（0分）</w:t>
            </w: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r>
      <w:tr>
        <w:tblPrEx>
          <w:tblCellMar>
            <w:top w:w="0" w:type="dxa"/>
            <w:left w:w="0" w:type="dxa"/>
            <w:bottom w:w="0" w:type="dxa"/>
            <w:right w:w="0" w:type="dxa"/>
          </w:tblCellMar>
        </w:tblPrEx>
        <w:trPr>
          <w:trHeight w:val="300" w:hRule="atLeast"/>
        </w:trPr>
        <w:tc>
          <w:tcPr>
            <w:tcW w:w="613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合计</w:t>
            </w:r>
          </w:p>
        </w:tc>
        <w:tc>
          <w:tcPr>
            <w:tcW w:w="56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仿宋" w:hAnsi="仿宋" w:eastAsia="仿宋" w:cs="仿宋"/>
                <w:i w:val="0"/>
                <w:color w:val="000000"/>
                <w:sz w:val="24"/>
                <w:szCs w:val="24"/>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100</w:t>
            </w:r>
          </w:p>
        </w:tc>
      </w:tr>
    </w:tbl>
    <w:p>
      <w:pPr>
        <w:pStyle w:val="2"/>
        <w:ind w:left="0" w:leftChars="0" w:firstLine="0" w:firstLineChars="0"/>
        <w:rPr>
          <w:rFonts w:hint="eastAsia" w:cs="宋体"/>
          <w:b/>
          <w:bCs/>
          <w:color w:val="auto"/>
          <w:kern w:val="0"/>
          <w:sz w:val="36"/>
          <w:szCs w:val="36"/>
          <w:highlight w:val="none"/>
          <w:shd w:val="clear" w:color="auto" w:fill="FFFFFF"/>
          <w:lang w:val="en-US" w:eastAsia="zh-CN"/>
        </w:rPr>
        <w:sectPr>
          <w:pgSz w:w="16840" w:h="11910" w:orient="landscape"/>
          <w:pgMar w:top="1587" w:right="2098" w:bottom="1474" w:left="1984" w:header="1017" w:footer="1206" w:gutter="0"/>
          <w:pgNumType w:fmt="numberInDash"/>
          <w:cols w:equalWidth="0" w:num="1">
            <w:col w:w="8810"/>
          </w:cols>
        </w:sectPr>
      </w:pPr>
    </w:p>
    <w:bookmarkEnd w:id="37"/>
    <w:bookmarkEnd w:id="38"/>
    <w:bookmarkEnd w:id="39"/>
    <w:p>
      <w:pPr>
        <w:spacing w:before="120" w:beforeLines="50" w:after="120" w:afterLines="50" w:line="360" w:lineRule="auto"/>
        <w:outlineLvl w:val="9"/>
        <w:rPr>
          <w:rFonts w:hint="eastAsia"/>
          <w:highlight w:val="none"/>
          <w:lang w:eastAsia="zh-Hans"/>
        </w:rPr>
      </w:pPr>
    </w:p>
    <w:sectPr>
      <w:headerReference r:id="rId7" w:type="default"/>
      <w:pgSz w:w="11910" w:h="16840"/>
      <w:pgMar w:top="2098" w:right="1474" w:bottom="1984" w:left="1587" w:header="1017" w:footer="1206" w:gutter="0"/>
      <w:pgNumType w:fmt="numberInDash"/>
      <w:cols w:equalWidth="0" w:num="1">
        <w:col w:w="881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DejaVu Sans">
    <w:altName w:val="Times New Roman"/>
    <w:panose1 w:val="02020603050405020304"/>
    <w:charset w:val="00"/>
    <w:family w:val="roman"/>
    <w:pitch w:val="default"/>
    <w:sig w:usb0="00000000" w:usb1="00000000" w:usb2="00000008" w:usb3="00000000" w:csb0="000001F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
    <w:altName w:val="宋体"/>
    <w:panose1 w:val="00000000000000000000"/>
    <w:charset w:val="00"/>
    <w:family w:val="auto"/>
    <w:pitch w:val="default"/>
    <w:sig w:usb0="00000000" w:usb1="00000000" w:usb2="00000000" w:usb3="00000000" w:csb0="00000000" w:csb1="00000000"/>
  </w:font>
  <w:font w:name="楷体_GB2312">
    <w:altName w:val="楷体"/>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18"/>
                            </w:rPr>
                          </w:pPr>
                          <w:r>
                            <w:rPr>
                              <w:sz w:val="18"/>
                            </w:rPr>
                            <w:fldChar w:fldCharType="begin"/>
                          </w:r>
                          <w:r>
                            <w:rPr>
                              <w:sz w:val="18"/>
                            </w:rPr>
                            <w:instrText xml:space="preserve"> PAGE  \* MERGEFORMAT </w:instrText>
                          </w:r>
                          <w:r>
                            <w:rPr>
                              <w:sz w:val="18"/>
                            </w:rPr>
                            <w:fldChar w:fldCharType="separate"/>
                          </w:r>
                          <w:r>
                            <w:rPr>
                              <w:sz w:val="18"/>
                            </w:rPr>
                            <w:t>- 1 -</w:t>
                          </w:r>
                          <w:r>
                            <w:rPr>
                              <w:sz w:val="1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snapToGrid w:val="0"/>
                      <w:rPr>
                        <w:sz w:val="18"/>
                      </w:rPr>
                    </w:pPr>
                    <w:r>
                      <w:rPr>
                        <w:sz w:val="18"/>
                      </w:rPr>
                      <w:fldChar w:fldCharType="begin"/>
                    </w:r>
                    <w:r>
                      <w:rPr>
                        <w:sz w:val="18"/>
                      </w:rPr>
                      <w:instrText xml:space="preserve"> PAGE  \* MERGEFORMAT </w:instrText>
                    </w:r>
                    <w:r>
                      <w:rPr>
                        <w:sz w:val="18"/>
                      </w:rPr>
                      <w:fldChar w:fldCharType="separate"/>
                    </w:r>
                    <w:r>
                      <w:rPr>
                        <w:sz w:val="18"/>
                      </w:rPr>
                      <w:t>- 1 -</w:t>
                    </w:r>
                    <w:r>
                      <w:rPr>
                        <w:sz w:val="1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
      </w:rPr>
    </w:pPr>
    <w:r>
      <w:rPr>
        <w:sz w:val="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18"/>
                            </w:rPr>
                          </w:pPr>
                          <w:r>
                            <w:rPr>
                              <w:sz w:val="18"/>
                            </w:rPr>
                            <w:fldChar w:fldCharType="begin"/>
                          </w:r>
                          <w:r>
                            <w:rPr>
                              <w:sz w:val="18"/>
                            </w:rPr>
                            <w:instrText xml:space="preserve"> PAGE  \* MERGEFORMAT </w:instrText>
                          </w:r>
                          <w:r>
                            <w:rPr>
                              <w:sz w:val="18"/>
                            </w:rPr>
                            <w:fldChar w:fldCharType="separate"/>
                          </w:r>
                          <w:r>
                            <w:rPr>
                              <w:sz w:val="18"/>
                            </w:rPr>
                            <w:t>- 27 -</w:t>
                          </w:r>
                          <w:r>
                            <w:rPr>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snapToGrid w:val="0"/>
                      <w:rPr>
                        <w:sz w:val="18"/>
                      </w:rPr>
                    </w:pPr>
                    <w:r>
                      <w:rPr>
                        <w:sz w:val="18"/>
                      </w:rPr>
                      <w:fldChar w:fldCharType="begin"/>
                    </w:r>
                    <w:r>
                      <w:rPr>
                        <w:sz w:val="18"/>
                      </w:rPr>
                      <w:instrText xml:space="preserve"> PAGE  \* MERGEFORMAT </w:instrText>
                    </w:r>
                    <w:r>
                      <w:rPr>
                        <w:sz w:val="18"/>
                      </w:rPr>
                      <w:fldChar w:fldCharType="separate"/>
                    </w:r>
                    <w:r>
                      <w:rPr>
                        <w:sz w:val="18"/>
                      </w:rPr>
                      <w:t>- 27 -</w:t>
                    </w:r>
                    <w:r>
                      <w:rPr>
                        <w:sz w:val="18"/>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
      </w:rPr>
    </w:pP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18"/>
                            </w:rPr>
                          </w:pPr>
                          <w:r>
                            <w:rPr>
                              <w:sz w:val="18"/>
                            </w:rPr>
                            <w:fldChar w:fldCharType="begin"/>
                          </w:r>
                          <w:r>
                            <w:rPr>
                              <w:sz w:val="18"/>
                            </w:rPr>
                            <w:instrText xml:space="preserve"> PAGE  \* MERGEFORMAT </w:instrText>
                          </w:r>
                          <w:r>
                            <w:rPr>
                              <w:sz w:val="18"/>
                            </w:rPr>
                            <w:fldChar w:fldCharType="separate"/>
                          </w:r>
                          <w:r>
                            <w:rPr>
                              <w:sz w:val="18"/>
                            </w:rPr>
                            <w:t>- 27 -</w:t>
                          </w:r>
                          <w:r>
                            <w:rPr>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pPr>
                      <w:snapToGrid w:val="0"/>
                      <w:rPr>
                        <w:sz w:val="18"/>
                      </w:rPr>
                    </w:pPr>
                    <w:r>
                      <w:rPr>
                        <w:sz w:val="18"/>
                      </w:rPr>
                      <w:fldChar w:fldCharType="begin"/>
                    </w:r>
                    <w:r>
                      <w:rPr>
                        <w:sz w:val="18"/>
                      </w:rPr>
                      <w:instrText xml:space="preserve"> PAGE  \* MERGEFORMAT </w:instrText>
                    </w:r>
                    <w:r>
                      <w:rPr>
                        <w:sz w:val="18"/>
                      </w:rPr>
                      <w:fldChar w:fldCharType="separate"/>
                    </w:r>
                    <w:r>
                      <w:rPr>
                        <w:sz w:val="18"/>
                      </w:rPr>
                      <w:t>- 27 -</w:t>
                    </w:r>
                    <w:r>
                      <w:rPr>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Bdr>
        <w:bottom w:val="none" w:color="auto" w:sz="0" w:space="0"/>
      </w:pBdr>
      <w:spacing w:before="0" w:line="14" w:lineRule="auto"/>
      <w:ind w:left="0"/>
      <w:rPr>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Bdr>
        <w:bottom w:val="none" w:color="auto" w:sz="0" w:space="0"/>
      </w:pBdr>
      <w:spacing w:before="0" w:line="14" w:lineRule="auto"/>
      <w:ind w:left="0"/>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3EE8BB"/>
    <w:multiLevelType w:val="singleLevel"/>
    <w:tmpl w:val="0D3EE8BB"/>
    <w:lvl w:ilvl="0" w:tentative="0">
      <w:start w:val="3"/>
      <w:numFmt w:val="chineseCounting"/>
      <w:suff w:val="nothing"/>
      <w:lvlText w:val="（%1）"/>
      <w:lvlJc w:val="left"/>
      <w:rPr>
        <w:rFonts w:hint="eastAsia"/>
      </w:rPr>
    </w:lvl>
  </w:abstractNum>
  <w:abstractNum w:abstractNumId="1">
    <w:nsid w:val="699CFC09"/>
    <w:multiLevelType w:val="singleLevel"/>
    <w:tmpl w:val="699CFC09"/>
    <w:lvl w:ilvl="0" w:tentative="0">
      <w:start w:val="1"/>
      <w:numFmt w:val="chineseCounting"/>
      <w:suff w:val="space"/>
      <w:lvlText w:val="%1、"/>
      <w:lvlJc w:val="left"/>
      <w:rPr>
        <w:rFonts w:hint="eastAsia"/>
      </w:rPr>
    </w:lvl>
  </w:abstractNum>
  <w:abstractNum w:abstractNumId="2">
    <w:nsid w:val="70F3CFB0"/>
    <w:multiLevelType w:val="singleLevel"/>
    <w:tmpl w:val="70F3CFB0"/>
    <w:lvl w:ilvl="0" w:tentative="0">
      <w:start w:val="5"/>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hhZGQ2ZGMxODE1ZWZmNTNlZjVlMmFhYzZmNzU3YzAifQ=="/>
  </w:docVars>
  <w:rsids>
    <w:rsidRoot w:val="D779509E"/>
    <w:rsid w:val="000012FE"/>
    <w:rsid w:val="00033DCF"/>
    <w:rsid w:val="000A4298"/>
    <w:rsid w:val="000C18C9"/>
    <w:rsid w:val="00135EF6"/>
    <w:rsid w:val="00136F12"/>
    <w:rsid w:val="00193A3E"/>
    <w:rsid w:val="001A570D"/>
    <w:rsid w:val="001C51AB"/>
    <w:rsid w:val="00262AA9"/>
    <w:rsid w:val="00277917"/>
    <w:rsid w:val="002B1E7D"/>
    <w:rsid w:val="003D0043"/>
    <w:rsid w:val="00420C10"/>
    <w:rsid w:val="00447529"/>
    <w:rsid w:val="004709C6"/>
    <w:rsid w:val="00475D62"/>
    <w:rsid w:val="004B344F"/>
    <w:rsid w:val="004C51A4"/>
    <w:rsid w:val="0051683C"/>
    <w:rsid w:val="00525570"/>
    <w:rsid w:val="00546BF5"/>
    <w:rsid w:val="00563C88"/>
    <w:rsid w:val="0057025D"/>
    <w:rsid w:val="005B05EB"/>
    <w:rsid w:val="005C5E71"/>
    <w:rsid w:val="006262B8"/>
    <w:rsid w:val="00643454"/>
    <w:rsid w:val="006A3C6A"/>
    <w:rsid w:val="006B6C4F"/>
    <w:rsid w:val="006B789A"/>
    <w:rsid w:val="006F65A7"/>
    <w:rsid w:val="00763DE0"/>
    <w:rsid w:val="00780296"/>
    <w:rsid w:val="007B41AD"/>
    <w:rsid w:val="007C3CAD"/>
    <w:rsid w:val="00851E6F"/>
    <w:rsid w:val="00893CA6"/>
    <w:rsid w:val="008E5AF9"/>
    <w:rsid w:val="00910385"/>
    <w:rsid w:val="009523D1"/>
    <w:rsid w:val="00960C52"/>
    <w:rsid w:val="009613AB"/>
    <w:rsid w:val="00970B18"/>
    <w:rsid w:val="009870FD"/>
    <w:rsid w:val="009E4828"/>
    <w:rsid w:val="009F30A0"/>
    <w:rsid w:val="00A32055"/>
    <w:rsid w:val="00A35DDB"/>
    <w:rsid w:val="00A47C8B"/>
    <w:rsid w:val="00A80360"/>
    <w:rsid w:val="00AA4420"/>
    <w:rsid w:val="00AD16A7"/>
    <w:rsid w:val="00B03739"/>
    <w:rsid w:val="00B707ED"/>
    <w:rsid w:val="00B9048D"/>
    <w:rsid w:val="00BA0D97"/>
    <w:rsid w:val="00BA691D"/>
    <w:rsid w:val="00C068CC"/>
    <w:rsid w:val="00C36E68"/>
    <w:rsid w:val="00C43B5A"/>
    <w:rsid w:val="00C76FBD"/>
    <w:rsid w:val="00C94E20"/>
    <w:rsid w:val="00CE1753"/>
    <w:rsid w:val="00D71E77"/>
    <w:rsid w:val="00D925A8"/>
    <w:rsid w:val="00DA1C50"/>
    <w:rsid w:val="00DD1C49"/>
    <w:rsid w:val="00E03C8C"/>
    <w:rsid w:val="00E21638"/>
    <w:rsid w:val="00EB2C85"/>
    <w:rsid w:val="00F43C4D"/>
    <w:rsid w:val="00FA78FE"/>
    <w:rsid w:val="014E6F2D"/>
    <w:rsid w:val="015E6B70"/>
    <w:rsid w:val="016C782E"/>
    <w:rsid w:val="01B7514A"/>
    <w:rsid w:val="01E82D68"/>
    <w:rsid w:val="02C91315"/>
    <w:rsid w:val="033A4145"/>
    <w:rsid w:val="03763AF9"/>
    <w:rsid w:val="037954DB"/>
    <w:rsid w:val="03FD3C8E"/>
    <w:rsid w:val="041A57B3"/>
    <w:rsid w:val="044779A9"/>
    <w:rsid w:val="04813E4D"/>
    <w:rsid w:val="04956E50"/>
    <w:rsid w:val="04E356F0"/>
    <w:rsid w:val="05706033"/>
    <w:rsid w:val="05B04835"/>
    <w:rsid w:val="05C76026"/>
    <w:rsid w:val="05C77A61"/>
    <w:rsid w:val="05E0082C"/>
    <w:rsid w:val="05FD20FC"/>
    <w:rsid w:val="061F613C"/>
    <w:rsid w:val="06364AC5"/>
    <w:rsid w:val="066731F5"/>
    <w:rsid w:val="06767EE0"/>
    <w:rsid w:val="06A76340"/>
    <w:rsid w:val="07596AFB"/>
    <w:rsid w:val="078B3248"/>
    <w:rsid w:val="07AFA6BE"/>
    <w:rsid w:val="07C2597F"/>
    <w:rsid w:val="08440002"/>
    <w:rsid w:val="0880581D"/>
    <w:rsid w:val="08E156A4"/>
    <w:rsid w:val="08E763B1"/>
    <w:rsid w:val="09282892"/>
    <w:rsid w:val="09726A56"/>
    <w:rsid w:val="09B75971"/>
    <w:rsid w:val="09D5139F"/>
    <w:rsid w:val="09EA5F4C"/>
    <w:rsid w:val="0A300905"/>
    <w:rsid w:val="0A541ADF"/>
    <w:rsid w:val="0A753250"/>
    <w:rsid w:val="0ACC7640"/>
    <w:rsid w:val="0AF76836"/>
    <w:rsid w:val="0B08550F"/>
    <w:rsid w:val="0B4E70CC"/>
    <w:rsid w:val="0B575902"/>
    <w:rsid w:val="0B5C6090"/>
    <w:rsid w:val="0B7752FB"/>
    <w:rsid w:val="0BDC27C2"/>
    <w:rsid w:val="0C105AEF"/>
    <w:rsid w:val="0C2B3DE6"/>
    <w:rsid w:val="0C3243B8"/>
    <w:rsid w:val="0C4456FF"/>
    <w:rsid w:val="0CB1757F"/>
    <w:rsid w:val="0CED0034"/>
    <w:rsid w:val="0CFC1745"/>
    <w:rsid w:val="0D310454"/>
    <w:rsid w:val="0D44070F"/>
    <w:rsid w:val="0D8D3876"/>
    <w:rsid w:val="0DB65F22"/>
    <w:rsid w:val="0DDE22FC"/>
    <w:rsid w:val="0DE26B97"/>
    <w:rsid w:val="0DEA6DBD"/>
    <w:rsid w:val="0DED0A90"/>
    <w:rsid w:val="0E325784"/>
    <w:rsid w:val="0E3A028A"/>
    <w:rsid w:val="0E5D651B"/>
    <w:rsid w:val="0E7C7AE0"/>
    <w:rsid w:val="0E8A62E7"/>
    <w:rsid w:val="0EA13B8C"/>
    <w:rsid w:val="0EEB78B0"/>
    <w:rsid w:val="0F182F0B"/>
    <w:rsid w:val="0F446D5E"/>
    <w:rsid w:val="0F7221FC"/>
    <w:rsid w:val="0F9D5B98"/>
    <w:rsid w:val="0FA5679E"/>
    <w:rsid w:val="0FB6670F"/>
    <w:rsid w:val="103857B0"/>
    <w:rsid w:val="104D2379"/>
    <w:rsid w:val="10537D9F"/>
    <w:rsid w:val="10654BC8"/>
    <w:rsid w:val="10707038"/>
    <w:rsid w:val="10C01577"/>
    <w:rsid w:val="10C67A5F"/>
    <w:rsid w:val="10EC5AD5"/>
    <w:rsid w:val="11250954"/>
    <w:rsid w:val="114C4A28"/>
    <w:rsid w:val="11A03280"/>
    <w:rsid w:val="120704DD"/>
    <w:rsid w:val="12407B51"/>
    <w:rsid w:val="126C79C9"/>
    <w:rsid w:val="12804956"/>
    <w:rsid w:val="12A07F1B"/>
    <w:rsid w:val="12B25490"/>
    <w:rsid w:val="12EA10C1"/>
    <w:rsid w:val="131829D6"/>
    <w:rsid w:val="13292527"/>
    <w:rsid w:val="13EF2888"/>
    <w:rsid w:val="14535D0A"/>
    <w:rsid w:val="14B50AFC"/>
    <w:rsid w:val="14BC12BD"/>
    <w:rsid w:val="14C63493"/>
    <w:rsid w:val="14E922E3"/>
    <w:rsid w:val="1513305A"/>
    <w:rsid w:val="156163BD"/>
    <w:rsid w:val="15913ACC"/>
    <w:rsid w:val="159C452D"/>
    <w:rsid w:val="15DE418A"/>
    <w:rsid w:val="16017D11"/>
    <w:rsid w:val="163300CC"/>
    <w:rsid w:val="163460BC"/>
    <w:rsid w:val="16425049"/>
    <w:rsid w:val="16A134CE"/>
    <w:rsid w:val="16A975F5"/>
    <w:rsid w:val="171133F3"/>
    <w:rsid w:val="17382826"/>
    <w:rsid w:val="17513854"/>
    <w:rsid w:val="176F2D8B"/>
    <w:rsid w:val="179B56FF"/>
    <w:rsid w:val="17A42804"/>
    <w:rsid w:val="17BB19F6"/>
    <w:rsid w:val="184833AC"/>
    <w:rsid w:val="18587C33"/>
    <w:rsid w:val="185E1EFF"/>
    <w:rsid w:val="18DF219F"/>
    <w:rsid w:val="190C4AB7"/>
    <w:rsid w:val="191B665E"/>
    <w:rsid w:val="1A19496A"/>
    <w:rsid w:val="1A4F1286"/>
    <w:rsid w:val="1A591792"/>
    <w:rsid w:val="1A697673"/>
    <w:rsid w:val="1A7365CF"/>
    <w:rsid w:val="1A783987"/>
    <w:rsid w:val="1AD204DE"/>
    <w:rsid w:val="1AD65B30"/>
    <w:rsid w:val="1B0C1BB0"/>
    <w:rsid w:val="1B143312"/>
    <w:rsid w:val="1B2B1B0F"/>
    <w:rsid w:val="1B4968E8"/>
    <w:rsid w:val="1B5B356A"/>
    <w:rsid w:val="1B82655F"/>
    <w:rsid w:val="1BE50B84"/>
    <w:rsid w:val="1C440A92"/>
    <w:rsid w:val="1C816DB5"/>
    <w:rsid w:val="1CA10911"/>
    <w:rsid w:val="1CA55000"/>
    <w:rsid w:val="1CBA469F"/>
    <w:rsid w:val="1CC30C5A"/>
    <w:rsid w:val="1CC85C7A"/>
    <w:rsid w:val="1CDF6E50"/>
    <w:rsid w:val="1CEC5F27"/>
    <w:rsid w:val="1D274E35"/>
    <w:rsid w:val="1D311AD8"/>
    <w:rsid w:val="1E064248"/>
    <w:rsid w:val="1E176382"/>
    <w:rsid w:val="1E1C526B"/>
    <w:rsid w:val="1E6D2384"/>
    <w:rsid w:val="1E7D37A1"/>
    <w:rsid w:val="1E80293A"/>
    <w:rsid w:val="1ED77E4D"/>
    <w:rsid w:val="1EDA1CAA"/>
    <w:rsid w:val="1EE10438"/>
    <w:rsid w:val="1F5A653C"/>
    <w:rsid w:val="1F98298D"/>
    <w:rsid w:val="1FC5557E"/>
    <w:rsid w:val="1FCE652E"/>
    <w:rsid w:val="1FED0E93"/>
    <w:rsid w:val="203C75C9"/>
    <w:rsid w:val="207D2E9C"/>
    <w:rsid w:val="208D2567"/>
    <w:rsid w:val="20CC5FEF"/>
    <w:rsid w:val="21216934"/>
    <w:rsid w:val="217B0B87"/>
    <w:rsid w:val="21E44818"/>
    <w:rsid w:val="223C43FE"/>
    <w:rsid w:val="22911CA3"/>
    <w:rsid w:val="23484DA8"/>
    <w:rsid w:val="23546255"/>
    <w:rsid w:val="23760F4A"/>
    <w:rsid w:val="23926449"/>
    <w:rsid w:val="23BE7F3A"/>
    <w:rsid w:val="23DB6624"/>
    <w:rsid w:val="23E059E6"/>
    <w:rsid w:val="23F11418"/>
    <w:rsid w:val="23FB3A65"/>
    <w:rsid w:val="2430689F"/>
    <w:rsid w:val="24485925"/>
    <w:rsid w:val="24661512"/>
    <w:rsid w:val="246B040E"/>
    <w:rsid w:val="24786622"/>
    <w:rsid w:val="247F1BFC"/>
    <w:rsid w:val="24FE4594"/>
    <w:rsid w:val="250C675E"/>
    <w:rsid w:val="251C38FE"/>
    <w:rsid w:val="251E6154"/>
    <w:rsid w:val="25761DD0"/>
    <w:rsid w:val="25786EB9"/>
    <w:rsid w:val="25B84E4B"/>
    <w:rsid w:val="25C62D01"/>
    <w:rsid w:val="25CC5E57"/>
    <w:rsid w:val="25CF71A4"/>
    <w:rsid w:val="2602774C"/>
    <w:rsid w:val="261841F8"/>
    <w:rsid w:val="26675F9C"/>
    <w:rsid w:val="26687BC1"/>
    <w:rsid w:val="266D4FC8"/>
    <w:rsid w:val="270742FB"/>
    <w:rsid w:val="270E39B0"/>
    <w:rsid w:val="27323C04"/>
    <w:rsid w:val="27944151"/>
    <w:rsid w:val="27984D4F"/>
    <w:rsid w:val="279C552D"/>
    <w:rsid w:val="27DE13CD"/>
    <w:rsid w:val="27DE7AF8"/>
    <w:rsid w:val="28061A88"/>
    <w:rsid w:val="280B198C"/>
    <w:rsid w:val="287867AC"/>
    <w:rsid w:val="28964888"/>
    <w:rsid w:val="28C56D15"/>
    <w:rsid w:val="28D6709F"/>
    <w:rsid w:val="28F9256E"/>
    <w:rsid w:val="28FD0B24"/>
    <w:rsid w:val="291B6739"/>
    <w:rsid w:val="292D7338"/>
    <w:rsid w:val="29526988"/>
    <w:rsid w:val="29685B70"/>
    <w:rsid w:val="296D689E"/>
    <w:rsid w:val="29E26ED7"/>
    <w:rsid w:val="2A185AAA"/>
    <w:rsid w:val="2A2B053E"/>
    <w:rsid w:val="2B004A03"/>
    <w:rsid w:val="2B667741"/>
    <w:rsid w:val="2B952DC9"/>
    <w:rsid w:val="2C1B65AB"/>
    <w:rsid w:val="2C266A13"/>
    <w:rsid w:val="2C2D5BE9"/>
    <w:rsid w:val="2C413F15"/>
    <w:rsid w:val="2C484ADF"/>
    <w:rsid w:val="2C863B0A"/>
    <w:rsid w:val="2CC76EAA"/>
    <w:rsid w:val="2D7711F4"/>
    <w:rsid w:val="2D7E5D38"/>
    <w:rsid w:val="2DB2412B"/>
    <w:rsid w:val="2DBA2C9C"/>
    <w:rsid w:val="2DCC299C"/>
    <w:rsid w:val="2DF00AD6"/>
    <w:rsid w:val="2DFE1003"/>
    <w:rsid w:val="2E125EE8"/>
    <w:rsid w:val="2E127055"/>
    <w:rsid w:val="2E2D4431"/>
    <w:rsid w:val="2E636917"/>
    <w:rsid w:val="2E937434"/>
    <w:rsid w:val="2EDD13FD"/>
    <w:rsid w:val="2EF608E5"/>
    <w:rsid w:val="2EFF4609"/>
    <w:rsid w:val="2F3111EE"/>
    <w:rsid w:val="2F4078ED"/>
    <w:rsid w:val="2F436126"/>
    <w:rsid w:val="2F5D2AAD"/>
    <w:rsid w:val="2F5F0DD2"/>
    <w:rsid w:val="2F895979"/>
    <w:rsid w:val="2F963B68"/>
    <w:rsid w:val="2FAF3FA5"/>
    <w:rsid w:val="2FB61835"/>
    <w:rsid w:val="2FE81203"/>
    <w:rsid w:val="30002233"/>
    <w:rsid w:val="301A49E7"/>
    <w:rsid w:val="304C2229"/>
    <w:rsid w:val="30813FED"/>
    <w:rsid w:val="30AB434B"/>
    <w:rsid w:val="30B94BC4"/>
    <w:rsid w:val="30DD69AA"/>
    <w:rsid w:val="315F23CD"/>
    <w:rsid w:val="315F3ACF"/>
    <w:rsid w:val="31D411F6"/>
    <w:rsid w:val="3216747E"/>
    <w:rsid w:val="324F10BD"/>
    <w:rsid w:val="3255427B"/>
    <w:rsid w:val="32E813AE"/>
    <w:rsid w:val="32F62F6C"/>
    <w:rsid w:val="32FF0698"/>
    <w:rsid w:val="33344C0B"/>
    <w:rsid w:val="33414B22"/>
    <w:rsid w:val="33A30157"/>
    <w:rsid w:val="33AF0910"/>
    <w:rsid w:val="33BC0FA8"/>
    <w:rsid w:val="343217EE"/>
    <w:rsid w:val="34371F3F"/>
    <w:rsid w:val="34446958"/>
    <w:rsid w:val="344554F3"/>
    <w:rsid w:val="34592AF6"/>
    <w:rsid w:val="34A259C2"/>
    <w:rsid w:val="34EB417E"/>
    <w:rsid w:val="351D17AB"/>
    <w:rsid w:val="357445C6"/>
    <w:rsid w:val="358950ED"/>
    <w:rsid w:val="35AA2847"/>
    <w:rsid w:val="35C46A8B"/>
    <w:rsid w:val="35F57C0E"/>
    <w:rsid w:val="36190C78"/>
    <w:rsid w:val="36607590"/>
    <w:rsid w:val="36820561"/>
    <w:rsid w:val="36AE24AD"/>
    <w:rsid w:val="36CD592E"/>
    <w:rsid w:val="36D96F8C"/>
    <w:rsid w:val="36E62DA0"/>
    <w:rsid w:val="375D844E"/>
    <w:rsid w:val="37C63DFA"/>
    <w:rsid w:val="38247311"/>
    <w:rsid w:val="383F05AD"/>
    <w:rsid w:val="388536F6"/>
    <w:rsid w:val="38AE3781"/>
    <w:rsid w:val="38DB6D55"/>
    <w:rsid w:val="38F47CA6"/>
    <w:rsid w:val="390A46C3"/>
    <w:rsid w:val="393775B4"/>
    <w:rsid w:val="3940552D"/>
    <w:rsid w:val="39452513"/>
    <w:rsid w:val="39942F29"/>
    <w:rsid w:val="39BE2D40"/>
    <w:rsid w:val="39E735EB"/>
    <w:rsid w:val="39FC04BC"/>
    <w:rsid w:val="3A2C5419"/>
    <w:rsid w:val="3A5B4EA8"/>
    <w:rsid w:val="3A5F60E2"/>
    <w:rsid w:val="3A8E4210"/>
    <w:rsid w:val="3A9C475D"/>
    <w:rsid w:val="3AC31978"/>
    <w:rsid w:val="3AFB625F"/>
    <w:rsid w:val="3B091EF2"/>
    <w:rsid w:val="3B3310D4"/>
    <w:rsid w:val="3B882245"/>
    <w:rsid w:val="3BC14E56"/>
    <w:rsid w:val="3BF87FC2"/>
    <w:rsid w:val="3BFE92E6"/>
    <w:rsid w:val="3C1F6E45"/>
    <w:rsid w:val="3C5D7628"/>
    <w:rsid w:val="3C701EC9"/>
    <w:rsid w:val="3C7E08AD"/>
    <w:rsid w:val="3C8C47A8"/>
    <w:rsid w:val="3C925432"/>
    <w:rsid w:val="3CA774F5"/>
    <w:rsid w:val="3CAA50ED"/>
    <w:rsid w:val="3CD576EC"/>
    <w:rsid w:val="3CEE7F7E"/>
    <w:rsid w:val="3D4D580B"/>
    <w:rsid w:val="3D767E1F"/>
    <w:rsid w:val="3D982F80"/>
    <w:rsid w:val="3DCF3C04"/>
    <w:rsid w:val="3DF84D4A"/>
    <w:rsid w:val="3DFD758E"/>
    <w:rsid w:val="3E722287"/>
    <w:rsid w:val="3E7772F8"/>
    <w:rsid w:val="3E971C2C"/>
    <w:rsid w:val="3EBF4761"/>
    <w:rsid w:val="3ED87201"/>
    <w:rsid w:val="3EE02645"/>
    <w:rsid w:val="3EF83F8F"/>
    <w:rsid w:val="3F3123B0"/>
    <w:rsid w:val="3F4C3C76"/>
    <w:rsid w:val="3F5A6BDC"/>
    <w:rsid w:val="3F72FB8E"/>
    <w:rsid w:val="3F857BF7"/>
    <w:rsid w:val="3FA90F3A"/>
    <w:rsid w:val="3FCF87E2"/>
    <w:rsid w:val="3FE4F30A"/>
    <w:rsid w:val="3FEA7C05"/>
    <w:rsid w:val="3FED7CA3"/>
    <w:rsid w:val="3FFDE92B"/>
    <w:rsid w:val="400E3429"/>
    <w:rsid w:val="401671AA"/>
    <w:rsid w:val="408E2BEB"/>
    <w:rsid w:val="40934335"/>
    <w:rsid w:val="40B225AE"/>
    <w:rsid w:val="40C800AC"/>
    <w:rsid w:val="40E404D8"/>
    <w:rsid w:val="416B6FE1"/>
    <w:rsid w:val="41FE0CE6"/>
    <w:rsid w:val="42127509"/>
    <w:rsid w:val="42134965"/>
    <w:rsid w:val="42A725A6"/>
    <w:rsid w:val="42B66A76"/>
    <w:rsid w:val="42D22654"/>
    <w:rsid w:val="43427F96"/>
    <w:rsid w:val="43DD6659"/>
    <w:rsid w:val="43F00A88"/>
    <w:rsid w:val="440C1A62"/>
    <w:rsid w:val="441F27E8"/>
    <w:rsid w:val="442E6626"/>
    <w:rsid w:val="443F1FA2"/>
    <w:rsid w:val="44AF72AA"/>
    <w:rsid w:val="453F6242"/>
    <w:rsid w:val="45410BEF"/>
    <w:rsid w:val="454D3391"/>
    <w:rsid w:val="457202BD"/>
    <w:rsid w:val="45980D6F"/>
    <w:rsid w:val="45995097"/>
    <w:rsid w:val="45B15AFC"/>
    <w:rsid w:val="45F13BAE"/>
    <w:rsid w:val="45FEEC7A"/>
    <w:rsid w:val="461200A8"/>
    <w:rsid w:val="46270B23"/>
    <w:rsid w:val="46327DEB"/>
    <w:rsid w:val="46431B5C"/>
    <w:rsid w:val="465034C7"/>
    <w:rsid w:val="466677DA"/>
    <w:rsid w:val="46685015"/>
    <w:rsid w:val="467D76E6"/>
    <w:rsid w:val="46CE74F7"/>
    <w:rsid w:val="46F536EA"/>
    <w:rsid w:val="47586DE9"/>
    <w:rsid w:val="47AA4550"/>
    <w:rsid w:val="47AE2D1A"/>
    <w:rsid w:val="47C57C73"/>
    <w:rsid w:val="47D83DA2"/>
    <w:rsid w:val="482F3AA9"/>
    <w:rsid w:val="483779F8"/>
    <w:rsid w:val="4841622C"/>
    <w:rsid w:val="487E06A7"/>
    <w:rsid w:val="48A94735"/>
    <w:rsid w:val="495A275A"/>
    <w:rsid w:val="497046E6"/>
    <w:rsid w:val="499D6C40"/>
    <w:rsid w:val="49A04D73"/>
    <w:rsid w:val="49F62F02"/>
    <w:rsid w:val="49F83792"/>
    <w:rsid w:val="4A242457"/>
    <w:rsid w:val="4AA449D8"/>
    <w:rsid w:val="4AE740B0"/>
    <w:rsid w:val="4AED00BD"/>
    <w:rsid w:val="4B4C0B57"/>
    <w:rsid w:val="4B780BB2"/>
    <w:rsid w:val="4BB739C4"/>
    <w:rsid w:val="4C544D34"/>
    <w:rsid w:val="4C96001F"/>
    <w:rsid w:val="4D0012DC"/>
    <w:rsid w:val="4D434595"/>
    <w:rsid w:val="4D4A1762"/>
    <w:rsid w:val="4D750090"/>
    <w:rsid w:val="4D9B160E"/>
    <w:rsid w:val="4D9F01C7"/>
    <w:rsid w:val="4DB847AB"/>
    <w:rsid w:val="4DC5726B"/>
    <w:rsid w:val="4DEE2383"/>
    <w:rsid w:val="4E180AAD"/>
    <w:rsid w:val="4E3D5C6A"/>
    <w:rsid w:val="4E401BA3"/>
    <w:rsid w:val="4E744B01"/>
    <w:rsid w:val="4EEA5B73"/>
    <w:rsid w:val="4EEB1428"/>
    <w:rsid w:val="4F150B43"/>
    <w:rsid w:val="4F1D6068"/>
    <w:rsid w:val="4F311BAF"/>
    <w:rsid w:val="4F5376AB"/>
    <w:rsid w:val="4F6B4AD1"/>
    <w:rsid w:val="4F7F1927"/>
    <w:rsid w:val="4FB753CF"/>
    <w:rsid w:val="4FCD5443"/>
    <w:rsid w:val="4FCE0662"/>
    <w:rsid w:val="4FEF641E"/>
    <w:rsid w:val="4FFD779B"/>
    <w:rsid w:val="50316C0A"/>
    <w:rsid w:val="5069215F"/>
    <w:rsid w:val="506E610B"/>
    <w:rsid w:val="50775897"/>
    <w:rsid w:val="50936718"/>
    <w:rsid w:val="50A1408A"/>
    <w:rsid w:val="50AC2D0F"/>
    <w:rsid w:val="50B204D7"/>
    <w:rsid w:val="50E476CA"/>
    <w:rsid w:val="51060167"/>
    <w:rsid w:val="51975976"/>
    <w:rsid w:val="520B7E90"/>
    <w:rsid w:val="52280045"/>
    <w:rsid w:val="52302345"/>
    <w:rsid w:val="525F00E3"/>
    <w:rsid w:val="527C456F"/>
    <w:rsid w:val="52993572"/>
    <w:rsid w:val="52C94A24"/>
    <w:rsid w:val="531B02FB"/>
    <w:rsid w:val="531C4BE8"/>
    <w:rsid w:val="536A1860"/>
    <w:rsid w:val="539C678F"/>
    <w:rsid w:val="539E2F31"/>
    <w:rsid w:val="53AC44AB"/>
    <w:rsid w:val="53DE2EAE"/>
    <w:rsid w:val="53DE689E"/>
    <w:rsid w:val="542820A7"/>
    <w:rsid w:val="54493BC0"/>
    <w:rsid w:val="546623FD"/>
    <w:rsid w:val="54F91522"/>
    <w:rsid w:val="550A5A6C"/>
    <w:rsid w:val="552E27A5"/>
    <w:rsid w:val="556C4F7B"/>
    <w:rsid w:val="559731A7"/>
    <w:rsid w:val="56157115"/>
    <w:rsid w:val="56160AE4"/>
    <w:rsid w:val="564E228B"/>
    <w:rsid w:val="567E391F"/>
    <w:rsid w:val="56A61FE8"/>
    <w:rsid w:val="56A70057"/>
    <w:rsid w:val="56C41FE1"/>
    <w:rsid w:val="56CF3B57"/>
    <w:rsid w:val="56DB676E"/>
    <w:rsid w:val="5707272C"/>
    <w:rsid w:val="57323AEE"/>
    <w:rsid w:val="57434D9D"/>
    <w:rsid w:val="57675951"/>
    <w:rsid w:val="579328B7"/>
    <w:rsid w:val="57945AD2"/>
    <w:rsid w:val="57A83FB3"/>
    <w:rsid w:val="57AE0D7D"/>
    <w:rsid w:val="57B6441C"/>
    <w:rsid w:val="57F72C09"/>
    <w:rsid w:val="580876A4"/>
    <w:rsid w:val="58432E17"/>
    <w:rsid w:val="58576E0C"/>
    <w:rsid w:val="58A77221"/>
    <w:rsid w:val="58D75F64"/>
    <w:rsid w:val="58DE6357"/>
    <w:rsid w:val="59151653"/>
    <w:rsid w:val="59155C76"/>
    <w:rsid w:val="593B2FB5"/>
    <w:rsid w:val="596155CD"/>
    <w:rsid w:val="597619CB"/>
    <w:rsid w:val="59A81935"/>
    <w:rsid w:val="59C17A89"/>
    <w:rsid w:val="59E21A17"/>
    <w:rsid w:val="5A3D527E"/>
    <w:rsid w:val="5A4C209B"/>
    <w:rsid w:val="5A5D00D0"/>
    <w:rsid w:val="5A9B0EC0"/>
    <w:rsid w:val="5AF202DB"/>
    <w:rsid w:val="5B051723"/>
    <w:rsid w:val="5B1C4FC1"/>
    <w:rsid w:val="5B5F8D84"/>
    <w:rsid w:val="5B7E99B1"/>
    <w:rsid w:val="5BB160B9"/>
    <w:rsid w:val="5BBC5FA1"/>
    <w:rsid w:val="5BEF5BA4"/>
    <w:rsid w:val="5C03659B"/>
    <w:rsid w:val="5C1944E7"/>
    <w:rsid w:val="5C476A03"/>
    <w:rsid w:val="5CC003C5"/>
    <w:rsid w:val="5CC03254"/>
    <w:rsid w:val="5CD36FB4"/>
    <w:rsid w:val="5D4F69A5"/>
    <w:rsid w:val="5D5B032C"/>
    <w:rsid w:val="5D810F58"/>
    <w:rsid w:val="5D845F7E"/>
    <w:rsid w:val="5D852A13"/>
    <w:rsid w:val="5D9E2DAB"/>
    <w:rsid w:val="5E2C2B87"/>
    <w:rsid w:val="5E8500B8"/>
    <w:rsid w:val="5EAA3A0A"/>
    <w:rsid w:val="5EDF2B36"/>
    <w:rsid w:val="5F16422C"/>
    <w:rsid w:val="5F186462"/>
    <w:rsid w:val="5F283E0F"/>
    <w:rsid w:val="5F363017"/>
    <w:rsid w:val="5F396915"/>
    <w:rsid w:val="5F3A61A5"/>
    <w:rsid w:val="5F773C33"/>
    <w:rsid w:val="600C3E70"/>
    <w:rsid w:val="602521ED"/>
    <w:rsid w:val="60293898"/>
    <w:rsid w:val="603E5B2B"/>
    <w:rsid w:val="606A4797"/>
    <w:rsid w:val="60A02D1C"/>
    <w:rsid w:val="60E9232C"/>
    <w:rsid w:val="61164DA4"/>
    <w:rsid w:val="6154274D"/>
    <w:rsid w:val="619C127E"/>
    <w:rsid w:val="61EE3D90"/>
    <w:rsid w:val="62367FF4"/>
    <w:rsid w:val="62464D15"/>
    <w:rsid w:val="62663B03"/>
    <w:rsid w:val="628F52BA"/>
    <w:rsid w:val="62D95169"/>
    <w:rsid w:val="62EB0B21"/>
    <w:rsid w:val="63A56B8C"/>
    <w:rsid w:val="63B81771"/>
    <w:rsid w:val="63C4604E"/>
    <w:rsid w:val="63CD2F02"/>
    <w:rsid w:val="640B490F"/>
    <w:rsid w:val="64282A7D"/>
    <w:rsid w:val="642C1B5F"/>
    <w:rsid w:val="644867EA"/>
    <w:rsid w:val="644E6A9A"/>
    <w:rsid w:val="645F5F1F"/>
    <w:rsid w:val="6538099D"/>
    <w:rsid w:val="66124ABB"/>
    <w:rsid w:val="6655583A"/>
    <w:rsid w:val="66782B50"/>
    <w:rsid w:val="668E6D55"/>
    <w:rsid w:val="66B62AAF"/>
    <w:rsid w:val="66B63F0F"/>
    <w:rsid w:val="67171FE6"/>
    <w:rsid w:val="67365440"/>
    <w:rsid w:val="677C10DD"/>
    <w:rsid w:val="67AA26A2"/>
    <w:rsid w:val="67AF2C39"/>
    <w:rsid w:val="68702643"/>
    <w:rsid w:val="687C1128"/>
    <w:rsid w:val="68811CF5"/>
    <w:rsid w:val="68A64087"/>
    <w:rsid w:val="68D9613A"/>
    <w:rsid w:val="69296815"/>
    <w:rsid w:val="69740BF3"/>
    <w:rsid w:val="697A1AE8"/>
    <w:rsid w:val="69852D69"/>
    <w:rsid w:val="69CD5350"/>
    <w:rsid w:val="69EF5E36"/>
    <w:rsid w:val="69F10A19"/>
    <w:rsid w:val="6A0E2CAA"/>
    <w:rsid w:val="6A312F47"/>
    <w:rsid w:val="6A5B0688"/>
    <w:rsid w:val="6A6D435E"/>
    <w:rsid w:val="6AF92AA5"/>
    <w:rsid w:val="6B416891"/>
    <w:rsid w:val="6B730ADB"/>
    <w:rsid w:val="6B973F54"/>
    <w:rsid w:val="6B980477"/>
    <w:rsid w:val="6BB82F93"/>
    <w:rsid w:val="6BE66DBF"/>
    <w:rsid w:val="6BFC559A"/>
    <w:rsid w:val="6C735685"/>
    <w:rsid w:val="6C907842"/>
    <w:rsid w:val="6CA12127"/>
    <w:rsid w:val="6CE74ADB"/>
    <w:rsid w:val="6D0A1AB7"/>
    <w:rsid w:val="6D23490B"/>
    <w:rsid w:val="6D2D2F65"/>
    <w:rsid w:val="6D6D126F"/>
    <w:rsid w:val="6D7F079A"/>
    <w:rsid w:val="6D7F0B21"/>
    <w:rsid w:val="6D89420F"/>
    <w:rsid w:val="6DA51B0D"/>
    <w:rsid w:val="6DDF4927"/>
    <w:rsid w:val="6DE425DD"/>
    <w:rsid w:val="6DFF493C"/>
    <w:rsid w:val="6E1E0067"/>
    <w:rsid w:val="6E3103DE"/>
    <w:rsid w:val="6E743166"/>
    <w:rsid w:val="6EFC2E3B"/>
    <w:rsid w:val="6F2D403A"/>
    <w:rsid w:val="6F686B2C"/>
    <w:rsid w:val="6F95430A"/>
    <w:rsid w:val="6FAF9792"/>
    <w:rsid w:val="6FCB6674"/>
    <w:rsid w:val="6FDA1680"/>
    <w:rsid w:val="6FDF92CE"/>
    <w:rsid w:val="6FED039D"/>
    <w:rsid w:val="6FEE0A49"/>
    <w:rsid w:val="6FF62692"/>
    <w:rsid w:val="6FFB20AD"/>
    <w:rsid w:val="6FFE7D7E"/>
    <w:rsid w:val="703F39D2"/>
    <w:rsid w:val="706A2D4C"/>
    <w:rsid w:val="70954FF6"/>
    <w:rsid w:val="70E456DE"/>
    <w:rsid w:val="70EA4B85"/>
    <w:rsid w:val="71296B94"/>
    <w:rsid w:val="71537B1E"/>
    <w:rsid w:val="71826C7B"/>
    <w:rsid w:val="719271D0"/>
    <w:rsid w:val="71DF59C4"/>
    <w:rsid w:val="72BC7438"/>
    <w:rsid w:val="72C826B7"/>
    <w:rsid w:val="72D60E3E"/>
    <w:rsid w:val="72EA3CA9"/>
    <w:rsid w:val="73086A66"/>
    <w:rsid w:val="73180AD2"/>
    <w:rsid w:val="7353633E"/>
    <w:rsid w:val="73954CE5"/>
    <w:rsid w:val="73A77236"/>
    <w:rsid w:val="73A92F39"/>
    <w:rsid w:val="73B76B14"/>
    <w:rsid w:val="73CE05C8"/>
    <w:rsid w:val="74027120"/>
    <w:rsid w:val="7440414A"/>
    <w:rsid w:val="744B25C0"/>
    <w:rsid w:val="74597322"/>
    <w:rsid w:val="74EBB814"/>
    <w:rsid w:val="74F64AE9"/>
    <w:rsid w:val="75092ABC"/>
    <w:rsid w:val="750D7E98"/>
    <w:rsid w:val="751F5C31"/>
    <w:rsid w:val="75499311"/>
    <w:rsid w:val="756E67ED"/>
    <w:rsid w:val="75B118FB"/>
    <w:rsid w:val="75C75B41"/>
    <w:rsid w:val="75FB5E58"/>
    <w:rsid w:val="76117975"/>
    <w:rsid w:val="7632520E"/>
    <w:rsid w:val="765615F1"/>
    <w:rsid w:val="76622199"/>
    <w:rsid w:val="76712296"/>
    <w:rsid w:val="767652A8"/>
    <w:rsid w:val="76A82910"/>
    <w:rsid w:val="76E807EC"/>
    <w:rsid w:val="76E97F4B"/>
    <w:rsid w:val="76FD7797"/>
    <w:rsid w:val="77192D56"/>
    <w:rsid w:val="7719479C"/>
    <w:rsid w:val="777079AD"/>
    <w:rsid w:val="77DFB228"/>
    <w:rsid w:val="77EF513A"/>
    <w:rsid w:val="77F932E0"/>
    <w:rsid w:val="78646262"/>
    <w:rsid w:val="78874BB4"/>
    <w:rsid w:val="78946A6F"/>
    <w:rsid w:val="78CF4C8A"/>
    <w:rsid w:val="78CF590A"/>
    <w:rsid w:val="794B7D9C"/>
    <w:rsid w:val="799338DA"/>
    <w:rsid w:val="799C6B9D"/>
    <w:rsid w:val="799F3238"/>
    <w:rsid w:val="79BD41C2"/>
    <w:rsid w:val="7A401A3A"/>
    <w:rsid w:val="7A611CBD"/>
    <w:rsid w:val="7AD061B2"/>
    <w:rsid w:val="7AE918CD"/>
    <w:rsid w:val="7B3303F3"/>
    <w:rsid w:val="7B9D0E88"/>
    <w:rsid w:val="7BE17CCF"/>
    <w:rsid w:val="7BFBA993"/>
    <w:rsid w:val="7BFBAB29"/>
    <w:rsid w:val="7C10559B"/>
    <w:rsid w:val="7C3471C4"/>
    <w:rsid w:val="7C3D777C"/>
    <w:rsid w:val="7D033001"/>
    <w:rsid w:val="7D500092"/>
    <w:rsid w:val="7D584CA2"/>
    <w:rsid w:val="7D5C3245"/>
    <w:rsid w:val="7D6925E9"/>
    <w:rsid w:val="7D6F453F"/>
    <w:rsid w:val="7DCB1578"/>
    <w:rsid w:val="7DDC2092"/>
    <w:rsid w:val="7DFB7239"/>
    <w:rsid w:val="7DFD164C"/>
    <w:rsid w:val="7DFD5226"/>
    <w:rsid w:val="7E1D7FA5"/>
    <w:rsid w:val="7E2969CB"/>
    <w:rsid w:val="7E3A1FB9"/>
    <w:rsid w:val="7E460752"/>
    <w:rsid w:val="7E515F86"/>
    <w:rsid w:val="7E5B2F60"/>
    <w:rsid w:val="7ECD4EAB"/>
    <w:rsid w:val="7ED43DD4"/>
    <w:rsid w:val="7F023C68"/>
    <w:rsid w:val="7F027446"/>
    <w:rsid w:val="7F104911"/>
    <w:rsid w:val="7F3C5DB2"/>
    <w:rsid w:val="7F50607E"/>
    <w:rsid w:val="7F5724B5"/>
    <w:rsid w:val="7F5E96C4"/>
    <w:rsid w:val="7F73122C"/>
    <w:rsid w:val="7F7F9C3C"/>
    <w:rsid w:val="7F8963F8"/>
    <w:rsid w:val="7FBF5E51"/>
    <w:rsid w:val="7FD2F7DB"/>
    <w:rsid w:val="7FF65F05"/>
    <w:rsid w:val="7FFC03A8"/>
    <w:rsid w:val="7FFDD5E0"/>
    <w:rsid w:val="7FFFD2A8"/>
    <w:rsid w:val="97BF568E"/>
    <w:rsid w:val="97FF0C9B"/>
    <w:rsid w:val="A65BFCF2"/>
    <w:rsid w:val="AD3F6BA7"/>
    <w:rsid w:val="AEBF24CF"/>
    <w:rsid w:val="BEFEAF53"/>
    <w:rsid w:val="BF9B9E8B"/>
    <w:rsid w:val="BFEF0A90"/>
    <w:rsid w:val="BFFB8A96"/>
    <w:rsid w:val="BFFBC8E2"/>
    <w:rsid w:val="CF5FAA61"/>
    <w:rsid w:val="CFFDE188"/>
    <w:rsid w:val="D779509E"/>
    <w:rsid w:val="DAE98030"/>
    <w:rsid w:val="DBFC2DAC"/>
    <w:rsid w:val="DEF79C17"/>
    <w:rsid w:val="DFFD4476"/>
    <w:rsid w:val="E3F31B5A"/>
    <w:rsid w:val="E77FB029"/>
    <w:rsid w:val="E7FF7D65"/>
    <w:rsid w:val="E7FFFCB9"/>
    <w:rsid w:val="EBFB0AF1"/>
    <w:rsid w:val="ECFE597C"/>
    <w:rsid w:val="EEC5936D"/>
    <w:rsid w:val="EF7F6E0E"/>
    <w:rsid w:val="EFAFA580"/>
    <w:rsid w:val="EFE31AD5"/>
    <w:rsid w:val="EFF7C251"/>
    <w:rsid w:val="EFFC0CE8"/>
    <w:rsid w:val="F5F6466D"/>
    <w:rsid w:val="F77EABDF"/>
    <w:rsid w:val="FAE43EF2"/>
    <w:rsid w:val="FAFF6502"/>
    <w:rsid w:val="FC963BD8"/>
    <w:rsid w:val="FDE81FC7"/>
    <w:rsid w:val="FDFF782F"/>
    <w:rsid w:val="FEBF9360"/>
    <w:rsid w:val="FEC0D99D"/>
    <w:rsid w:val="FECF7BEC"/>
    <w:rsid w:val="FF075838"/>
    <w:rsid w:val="FF5F9900"/>
    <w:rsid w:val="FFDFCB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宋体" w:hAnsi="宋体" w:eastAsia="宋体" w:cs="宋体"/>
      <w:sz w:val="24"/>
      <w:szCs w:val="24"/>
      <w:lang w:val="en-US" w:eastAsia="zh-CN" w:bidi="ar-SA"/>
    </w:rPr>
  </w:style>
  <w:style w:type="paragraph" w:styleId="3">
    <w:name w:val="heading 1"/>
    <w:basedOn w:val="1"/>
    <w:next w:val="1"/>
    <w:qFormat/>
    <w:uiPriority w:val="0"/>
    <w:pPr>
      <w:widowControl w:val="0"/>
      <w:autoSpaceDE w:val="0"/>
      <w:autoSpaceDN w:val="0"/>
      <w:ind w:left="860"/>
      <w:outlineLvl w:val="0"/>
    </w:pPr>
    <w:rPr>
      <w:rFonts w:ascii="微软雅黑" w:hAnsi="微软雅黑" w:eastAsia="微软雅黑" w:cs="微软雅黑"/>
      <w:b/>
      <w:bCs/>
      <w:sz w:val="32"/>
      <w:szCs w:val="32"/>
    </w:rPr>
  </w:style>
  <w:style w:type="paragraph" w:styleId="4">
    <w:name w:val="heading 2"/>
    <w:basedOn w:val="1"/>
    <w:next w:val="1"/>
    <w:unhideWhenUsed/>
    <w:qFormat/>
    <w:uiPriority w:val="0"/>
    <w:pPr>
      <w:keepNext/>
      <w:keepLines/>
      <w:widowControl w:val="0"/>
      <w:autoSpaceDE w:val="0"/>
      <w:autoSpaceDN w:val="0"/>
      <w:spacing w:before="260" w:after="260" w:line="416" w:lineRule="auto"/>
      <w:outlineLvl w:val="1"/>
    </w:pPr>
    <w:rPr>
      <w:rFonts w:ascii="Arial" w:hAnsi="Arial" w:eastAsia="黑体"/>
      <w:b/>
      <w:bCs/>
      <w:sz w:val="32"/>
      <w:szCs w:val="32"/>
    </w:rPr>
  </w:style>
  <w:style w:type="paragraph" w:styleId="5">
    <w:name w:val="heading 3"/>
    <w:basedOn w:val="1"/>
    <w:next w:val="1"/>
    <w:unhideWhenUsed/>
    <w:qFormat/>
    <w:uiPriority w:val="0"/>
    <w:pPr>
      <w:widowControl w:val="0"/>
      <w:autoSpaceDE w:val="0"/>
      <w:autoSpaceDN w:val="0"/>
      <w:ind w:left="1093"/>
      <w:outlineLvl w:val="2"/>
    </w:pPr>
    <w:rPr>
      <w:rFonts w:ascii="微软雅黑" w:hAnsi="微软雅黑" w:eastAsia="微软雅黑" w:cs="微软雅黑"/>
      <w:b/>
      <w:bCs/>
      <w:sz w:val="28"/>
      <w:szCs w:val="28"/>
    </w:rPr>
  </w:style>
  <w:style w:type="character" w:default="1" w:styleId="17">
    <w:name w:val="Default Paragraph Font"/>
    <w:unhideWhenUsed/>
    <w:qFormat/>
    <w:uiPriority w:val="1"/>
  </w:style>
  <w:style w:type="table" w:default="1" w:styleId="15">
    <w:name w:val="Normal Table"/>
    <w:unhideWhenUsed/>
    <w:qFormat/>
    <w:uiPriority w:val="99"/>
    <w:tblPr>
      <w:tblCellMar>
        <w:top w:w="0" w:type="dxa"/>
        <w:left w:w="108" w:type="dxa"/>
        <w:bottom w:w="0" w:type="dxa"/>
        <w:right w:w="108" w:type="dxa"/>
      </w:tblCellMar>
    </w:tblPr>
  </w:style>
  <w:style w:type="paragraph" w:styleId="2">
    <w:name w:val="Body Text"/>
    <w:basedOn w:val="1"/>
    <w:qFormat/>
    <w:uiPriority w:val="0"/>
    <w:pPr>
      <w:widowControl w:val="0"/>
      <w:autoSpaceDE w:val="0"/>
      <w:autoSpaceDN w:val="0"/>
      <w:spacing w:before="190"/>
      <w:ind w:left="220"/>
    </w:pPr>
    <w:rPr>
      <w:sz w:val="32"/>
      <w:szCs w:val="32"/>
    </w:rPr>
  </w:style>
  <w:style w:type="paragraph" w:styleId="6">
    <w:name w:val="annotation text"/>
    <w:basedOn w:val="1"/>
    <w:link w:val="29"/>
    <w:qFormat/>
    <w:uiPriority w:val="0"/>
  </w:style>
  <w:style w:type="paragraph" w:styleId="7">
    <w:name w:val="toc 3"/>
    <w:basedOn w:val="1"/>
    <w:next w:val="1"/>
    <w:qFormat/>
    <w:uiPriority w:val="0"/>
    <w:pPr>
      <w:ind w:left="840" w:leftChars="400"/>
    </w:pPr>
  </w:style>
  <w:style w:type="paragraph" w:styleId="8">
    <w:name w:val="footer"/>
    <w:basedOn w:val="1"/>
    <w:qFormat/>
    <w:uiPriority w:val="0"/>
    <w:pPr>
      <w:widowControl w:val="0"/>
      <w:tabs>
        <w:tab w:val="center" w:pos="4153"/>
        <w:tab w:val="right" w:pos="8306"/>
      </w:tabs>
      <w:autoSpaceDE w:val="0"/>
      <w:autoSpaceDN w:val="0"/>
      <w:snapToGrid w:val="0"/>
    </w:pPr>
    <w:rPr>
      <w:sz w:val="18"/>
      <w:szCs w:val="22"/>
    </w:rPr>
  </w:style>
  <w:style w:type="paragraph" w:styleId="9">
    <w:name w:val="header"/>
    <w:basedOn w:val="1"/>
    <w:qFormat/>
    <w:uiPriority w:val="0"/>
    <w:pPr>
      <w:widowControl w:val="0"/>
      <w:pBdr>
        <w:top w:val="none" w:color="auto" w:sz="0" w:space="1"/>
        <w:left w:val="none" w:color="auto" w:sz="0" w:space="4"/>
        <w:bottom w:val="none" w:color="auto" w:sz="0" w:space="1"/>
        <w:right w:val="none" w:color="auto" w:sz="0" w:space="4"/>
      </w:pBdr>
      <w:tabs>
        <w:tab w:val="center" w:pos="4153"/>
        <w:tab w:val="right" w:pos="8306"/>
      </w:tabs>
      <w:autoSpaceDE w:val="0"/>
      <w:autoSpaceDN w:val="0"/>
      <w:snapToGrid w:val="0"/>
      <w:jc w:val="both"/>
    </w:pPr>
    <w:rPr>
      <w:rFonts w:ascii="DejaVu Sans" w:hAnsi="DejaVu Sans"/>
      <w:sz w:val="18"/>
      <w:szCs w:val="22"/>
    </w:rPr>
  </w:style>
  <w:style w:type="paragraph" w:styleId="10">
    <w:name w:val="toc 1"/>
    <w:basedOn w:val="1"/>
    <w:next w:val="1"/>
    <w:qFormat/>
    <w:uiPriority w:val="0"/>
    <w:pPr>
      <w:widowControl w:val="0"/>
      <w:autoSpaceDE w:val="0"/>
      <w:autoSpaceDN w:val="0"/>
      <w:spacing w:before="119"/>
      <w:ind w:left="220"/>
    </w:pPr>
    <w:rPr>
      <w:rFonts w:ascii="微软雅黑" w:hAnsi="微软雅黑" w:eastAsia="微软雅黑" w:cs="微软雅黑"/>
      <w:b/>
      <w:bCs/>
      <w:sz w:val="20"/>
      <w:szCs w:val="20"/>
    </w:rPr>
  </w:style>
  <w:style w:type="paragraph" w:styleId="11">
    <w:name w:val="toc 2"/>
    <w:basedOn w:val="1"/>
    <w:next w:val="1"/>
    <w:qFormat/>
    <w:uiPriority w:val="0"/>
    <w:pPr>
      <w:widowControl w:val="0"/>
      <w:autoSpaceDE w:val="0"/>
      <w:autoSpaceDN w:val="0"/>
      <w:spacing w:before="183"/>
      <w:ind w:left="779"/>
    </w:pPr>
    <w:rPr>
      <w:sz w:val="20"/>
      <w:szCs w:val="20"/>
    </w:rPr>
  </w:style>
  <w:style w:type="paragraph" w:styleId="12">
    <w:name w:val="Normal (Web)"/>
    <w:basedOn w:val="1"/>
    <w:unhideWhenUsed/>
    <w:qFormat/>
    <w:uiPriority w:val="99"/>
    <w:pPr>
      <w:spacing w:before="100" w:beforeAutospacing="1" w:after="100" w:afterAutospacing="1"/>
    </w:pPr>
  </w:style>
  <w:style w:type="paragraph" w:styleId="13">
    <w:name w:val="Title"/>
    <w:basedOn w:val="1"/>
    <w:qFormat/>
    <w:uiPriority w:val="0"/>
    <w:pPr>
      <w:widowControl w:val="0"/>
      <w:autoSpaceDE w:val="0"/>
      <w:autoSpaceDN w:val="0"/>
      <w:spacing w:before="21"/>
      <w:ind w:left="1964" w:right="784" w:hanging="1282"/>
    </w:pPr>
    <w:rPr>
      <w:rFonts w:ascii="黑体" w:hAnsi="黑体" w:eastAsia="黑体" w:cs="黑体"/>
      <w:b/>
      <w:bCs/>
      <w:sz w:val="56"/>
      <w:szCs w:val="56"/>
    </w:rPr>
  </w:style>
  <w:style w:type="paragraph" w:styleId="14">
    <w:name w:val="annotation subject"/>
    <w:basedOn w:val="6"/>
    <w:next w:val="6"/>
    <w:link w:val="30"/>
    <w:qFormat/>
    <w:uiPriority w:val="0"/>
    <w:rPr>
      <w:b/>
      <w:bCs/>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llowedHyperlink"/>
    <w:basedOn w:val="17"/>
    <w:qFormat/>
    <w:uiPriority w:val="0"/>
    <w:rPr>
      <w:color w:val="800080"/>
      <w:u w:val="single"/>
    </w:rPr>
  </w:style>
  <w:style w:type="character" w:styleId="19">
    <w:name w:val="Hyperlink"/>
    <w:basedOn w:val="17"/>
    <w:qFormat/>
    <w:uiPriority w:val="0"/>
    <w:rPr>
      <w:color w:val="0000FF"/>
      <w:u w:val="single"/>
    </w:rPr>
  </w:style>
  <w:style w:type="character" w:styleId="20">
    <w:name w:val="annotation reference"/>
    <w:basedOn w:val="17"/>
    <w:qFormat/>
    <w:uiPriority w:val="0"/>
    <w:rPr>
      <w:sz w:val="21"/>
      <w:szCs w:val="21"/>
    </w:rPr>
  </w:style>
  <w:style w:type="paragraph" w:customStyle="1" w:styleId="21">
    <w:name w:val="列表段落1"/>
    <w:basedOn w:val="1"/>
    <w:qFormat/>
    <w:uiPriority w:val="1"/>
    <w:pPr>
      <w:widowControl w:val="0"/>
      <w:autoSpaceDE w:val="0"/>
      <w:autoSpaceDN w:val="0"/>
      <w:spacing w:before="190"/>
      <w:ind w:left="1182" w:hanging="323"/>
    </w:pPr>
    <w:rPr>
      <w:sz w:val="22"/>
      <w:szCs w:val="22"/>
    </w:rPr>
  </w:style>
  <w:style w:type="paragraph" w:customStyle="1" w:styleId="22">
    <w:name w:val="Table Paragraph"/>
    <w:basedOn w:val="1"/>
    <w:qFormat/>
    <w:uiPriority w:val="1"/>
    <w:pPr>
      <w:widowControl w:val="0"/>
      <w:autoSpaceDE w:val="0"/>
      <w:autoSpaceDN w:val="0"/>
    </w:pPr>
    <w:rPr>
      <w:sz w:val="22"/>
      <w:szCs w:val="22"/>
    </w:rPr>
  </w:style>
  <w:style w:type="paragraph" w:customStyle="1" w:styleId="23">
    <w:name w:val="WPSOffice手动目录 1"/>
    <w:qFormat/>
    <w:uiPriority w:val="0"/>
    <w:rPr>
      <w:rFonts w:ascii="Times New Roman" w:hAnsi="Times New Roman" w:eastAsia="宋体" w:cs="Times New Roman"/>
      <w:lang w:val="en-US" w:eastAsia="zh-CN" w:bidi="ar-SA"/>
    </w:rPr>
  </w:style>
  <w:style w:type="paragraph" w:customStyle="1" w:styleId="24">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25">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26">
    <w:name w:val="列出段落1"/>
    <w:basedOn w:val="1"/>
    <w:qFormat/>
    <w:uiPriority w:val="34"/>
    <w:pPr>
      <w:widowControl w:val="0"/>
      <w:autoSpaceDE w:val="0"/>
      <w:autoSpaceDN w:val="0"/>
      <w:ind w:firstLine="420" w:firstLineChars="200"/>
    </w:pPr>
    <w:rPr>
      <w:sz w:val="22"/>
      <w:szCs w:val="22"/>
    </w:rPr>
  </w:style>
  <w:style w:type="character" w:customStyle="1" w:styleId="27">
    <w:name w:val="apple-converted-space"/>
    <w:basedOn w:val="17"/>
    <w:qFormat/>
    <w:uiPriority w:val="0"/>
  </w:style>
  <w:style w:type="paragraph" w:customStyle="1" w:styleId="28">
    <w:name w:val="List Paragraph"/>
    <w:basedOn w:val="1"/>
    <w:qFormat/>
    <w:uiPriority w:val="99"/>
    <w:pPr>
      <w:widowControl w:val="0"/>
      <w:autoSpaceDE w:val="0"/>
      <w:autoSpaceDN w:val="0"/>
      <w:ind w:firstLine="420" w:firstLineChars="200"/>
    </w:pPr>
    <w:rPr>
      <w:sz w:val="22"/>
      <w:szCs w:val="22"/>
    </w:rPr>
  </w:style>
  <w:style w:type="character" w:customStyle="1" w:styleId="29">
    <w:name w:val="批注文字 字符"/>
    <w:basedOn w:val="17"/>
    <w:link w:val="6"/>
    <w:qFormat/>
    <w:uiPriority w:val="0"/>
    <w:rPr>
      <w:rFonts w:ascii="宋体" w:hAnsi="宋体" w:cs="宋体"/>
      <w:sz w:val="24"/>
      <w:szCs w:val="24"/>
    </w:rPr>
  </w:style>
  <w:style w:type="character" w:customStyle="1" w:styleId="30">
    <w:name w:val="批注主题 字符"/>
    <w:basedOn w:val="29"/>
    <w:link w:val="14"/>
    <w:qFormat/>
    <w:uiPriority w:val="0"/>
    <w:rPr>
      <w:rFonts w:ascii="宋体" w:hAnsi="宋体" w:cs="宋体"/>
      <w:b/>
      <w:bCs/>
      <w:sz w:val="24"/>
      <w:szCs w:val="24"/>
    </w:rPr>
  </w:style>
  <w:style w:type="character" w:customStyle="1" w:styleId="31">
    <w:name w:val="font11"/>
    <w:basedOn w:val="17"/>
    <w:qFormat/>
    <w:uiPriority w:val="0"/>
    <w:rPr>
      <w:rFonts w:hint="default" w:ascii="仿宋_GB2312" w:eastAsia="仿宋_GB2312" w:cs="仿宋_GB2312"/>
      <w:color w:val="000000"/>
      <w:sz w:val="24"/>
      <w:szCs w:val="24"/>
      <w:u w:val="none"/>
    </w:rPr>
  </w:style>
  <w:style w:type="character" w:customStyle="1" w:styleId="32">
    <w:name w:val="font01"/>
    <w:basedOn w:val="17"/>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52</Pages>
  <Words>23560</Words>
  <Characters>25407</Characters>
  <Lines>226</Lines>
  <Paragraphs>63</Paragraphs>
  <TotalTime>3</TotalTime>
  <ScaleCrop>false</ScaleCrop>
  <LinksUpToDate>false</LinksUpToDate>
  <CharactersWithSpaces>27517</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2021-07-29T07:54:00Z</dcterms:created>
  <dc:creator>michaelzhang</dc:creator>
  <cp:lastModifiedBy>℉™</cp:lastModifiedBy>
  <dcterms:modified xsi:type="dcterms:W3CDTF">2022-10-31T01:33:22Z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8569F57E886743CFBF8F065686E960A4</vt:lpwstr>
  </property>
</Properties>
</file>