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
        <w:spacing w:before="0" w:line="360" w:lineRule="auto"/>
        <w:ind w:left="0" w:right="0" w:firstLine="0"/>
        <w:jc w:val="center"/>
        <w:rPr>
          <w:rFonts w:hint="eastAsia" w:ascii="楷体" w:hAnsi="楷体" w:eastAsia="楷体" w:cs="楷体"/>
          <w:sz w:val="36"/>
          <w:szCs w:val="36"/>
          <w:highlight w:val="none"/>
        </w:rPr>
      </w:pPr>
    </w:p>
    <w:p>
      <w:pPr>
        <w:jc w:val="center"/>
        <w:rPr>
          <w:rFonts w:hint="eastAsia" w:ascii="楷体" w:hAnsi="楷体" w:eastAsia="楷体" w:cs="楷体"/>
          <w:b/>
          <w:color w:val="auto"/>
          <w:sz w:val="36"/>
          <w:szCs w:val="36"/>
          <w:highlight w:val="none"/>
          <w:lang w:val="en-US" w:eastAsia="zh-CN"/>
        </w:rPr>
      </w:pPr>
      <w:r>
        <w:rPr>
          <w:rFonts w:hint="eastAsia" w:ascii="楷体" w:hAnsi="楷体" w:eastAsia="楷体" w:cs="楷体"/>
          <w:b/>
          <w:color w:val="auto"/>
          <w:sz w:val="36"/>
          <w:szCs w:val="36"/>
          <w:highlight w:val="none"/>
        </w:rPr>
        <w:t>铜川市</w:t>
      </w:r>
      <w:r>
        <w:rPr>
          <w:rFonts w:hint="eastAsia" w:ascii="楷体" w:hAnsi="楷体" w:eastAsia="楷体" w:cs="楷体"/>
          <w:b/>
          <w:color w:val="auto"/>
          <w:sz w:val="36"/>
          <w:szCs w:val="36"/>
          <w:highlight w:val="none"/>
          <w:lang w:val="en-US" w:eastAsia="zh-CN"/>
        </w:rPr>
        <w:t>新区2021年度咸丰路街道办事处</w:t>
      </w:r>
    </w:p>
    <w:p>
      <w:pPr>
        <w:jc w:val="center"/>
        <w:rPr>
          <w:rFonts w:hint="default" w:ascii="楷体" w:hAnsi="楷体" w:eastAsia="楷体" w:cs="楷体"/>
          <w:b/>
          <w:color w:val="auto"/>
          <w:sz w:val="36"/>
          <w:szCs w:val="36"/>
          <w:highlight w:val="none"/>
          <w:lang w:val="en-US" w:eastAsia="zh-CN"/>
        </w:rPr>
      </w:pPr>
      <w:r>
        <w:rPr>
          <w:rFonts w:hint="eastAsia" w:ascii="楷体" w:hAnsi="楷体" w:eastAsia="楷体" w:cs="楷体"/>
          <w:b/>
          <w:color w:val="auto"/>
          <w:sz w:val="36"/>
          <w:szCs w:val="36"/>
          <w:highlight w:val="none"/>
          <w:lang w:val="en-US" w:eastAsia="zh-CN"/>
        </w:rPr>
        <w:t>部门整体支出</w:t>
      </w:r>
    </w:p>
    <w:p>
      <w:pPr>
        <w:jc w:val="center"/>
        <w:rPr>
          <w:rFonts w:hint="eastAsia" w:ascii="黑体" w:hAnsi="黑体" w:eastAsia="黑体" w:cs="黑体"/>
          <w:b/>
          <w:color w:val="auto"/>
          <w:sz w:val="56"/>
          <w:szCs w:val="56"/>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1200" w:lineRule="exact"/>
        <w:jc w:val="center"/>
        <w:textAlignment w:val="auto"/>
        <w:rPr>
          <w:rFonts w:hint="eastAsia" w:ascii="黑体" w:hAnsi="黑体" w:eastAsia="黑体" w:cs="黑体"/>
          <w:b/>
          <w:color w:val="auto"/>
          <w:sz w:val="72"/>
          <w:szCs w:val="72"/>
          <w:highlight w:val="none"/>
          <w:lang w:val="en-US" w:eastAsia="zh-CN"/>
        </w:rPr>
      </w:pPr>
      <w:r>
        <w:rPr>
          <w:rFonts w:hint="eastAsia" w:ascii="黑体" w:hAnsi="黑体" w:eastAsia="黑体" w:cs="黑体"/>
          <w:b/>
          <w:color w:val="auto"/>
          <w:sz w:val="72"/>
          <w:szCs w:val="72"/>
          <w:highlight w:val="none"/>
          <w:lang w:val="en-US" w:eastAsia="zh-CN"/>
        </w:rPr>
        <w:t>绩 效 评 价 报 告</w:t>
      </w:r>
    </w:p>
    <w:p>
      <w:pPr>
        <w:jc w:val="both"/>
        <w:rPr>
          <w:rFonts w:hint="eastAsia" w:ascii="方正小标宋简体" w:hAnsi="宋体" w:eastAsia="方正小标宋简体"/>
          <w:b/>
          <w:color w:val="auto"/>
          <w:sz w:val="44"/>
          <w:szCs w:val="44"/>
          <w:highlight w:val="none"/>
          <w:lang w:val="en-US" w:eastAsia="zh-CN"/>
        </w:rPr>
      </w:pPr>
    </w:p>
    <w:p>
      <w:pPr>
        <w:jc w:val="both"/>
        <w:rPr>
          <w:rFonts w:hint="eastAsia" w:ascii="方正小标宋简体" w:hAnsi="宋体" w:eastAsia="方正小标宋简体"/>
          <w:b/>
          <w:color w:val="auto"/>
          <w:sz w:val="44"/>
          <w:szCs w:val="44"/>
          <w:highlight w:val="none"/>
          <w:lang w:val="en-US" w:eastAsia="zh-CN"/>
        </w:rPr>
      </w:pPr>
    </w:p>
    <w:p>
      <w:pPr>
        <w:jc w:val="both"/>
        <w:rPr>
          <w:rFonts w:hint="eastAsia" w:ascii="方正小标宋简体" w:hAnsi="宋体" w:eastAsia="方正小标宋简体"/>
          <w:b/>
          <w:color w:val="auto"/>
          <w:sz w:val="44"/>
          <w:szCs w:val="44"/>
          <w:highlight w:val="none"/>
          <w:lang w:val="en-US" w:eastAsia="zh-CN"/>
        </w:rPr>
      </w:pPr>
    </w:p>
    <w:p>
      <w:pPr>
        <w:jc w:val="both"/>
        <w:rPr>
          <w:rFonts w:hint="eastAsia" w:ascii="方正小标宋简体" w:hAnsi="宋体" w:eastAsia="方正小标宋简体"/>
          <w:b/>
          <w:color w:val="auto"/>
          <w:sz w:val="44"/>
          <w:szCs w:val="44"/>
          <w:highlight w:val="none"/>
          <w:lang w:val="en-US" w:eastAsia="zh-CN"/>
        </w:rPr>
      </w:pPr>
    </w:p>
    <w:p>
      <w:pPr>
        <w:jc w:val="both"/>
        <w:rPr>
          <w:rFonts w:hint="default" w:ascii="仿宋_GB2312" w:hAnsi="仿宋_GB2312" w:eastAsia="仿宋_GB2312" w:cs="仿宋_GB2312"/>
          <w:b w:val="0"/>
          <w:bCs/>
          <w:color w:val="auto"/>
          <w:sz w:val="32"/>
          <w:szCs w:val="32"/>
          <w:highlight w:val="none"/>
          <w:u w:val="none"/>
          <w:lang w:val="en-US"/>
        </w:rPr>
      </w:pPr>
      <w:r>
        <w:rPr>
          <w:rFonts w:hint="eastAsia" w:ascii="楷体" w:hAnsi="楷体" w:eastAsia="楷体" w:cs="楷体"/>
          <w:b w:val="0"/>
          <w:bCs/>
          <w:color w:val="auto"/>
          <w:sz w:val="32"/>
          <w:szCs w:val="32"/>
          <w:highlight w:val="none"/>
          <w:u w:val="none"/>
          <w:lang w:val="en-US" w:eastAsia="zh-CN"/>
        </w:rPr>
        <w:t xml:space="preserve">        </w:t>
      </w:r>
    </w:p>
    <w:p>
      <w:pPr>
        <w:ind w:firstLine="640" w:firstLineChars="200"/>
        <w:jc w:val="both"/>
        <w:rPr>
          <w:rFonts w:hint="default" w:ascii="楷体" w:hAnsi="楷体" w:eastAsia="楷体" w:cs="楷体"/>
          <w:b w:val="0"/>
          <w:bCs/>
          <w:color w:val="auto"/>
          <w:sz w:val="32"/>
          <w:szCs w:val="32"/>
          <w:highlight w:val="none"/>
          <w:u w:val="none"/>
          <w:lang w:val="en-US" w:eastAsia="zh-CN"/>
        </w:rPr>
      </w:pPr>
      <w:r>
        <w:rPr>
          <w:rFonts w:hint="eastAsia" w:ascii="楷体" w:hAnsi="楷体" w:eastAsia="楷体" w:cs="楷体"/>
          <w:b w:val="0"/>
          <w:bCs/>
          <w:color w:val="auto"/>
          <w:sz w:val="32"/>
          <w:szCs w:val="32"/>
          <w:highlight w:val="none"/>
          <w:u w:val="none"/>
          <w:lang w:val="en-US" w:eastAsia="zh-CN"/>
        </w:rPr>
        <w:t>项目单位</w:t>
      </w:r>
      <w:r>
        <w:rPr>
          <w:rFonts w:hint="eastAsia" w:ascii="仿宋_GB2312" w:hAnsi="仿宋_GB2312" w:eastAsia="仿宋_GB2312" w:cs="仿宋_GB2312"/>
          <w:b w:val="0"/>
          <w:bCs/>
          <w:color w:val="auto"/>
          <w:sz w:val="32"/>
          <w:szCs w:val="32"/>
          <w:highlight w:val="none"/>
          <w:u w:val="none"/>
          <w:lang w:val="en-US" w:eastAsia="zh-CN"/>
        </w:rPr>
        <w:t>：</w:t>
      </w:r>
      <w:r>
        <w:rPr>
          <w:rFonts w:hint="eastAsia" w:ascii="楷体" w:hAnsi="楷体" w:eastAsia="楷体" w:cs="楷体"/>
          <w:b w:val="0"/>
          <w:bCs/>
          <w:color w:val="auto"/>
          <w:sz w:val="32"/>
          <w:szCs w:val="32"/>
          <w:highlight w:val="none"/>
          <w:u w:val="none"/>
          <w:lang w:val="en-US" w:eastAsia="zh-CN"/>
        </w:rPr>
        <w:t xml:space="preserve">铜川市新区咸丰路街道办事处         </w:t>
      </w:r>
    </w:p>
    <w:p>
      <w:pPr>
        <w:ind w:firstLine="640" w:firstLineChars="200"/>
        <w:jc w:val="both"/>
        <w:rPr>
          <w:rFonts w:hint="eastAsia" w:ascii="楷体" w:hAnsi="楷体" w:eastAsia="楷体" w:cs="楷体"/>
          <w:b w:val="0"/>
          <w:bCs/>
          <w:color w:val="auto"/>
          <w:sz w:val="32"/>
          <w:szCs w:val="32"/>
          <w:highlight w:val="none"/>
          <w:u w:val="none"/>
          <w:lang w:val="en-US" w:eastAsia="zh-CN"/>
        </w:rPr>
      </w:pPr>
      <w:r>
        <w:rPr>
          <w:rFonts w:hint="eastAsia" w:ascii="楷体" w:hAnsi="楷体" w:eastAsia="楷体" w:cs="楷体"/>
          <w:b w:val="0"/>
          <w:bCs/>
          <w:color w:val="auto"/>
          <w:sz w:val="32"/>
          <w:szCs w:val="32"/>
          <w:highlight w:val="none"/>
          <w:u w:val="none"/>
          <w:lang w:val="en-US" w:eastAsia="zh-CN"/>
        </w:rPr>
        <w:t>组织单位</w:t>
      </w:r>
      <w:r>
        <w:rPr>
          <w:rFonts w:hint="eastAsia" w:ascii="仿宋_GB2312" w:hAnsi="仿宋_GB2312" w:eastAsia="仿宋_GB2312" w:cs="仿宋_GB2312"/>
          <w:b w:val="0"/>
          <w:bCs/>
          <w:color w:val="auto"/>
          <w:sz w:val="32"/>
          <w:szCs w:val="32"/>
          <w:highlight w:val="none"/>
          <w:u w:val="none"/>
          <w:lang w:val="en-US" w:eastAsia="zh-CN"/>
        </w:rPr>
        <w:t>：</w:t>
      </w:r>
      <w:r>
        <w:rPr>
          <w:rFonts w:hint="eastAsia" w:ascii="楷体" w:hAnsi="楷体" w:eastAsia="楷体" w:cs="楷体"/>
          <w:b w:val="0"/>
          <w:bCs/>
          <w:color w:val="auto"/>
          <w:sz w:val="32"/>
          <w:szCs w:val="32"/>
          <w:highlight w:val="none"/>
          <w:u w:val="none"/>
          <w:lang w:val="en-US" w:eastAsia="zh-CN"/>
        </w:rPr>
        <w:t xml:space="preserve">铜川市新区财政局 </w:t>
      </w:r>
    </w:p>
    <w:p>
      <w:pPr>
        <w:ind w:firstLine="640" w:firstLineChars="200"/>
        <w:jc w:val="both"/>
        <w:rPr>
          <w:rFonts w:hint="eastAsia" w:ascii="楷体" w:hAnsi="楷体" w:eastAsia="楷体" w:cs="楷体"/>
          <w:b w:val="0"/>
          <w:bCs/>
          <w:color w:val="auto"/>
          <w:sz w:val="32"/>
          <w:szCs w:val="32"/>
          <w:highlight w:val="none"/>
          <w:u w:val="none"/>
          <w:lang w:val="en-US" w:eastAsia="zh-CN"/>
        </w:rPr>
      </w:pPr>
      <w:r>
        <w:rPr>
          <w:rFonts w:hint="eastAsia" w:ascii="楷体" w:hAnsi="楷体" w:eastAsia="楷体" w:cs="楷体"/>
          <w:b w:val="0"/>
          <w:bCs/>
          <w:color w:val="auto"/>
          <w:sz w:val="32"/>
          <w:szCs w:val="32"/>
          <w:highlight w:val="none"/>
          <w:u w:val="none"/>
          <w:lang w:val="en-US" w:eastAsia="zh-CN"/>
        </w:rPr>
        <w:t>评价机构</w:t>
      </w:r>
      <w:r>
        <w:rPr>
          <w:rFonts w:hint="eastAsia" w:ascii="仿宋_GB2312" w:hAnsi="仿宋_GB2312" w:eastAsia="仿宋_GB2312" w:cs="仿宋_GB2312"/>
          <w:b w:val="0"/>
          <w:bCs/>
          <w:color w:val="auto"/>
          <w:sz w:val="32"/>
          <w:szCs w:val="32"/>
          <w:highlight w:val="none"/>
          <w:u w:val="none"/>
          <w:lang w:val="en-US" w:eastAsia="zh-CN"/>
        </w:rPr>
        <w:t>：</w:t>
      </w:r>
      <w:r>
        <w:rPr>
          <w:rFonts w:hint="eastAsia" w:ascii="楷体" w:hAnsi="楷体" w:eastAsia="楷体" w:cs="楷体"/>
          <w:b w:val="0"/>
          <w:bCs/>
          <w:color w:val="auto"/>
          <w:sz w:val="32"/>
          <w:szCs w:val="32"/>
          <w:highlight w:val="none"/>
          <w:u w:val="none"/>
          <w:lang w:val="en-US" w:eastAsia="zh-CN"/>
        </w:rPr>
        <w:t>深圳市万德公共咨询有限公司</w:t>
      </w:r>
    </w:p>
    <w:p>
      <w:pPr>
        <w:ind w:firstLine="640" w:firstLineChars="200"/>
        <w:jc w:val="both"/>
        <w:rPr>
          <w:rFonts w:hint="default" w:ascii="楷体" w:hAnsi="楷体" w:eastAsia="楷体" w:cs="楷体"/>
          <w:b w:val="0"/>
          <w:bCs/>
          <w:color w:val="auto"/>
          <w:sz w:val="32"/>
          <w:szCs w:val="32"/>
          <w:highlight w:val="none"/>
          <w:u w:val="none"/>
          <w:lang w:val="en-US" w:eastAsia="zh-CN"/>
        </w:rPr>
      </w:pPr>
      <w:r>
        <w:rPr>
          <w:rFonts w:hint="eastAsia" w:ascii="楷体" w:hAnsi="楷体" w:eastAsia="楷体" w:cs="楷体"/>
          <w:b w:val="0"/>
          <w:bCs/>
          <w:color w:val="auto"/>
          <w:sz w:val="32"/>
          <w:szCs w:val="32"/>
          <w:highlight w:val="none"/>
          <w:u w:val="none"/>
          <w:lang w:val="en-US" w:eastAsia="zh-CN"/>
        </w:rPr>
        <w:t>报告编号：铜新评审-06</w:t>
      </w:r>
    </w:p>
    <w:p>
      <w:pPr>
        <w:ind w:firstLine="640" w:firstLineChars="200"/>
        <w:jc w:val="both"/>
        <w:rPr>
          <w:rFonts w:hint="eastAsia" w:ascii="楷体" w:hAnsi="楷体" w:eastAsia="楷体" w:cs="楷体"/>
          <w:b w:val="0"/>
          <w:bCs/>
          <w:color w:val="auto"/>
          <w:sz w:val="32"/>
          <w:szCs w:val="32"/>
          <w:highlight w:val="none"/>
          <w:u w:val="none"/>
          <w:lang w:val="en-US" w:eastAsia="zh-CN"/>
        </w:rPr>
      </w:pPr>
      <w:r>
        <w:rPr>
          <w:rFonts w:hint="eastAsia" w:ascii="楷体" w:hAnsi="楷体" w:eastAsia="楷体" w:cs="楷体"/>
          <w:b w:val="0"/>
          <w:bCs/>
          <w:color w:val="auto"/>
          <w:sz w:val="32"/>
          <w:szCs w:val="32"/>
          <w:highlight w:val="none"/>
          <w:u w:val="none"/>
          <w:lang w:val="en-US" w:eastAsia="zh-CN"/>
        </w:rPr>
        <w:t xml:space="preserve">编制日期：2022年10月    </w:t>
      </w:r>
    </w:p>
    <w:p>
      <w:pPr>
        <w:ind w:firstLine="640" w:firstLineChars="200"/>
        <w:jc w:val="both"/>
        <w:rPr>
          <w:rFonts w:hint="eastAsia" w:ascii="楷体" w:hAnsi="楷体" w:eastAsia="楷体" w:cs="楷体"/>
          <w:b w:val="0"/>
          <w:bCs/>
          <w:color w:val="auto"/>
          <w:sz w:val="32"/>
          <w:szCs w:val="32"/>
          <w:highlight w:val="none"/>
          <w:u w:val="none"/>
          <w:lang w:val="en-US" w:eastAsia="zh-CN"/>
        </w:rPr>
      </w:pPr>
    </w:p>
    <w:p>
      <w:pPr>
        <w:ind w:firstLine="640" w:firstLineChars="200"/>
        <w:jc w:val="both"/>
        <w:rPr>
          <w:rFonts w:hint="default" w:ascii="楷体" w:hAnsi="楷体" w:eastAsia="楷体" w:cs="楷体"/>
          <w:b w:val="0"/>
          <w:bCs/>
          <w:color w:val="auto"/>
          <w:sz w:val="32"/>
          <w:szCs w:val="32"/>
          <w:highlight w:val="none"/>
          <w:u w:val="none"/>
          <w:lang w:val="en-US" w:eastAsia="zh-CN"/>
        </w:rPr>
      </w:pPr>
    </w:p>
    <w:p>
      <w:pPr>
        <w:jc w:val="both"/>
        <w:rPr>
          <w:rFonts w:hint="default" w:ascii="仿宋_GB2312" w:hAnsi="仿宋_GB2312" w:eastAsia="仿宋_GB2312" w:cs="仿宋_GB2312"/>
          <w:b w:val="0"/>
          <w:bCs/>
          <w:color w:val="auto"/>
          <w:sz w:val="32"/>
          <w:szCs w:val="32"/>
          <w:highlight w:val="none"/>
          <w:u w:val="none"/>
          <w:lang w:val="en-US" w:eastAsia="zh-CN"/>
        </w:rPr>
        <w:sectPr>
          <w:pgSz w:w="11906" w:h="16838"/>
          <w:pgMar w:top="2098" w:right="1474" w:bottom="1984" w:left="1587" w:header="851" w:footer="992" w:gutter="0"/>
          <w:pgNumType w:fmt="decimal" w:start="1"/>
          <w:cols w:space="720" w:num="1"/>
          <w:docGrid w:type="lines" w:linePitch="312" w:charSpace="0"/>
        </w:sectPr>
      </w:pPr>
    </w:p>
    <w:p>
      <w:pPr>
        <w:keepNext w:val="0"/>
        <w:keepLines w:val="0"/>
        <w:pageBreakBefore w:val="0"/>
        <w:widowControl w:val="0"/>
        <w:kinsoku/>
        <w:wordWrap/>
        <w:overflowPunct/>
        <w:topLinePunct w:val="0"/>
        <w:autoSpaceDE/>
        <w:autoSpaceDN/>
        <w:bidi w:val="0"/>
        <w:adjustRightInd/>
        <w:snapToGrid/>
        <w:spacing w:beforeLines="0" w:afterLines="0" w:line="600" w:lineRule="exact"/>
        <w:ind w:left="0" w:leftChars="0" w:right="0" w:rightChars="0" w:firstLine="0" w:firstLineChars="0"/>
        <w:jc w:val="center"/>
        <w:textAlignment w:val="auto"/>
        <w:rPr>
          <w:rFonts w:hint="eastAsia"/>
          <w:b/>
          <w:bCs/>
          <w:color w:val="auto"/>
          <w:sz w:val="36"/>
          <w:szCs w:val="36"/>
          <w:highlight w:val="none"/>
          <w:lang w:val="en-US" w:eastAsia="zh-CN"/>
        </w:rPr>
      </w:pPr>
      <w:r>
        <w:rPr>
          <w:rFonts w:hint="eastAsia" w:ascii="宋体" w:hAnsi="宋体"/>
          <w:b/>
          <w:bCs/>
          <w:color w:val="auto"/>
          <w:sz w:val="36"/>
          <w:szCs w:val="36"/>
          <w:highlight w:val="none"/>
          <w:lang w:val="en-US" w:eastAsia="zh-CN"/>
        </w:rPr>
        <w:t>铜川市</w:t>
      </w:r>
      <w:r>
        <w:rPr>
          <w:rFonts w:hint="eastAsia"/>
          <w:b/>
          <w:bCs/>
          <w:color w:val="auto"/>
          <w:sz w:val="36"/>
          <w:szCs w:val="36"/>
          <w:highlight w:val="none"/>
          <w:lang w:val="en-US" w:eastAsia="zh-CN"/>
        </w:rPr>
        <w:t>新区</w:t>
      </w:r>
      <w:r>
        <w:rPr>
          <w:rFonts w:hint="eastAsia" w:ascii="宋体" w:hAnsi="宋体"/>
          <w:b/>
          <w:bCs/>
          <w:color w:val="auto"/>
          <w:sz w:val="36"/>
          <w:szCs w:val="36"/>
          <w:highlight w:val="none"/>
          <w:lang w:val="en-US" w:eastAsia="zh-CN"/>
        </w:rPr>
        <w:t>202</w:t>
      </w:r>
      <w:r>
        <w:rPr>
          <w:rFonts w:hint="eastAsia"/>
          <w:b/>
          <w:bCs/>
          <w:color w:val="auto"/>
          <w:sz w:val="36"/>
          <w:szCs w:val="36"/>
          <w:highlight w:val="none"/>
          <w:lang w:val="en-US" w:eastAsia="zh-CN"/>
        </w:rPr>
        <w:t>1</w:t>
      </w:r>
      <w:r>
        <w:rPr>
          <w:rFonts w:hint="eastAsia" w:ascii="宋体" w:hAnsi="宋体"/>
          <w:b/>
          <w:bCs/>
          <w:color w:val="auto"/>
          <w:sz w:val="36"/>
          <w:szCs w:val="36"/>
          <w:highlight w:val="none"/>
          <w:lang w:val="en-US" w:eastAsia="zh-CN"/>
        </w:rPr>
        <w:t>年度</w:t>
      </w:r>
      <w:r>
        <w:rPr>
          <w:rFonts w:hint="eastAsia"/>
          <w:b/>
          <w:bCs/>
          <w:color w:val="auto"/>
          <w:sz w:val="36"/>
          <w:szCs w:val="36"/>
          <w:highlight w:val="none"/>
          <w:lang w:val="en-US" w:eastAsia="zh-CN"/>
        </w:rPr>
        <w:t>咸丰路街道办事处</w:t>
      </w:r>
    </w:p>
    <w:p>
      <w:pPr>
        <w:keepNext w:val="0"/>
        <w:keepLines w:val="0"/>
        <w:pageBreakBefore w:val="0"/>
        <w:widowControl w:val="0"/>
        <w:kinsoku/>
        <w:wordWrap/>
        <w:overflowPunct/>
        <w:topLinePunct w:val="0"/>
        <w:autoSpaceDE/>
        <w:autoSpaceDN/>
        <w:bidi w:val="0"/>
        <w:adjustRightInd/>
        <w:snapToGrid/>
        <w:spacing w:beforeLines="0" w:afterLines="0" w:line="600" w:lineRule="exact"/>
        <w:ind w:left="0" w:leftChars="0" w:right="0" w:rightChars="0" w:firstLine="0" w:firstLineChars="0"/>
        <w:jc w:val="center"/>
        <w:textAlignment w:val="auto"/>
        <w:rPr>
          <w:rFonts w:hint="eastAsia" w:ascii="宋体" w:hAnsi="宋体" w:eastAsia="宋体" w:cs="宋体"/>
          <w:b/>
          <w:bCs/>
          <w:color w:val="auto"/>
          <w:kern w:val="2"/>
          <w:sz w:val="36"/>
          <w:szCs w:val="36"/>
          <w:highlight w:val="none"/>
        </w:rPr>
      </w:pPr>
      <w:r>
        <w:rPr>
          <w:rFonts w:hint="eastAsia" w:ascii="宋体" w:hAnsi="宋体"/>
          <w:b/>
          <w:bCs/>
          <w:color w:val="auto"/>
          <w:sz w:val="36"/>
          <w:szCs w:val="36"/>
          <w:highlight w:val="none"/>
          <w:lang w:val="en-US" w:eastAsia="zh-CN"/>
        </w:rPr>
        <w:t>部门整体支出重点绩效评价总览</w:t>
      </w:r>
    </w:p>
    <w:tbl>
      <w:tblPr>
        <w:tblStyle w:val="1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40"/>
        <w:gridCol w:w="2042"/>
        <w:gridCol w:w="1726"/>
        <w:gridCol w:w="30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5000" w:type="pct"/>
            <w:gridSpan w:val="4"/>
            <w:noWrap w:val="0"/>
            <w:vAlign w:val="center"/>
          </w:tcPr>
          <w:p>
            <w:pPr>
              <w:keepNext w:val="0"/>
              <w:keepLines w:val="0"/>
              <w:widowControl/>
              <w:suppressLineNumbers w:val="0"/>
              <w:jc w:val="center"/>
              <w:textAlignment w:val="center"/>
              <w:rPr>
                <w:rFonts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一、项目预算资金安排和使用情况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trPr>
        <w:tc>
          <w:tcPr>
            <w:tcW w:w="1241" w:type="pct"/>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项目名称</w:t>
            </w:r>
          </w:p>
        </w:tc>
        <w:tc>
          <w:tcPr>
            <w:tcW w:w="3758" w:type="pct"/>
            <w:gridSpan w:val="3"/>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铜川市新区2021年度咸丰路街道办事处部门整体支出绩效评价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241" w:type="pct"/>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实施单位</w:t>
            </w:r>
          </w:p>
        </w:tc>
        <w:tc>
          <w:tcPr>
            <w:tcW w:w="3758" w:type="pct"/>
            <w:gridSpan w:val="3"/>
            <w:noWrap w:val="0"/>
            <w:vAlign w:val="center"/>
          </w:tcPr>
          <w:p>
            <w:pPr>
              <w:keepNext w:val="0"/>
              <w:keepLines w:val="0"/>
              <w:widowControl/>
              <w:suppressLineNumbers w:val="0"/>
              <w:jc w:val="center"/>
              <w:textAlignment w:val="center"/>
              <w:rPr>
                <w:rFonts w:hint="default" w:ascii="仿宋" w:hAnsi="仿宋" w:eastAsia="仿宋" w:cs="仿宋"/>
                <w:i w:val="0"/>
                <w:iCs w:val="0"/>
                <w:color w:val="000000"/>
                <w:sz w:val="24"/>
                <w:szCs w:val="24"/>
                <w:highlight w:val="none"/>
                <w:u w:val="none"/>
                <w:lang w:val="en-US" w:eastAsia="zh-CN"/>
              </w:rPr>
            </w:pPr>
            <w:r>
              <w:rPr>
                <w:rFonts w:hint="eastAsia" w:ascii="仿宋" w:hAnsi="仿宋" w:eastAsia="仿宋" w:cs="仿宋"/>
                <w:i w:val="0"/>
                <w:iCs w:val="0"/>
                <w:color w:val="000000"/>
                <w:sz w:val="24"/>
                <w:szCs w:val="24"/>
                <w:highlight w:val="none"/>
                <w:u w:val="none"/>
                <w:lang w:val="en-US" w:eastAsia="zh-CN"/>
              </w:rPr>
              <w:t>铜川市新区咸丰路街道办事处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241" w:type="pct"/>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主管处室</w:t>
            </w:r>
          </w:p>
        </w:tc>
        <w:tc>
          <w:tcPr>
            <w:tcW w:w="1131" w:type="pct"/>
            <w:noWrap w:val="0"/>
            <w:vAlign w:val="center"/>
          </w:tcPr>
          <w:p>
            <w:pPr>
              <w:keepNext w:val="0"/>
              <w:keepLines w:val="0"/>
              <w:widowControl/>
              <w:suppressLineNumbers w:val="0"/>
              <w:jc w:val="center"/>
              <w:textAlignment w:val="center"/>
              <w:rPr>
                <w:rFonts w:hint="default" w:ascii="仿宋" w:hAnsi="仿宋" w:eastAsia="仿宋" w:cs="仿宋"/>
                <w:i w:val="0"/>
                <w:iCs w:val="0"/>
                <w:color w:val="000000"/>
                <w:sz w:val="24"/>
                <w:szCs w:val="24"/>
                <w:highlight w:val="none"/>
                <w:u w:val="none"/>
                <w:lang w:val="en-US" w:eastAsia="zh-CN"/>
              </w:rPr>
            </w:pPr>
            <w:r>
              <w:rPr>
                <w:rFonts w:hint="eastAsia" w:ascii="仿宋" w:hAnsi="仿宋" w:eastAsia="仿宋" w:cs="仿宋"/>
                <w:i w:val="0"/>
                <w:iCs w:val="0"/>
                <w:color w:val="000000"/>
                <w:sz w:val="24"/>
                <w:szCs w:val="24"/>
                <w:highlight w:val="none"/>
                <w:u w:val="none"/>
                <w:lang w:val="en-US" w:eastAsia="zh-CN"/>
              </w:rPr>
              <w:t>铜川市新区财政局咸丰财政所</w:t>
            </w:r>
          </w:p>
        </w:tc>
        <w:tc>
          <w:tcPr>
            <w:tcW w:w="956" w:type="pct"/>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主管部门</w:t>
            </w:r>
          </w:p>
        </w:tc>
        <w:tc>
          <w:tcPr>
            <w:tcW w:w="1670" w:type="pct"/>
            <w:noWrap w:val="0"/>
            <w:vAlign w:val="center"/>
          </w:tcPr>
          <w:p>
            <w:pPr>
              <w:keepNext w:val="0"/>
              <w:keepLines w:val="0"/>
              <w:widowControl/>
              <w:suppressLineNumbers w:val="0"/>
              <w:jc w:val="center"/>
              <w:textAlignment w:val="center"/>
              <w:rPr>
                <w:rFonts w:hint="default" w:ascii="仿宋" w:hAnsi="仿宋" w:eastAsia="仿宋" w:cs="仿宋"/>
                <w:i w:val="0"/>
                <w:iCs w:val="0"/>
                <w:color w:val="000000"/>
                <w:sz w:val="24"/>
                <w:szCs w:val="24"/>
                <w:highlight w:val="none"/>
                <w:u w:val="none"/>
                <w:lang w:val="en-US"/>
              </w:rPr>
            </w:pPr>
            <w:r>
              <w:rPr>
                <w:rFonts w:hint="eastAsia" w:ascii="仿宋" w:hAnsi="仿宋" w:eastAsia="仿宋" w:cs="仿宋"/>
                <w:i w:val="0"/>
                <w:iCs w:val="0"/>
                <w:color w:val="000000"/>
                <w:sz w:val="24"/>
                <w:szCs w:val="24"/>
                <w:highlight w:val="none"/>
                <w:u w:val="none"/>
                <w:lang w:val="en-US" w:eastAsia="zh-CN"/>
              </w:rPr>
              <w:t>铜川市新区咸丰路街道办事处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 w:hRule="atLeast"/>
        </w:trPr>
        <w:tc>
          <w:tcPr>
            <w:tcW w:w="1241" w:type="pct"/>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年度预算资金安排</w:t>
            </w:r>
          </w:p>
        </w:tc>
        <w:tc>
          <w:tcPr>
            <w:tcW w:w="3758" w:type="pct"/>
            <w:gridSpan w:val="3"/>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7669.63万元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1241" w:type="pct"/>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其中</w:t>
            </w:r>
          </w:p>
        </w:tc>
        <w:tc>
          <w:tcPr>
            <w:tcW w:w="3758" w:type="pct"/>
            <w:gridSpan w:val="3"/>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当年财政拨款7669.63万元（100%）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1241" w:type="pct"/>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年度实际支出</w:t>
            </w:r>
          </w:p>
        </w:tc>
        <w:tc>
          <w:tcPr>
            <w:tcW w:w="3758" w:type="pct"/>
            <w:gridSpan w:val="3"/>
            <w:noWrap w:val="0"/>
            <w:vAlign w:val="center"/>
          </w:tcPr>
          <w:p>
            <w:pPr>
              <w:keepNext w:val="0"/>
              <w:keepLines w:val="0"/>
              <w:widowControl/>
              <w:suppressLineNumbers w:val="0"/>
              <w:jc w:val="center"/>
              <w:textAlignment w:val="center"/>
              <w:rPr>
                <w:rFonts w:hint="default" w:ascii="仿宋" w:hAnsi="仿宋" w:eastAsia="仿宋" w:cs="仿宋"/>
                <w:i w:val="0"/>
                <w:iCs w:val="0"/>
                <w:color w:val="000000"/>
                <w:sz w:val="24"/>
                <w:szCs w:val="24"/>
                <w:highlight w:val="none"/>
                <w:u w:val="none"/>
                <w:lang w:val="en-US"/>
              </w:rPr>
            </w:pPr>
            <w:r>
              <w:rPr>
                <w:rFonts w:hint="eastAsia" w:ascii="仿宋" w:hAnsi="仿宋" w:eastAsia="仿宋" w:cs="仿宋"/>
                <w:i w:val="0"/>
                <w:iCs w:val="0"/>
                <w:color w:val="000000"/>
                <w:kern w:val="0"/>
                <w:sz w:val="24"/>
                <w:szCs w:val="24"/>
                <w:highlight w:val="none"/>
                <w:u w:val="none"/>
                <w:lang w:val="en-US" w:eastAsia="zh-CN" w:bidi="ar"/>
              </w:rPr>
              <w:t>年度支出7669.63万元，占比100%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5000" w:type="pct"/>
            <w:gridSpan w:val="4"/>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二、绩效目标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trPr>
        <w:tc>
          <w:tcPr>
            <w:tcW w:w="1241" w:type="pct"/>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绩效目标</w:t>
            </w:r>
          </w:p>
        </w:tc>
        <w:tc>
          <w:tcPr>
            <w:tcW w:w="3758" w:type="pct"/>
            <w:gridSpan w:val="3"/>
            <w:noWrap w:val="0"/>
            <w:vAlign w:val="center"/>
          </w:tcPr>
          <w:p>
            <w:pPr>
              <w:keepNext w:val="0"/>
              <w:keepLines w:val="0"/>
              <w:widowControl/>
              <w:suppressLineNumbers w:val="0"/>
              <w:ind w:firstLineChars="200"/>
              <w:jc w:val="left"/>
              <w:textAlignment w:val="center"/>
              <w:rPr>
                <w:rFonts w:hint="default" w:ascii="仿宋" w:hAnsi="仿宋" w:eastAsia="仿宋" w:cs="仿宋"/>
                <w:i w:val="0"/>
                <w:iCs w:val="0"/>
                <w:color w:val="000000"/>
                <w:sz w:val="24"/>
                <w:szCs w:val="24"/>
                <w:highlight w:val="none"/>
                <w:u w:val="none"/>
                <w:lang w:val="en-US" w:eastAsia="zh-CN"/>
              </w:rPr>
            </w:pPr>
            <w:r>
              <w:rPr>
                <w:rFonts w:hint="eastAsia" w:ascii="仿宋" w:hAnsi="仿宋" w:eastAsia="仿宋" w:cs="仿宋"/>
                <w:i w:val="0"/>
                <w:iCs w:val="0"/>
                <w:color w:val="000000"/>
                <w:sz w:val="24"/>
                <w:szCs w:val="24"/>
                <w:highlight w:val="none"/>
                <w:u w:val="none"/>
                <w:lang w:val="en-US" w:eastAsia="zh-CN"/>
              </w:rPr>
              <w:t>在工委管委会的正确领导和上级部门的坚强领导下，以实施乡村振兴战略为总抓手，按照新区农业农村工作的总体部署，围绕全年农业农村各项工作目标任务，紧抓疫情不放松，强化责任、狠抓落实，较好地完成各项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trPr>
        <w:tc>
          <w:tcPr>
            <w:tcW w:w="1241" w:type="pct"/>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主要指标</w:t>
            </w:r>
          </w:p>
        </w:tc>
        <w:tc>
          <w:tcPr>
            <w:tcW w:w="3758" w:type="pct"/>
            <w:gridSpan w:val="3"/>
            <w:noWrap w:val="0"/>
            <w:vAlign w:val="center"/>
          </w:tcPr>
          <w:p>
            <w:pPr>
              <w:keepNext w:val="0"/>
              <w:keepLines w:val="0"/>
              <w:widowControl/>
              <w:suppressLineNumbers w:val="0"/>
              <w:ind w:firstLineChars="200"/>
              <w:jc w:val="left"/>
              <w:textAlignment w:val="center"/>
              <w:rPr>
                <w:rFonts w:hint="default" w:ascii="仿宋" w:hAnsi="仿宋" w:eastAsia="仿宋" w:cs="仿宋"/>
                <w:i w:val="0"/>
                <w:iCs w:val="0"/>
                <w:color w:val="000000"/>
                <w:sz w:val="24"/>
                <w:szCs w:val="24"/>
                <w:highlight w:val="none"/>
                <w:u w:val="none"/>
                <w:lang w:val="en-US" w:eastAsia="zh-CN"/>
              </w:rPr>
            </w:pPr>
            <w:r>
              <w:rPr>
                <w:rFonts w:hint="eastAsia" w:ascii="仿宋" w:hAnsi="仿宋" w:eastAsia="仿宋" w:cs="仿宋"/>
                <w:i w:val="0"/>
                <w:iCs w:val="0"/>
                <w:color w:val="000000"/>
                <w:sz w:val="24"/>
                <w:szCs w:val="24"/>
                <w:highlight w:val="none"/>
                <w:u w:val="none"/>
                <w:lang w:val="en-US" w:eastAsia="zh-CN"/>
              </w:rPr>
              <w:t>工作完成率、质量达标率、完成及时率、重点工作办结率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7" w:hRule="atLeast"/>
        </w:trPr>
        <w:tc>
          <w:tcPr>
            <w:tcW w:w="1241" w:type="pct"/>
            <w:noWrap w:val="0"/>
            <w:vAlign w:val="center"/>
          </w:tcPr>
          <w:p>
            <w:pPr>
              <w:keepNext w:val="0"/>
              <w:keepLines w:val="0"/>
              <w:widowControl/>
              <w:suppressLineNumbers w:val="0"/>
              <w:ind w:firstLineChars="200"/>
              <w:jc w:val="both"/>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完成情况</w:t>
            </w:r>
          </w:p>
        </w:tc>
        <w:tc>
          <w:tcPr>
            <w:tcW w:w="3758" w:type="pct"/>
            <w:gridSpan w:val="3"/>
            <w:noWrap w:val="0"/>
            <w:vAlign w:val="center"/>
          </w:tcPr>
          <w:p>
            <w:pPr>
              <w:keepNext w:val="0"/>
              <w:keepLines w:val="0"/>
              <w:widowControl/>
              <w:suppressLineNumbers w:val="0"/>
              <w:jc w:val="left"/>
              <w:textAlignment w:val="center"/>
              <w:rPr>
                <w:rFonts w:hint="default"/>
                <w:lang w:val="en-US" w:eastAsia="zh-CN"/>
              </w:rPr>
            </w:pPr>
            <w:r>
              <w:rPr>
                <w:rFonts w:hint="eastAsia" w:ascii="仿宋" w:hAnsi="仿宋" w:eastAsia="仿宋" w:cs="仿宋"/>
                <w:i w:val="0"/>
                <w:iCs w:val="0"/>
                <w:color w:val="000000"/>
                <w:sz w:val="24"/>
                <w:szCs w:val="24"/>
                <w:highlight w:val="none"/>
                <w:u w:val="none"/>
                <w:lang w:val="en-US" w:eastAsia="zh-CN"/>
              </w:rPr>
              <w:t>2021年度部门完成</w:t>
            </w:r>
            <w:r>
              <w:rPr>
                <w:rFonts w:hint="default" w:ascii="仿宋" w:hAnsi="仿宋" w:eastAsia="仿宋" w:cs="仿宋"/>
                <w:i w:val="0"/>
                <w:iCs w:val="0"/>
                <w:color w:val="000000"/>
                <w:sz w:val="24"/>
                <w:szCs w:val="24"/>
                <w:highlight w:val="none"/>
                <w:u w:val="none"/>
                <w:lang w:val="en-US" w:eastAsia="zh-CN"/>
              </w:rPr>
              <w:t>公厕管护、兵役征集、人居环境整治、疫情防治等各类</w:t>
            </w:r>
            <w:r>
              <w:rPr>
                <w:rFonts w:hint="eastAsia" w:ascii="仿宋" w:hAnsi="仿宋" w:eastAsia="仿宋" w:cs="仿宋"/>
                <w:i w:val="0"/>
                <w:iCs w:val="0"/>
                <w:color w:val="000000"/>
                <w:sz w:val="24"/>
                <w:szCs w:val="24"/>
                <w:highlight w:val="none"/>
                <w:u w:val="none"/>
                <w:lang w:val="en-US" w:eastAsia="zh-CN"/>
              </w:rPr>
              <w:t>部门履职所需工作内容，不断提升公共服务保障水平。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5000" w:type="pct"/>
            <w:gridSpan w:val="4"/>
            <w:noWrap w:val="0"/>
            <w:vAlign w:val="center"/>
          </w:tcPr>
          <w:p>
            <w:pPr>
              <w:keepNext w:val="0"/>
              <w:keepLines w:val="0"/>
              <w:widowControl/>
              <w:suppressLineNumbers w:val="0"/>
              <w:ind w:firstLineChars="20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三、综合评价结论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5000" w:type="pct"/>
            <w:gridSpan w:val="4"/>
            <w:vMerge w:val="restart"/>
            <w:noWrap w:val="0"/>
            <w:vAlign w:val="center"/>
          </w:tcPr>
          <w:p>
            <w:pPr>
              <w:keepNext w:val="0"/>
              <w:keepLines w:val="0"/>
              <w:widowControl/>
              <w:suppressLineNumbers w:val="0"/>
              <w:ind w:firstLineChars="200"/>
              <w:jc w:val="lef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经综合评价表明，部门履职整体表现良好，综合评分为81.55分，绩效等级为“良”。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5000" w:type="pct"/>
            <w:gridSpan w:val="4"/>
            <w:vMerge w:val="continue"/>
            <w:noWrap w:val="0"/>
            <w:vAlign w:val="center"/>
          </w:tcPr>
          <w:p>
            <w:pPr>
              <w:jc w:val="center"/>
              <w:rPr>
                <w:rFonts w:hint="eastAsia" w:ascii="仿宋" w:hAnsi="仿宋" w:eastAsia="仿宋" w:cs="仿宋"/>
                <w:i w:val="0"/>
                <w:iCs w:val="0"/>
                <w:color w:val="000000"/>
                <w:sz w:val="24"/>
                <w:szCs w:val="24"/>
                <w:highlight w:val="none"/>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5000" w:type="pct"/>
            <w:gridSpan w:val="4"/>
            <w:vMerge w:val="continue"/>
            <w:noWrap w:val="0"/>
            <w:vAlign w:val="center"/>
          </w:tcPr>
          <w:p>
            <w:pPr>
              <w:jc w:val="center"/>
              <w:rPr>
                <w:rFonts w:hint="eastAsia" w:ascii="仿宋" w:hAnsi="仿宋" w:eastAsia="仿宋" w:cs="仿宋"/>
                <w:i w:val="0"/>
                <w:iCs w:val="0"/>
                <w:color w:val="000000"/>
                <w:sz w:val="24"/>
                <w:szCs w:val="24"/>
                <w:highlight w:val="none"/>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5000" w:type="pct"/>
            <w:gridSpan w:val="4"/>
            <w:vMerge w:val="continue"/>
            <w:noWrap w:val="0"/>
            <w:vAlign w:val="center"/>
          </w:tcPr>
          <w:p>
            <w:pPr>
              <w:jc w:val="center"/>
              <w:rPr>
                <w:rFonts w:hint="eastAsia" w:ascii="仿宋" w:hAnsi="仿宋" w:eastAsia="仿宋" w:cs="仿宋"/>
                <w:i w:val="0"/>
                <w:iCs w:val="0"/>
                <w:color w:val="000000"/>
                <w:sz w:val="24"/>
                <w:szCs w:val="24"/>
                <w:highlight w:val="none"/>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5000" w:type="pct"/>
            <w:gridSpan w:val="4"/>
            <w:noWrap w:val="0"/>
            <w:vAlign w:val="center"/>
          </w:tcPr>
          <w:p>
            <w:pPr>
              <w:keepNext w:val="0"/>
              <w:keepLines w:val="0"/>
              <w:widowControl/>
              <w:suppressLineNumbers w:val="0"/>
              <w:ind w:firstLineChars="20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四、主要经验及做法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4" w:hRule="atLeast"/>
        </w:trPr>
        <w:tc>
          <w:tcPr>
            <w:tcW w:w="5000" w:type="pct"/>
            <w:gridSpan w:val="4"/>
            <w:noWrap w:val="0"/>
            <w:vAlign w:val="center"/>
          </w:tcPr>
          <w:p>
            <w:pPr>
              <w:keepNext w:val="0"/>
              <w:keepLines w:val="0"/>
              <w:widowControl/>
              <w:suppressLineNumbers w:val="0"/>
              <w:ind w:firstLine="480" w:firstLineChars="200"/>
              <w:jc w:val="left"/>
              <w:textAlignment w:val="center"/>
              <w:rPr>
                <w:rFonts w:hint="default" w:ascii="仿宋" w:hAnsi="仿宋" w:eastAsia="仿宋" w:cs="仿宋"/>
                <w:i w:val="0"/>
                <w:iCs w:val="0"/>
                <w:color w:val="000000"/>
                <w:sz w:val="24"/>
                <w:szCs w:val="24"/>
                <w:highlight w:val="none"/>
                <w:u w:val="none"/>
                <w:lang w:val="en-US" w:eastAsia="zh-CN"/>
              </w:rPr>
            </w:pPr>
            <w:r>
              <w:rPr>
                <w:rFonts w:hint="eastAsia" w:ascii="仿宋" w:hAnsi="仿宋" w:eastAsia="仿宋" w:cs="仿宋"/>
                <w:i w:val="0"/>
                <w:iCs w:val="0"/>
                <w:color w:val="000000"/>
                <w:sz w:val="24"/>
                <w:szCs w:val="24"/>
                <w:highlight w:val="none"/>
                <w:u w:val="none"/>
                <w:lang w:val="en-US" w:eastAsia="zh-CN"/>
              </w:rPr>
              <w:t>1.预算执行监控工作开展良好。2021年度部门履职期间，根据财政相关要求，积极开展部门预算执行的监控和绩效自评管理工作，形成自评报告。2.履职效益显著。通过部门履职，不断壮大辖区内集体经济，实现辖区内规上工业总产值超过20亿元，有效增加固定资产投资25亿元以上，被市委市政府、军分区等不同相关部门授予“五强街办”“三八红旗集体”等多种荣誉称号，部门的履职，极大提升社会保障水平，推进公共服务水平提升，不断提高辖区居民生活幸福感和满足感，获得社会公众良好社会评价，辖区群众满意度较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5000" w:type="pct"/>
            <w:gridSpan w:val="4"/>
            <w:noWrap w:val="0"/>
            <w:vAlign w:val="center"/>
          </w:tcPr>
          <w:p>
            <w:pPr>
              <w:keepNext w:val="0"/>
              <w:keepLines w:val="0"/>
              <w:widowControl/>
              <w:suppressLineNumbers w:val="0"/>
              <w:ind w:firstLineChars="20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五、存在主要问题及有关建议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000" w:type="pct"/>
            <w:gridSpan w:val="4"/>
            <w:noWrap w:val="0"/>
            <w:vAlign w:val="center"/>
          </w:tcPr>
          <w:p>
            <w:pPr>
              <w:keepNext w:val="0"/>
              <w:keepLines w:val="0"/>
              <w:widowControl/>
              <w:suppressLineNumbers w:val="0"/>
              <w:ind w:firstLine="480" w:firstLineChars="200"/>
              <w:jc w:val="left"/>
              <w:textAlignment w:val="center"/>
              <w:rPr>
                <w:rFonts w:hint="eastAsia" w:ascii="仿宋" w:hAnsi="仿宋" w:eastAsia="仿宋" w:cs="仿宋"/>
                <w:i w:val="0"/>
                <w:iCs w:val="0"/>
                <w:color w:val="000000"/>
                <w:sz w:val="24"/>
                <w:szCs w:val="24"/>
                <w:highlight w:val="none"/>
                <w:u w:val="none"/>
                <w:lang w:val="en-US" w:eastAsia="zh-CN"/>
              </w:rPr>
            </w:pPr>
            <w:r>
              <w:rPr>
                <w:rFonts w:hint="eastAsia" w:ascii="仿宋" w:hAnsi="仿宋" w:eastAsia="仿宋" w:cs="仿宋"/>
                <w:i w:val="0"/>
                <w:iCs w:val="0"/>
                <w:color w:val="000000"/>
                <w:sz w:val="24"/>
                <w:szCs w:val="24"/>
                <w:highlight w:val="none"/>
                <w:u w:val="none"/>
                <w:lang w:val="en-US" w:eastAsia="zh-CN"/>
              </w:rPr>
              <w:t xml:space="preserve">存在问题：1.绩效目标管理工作有待加强。2.需进一步努力控制重点行政成本。3.预算执行管理有待进一步强化。4.部门公用经费控制需进一步提升。                            </w:t>
            </w:r>
          </w:p>
          <w:p>
            <w:pPr>
              <w:keepNext w:val="0"/>
              <w:keepLines w:val="0"/>
              <w:widowControl/>
              <w:suppressLineNumbers w:val="0"/>
              <w:ind w:firstLine="480" w:firstLineChars="200"/>
              <w:jc w:val="left"/>
              <w:textAlignment w:val="center"/>
              <w:rPr>
                <w:rFonts w:hint="default"/>
                <w:lang w:val="en-US" w:eastAsia="zh-CN"/>
              </w:rPr>
            </w:pPr>
            <w:r>
              <w:rPr>
                <w:rFonts w:hint="eastAsia" w:ascii="仿宋" w:hAnsi="仿宋" w:eastAsia="仿宋" w:cs="仿宋"/>
                <w:i w:val="0"/>
                <w:iCs w:val="0"/>
                <w:color w:val="000000"/>
                <w:sz w:val="24"/>
                <w:szCs w:val="24"/>
                <w:highlight w:val="none"/>
                <w:u w:val="none"/>
                <w:lang w:val="en-US" w:eastAsia="zh-CN"/>
              </w:rPr>
              <w:t>相关建议：1.完善部门预算绩效管理体制机制。2.深化预算执行监控，加强预算调整管理。3.加强部门成本控制，落实“过紧日子”思想。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5000" w:type="pct"/>
            <w:gridSpan w:val="4"/>
            <w:noWrap w:val="0"/>
            <w:vAlign w:val="center"/>
          </w:tcPr>
          <w:p>
            <w:pPr>
              <w:keepNext w:val="0"/>
              <w:keepLines w:val="0"/>
              <w:widowControl/>
              <w:suppressLineNumbers w:val="0"/>
              <w:ind w:firstLineChars="20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六、综合评价得分和等级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1241" w:type="pct"/>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一级指标</w:t>
            </w:r>
          </w:p>
        </w:tc>
        <w:tc>
          <w:tcPr>
            <w:tcW w:w="1131" w:type="pct"/>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分值</w:t>
            </w:r>
          </w:p>
        </w:tc>
        <w:tc>
          <w:tcPr>
            <w:tcW w:w="956" w:type="pct"/>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得分</w:t>
            </w:r>
          </w:p>
        </w:tc>
        <w:tc>
          <w:tcPr>
            <w:tcW w:w="1670" w:type="pct"/>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得分率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1241" w:type="pct"/>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lang w:val="en-US" w:eastAsia="zh-CN"/>
              </w:rPr>
            </w:pPr>
            <w:r>
              <w:rPr>
                <w:rFonts w:hint="eastAsia" w:ascii="仿宋" w:hAnsi="仿宋" w:eastAsia="仿宋" w:cs="仿宋"/>
                <w:i w:val="0"/>
                <w:iCs w:val="0"/>
                <w:color w:val="000000"/>
                <w:sz w:val="24"/>
                <w:szCs w:val="24"/>
                <w:highlight w:val="none"/>
                <w:u w:val="none"/>
                <w:lang w:val="en-US" w:eastAsia="zh-CN"/>
              </w:rPr>
              <w:t>投入</w:t>
            </w:r>
          </w:p>
        </w:tc>
        <w:tc>
          <w:tcPr>
            <w:tcW w:w="2042" w:type="dxa"/>
            <w:noWrap w:val="0"/>
            <w:vAlign w:val="center"/>
          </w:tcPr>
          <w:p>
            <w:pPr>
              <w:keepNext w:val="0"/>
              <w:keepLines w:val="0"/>
              <w:widowControl/>
              <w:suppressLineNumbers w:val="0"/>
              <w:jc w:val="center"/>
              <w:textAlignment w:val="center"/>
              <w:rPr>
                <w:rFonts w:hint="default" w:ascii="仿宋" w:hAnsi="仿宋" w:eastAsia="仿宋" w:cs="仿宋"/>
                <w:i w:val="0"/>
                <w:iCs w:val="0"/>
                <w:color w:val="000000"/>
                <w:sz w:val="24"/>
                <w:szCs w:val="24"/>
                <w:highlight w:val="none"/>
                <w:u w:val="none"/>
                <w:lang w:val="en-US" w:eastAsia="zh-CN"/>
              </w:rPr>
            </w:pPr>
            <w:r>
              <w:rPr>
                <w:rFonts w:hint="eastAsia" w:ascii="仿宋" w:hAnsi="仿宋" w:eastAsia="仿宋" w:cs="仿宋"/>
                <w:i w:val="0"/>
                <w:color w:val="000000"/>
                <w:kern w:val="0"/>
                <w:sz w:val="24"/>
                <w:szCs w:val="24"/>
                <w:u w:val="none"/>
                <w:lang w:val="en-US" w:eastAsia="zh-CN" w:bidi="ar"/>
              </w:rPr>
              <w:t>15</w:t>
            </w:r>
          </w:p>
        </w:tc>
        <w:tc>
          <w:tcPr>
            <w:tcW w:w="1726" w:type="dxa"/>
            <w:noWrap w:val="0"/>
            <w:vAlign w:val="center"/>
          </w:tcPr>
          <w:p>
            <w:pPr>
              <w:keepNext w:val="0"/>
              <w:keepLines w:val="0"/>
              <w:widowControl/>
              <w:suppressLineNumbers w:val="0"/>
              <w:jc w:val="center"/>
              <w:textAlignment w:val="center"/>
              <w:rPr>
                <w:rFonts w:hint="default" w:ascii="仿宋" w:hAnsi="仿宋" w:eastAsia="仿宋" w:cs="仿宋"/>
                <w:i w:val="0"/>
                <w:iCs w:val="0"/>
                <w:color w:val="000000"/>
                <w:sz w:val="24"/>
                <w:szCs w:val="24"/>
                <w:highlight w:val="none"/>
                <w:u w:val="none"/>
                <w:lang w:val="en-US"/>
              </w:rPr>
            </w:pPr>
            <w:r>
              <w:rPr>
                <w:rFonts w:hint="eastAsia" w:ascii="仿宋" w:hAnsi="仿宋" w:eastAsia="仿宋" w:cs="仿宋"/>
                <w:i w:val="0"/>
                <w:color w:val="000000"/>
                <w:kern w:val="0"/>
                <w:sz w:val="24"/>
                <w:szCs w:val="24"/>
                <w:u w:val="none"/>
                <w:lang w:val="en-US" w:eastAsia="zh-CN" w:bidi="ar"/>
              </w:rPr>
              <w:t>1.81</w:t>
            </w:r>
          </w:p>
        </w:tc>
        <w:tc>
          <w:tcPr>
            <w:tcW w:w="3018" w:type="dxa"/>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cs="宋体"/>
                <w:i w:val="0"/>
                <w:color w:val="000000"/>
                <w:kern w:val="0"/>
                <w:sz w:val="24"/>
                <w:szCs w:val="24"/>
                <w:u w:val="none"/>
                <w:lang w:val="en-US" w:eastAsia="zh-CN" w:bidi="ar"/>
              </w:rPr>
              <w:t>12.07</w:t>
            </w:r>
            <w:r>
              <w:rPr>
                <w:rFonts w:hint="eastAsia" w:ascii="宋体" w:hAnsi="宋体" w:eastAsia="宋体" w:cs="宋体"/>
                <w:i w:val="0"/>
                <w:color w:val="000000"/>
                <w:kern w:val="0"/>
                <w:sz w:val="24"/>
                <w:szCs w:val="24"/>
                <w:u w:val="none"/>
                <w:lang w:val="en-US" w:eastAsia="zh-CN"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1241" w:type="pct"/>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过程</w:t>
            </w:r>
          </w:p>
        </w:tc>
        <w:tc>
          <w:tcPr>
            <w:tcW w:w="2042" w:type="dxa"/>
            <w:noWrap w:val="0"/>
            <w:vAlign w:val="center"/>
          </w:tcPr>
          <w:p>
            <w:pPr>
              <w:keepNext w:val="0"/>
              <w:keepLines w:val="0"/>
              <w:widowControl/>
              <w:suppressLineNumbers w:val="0"/>
              <w:jc w:val="center"/>
              <w:textAlignment w:val="center"/>
              <w:rPr>
                <w:rFonts w:hint="default" w:ascii="仿宋" w:hAnsi="仿宋" w:eastAsia="仿宋" w:cs="仿宋"/>
                <w:i w:val="0"/>
                <w:iCs w:val="0"/>
                <w:color w:val="000000"/>
                <w:sz w:val="24"/>
                <w:szCs w:val="24"/>
                <w:highlight w:val="none"/>
                <w:u w:val="none"/>
                <w:lang w:val="en-US" w:eastAsia="zh-CN"/>
              </w:rPr>
            </w:pPr>
            <w:r>
              <w:rPr>
                <w:rFonts w:hint="eastAsia" w:ascii="仿宋" w:hAnsi="仿宋" w:eastAsia="仿宋" w:cs="仿宋"/>
                <w:i w:val="0"/>
                <w:color w:val="000000"/>
                <w:kern w:val="0"/>
                <w:sz w:val="24"/>
                <w:szCs w:val="24"/>
                <w:u w:val="none"/>
                <w:lang w:val="en-US" w:eastAsia="zh-CN" w:bidi="ar"/>
              </w:rPr>
              <w:t>25</w:t>
            </w:r>
          </w:p>
        </w:tc>
        <w:tc>
          <w:tcPr>
            <w:tcW w:w="1726" w:type="dxa"/>
            <w:noWrap w:val="0"/>
            <w:vAlign w:val="center"/>
          </w:tcPr>
          <w:p>
            <w:pPr>
              <w:keepNext w:val="0"/>
              <w:keepLines w:val="0"/>
              <w:widowControl/>
              <w:suppressLineNumbers w:val="0"/>
              <w:jc w:val="center"/>
              <w:textAlignment w:val="center"/>
              <w:rPr>
                <w:rFonts w:hint="default" w:ascii="仿宋" w:hAnsi="仿宋" w:eastAsia="仿宋" w:cs="仿宋"/>
                <w:i w:val="0"/>
                <w:iCs w:val="0"/>
                <w:color w:val="000000"/>
                <w:sz w:val="24"/>
                <w:szCs w:val="24"/>
                <w:highlight w:val="none"/>
                <w:u w:val="none"/>
                <w:lang w:val="en-US"/>
              </w:rPr>
            </w:pPr>
            <w:r>
              <w:rPr>
                <w:rFonts w:hint="eastAsia" w:ascii="仿宋" w:hAnsi="仿宋" w:eastAsia="仿宋" w:cs="仿宋"/>
                <w:i w:val="0"/>
                <w:color w:val="000000"/>
                <w:kern w:val="0"/>
                <w:sz w:val="24"/>
                <w:szCs w:val="24"/>
                <w:u w:val="none"/>
                <w:lang w:val="en-US" w:eastAsia="zh-CN" w:bidi="ar"/>
              </w:rPr>
              <w:t>22.17</w:t>
            </w:r>
          </w:p>
        </w:tc>
        <w:tc>
          <w:tcPr>
            <w:tcW w:w="3018" w:type="dxa"/>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cs="宋体"/>
                <w:i w:val="0"/>
                <w:color w:val="000000"/>
                <w:kern w:val="0"/>
                <w:sz w:val="24"/>
                <w:szCs w:val="24"/>
                <w:u w:val="none"/>
                <w:lang w:val="en-US" w:eastAsia="zh-CN" w:bidi="ar"/>
              </w:rPr>
              <w:t>88.68</w:t>
            </w:r>
            <w:r>
              <w:rPr>
                <w:rFonts w:hint="eastAsia" w:ascii="宋体" w:hAnsi="宋体" w:eastAsia="宋体" w:cs="宋体"/>
                <w:i w:val="0"/>
                <w:color w:val="000000"/>
                <w:kern w:val="0"/>
                <w:sz w:val="24"/>
                <w:szCs w:val="24"/>
                <w:u w:val="none"/>
                <w:lang w:val="en-US" w:eastAsia="zh-CN"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1241" w:type="pct"/>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产出</w:t>
            </w:r>
          </w:p>
        </w:tc>
        <w:tc>
          <w:tcPr>
            <w:tcW w:w="2042" w:type="dxa"/>
            <w:noWrap w:val="0"/>
            <w:vAlign w:val="center"/>
          </w:tcPr>
          <w:p>
            <w:pPr>
              <w:keepNext w:val="0"/>
              <w:keepLines w:val="0"/>
              <w:widowControl/>
              <w:suppressLineNumbers w:val="0"/>
              <w:jc w:val="center"/>
              <w:textAlignment w:val="center"/>
              <w:rPr>
                <w:rFonts w:hint="default" w:ascii="仿宋" w:hAnsi="仿宋" w:eastAsia="仿宋" w:cs="仿宋"/>
                <w:i w:val="0"/>
                <w:iCs w:val="0"/>
                <w:color w:val="000000"/>
                <w:sz w:val="24"/>
                <w:szCs w:val="24"/>
                <w:highlight w:val="none"/>
                <w:u w:val="none"/>
                <w:lang w:val="en-US" w:eastAsia="zh-CN"/>
              </w:rPr>
            </w:pPr>
            <w:r>
              <w:rPr>
                <w:rFonts w:hint="eastAsia" w:ascii="仿宋" w:hAnsi="仿宋" w:eastAsia="仿宋" w:cs="仿宋"/>
                <w:i w:val="0"/>
                <w:color w:val="000000"/>
                <w:kern w:val="0"/>
                <w:sz w:val="24"/>
                <w:szCs w:val="24"/>
                <w:u w:val="none"/>
                <w:lang w:val="en-US" w:eastAsia="zh-CN" w:bidi="ar"/>
              </w:rPr>
              <w:t>35</w:t>
            </w:r>
          </w:p>
        </w:tc>
        <w:tc>
          <w:tcPr>
            <w:tcW w:w="1726" w:type="dxa"/>
            <w:noWrap w:val="0"/>
            <w:vAlign w:val="center"/>
          </w:tcPr>
          <w:p>
            <w:pPr>
              <w:keepNext w:val="0"/>
              <w:keepLines w:val="0"/>
              <w:widowControl/>
              <w:suppressLineNumbers w:val="0"/>
              <w:jc w:val="center"/>
              <w:textAlignment w:val="center"/>
              <w:rPr>
                <w:rFonts w:hint="default" w:ascii="仿宋" w:hAnsi="仿宋" w:eastAsia="仿宋" w:cs="仿宋"/>
                <w:i w:val="0"/>
                <w:iCs w:val="0"/>
                <w:color w:val="000000"/>
                <w:sz w:val="24"/>
                <w:szCs w:val="24"/>
                <w:highlight w:val="none"/>
                <w:u w:val="none"/>
                <w:lang w:val="en-US"/>
              </w:rPr>
            </w:pPr>
            <w:r>
              <w:rPr>
                <w:rFonts w:hint="eastAsia" w:ascii="仿宋" w:hAnsi="仿宋" w:eastAsia="仿宋" w:cs="仿宋"/>
                <w:i w:val="0"/>
                <w:color w:val="000000"/>
                <w:kern w:val="0"/>
                <w:sz w:val="24"/>
                <w:szCs w:val="24"/>
                <w:u w:val="none"/>
                <w:lang w:val="en-US" w:eastAsia="zh-CN" w:bidi="ar"/>
              </w:rPr>
              <w:t>34.57</w:t>
            </w:r>
          </w:p>
        </w:tc>
        <w:tc>
          <w:tcPr>
            <w:tcW w:w="3018" w:type="dxa"/>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cs="宋体"/>
                <w:i w:val="0"/>
                <w:color w:val="000000"/>
                <w:kern w:val="0"/>
                <w:sz w:val="24"/>
                <w:szCs w:val="24"/>
                <w:u w:val="none"/>
                <w:lang w:val="en-US" w:eastAsia="zh-CN" w:bidi="ar"/>
              </w:rPr>
              <w:t>98.77</w:t>
            </w:r>
            <w:r>
              <w:rPr>
                <w:rFonts w:hint="eastAsia" w:ascii="宋体" w:hAnsi="宋体" w:eastAsia="宋体" w:cs="宋体"/>
                <w:i w:val="0"/>
                <w:color w:val="000000"/>
                <w:kern w:val="0"/>
                <w:sz w:val="24"/>
                <w:szCs w:val="24"/>
                <w:u w:val="none"/>
                <w:lang w:val="en-US" w:eastAsia="zh-CN"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1241" w:type="pct"/>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lang w:val="en-US" w:eastAsia="zh-CN"/>
              </w:rPr>
            </w:pPr>
            <w:r>
              <w:rPr>
                <w:rFonts w:hint="eastAsia" w:ascii="仿宋" w:hAnsi="仿宋" w:eastAsia="仿宋" w:cs="仿宋"/>
                <w:i w:val="0"/>
                <w:iCs w:val="0"/>
                <w:color w:val="000000"/>
                <w:sz w:val="24"/>
                <w:szCs w:val="24"/>
                <w:highlight w:val="none"/>
                <w:u w:val="none"/>
                <w:lang w:val="en-US" w:eastAsia="zh-CN"/>
              </w:rPr>
              <w:t>效果</w:t>
            </w:r>
          </w:p>
        </w:tc>
        <w:tc>
          <w:tcPr>
            <w:tcW w:w="2042" w:type="dxa"/>
            <w:noWrap w:val="0"/>
            <w:vAlign w:val="center"/>
          </w:tcPr>
          <w:p>
            <w:pPr>
              <w:keepNext w:val="0"/>
              <w:keepLines w:val="0"/>
              <w:widowControl/>
              <w:suppressLineNumbers w:val="0"/>
              <w:jc w:val="center"/>
              <w:textAlignment w:val="center"/>
              <w:rPr>
                <w:rFonts w:hint="default" w:ascii="仿宋" w:hAnsi="仿宋" w:eastAsia="仿宋" w:cs="仿宋"/>
                <w:i w:val="0"/>
                <w:iCs w:val="0"/>
                <w:color w:val="000000"/>
                <w:sz w:val="24"/>
                <w:szCs w:val="24"/>
                <w:highlight w:val="none"/>
                <w:u w:val="none"/>
                <w:lang w:val="en-US" w:eastAsia="zh-CN"/>
              </w:rPr>
            </w:pPr>
            <w:r>
              <w:rPr>
                <w:rFonts w:hint="eastAsia" w:ascii="仿宋" w:hAnsi="仿宋" w:eastAsia="仿宋" w:cs="仿宋"/>
                <w:i w:val="0"/>
                <w:color w:val="000000"/>
                <w:kern w:val="0"/>
                <w:sz w:val="24"/>
                <w:szCs w:val="24"/>
                <w:u w:val="none"/>
                <w:lang w:val="en-US" w:eastAsia="zh-CN" w:bidi="ar"/>
              </w:rPr>
              <w:t>25</w:t>
            </w:r>
          </w:p>
        </w:tc>
        <w:tc>
          <w:tcPr>
            <w:tcW w:w="1726" w:type="dxa"/>
            <w:noWrap w:val="0"/>
            <w:vAlign w:val="center"/>
          </w:tcPr>
          <w:p>
            <w:pPr>
              <w:keepNext w:val="0"/>
              <w:keepLines w:val="0"/>
              <w:widowControl/>
              <w:suppressLineNumbers w:val="0"/>
              <w:jc w:val="center"/>
              <w:textAlignment w:val="center"/>
              <w:rPr>
                <w:rFonts w:hint="default" w:ascii="仿宋" w:hAnsi="仿宋" w:eastAsia="仿宋" w:cs="仿宋"/>
                <w:i w:val="0"/>
                <w:iCs w:val="0"/>
                <w:color w:val="000000"/>
                <w:sz w:val="24"/>
                <w:szCs w:val="24"/>
                <w:highlight w:val="none"/>
                <w:u w:val="none"/>
                <w:lang w:val="en-US"/>
              </w:rPr>
            </w:pPr>
            <w:r>
              <w:rPr>
                <w:rFonts w:hint="eastAsia" w:ascii="仿宋" w:hAnsi="仿宋" w:eastAsia="仿宋" w:cs="仿宋"/>
                <w:i w:val="0"/>
                <w:color w:val="000000"/>
                <w:kern w:val="0"/>
                <w:sz w:val="24"/>
                <w:szCs w:val="24"/>
                <w:u w:val="none"/>
                <w:lang w:val="en-US" w:eastAsia="zh-CN" w:bidi="ar"/>
              </w:rPr>
              <w:t>23</w:t>
            </w:r>
          </w:p>
        </w:tc>
        <w:tc>
          <w:tcPr>
            <w:tcW w:w="3018" w:type="dxa"/>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cs="宋体"/>
                <w:i w:val="0"/>
                <w:color w:val="000000"/>
                <w:kern w:val="0"/>
                <w:sz w:val="24"/>
                <w:szCs w:val="24"/>
                <w:u w:val="none"/>
                <w:lang w:val="en-US" w:eastAsia="zh-CN" w:bidi="ar"/>
              </w:rPr>
              <w:t>100.00</w:t>
            </w:r>
            <w:r>
              <w:rPr>
                <w:rFonts w:hint="eastAsia" w:ascii="宋体" w:hAnsi="宋体" w:eastAsia="宋体" w:cs="宋体"/>
                <w:i w:val="0"/>
                <w:color w:val="000000"/>
                <w:kern w:val="0"/>
                <w:sz w:val="24"/>
                <w:szCs w:val="24"/>
                <w:u w:val="none"/>
                <w:lang w:val="en-US" w:eastAsia="zh-CN"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1241" w:type="pct"/>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合计</w:t>
            </w:r>
          </w:p>
        </w:tc>
        <w:tc>
          <w:tcPr>
            <w:tcW w:w="2042" w:type="dxa"/>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color w:val="000000"/>
                <w:kern w:val="0"/>
                <w:sz w:val="24"/>
                <w:szCs w:val="24"/>
                <w:u w:val="none"/>
                <w:lang w:val="en-US" w:eastAsia="zh-CN" w:bidi="ar"/>
              </w:rPr>
              <w:t>100</w:t>
            </w:r>
          </w:p>
        </w:tc>
        <w:tc>
          <w:tcPr>
            <w:tcW w:w="1726" w:type="dxa"/>
            <w:noWrap w:val="0"/>
            <w:vAlign w:val="center"/>
          </w:tcPr>
          <w:p>
            <w:pPr>
              <w:keepNext w:val="0"/>
              <w:keepLines w:val="0"/>
              <w:widowControl/>
              <w:suppressLineNumbers w:val="0"/>
              <w:jc w:val="center"/>
              <w:textAlignment w:val="center"/>
              <w:rPr>
                <w:rFonts w:hint="default" w:ascii="仿宋" w:hAnsi="仿宋" w:eastAsia="仿宋" w:cs="仿宋"/>
                <w:i w:val="0"/>
                <w:iCs w:val="0"/>
                <w:color w:val="000000"/>
                <w:sz w:val="24"/>
                <w:szCs w:val="24"/>
                <w:highlight w:val="none"/>
                <w:u w:val="none"/>
                <w:lang w:val="en-US"/>
              </w:rPr>
            </w:pPr>
            <w:r>
              <w:rPr>
                <w:rFonts w:hint="eastAsia" w:cs="宋体"/>
                <w:i w:val="0"/>
                <w:color w:val="000000"/>
                <w:kern w:val="0"/>
                <w:sz w:val="24"/>
                <w:szCs w:val="24"/>
                <w:u w:val="none"/>
                <w:lang w:val="en-US" w:eastAsia="zh-CN" w:bidi="ar"/>
              </w:rPr>
              <w:t>81.55</w:t>
            </w:r>
          </w:p>
        </w:tc>
        <w:tc>
          <w:tcPr>
            <w:tcW w:w="3018" w:type="dxa"/>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cs="宋体"/>
                <w:i w:val="0"/>
                <w:color w:val="000000"/>
                <w:kern w:val="0"/>
                <w:sz w:val="24"/>
                <w:szCs w:val="24"/>
                <w:u w:val="none"/>
                <w:lang w:val="en-US" w:eastAsia="zh-CN" w:bidi="ar"/>
              </w:rPr>
              <w:t>81.55</w:t>
            </w:r>
            <w:r>
              <w:rPr>
                <w:rFonts w:hint="eastAsia" w:ascii="宋体" w:hAnsi="宋体" w:eastAsia="宋体" w:cs="宋体"/>
                <w:i w:val="0"/>
                <w:color w:val="000000"/>
                <w:kern w:val="0"/>
                <w:sz w:val="24"/>
                <w:szCs w:val="24"/>
                <w:u w:val="none"/>
                <w:lang w:val="en-US" w:eastAsia="zh-CN"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241" w:type="pct"/>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绩效评价得分：</w:t>
            </w:r>
          </w:p>
        </w:tc>
        <w:tc>
          <w:tcPr>
            <w:tcW w:w="1131" w:type="pct"/>
            <w:noWrap w:val="0"/>
            <w:vAlign w:val="center"/>
          </w:tcPr>
          <w:p>
            <w:pPr>
              <w:keepNext w:val="0"/>
              <w:keepLines w:val="0"/>
              <w:widowControl/>
              <w:suppressLineNumbers w:val="0"/>
              <w:jc w:val="center"/>
              <w:textAlignment w:val="center"/>
              <w:rPr>
                <w:rFonts w:hint="default" w:ascii="仿宋" w:hAnsi="仿宋" w:eastAsia="仿宋" w:cs="仿宋"/>
                <w:i w:val="0"/>
                <w:iCs w:val="0"/>
                <w:color w:val="000000"/>
                <w:sz w:val="24"/>
                <w:szCs w:val="24"/>
                <w:highlight w:val="none"/>
                <w:u w:val="none"/>
                <w:lang w:val="en-US" w:eastAsia="zh-CN"/>
              </w:rPr>
            </w:pPr>
            <w:r>
              <w:rPr>
                <w:rFonts w:hint="eastAsia" w:cs="宋体"/>
                <w:i w:val="0"/>
                <w:color w:val="000000"/>
                <w:kern w:val="0"/>
                <w:sz w:val="24"/>
                <w:szCs w:val="24"/>
                <w:u w:val="none"/>
                <w:lang w:val="en-US" w:eastAsia="zh-CN" w:bidi="ar"/>
              </w:rPr>
              <w:t>81.55</w:t>
            </w:r>
          </w:p>
        </w:tc>
        <w:tc>
          <w:tcPr>
            <w:tcW w:w="956" w:type="pct"/>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综合评价结果等级：</w:t>
            </w:r>
          </w:p>
        </w:tc>
        <w:tc>
          <w:tcPr>
            <w:tcW w:w="1670" w:type="pct"/>
            <w:noWrap w:val="0"/>
            <w:vAlign w:val="center"/>
          </w:tcPr>
          <w:p>
            <w:pPr>
              <w:keepNext w:val="0"/>
              <w:keepLines w:val="0"/>
              <w:widowControl/>
              <w:suppressLineNumbers w:val="0"/>
              <w:jc w:val="center"/>
              <w:textAlignment w:val="center"/>
              <w:rPr>
                <w:rFonts w:hint="default" w:ascii="仿宋" w:hAnsi="仿宋" w:eastAsia="仿宋" w:cs="仿宋"/>
                <w:i w:val="0"/>
                <w:iCs w:val="0"/>
                <w:color w:val="000000"/>
                <w:sz w:val="24"/>
                <w:szCs w:val="24"/>
                <w:highlight w:val="none"/>
                <w:u w:val="none"/>
                <w:lang w:val="en-US" w:eastAsia="zh-CN"/>
              </w:rPr>
            </w:pPr>
            <w:r>
              <w:rPr>
                <w:rFonts w:hint="eastAsia" w:ascii="仿宋" w:hAnsi="仿宋" w:eastAsia="仿宋" w:cs="仿宋"/>
                <w:i w:val="0"/>
                <w:iCs w:val="0"/>
                <w:color w:val="000000"/>
                <w:sz w:val="24"/>
                <w:szCs w:val="24"/>
                <w:highlight w:val="none"/>
                <w:u w:val="none"/>
                <w:lang w:val="en-US" w:eastAsia="zh-CN"/>
              </w:rPr>
              <w:t>良</w:t>
            </w:r>
          </w:p>
        </w:tc>
      </w:tr>
    </w:tbl>
    <w:p>
      <w:pPr>
        <w:pStyle w:val="2"/>
        <w:rPr>
          <w:rFonts w:hint="eastAsia"/>
        </w:rPr>
        <w:sectPr>
          <w:headerReference r:id="rId3" w:type="default"/>
          <w:footerReference r:id="rId4" w:type="default"/>
          <w:pgSz w:w="11910" w:h="16840"/>
          <w:pgMar w:top="2098" w:right="1474" w:bottom="1984" w:left="1587" w:header="1017" w:footer="1206" w:gutter="0"/>
          <w:pgNumType w:fmt="numberInDash" w:start="1"/>
          <w:cols w:equalWidth="0" w:num="1">
            <w:col w:w="8810"/>
          </w:cols>
        </w:sectPr>
      </w:pPr>
    </w:p>
    <w:p>
      <w:pPr>
        <w:keepNext w:val="0"/>
        <w:keepLines w:val="0"/>
        <w:pageBreakBefore w:val="0"/>
        <w:widowControl/>
        <w:shd w:val="clear" w:color="auto" w:fill="FFFFFF"/>
        <w:kinsoku/>
        <w:wordWrap/>
        <w:overflowPunct/>
        <w:topLinePunct w:val="0"/>
        <w:autoSpaceDE/>
        <w:autoSpaceDN/>
        <w:bidi w:val="0"/>
        <w:adjustRightInd/>
        <w:snapToGrid/>
        <w:spacing w:before="480" w:after="360"/>
        <w:jc w:val="center"/>
        <w:textAlignment w:val="auto"/>
        <w:outlineLvl w:val="0"/>
        <w:rPr>
          <w:rFonts w:hint="eastAsia" w:ascii="宋体" w:hAnsi="宋体" w:eastAsia="宋体" w:cs="宋体"/>
          <w:color w:val="auto"/>
          <w:kern w:val="0"/>
          <w:sz w:val="36"/>
          <w:szCs w:val="36"/>
          <w:highlight w:val="none"/>
          <w:lang w:val="en-US" w:eastAsia="zh-CN"/>
        </w:rPr>
      </w:pPr>
      <w:bookmarkStart w:id="0" w:name="_Toc11411"/>
      <w:r>
        <w:rPr>
          <w:rFonts w:hint="eastAsia" w:ascii="宋体" w:hAnsi="宋体" w:eastAsia="宋体" w:cs="宋体"/>
          <w:b/>
          <w:sz w:val="36"/>
          <w:szCs w:val="36"/>
          <w:highlight w:val="none"/>
          <w:lang w:val="en-US" w:eastAsia="zh-Hans"/>
        </w:rPr>
        <w:t>摘</w:t>
      </w:r>
      <w:r>
        <w:rPr>
          <w:rFonts w:hint="eastAsia" w:ascii="宋体" w:hAnsi="宋体" w:eastAsia="宋体" w:cs="宋体"/>
          <w:b/>
          <w:sz w:val="36"/>
          <w:szCs w:val="36"/>
          <w:highlight w:val="none"/>
          <w:lang w:eastAsia="zh-Hans"/>
        </w:rPr>
        <w:t xml:space="preserve"> </w:t>
      </w:r>
      <w:r>
        <w:rPr>
          <w:rFonts w:hint="eastAsia" w:ascii="宋体" w:hAnsi="宋体" w:eastAsia="宋体" w:cs="宋体"/>
          <w:b/>
          <w:sz w:val="36"/>
          <w:szCs w:val="36"/>
          <w:highlight w:val="none"/>
          <w:lang w:val="en-US" w:eastAsia="zh-Hans"/>
        </w:rPr>
        <w:t>要</w:t>
      </w:r>
      <w:bookmarkEnd w:id="0"/>
    </w:p>
    <w:p>
      <w:pPr>
        <w:keepNext w:val="0"/>
        <w:keepLines w:val="0"/>
        <w:pageBreakBefore w:val="0"/>
        <w:widowControl w:val="0"/>
        <w:numPr>
          <w:ilvl w:val="0"/>
          <w:numId w:val="1"/>
        </w:numPr>
        <w:kinsoku/>
        <w:wordWrap/>
        <w:overflowPunct/>
        <w:topLinePunct w:val="0"/>
        <w:autoSpaceDE/>
        <w:autoSpaceDN/>
        <w:bidi w:val="0"/>
        <w:adjustRightInd/>
        <w:snapToGrid/>
        <w:spacing w:line="640" w:lineRule="exact"/>
        <w:ind w:firstLine="640" w:firstLineChars="200"/>
        <w:jc w:val="both"/>
        <w:textAlignment w:val="auto"/>
        <w:rPr>
          <w:rFonts w:hint="default" w:ascii="黑体" w:hAnsi="黑体" w:eastAsia="黑体" w:cs="黑体"/>
          <w:color w:val="auto"/>
          <w:kern w:val="0"/>
          <w:sz w:val="32"/>
          <w:szCs w:val="32"/>
          <w:highlight w:val="none"/>
          <w:lang w:val="en-US" w:eastAsia="zh-CN"/>
        </w:rPr>
      </w:pPr>
      <w:r>
        <w:rPr>
          <w:rFonts w:hint="eastAsia" w:ascii="黑体" w:hAnsi="黑体" w:eastAsia="黑体" w:cs="黑体"/>
          <w:color w:val="auto"/>
          <w:kern w:val="0"/>
          <w:sz w:val="32"/>
          <w:szCs w:val="32"/>
          <w:highlight w:val="none"/>
          <w:lang w:val="en-US" w:eastAsia="zh-CN"/>
        </w:rPr>
        <w:t>基本情况</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 w:eastAsia="仿宋_GB2312" w:cs="宋体"/>
          <w:color w:val="auto"/>
          <w:kern w:val="0"/>
          <w:sz w:val="32"/>
          <w:szCs w:val="32"/>
          <w:highlight w:val="none"/>
          <w:lang w:val="en-US" w:eastAsia="zh-CN"/>
        </w:rPr>
      </w:pPr>
      <w:r>
        <w:rPr>
          <w:rFonts w:hint="eastAsia" w:ascii="仿宋" w:hAnsi="仿宋" w:eastAsia="仿宋" w:cs="仿宋"/>
          <w:color w:val="auto"/>
          <w:kern w:val="0"/>
          <w:sz w:val="32"/>
          <w:szCs w:val="32"/>
          <w:highlight w:val="none"/>
          <w:lang w:val="en-US" w:eastAsia="zh-CN"/>
        </w:rPr>
        <w:t>为规范政府部门财政支出预算管理，考核财政资金预期绩效目标的实现程度和综合效果，更好地优化资源配置，切实提高财政资金的使用效益，进一步提升预算部门的行政效能，根据铜川市新区财政局《关于开展2021年新区项目和部门整体支出绩效自评及重点项目绩效评价</w:t>
      </w:r>
      <w:r>
        <w:rPr>
          <w:rFonts w:hint="eastAsia" w:ascii="仿宋" w:hAnsi="仿宋" w:eastAsia="仿宋" w:cs="仿宋"/>
          <w:color w:val="auto"/>
          <w:kern w:val="0"/>
          <w:sz w:val="32"/>
          <w:szCs w:val="32"/>
          <w:highlight w:val="none"/>
          <w:lang w:val="en-US" w:eastAsia="zh-Hans"/>
        </w:rPr>
        <w:t>工作</w:t>
      </w:r>
      <w:r>
        <w:rPr>
          <w:rFonts w:hint="eastAsia" w:ascii="仿宋" w:hAnsi="仿宋" w:eastAsia="仿宋" w:cs="仿宋"/>
          <w:color w:val="auto"/>
          <w:kern w:val="0"/>
          <w:sz w:val="32"/>
          <w:szCs w:val="32"/>
          <w:highlight w:val="none"/>
          <w:lang w:val="en-US" w:eastAsia="zh-CN"/>
        </w:rPr>
        <w:t>的通知》文件要求，从投入、过程、产出、效果四个维度对新区咸丰路街道办事处2021年度部门整体支出进行绩效评价。经过资料审查、数据采集、现场访谈、社会调查等评价程序，运用科学、合理的绩效评价方法，形成本绩效评价报告</w:t>
      </w:r>
      <w:r>
        <w:rPr>
          <w:rFonts w:hint="eastAsia" w:ascii="仿宋_GB2312" w:hAnsi="仿宋" w:eastAsia="仿宋_GB2312" w:cs="宋体"/>
          <w:color w:val="auto"/>
          <w:kern w:val="0"/>
          <w:sz w:val="32"/>
          <w:szCs w:val="32"/>
          <w:highlight w:val="none"/>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40" w:lineRule="exact"/>
        <w:ind w:firstLine="640" w:firstLineChars="200"/>
        <w:jc w:val="both"/>
        <w:textAlignment w:val="auto"/>
        <w:rPr>
          <w:rFonts w:hint="eastAsia" w:ascii="黑体" w:hAnsi="黑体" w:eastAsia="黑体" w:cs="黑体"/>
          <w:color w:val="auto"/>
          <w:kern w:val="0"/>
          <w:sz w:val="32"/>
          <w:szCs w:val="32"/>
          <w:highlight w:val="none"/>
          <w:lang w:val="en-US" w:eastAsia="zh-Hans"/>
        </w:rPr>
      </w:pPr>
      <w:r>
        <w:rPr>
          <w:rFonts w:hint="eastAsia" w:ascii="黑体" w:hAnsi="黑体" w:eastAsia="黑体" w:cs="黑体"/>
          <w:color w:val="auto"/>
          <w:kern w:val="0"/>
          <w:sz w:val="32"/>
          <w:szCs w:val="32"/>
          <w:highlight w:val="none"/>
          <w:lang w:val="en-US" w:eastAsia="zh-Hans"/>
        </w:rPr>
        <w:t>二</w:t>
      </w:r>
      <w:r>
        <w:rPr>
          <w:rFonts w:hint="default" w:ascii="黑体" w:hAnsi="黑体" w:eastAsia="黑体" w:cs="黑体"/>
          <w:color w:val="auto"/>
          <w:kern w:val="0"/>
          <w:sz w:val="32"/>
          <w:szCs w:val="32"/>
          <w:highlight w:val="none"/>
          <w:lang w:eastAsia="zh-Hans"/>
        </w:rPr>
        <w:t>、</w:t>
      </w:r>
      <w:r>
        <w:rPr>
          <w:rFonts w:hint="eastAsia" w:ascii="黑体" w:hAnsi="黑体" w:eastAsia="黑体" w:cs="黑体"/>
          <w:color w:val="auto"/>
          <w:kern w:val="0"/>
          <w:sz w:val="32"/>
          <w:szCs w:val="32"/>
          <w:highlight w:val="none"/>
          <w:lang w:val="en-US" w:eastAsia="zh-Hans"/>
        </w:rPr>
        <w:t>综合评价结论</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 w:eastAsia="仿宋_GB2312" w:cs="宋体"/>
          <w:color w:val="auto"/>
          <w:kern w:val="0"/>
          <w:sz w:val="32"/>
          <w:szCs w:val="32"/>
          <w:highlight w:val="none"/>
          <w:lang w:val="en-US" w:eastAsia="zh-Hans"/>
        </w:rPr>
      </w:pPr>
      <w:r>
        <w:rPr>
          <w:rFonts w:hint="eastAsia" w:ascii="仿宋_GB2312" w:hAnsi="仿宋" w:eastAsia="仿宋_GB2312" w:cs="宋体"/>
          <w:color w:val="auto"/>
          <w:kern w:val="0"/>
          <w:sz w:val="32"/>
          <w:szCs w:val="32"/>
          <w:highlight w:val="none"/>
          <w:lang w:val="en-US" w:eastAsia="zh-Hans"/>
        </w:rPr>
        <w:t>综合分析表明</w:t>
      </w:r>
      <w:r>
        <w:rPr>
          <w:rFonts w:hint="default" w:ascii="仿宋_GB2312" w:hAnsi="仿宋" w:eastAsia="仿宋_GB2312" w:cs="宋体"/>
          <w:color w:val="auto"/>
          <w:kern w:val="0"/>
          <w:sz w:val="32"/>
          <w:szCs w:val="32"/>
          <w:highlight w:val="none"/>
          <w:lang w:eastAsia="zh-Hans"/>
        </w:rPr>
        <w:t>，</w:t>
      </w:r>
      <w:r>
        <w:rPr>
          <w:rFonts w:hint="eastAsia" w:ascii="仿宋_GB2312" w:hAnsi="仿宋" w:eastAsia="仿宋_GB2312" w:cs="宋体"/>
          <w:color w:val="auto"/>
          <w:kern w:val="0"/>
          <w:sz w:val="32"/>
          <w:szCs w:val="32"/>
          <w:highlight w:val="none"/>
          <w:lang w:val="en-US" w:eastAsia="zh-Hans"/>
        </w:rPr>
        <w:t>总体上</w:t>
      </w:r>
      <w:r>
        <w:rPr>
          <w:rFonts w:hint="eastAsia" w:ascii="仿宋_GB2312" w:hAnsi="仿宋" w:eastAsia="仿宋_GB2312" w:cs="宋体"/>
          <w:color w:val="auto"/>
          <w:kern w:val="0"/>
          <w:sz w:val="32"/>
          <w:szCs w:val="32"/>
          <w:highlight w:val="none"/>
          <w:lang w:val="en-US" w:eastAsia="zh-CN"/>
        </w:rPr>
        <w:t>新区咸丰路街道办事处</w:t>
      </w:r>
      <w:r>
        <w:rPr>
          <w:rFonts w:hint="eastAsia" w:ascii="仿宋_GB2312" w:hAnsi="仿宋" w:eastAsia="仿宋_GB2312" w:cs="宋体"/>
          <w:color w:val="auto"/>
          <w:kern w:val="0"/>
          <w:sz w:val="32"/>
          <w:szCs w:val="32"/>
          <w:highlight w:val="none"/>
          <w:lang w:val="en-US" w:eastAsia="zh-Hans"/>
        </w:rPr>
        <w:t>在</w:t>
      </w:r>
      <w:r>
        <w:rPr>
          <w:rFonts w:hint="eastAsia" w:ascii="仿宋_GB2312" w:hAnsi="仿宋" w:eastAsia="仿宋_GB2312" w:cs="宋体"/>
          <w:color w:val="auto"/>
          <w:kern w:val="0"/>
          <w:sz w:val="32"/>
          <w:szCs w:val="32"/>
          <w:highlight w:val="none"/>
          <w:lang w:val="en-US" w:eastAsia="zh-CN"/>
        </w:rPr>
        <w:t>履职效益</w:t>
      </w:r>
      <w:r>
        <w:rPr>
          <w:rFonts w:hint="eastAsia" w:ascii="仿宋_GB2312" w:hAnsi="仿宋" w:eastAsia="仿宋_GB2312" w:cs="宋体"/>
          <w:color w:val="auto"/>
          <w:kern w:val="0"/>
          <w:sz w:val="32"/>
          <w:szCs w:val="32"/>
          <w:highlight w:val="none"/>
          <w:lang w:val="en-US" w:eastAsia="zh-Hans"/>
        </w:rPr>
        <w:t>方面表现较好，但在投入</w:t>
      </w:r>
      <w:r>
        <w:rPr>
          <w:rFonts w:hint="eastAsia" w:ascii="仿宋_GB2312" w:hAnsi="仿宋" w:eastAsia="仿宋_GB2312" w:cs="宋体"/>
          <w:color w:val="auto"/>
          <w:kern w:val="0"/>
          <w:sz w:val="32"/>
          <w:szCs w:val="32"/>
          <w:highlight w:val="none"/>
          <w:lang w:val="en-US" w:eastAsia="zh-CN"/>
        </w:rPr>
        <w:t>、</w:t>
      </w:r>
      <w:r>
        <w:rPr>
          <w:rFonts w:hint="eastAsia" w:ascii="仿宋_GB2312" w:hAnsi="仿宋" w:eastAsia="仿宋_GB2312" w:cs="宋体"/>
          <w:color w:val="auto"/>
          <w:kern w:val="0"/>
          <w:sz w:val="32"/>
          <w:szCs w:val="32"/>
          <w:highlight w:val="none"/>
          <w:lang w:val="en-US" w:eastAsia="zh-Hans"/>
        </w:rPr>
        <w:t>过程</w:t>
      </w:r>
      <w:r>
        <w:rPr>
          <w:rFonts w:hint="eastAsia" w:ascii="仿宋_GB2312" w:hAnsi="仿宋" w:eastAsia="仿宋_GB2312" w:cs="宋体"/>
          <w:color w:val="auto"/>
          <w:kern w:val="0"/>
          <w:sz w:val="32"/>
          <w:szCs w:val="32"/>
          <w:highlight w:val="none"/>
          <w:lang w:val="en-US" w:eastAsia="zh-CN"/>
        </w:rPr>
        <w:t>和职责履行</w:t>
      </w:r>
      <w:r>
        <w:rPr>
          <w:rFonts w:hint="eastAsia" w:ascii="仿宋_GB2312" w:hAnsi="仿宋" w:eastAsia="仿宋_GB2312" w:cs="宋体"/>
          <w:color w:val="auto"/>
          <w:kern w:val="0"/>
          <w:sz w:val="32"/>
          <w:szCs w:val="32"/>
          <w:highlight w:val="none"/>
          <w:lang w:val="en-US" w:eastAsia="zh-Hans"/>
        </w:rPr>
        <w:t>方面存在一定问题。参照陕西省省级部门整体支出绩效评价管理办法及铜川市市级部门预算绩效目标管理暂行办法，评价结果分为优(</w:t>
      </w:r>
      <w:r>
        <w:rPr>
          <w:rFonts w:hint="default" w:ascii="仿宋_GB2312" w:hAnsi="仿宋" w:eastAsia="仿宋_GB2312" w:cs="宋体"/>
          <w:color w:val="auto"/>
          <w:kern w:val="0"/>
          <w:sz w:val="32"/>
          <w:szCs w:val="32"/>
          <w:highlight w:val="none"/>
          <w:lang w:eastAsia="zh-Hans"/>
        </w:rPr>
        <w:t>90</w:t>
      </w:r>
      <w:r>
        <w:rPr>
          <w:rFonts w:hint="eastAsia" w:ascii="仿宋_GB2312" w:hAnsi="仿宋" w:eastAsia="仿宋_GB2312" w:cs="宋体"/>
          <w:color w:val="auto"/>
          <w:kern w:val="0"/>
          <w:sz w:val="32"/>
          <w:szCs w:val="32"/>
          <w:highlight w:val="none"/>
          <w:lang w:val="en-US" w:eastAsia="zh-Hans"/>
        </w:rPr>
        <w:t>分以上)、良(8</w:t>
      </w:r>
      <w:r>
        <w:rPr>
          <w:rFonts w:hint="default" w:ascii="仿宋_GB2312" w:hAnsi="仿宋" w:eastAsia="仿宋_GB2312" w:cs="宋体"/>
          <w:color w:val="auto"/>
          <w:kern w:val="0"/>
          <w:sz w:val="32"/>
          <w:szCs w:val="32"/>
          <w:highlight w:val="none"/>
          <w:lang w:eastAsia="zh-Hans"/>
        </w:rPr>
        <w:t>0</w:t>
      </w:r>
      <w:r>
        <w:rPr>
          <w:rFonts w:hint="eastAsia" w:ascii="仿宋_GB2312" w:hAnsi="仿宋" w:eastAsia="仿宋_GB2312" w:cs="宋体"/>
          <w:color w:val="auto"/>
          <w:kern w:val="0"/>
          <w:sz w:val="32"/>
          <w:szCs w:val="32"/>
          <w:highlight w:val="none"/>
          <w:lang w:val="en-US" w:eastAsia="zh-Hans"/>
        </w:rPr>
        <w:t>含-</w:t>
      </w:r>
      <w:r>
        <w:rPr>
          <w:rFonts w:hint="default" w:ascii="仿宋_GB2312" w:hAnsi="仿宋" w:eastAsia="仿宋_GB2312" w:cs="宋体"/>
          <w:color w:val="auto"/>
          <w:kern w:val="0"/>
          <w:sz w:val="32"/>
          <w:szCs w:val="32"/>
          <w:highlight w:val="none"/>
          <w:lang w:eastAsia="zh-Hans"/>
        </w:rPr>
        <w:t>9</w:t>
      </w:r>
      <w:r>
        <w:rPr>
          <w:rFonts w:hint="eastAsia" w:ascii="仿宋_GB2312" w:hAnsi="仿宋" w:eastAsia="仿宋_GB2312" w:cs="宋体"/>
          <w:color w:val="auto"/>
          <w:kern w:val="0"/>
          <w:sz w:val="32"/>
          <w:szCs w:val="32"/>
          <w:highlight w:val="none"/>
          <w:lang w:val="en-US" w:eastAsia="zh-Hans"/>
        </w:rPr>
        <w:t>0分)、中(</w:t>
      </w:r>
      <w:r>
        <w:rPr>
          <w:rFonts w:hint="default" w:ascii="仿宋_GB2312" w:hAnsi="仿宋" w:eastAsia="仿宋_GB2312" w:cs="宋体"/>
          <w:color w:val="auto"/>
          <w:kern w:val="0"/>
          <w:sz w:val="32"/>
          <w:szCs w:val="32"/>
          <w:highlight w:val="none"/>
          <w:lang w:eastAsia="zh-Hans"/>
        </w:rPr>
        <w:t>60</w:t>
      </w:r>
      <w:r>
        <w:rPr>
          <w:rFonts w:hint="eastAsia" w:ascii="仿宋_GB2312" w:hAnsi="仿宋" w:eastAsia="仿宋_GB2312" w:cs="宋体"/>
          <w:color w:val="auto"/>
          <w:kern w:val="0"/>
          <w:sz w:val="32"/>
          <w:szCs w:val="32"/>
          <w:highlight w:val="none"/>
          <w:lang w:val="en-US" w:eastAsia="zh-Hans"/>
        </w:rPr>
        <w:t>含-</w:t>
      </w:r>
      <w:r>
        <w:rPr>
          <w:rFonts w:hint="default" w:ascii="仿宋_GB2312" w:hAnsi="仿宋" w:eastAsia="仿宋_GB2312" w:cs="宋体"/>
          <w:color w:val="auto"/>
          <w:kern w:val="0"/>
          <w:sz w:val="32"/>
          <w:szCs w:val="32"/>
          <w:highlight w:val="none"/>
          <w:lang w:eastAsia="zh-Hans"/>
        </w:rPr>
        <w:t>8</w:t>
      </w:r>
      <w:r>
        <w:rPr>
          <w:rFonts w:hint="eastAsia" w:ascii="仿宋_GB2312" w:hAnsi="仿宋" w:eastAsia="仿宋_GB2312" w:cs="宋体"/>
          <w:color w:val="auto"/>
          <w:kern w:val="0"/>
          <w:sz w:val="32"/>
          <w:szCs w:val="32"/>
          <w:highlight w:val="none"/>
          <w:lang w:val="en-US" w:eastAsia="zh-Hans"/>
        </w:rPr>
        <w:t>0分) 和差(</w:t>
      </w:r>
      <w:r>
        <w:rPr>
          <w:rFonts w:hint="default" w:ascii="仿宋_GB2312" w:hAnsi="仿宋" w:eastAsia="仿宋_GB2312" w:cs="宋体"/>
          <w:color w:val="auto"/>
          <w:kern w:val="0"/>
          <w:sz w:val="32"/>
          <w:szCs w:val="32"/>
          <w:highlight w:val="none"/>
          <w:lang w:eastAsia="zh-Hans"/>
        </w:rPr>
        <w:t>60</w:t>
      </w:r>
      <w:r>
        <w:rPr>
          <w:rFonts w:hint="eastAsia" w:ascii="仿宋_GB2312" w:hAnsi="仿宋" w:eastAsia="仿宋_GB2312" w:cs="宋体"/>
          <w:color w:val="auto"/>
          <w:kern w:val="0"/>
          <w:sz w:val="32"/>
          <w:szCs w:val="32"/>
          <w:highlight w:val="none"/>
          <w:lang w:val="en-US" w:eastAsia="zh-Hans"/>
        </w:rPr>
        <w:t>分以下)四个等次。经综合分析，该部门整体支出综合评价得分为</w:t>
      </w:r>
      <w:r>
        <w:rPr>
          <w:rFonts w:hint="eastAsia" w:ascii="仿宋_GB2312" w:hAnsi="仿宋" w:eastAsia="仿宋_GB2312" w:cs="宋体"/>
          <w:color w:val="auto"/>
          <w:kern w:val="0"/>
          <w:sz w:val="32"/>
          <w:szCs w:val="32"/>
          <w:highlight w:val="none"/>
          <w:lang w:val="en-US" w:eastAsia="zh-CN"/>
        </w:rPr>
        <w:t>81.55</w:t>
      </w:r>
      <w:r>
        <w:rPr>
          <w:rFonts w:hint="eastAsia" w:ascii="仿宋_GB2312" w:hAnsi="仿宋" w:eastAsia="仿宋_GB2312" w:cs="宋体"/>
          <w:color w:val="auto"/>
          <w:kern w:val="0"/>
          <w:sz w:val="32"/>
          <w:szCs w:val="32"/>
          <w:highlight w:val="none"/>
          <w:lang w:val="en-US" w:eastAsia="zh-Hans"/>
        </w:rPr>
        <w:t>分，绩效等级为“</w:t>
      </w:r>
      <w:r>
        <w:rPr>
          <w:rFonts w:hint="eastAsia" w:ascii="仿宋_GB2312" w:hAnsi="仿宋" w:eastAsia="仿宋_GB2312" w:cs="宋体"/>
          <w:color w:val="auto"/>
          <w:kern w:val="0"/>
          <w:sz w:val="32"/>
          <w:szCs w:val="32"/>
          <w:highlight w:val="none"/>
          <w:lang w:val="en-US" w:eastAsia="zh-CN"/>
        </w:rPr>
        <w:t>良</w:t>
      </w:r>
      <w:r>
        <w:rPr>
          <w:rFonts w:hint="eastAsia" w:ascii="仿宋_GB2312" w:hAnsi="仿宋" w:eastAsia="仿宋_GB2312" w:cs="宋体"/>
          <w:color w:val="auto"/>
          <w:kern w:val="0"/>
          <w:sz w:val="32"/>
          <w:szCs w:val="32"/>
          <w:highlight w:val="none"/>
          <w:lang w:val="en-US" w:eastAsia="zh-Hans"/>
        </w:rPr>
        <w:t>”。</w:t>
      </w:r>
    </w:p>
    <w:p>
      <w:pPr>
        <w:keepNext w:val="0"/>
        <w:keepLines w:val="0"/>
        <w:pageBreakBefore w:val="0"/>
        <w:widowControl w:val="0"/>
        <w:numPr>
          <w:ilvl w:val="0"/>
          <w:numId w:val="0"/>
        </w:numPr>
        <w:kinsoku/>
        <w:wordWrap/>
        <w:overflowPunct/>
        <w:topLinePunct w:val="0"/>
        <w:autoSpaceDE/>
        <w:autoSpaceDN/>
        <w:bidi w:val="0"/>
        <w:adjustRightInd/>
        <w:snapToGrid/>
        <w:spacing w:line="640" w:lineRule="exact"/>
        <w:ind w:firstLine="640" w:firstLineChars="200"/>
        <w:jc w:val="both"/>
        <w:textAlignment w:val="auto"/>
        <w:rPr>
          <w:rFonts w:hint="eastAsia" w:ascii="黑体" w:hAnsi="黑体" w:eastAsia="黑体" w:cs="黑体"/>
          <w:color w:val="auto"/>
          <w:kern w:val="0"/>
          <w:sz w:val="32"/>
          <w:szCs w:val="32"/>
          <w:highlight w:val="none"/>
          <w:lang w:val="en-US" w:eastAsia="zh-Hans"/>
        </w:rPr>
      </w:pPr>
      <w:r>
        <w:rPr>
          <w:rFonts w:hint="eastAsia" w:ascii="黑体" w:hAnsi="黑体" w:eastAsia="黑体" w:cs="黑体"/>
          <w:color w:val="auto"/>
          <w:kern w:val="0"/>
          <w:sz w:val="32"/>
          <w:szCs w:val="32"/>
          <w:highlight w:val="none"/>
          <w:lang w:val="en-US" w:eastAsia="zh-Hans"/>
        </w:rPr>
        <w:t>三</w:t>
      </w:r>
      <w:r>
        <w:rPr>
          <w:rFonts w:hint="default" w:ascii="黑体" w:hAnsi="黑体" w:eastAsia="黑体" w:cs="黑体"/>
          <w:color w:val="auto"/>
          <w:kern w:val="0"/>
          <w:sz w:val="32"/>
          <w:szCs w:val="32"/>
          <w:highlight w:val="none"/>
          <w:lang w:eastAsia="zh-Hans"/>
        </w:rPr>
        <w:t>、</w:t>
      </w:r>
      <w:r>
        <w:rPr>
          <w:rFonts w:hint="eastAsia" w:ascii="黑体" w:hAnsi="黑体" w:eastAsia="黑体" w:cs="黑体"/>
          <w:color w:val="auto"/>
          <w:kern w:val="0"/>
          <w:sz w:val="32"/>
          <w:szCs w:val="32"/>
          <w:highlight w:val="none"/>
          <w:lang w:val="en-US" w:eastAsia="zh-Hans"/>
        </w:rPr>
        <w:t>主要经验及做法</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bidi="ar-SA"/>
        </w:rPr>
        <w:t>1.预算执行监控工作开展良好。2021年度部门履职期间，根据财政相关要求，积极开展部门预算执行的监控和绩效自评管理工作，形成自评报告。有效保障部门预算全部执行完成，未出现结转结余资金。预算执行期间，部门制定了完善的财务管理制度，各项资金使用合规、审批程序规范完整</w:t>
      </w:r>
      <w:r>
        <w:rPr>
          <w:rFonts w:hint="eastAsia" w:ascii="仿宋" w:hAnsi="仿宋" w:eastAsia="仿宋" w:cs="仿宋"/>
          <w:color w:val="auto"/>
          <w:kern w:val="0"/>
          <w:sz w:val="32"/>
          <w:szCs w:val="32"/>
          <w:highlight w:val="none"/>
          <w:shd w:val="clear" w:color="auto" w:fill="FFFFFF"/>
          <w:lang w:val="en-US" w:eastAsia="zh-CN"/>
        </w:rPr>
        <w:t>。</w:t>
      </w:r>
    </w:p>
    <w:p>
      <w:pPr>
        <w:pStyle w:val="2"/>
        <w:keepNext w:val="0"/>
        <w:keepLines w:val="0"/>
        <w:pageBreakBefore w:val="0"/>
        <w:widowControl w:val="0"/>
        <w:kinsoku/>
        <w:wordWrap/>
        <w:overflowPunct/>
        <w:topLinePunct w:val="0"/>
        <w:autoSpaceDE w:val="0"/>
        <w:autoSpaceDN w:val="0"/>
        <w:bidi w:val="0"/>
        <w:adjustRightInd/>
        <w:snapToGrid/>
        <w:spacing w:before="0" w:line="600" w:lineRule="exact"/>
        <w:ind w:left="0" w:leftChars="0" w:firstLine="640" w:firstLineChars="200"/>
        <w:textAlignment w:val="auto"/>
        <w:rPr>
          <w:rFonts w:hint="default" w:ascii="仿宋" w:hAnsi="仿宋" w:eastAsia="仿宋" w:cs="仿宋"/>
          <w:color w:val="auto"/>
          <w:kern w:val="0"/>
          <w:sz w:val="32"/>
          <w:szCs w:val="32"/>
          <w:highlight w:val="none"/>
          <w:shd w:val="clear" w:color="auto" w:fill="FFFFFF"/>
          <w:lang w:val="en-US" w:eastAsia="zh-Hans" w:bidi="ar-SA"/>
        </w:rPr>
      </w:pPr>
      <w:r>
        <w:rPr>
          <w:rFonts w:hint="eastAsia" w:ascii="仿宋" w:hAnsi="仿宋" w:eastAsia="仿宋" w:cs="仿宋"/>
          <w:color w:val="auto"/>
          <w:kern w:val="0"/>
          <w:sz w:val="32"/>
          <w:szCs w:val="32"/>
          <w:highlight w:val="none"/>
          <w:shd w:val="clear" w:color="auto" w:fill="FFFFFF"/>
          <w:lang w:val="en-US" w:eastAsia="zh-CN" w:bidi="ar-SA"/>
        </w:rPr>
        <w:t>2.履职效益显著。通过部门履职，不断壮大辖区内集体经济，实现辖区内规上工业总产值超过20亿元，有效增加固定资产投资25亿元以上，被市委市政府、军分区等不同相关部门授予“五强街办”“三八红旗集体”等多种荣誉称号，部门的履职，极大提升社会保障水平，推进公共服务水平提升，不断提高辖区居民生活幸福感和满足感，获得社会公众良好社会评价，辖区群众满意度较好。</w:t>
      </w:r>
    </w:p>
    <w:p>
      <w:pPr>
        <w:keepNext w:val="0"/>
        <w:keepLines w:val="0"/>
        <w:pageBreakBefore w:val="0"/>
        <w:widowControl w:val="0"/>
        <w:numPr>
          <w:ilvl w:val="0"/>
          <w:numId w:val="0"/>
        </w:numPr>
        <w:kinsoku/>
        <w:wordWrap/>
        <w:overflowPunct/>
        <w:topLinePunct w:val="0"/>
        <w:autoSpaceDE/>
        <w:autoSpaceDN/>
        <w:bidi w:val="0"/>
        <w:adjustRightInd/>
        <w:snapToGrid/>
        <w:spacing w:line="640" w:lineRule="exact"/>
        <w:ind w:firstLine="640" w:firstLineChars="200"/>
        <w:jc w:val="both"/>
        <w:textAlignment w:val="auto"/>
        <w:rPr>
          <w:rFonts w:hint="eastAsia" w:ascii="黑体" w:hAnsi="黑体" w:eastAsia="黑体" w:cs="黑体"/>
          <w:color w:val="auto"/>
          <w:kern w:val="0"/>
          <w:sz w:val="32"/>
          <w:szCs w:val="32"/>
          <w:highlight w:val="none"/>
          <w:lang w:val="en-US" w:eastAsia="zh-Hans"/>
        </w:rPr>
      </w:pPr>
      <w:r>
        <w:rPr>
          <w:rFonts w:hint="eastAsia" w:ascii="黑体" w:hAnsi="黑体" w:eastAsia="黑体" w:cs="黑体"/>
          <w:color w:val="auto"/>
          <w:kern w:val="0"/>
          <w:sz w:val="32"/>
          <w:szCs w:val="32"/>
          <w:highlight w:val="none"/>
          <w:lang w:val="en-US" w:eastAsia="zh-Hans"/>
        </w:rPr>
        <w:t>四</w:t>
      </w:r>
      <w:r>
        <w:rPr>
          <w:rFonts w:hint="default" w:ascii="黑体" w:hAnsi="黑体" w:eastAsia="黑体" w:cs="黑体"/>
          <w:color w:val="auto"/>
          <w:kern w:val="0"/>
          <w:sz w:val="32"/>
          <w:szCs w:val="32"/>
          <w:highlight w:val="none"/>
          <w:lang w:eastAsia="zh-Hans"/>
        </w:rPr>
        <w:t>、</w:t>
      </w:r>
      <w:r>
        <w:rPr>
          <w:rFonts w:hint="eastAsia" w:ascii="黑体" w:hAnsi="黑体" w:eastAsia="黑体" w:cs="黑体"/>
          <w:color w:val="auto"/>
          <w:kern w:val="0"/>
          <w:sz w:val="32"/>
          <w:szCs w:val="32"/>
          <w:highlight w:val="none"/>
          <w:lang w:val="en-US" w:eastAsia="zh-Hans"/>
        </w:rPr>
        <w:t>存在的问题及建议</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rPr>
          <w:rFonts w:hint="eastAsia" w:ascii="楷体" w:hAnsi="楷体" w:eastAsia="楷体" w:cs="楷体"/>
          <w:b/>
          <w:bCs/>
          <w:color w:val="auto"/>
          <w:kern w:val="0"/>
          <w:sz w:val="32"/>
          <w:szCs w:val="32"/>
          <w:highlight w:val="none"/>
          <w:lang w:val="en-US" w:eastAsia="zh-Hans"/>
        </w:rPr>
      </w:pPr>
      <w:r>
        <w:rPr>
          <w:rFonts w:hint="eastAsia" w:ascii="楷体" w:hAnsi="楷体" w:eastAsia="楷体" w:cs="楷体"/>
          <w:b/>
          <w:bCs/>
          <w:color w:val="auto"/>
          <w:kern w:val="0"/>
          <w:sz w:val="32"/>
          <w:szCs w:val="32"/>
          <w:highlight w:val="none"/>
          <w:lang w:eastAsia="zh-Hans"/>
        </w:rPr>
        <w:t>（</w:t>
      </w:r>
      <w:r>
        <w:rPr>
          <w:rFonts w:hint="eastAsia" w:ascii="楷体" w:hAnsi="楷体" w:eastAsia="楷体" w:cs="楷体"/>
          <w:b/>
          <w:bCs/>
          <w:color w:val="auto"/>
          <w:kern w:val="0"/>
          <w:sz w:val="32"/>
          <w:szCs w:val="32"/>
          <w:highlight w:val="none"/>
          <w:lang w:val="en-US" w:eastAsia="zh-Hans"/>
        </w:rPr>
        <w:t>一</w:t>
      </w:r>
      <w:r>
        <w:rPr>
          <w:rFonts w:hint="eastAsia" w:ascii="楷体" w:hAnsi="楷体" w:eastAsia="楷体" w:cs="楷体"/>
          <w:b/>
          <w:bCs/>
          <w:color w:val="auto"/>
          <w:kern w:val="0"/>
          <w:sz w:val="32"/>
          <w:szCs w:val="32"/>
          <w:highlight w:val="none"/>
          <w:lang w:eastAsia="zh-Hans"/>
        </w:rPr>
        <w:t>）</w:t>
      </w:r>
      <w:r>
        <w:rPr>
          <w:rFonts w:hint="eastAsia" w:ascii="楷体" w:hAnsi="楷体" w:eastAsia="楷体" w:cs="楷体"/>
          <w:b/>
          <w:bCs/>
          <w:color w:val="auto"/>
          <w:kern w:val="0"/>
          <w:sz w:val="32"/>
          <w:szCs w:val="32"/>
          <w:highlight w:val="none"/>
          <w:lang w:val="en-US" w:eastAsia="zh-Hans"/>
        </w:rPr>
        <w:t>存在的问题</w:t>
      </w:r>
    </w:p>
    <w:p>
      <w:pPr>
        <w:pStyle w:val="2"/>
        <w:keepNext w:val="0"/>
        <w:keepLines w:val="0"/>
        <w:pageBreakBefore w:val="0"/>
        <w:widowControl w:val="0"/>
        <w:kinsoku/>
        <w:wordWrap/>
        <w:overflowPunct/>
        <w:topLinePunct w:val="0"/>
        <w:autoSpaceDE w:val="0"/>
        <w:autoSpaceDN w:val="0"/>
        <w:bidi w:val="0"/>
        <w:adjustRightInd/>
        <w:snapToGrid/>
        <w:spacing w:before="190" w:line="240" w:lineRule="auto"/>
        <w:ind w:left="0" w:leftChars="0" w:right="0" w:rightChars="0" w:firstLine="643" w:firstLineChars="200"/>
        <w:jc w:val="left"/>
        <w:textAlignment w:val="auto"/>
        <w:outlineLvl w:val="9"/>
        <w:rPr>
          <w:rFonts w:hint="eastAsia" w:ascii="仿宋" w:hAnsi="仿宋" w:eastAsia="仿宋" w:cs="仿宋"/>
          <w:b/>
          <w:bCs/>
          <w:color w:val="auto"/>
          <w:kern w:val="0"/>
          <w:sz w:val="32"/>
          <w:szCs w:val="32"/>
          <w:highlight w:val="none"/>
          <w:shd w:val="clear" w:color="auto" w:fill="FFFFFF"/>
          <w:lang w:val="en-US" w:eastAsia="zh-Hans" w:bidi="ar-SA"/>
        </w:rPr>
      </w:pPr>
      <w:r>
        <w:rPr>
          <w:rFonts w:hint="default" w:ascii="仿宋" w:hAnsi="仿宋" w:eastAsia="仿宋" w:cs="仿宋"/>
          <w:b/>
          <w:bCs/>
          <w:color w:val="auto"/>
          <w:kern w:val="0"/>
          <w:sz w:val="32"/>
          <w:szCs w:val="32"/>
          <w:highlight w:val="none"/>
          <w:shd w:val="clear" w:color="auto" w:fill="FFFFFF"/>
          <w:lang w:val="en-US" w:eastAsia="zh-Hans" w:bidi="ar-SA"/>
        </w:rPr>
        <w:t>1</w:t>
      </w:r>
      <w:r>
        <w:rPr>
          <w:rFonts w:hint="eastAsia" w:ascii="仿宋" w:hAnsi="仿宋" w:eastAsia="仿宋" w:cs="仿宋"/>
          <w:b/>
          <w:bCs/>
          <w:color w:val="auto"/>
          <w:kern w:val="0"/>
          <w:sz w:val="32"/>
          <w:szCs w:val="32"/>
          <w:highlight w:val="none"/>
          <w:shd w:val="clear" w:color="auto" w:fill="FFFFFF"/>
          <w:lang w:val="en-US" w:eastAsia="zh-Hans" w:bidi="ar-SA"/>
        </w:rPr>
        <w:t>.</w:t>
      </w:r>
      <w:r>
        <w:rPr>
          <w:rFonts w:hint="eastAsia" w:ascii="楷体" w:hAnsi="楷体" w:eastAsia="楷体" w:cs="楷体"/>
          <w:b/>
          <w:bCs/>
          <w:color w:val="auto"/>
          <w:kern w:val="0"/>
          <w:sz w:val="32"/>
          <w:szCs w:val="32"/>
          <w:highlight w:val="none"/>
          <w:shd w:val="clear" w:color="auto" w:fill="FFFFFF"/>
          <w:lang w:val="en-US" w:eastAsia="zh-CN"/>
        </w:rPr>
        <w:t>绩效目标管理工作有待加强</w:t>
      </w:r>
      <w:r>
        <w:rPr>
          <w:rFonts w:hint="eastAsia" w:ascii="仿宋" w:hAnsi="仿宋" w:eastAsia="仿宋" w:cs="仿宋"/>
          <w:b/>
          <w:bCs/>
          <w:color w:val="auto"/>
          <w:kern w:val="0"/>
          <w:sz w:val="32"/>
          <w:szCs w:val="32"/>
          <w:highlight w:val="none"/>
          <w:shd w:val="clear" w:color="auto" w:fill="FFFFFF"/>
          <w:lang w:val="en-US" w:eastAsia="zh-CN" w:bidi="ar-SA"/>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default" w:ascii="仿宋_GB2312" w:hAnsi="仿宋" w:eastAsia="仿宋_GB2312" w:cs="宋体"/>
          <w:color w:val="auto"/>
          <w:kern w:val="0"/>
          <w:sz w:val="32"/>
          <w:szCs w:val="32"/>
          <w:highlight w:val="none"/>
          <w:lang w:eastAsia="zh-Hans"/>
        </w:rPr>
      </w:pPr>
      <w:r>
        <w:rPr>
          <w:rFonts w:hint="eastAsia" w:ascii="仿宋" w:hAnsi="仿宋" w:eastAsia="仿宋" w:cs="仿宋"/>
          <w:color w:val="auto"/>
          <w:kern w:val="0"/>
          <w:sz w:val="32"/>
          <w:szCs w:val="32"/>
          <w:highlight w:val="none"/>
          <w:shd w:val="clear" w:color="auto" w:fill="FFFFFF"/>
          <w:lang w:val="en-US" w:eastAsia="zh-CN"/>
        </w:rPr>
        <w:t>部门年初编制部门综合预算时，未同步编制部门整体支出绩效目标体系，未根据部门中长期发展规划和部门职责，制定部门年度绩效目标。</w:t>
      </w:r>
    </w:p>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190" w:line="240" w:lineRule="auto"/>
        <w:ind w:right="0" w:rightChars="0" w:firstLine="643" w:firstLineChars="200"/>
        <w:jc w:val="left"/>
        <w:textAlignment w:val="auto"/>
        <w:outlineLvl w:val="9"/>
        <w:rPr>
          <w:rFonts w:hint="eastAsia" w:ascii="仿宋" w:hAnsi="仿宋" w:eastAsia="仿宋" w:cs="仿宋"/>
          <w:b/>
          <w:bCs/>
          <w:color w:val="auto"/>
          <w:kern w:val="0"/>
          <w:sz w:val="32"/>
          <w:szCs w:val="32"/>
          <w:highlight w:val="none"/>
          <w:shd w:val="clear" w:color="auto" w:fill="FFFFFF"/>
          <w:lang w:val="en-US" w:eastAsia="zh-Hans" w:bidi="ar-SA"/>
        </w:rPr>
      </w:pPr>
      <w:r>
        <w:rPr>
          <w:rFonts w:hint="eastAsia" w:ascii="楷体" w:hAnsi="楷体" w:eastAsia="楷体" w:cs="楷体"/>
          <w:b/>
          <w:bCs/>
          <w:color w:val="auto"/>
          <w:kern w:val="0"/>
          <w:sz w:val="32"/>
          <w:szCs w:val="32"/>
          <w:highlight w:val="none"/>
          <w:shd w:val="clear" w:color="auto" w:fill="FFFFFF"/>
          <w:lang w:val="en-US" w:eastAsia="zh-CN"/>
        </w:rPr>
        <w:t>2.</w:t>
      </w:r>
      <w:r>
        <w:rPr>
          <w:rFonts w:hint="eastAsia" w:ascii="楷体" w:hAnsi="楷体" w:eastAsia="楷体" w:cs="楷体"/>
          <w:b/>
          <w:bCs/>
          <w:color w:val="auto"/>
          <w:kern w:val="0"/>
          <w:sz w:val="32"/>
          <w:szCs w:val="32"/>
          <w:highlight w:val="none"/>
          <w:shd w:val="clear" w:color="auto" w:fill="FFFFFF"/>
          <w:lang w:val="en-US" w:eastAsia="zh-Hans"/>
        </w:rPr>
        <w:t>需进一步努力控制重点行政成本</w:t>
      </w:r>
    </w:p>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190" w:line="240" w:lineRule="auto"/>
        <w:ind w:right="0" w:rightChars="0" w:firstLine="640" w:firstLineChars="200"/>
        <w:jc w:val="left"/>
        <w:textAlignment w:val="auto"/>
        <w:outlineLvl w:val="9"/>
        <w:rPr>
          <w:rFonts w:hint="eastAsia" w:ascii="仿宋" w:hAnsi="仿宋" w:eastAsia="仿宋" w:cs="仿宋"/>
          <w:b/>
          <w:bCs/>
          <w:color w:val="auto"/>
          <w:kern w:val="0"/>
          <w:sz w:val="32"/>
          <w:szCs w:val="32"/>
          <w:highlight w:val="none"/>
          <w:shd w:val="clear" w:color="auto" w:fill="FFFFFF"/>
          <w:lang w:val="en-US" w:eastAsia="zh-Hans" w:bidi="ar-SA"/>
        </w:rPr>
      </w:pPr>
      <w:r>
        <w:rPr>
          <w:rFonts w:hint="eastAsia" w:ascii="仿宋" w:hAnsi="仿宋" w:eastAsia="仿宋" w:cs="仿宋"/>
          <w:color w:val="auto"/>
          <w:kern w:val="0"/>
          <w:sz w:val="32"/>
          <w:szCs w:val="32"/>
          <w:highlight w:val="none"/>
          <w:shd w:val="clear" w:color="auto" w:fill="FFFFFF"/>
          <w:lang w:val="en-US" w:eastAsia="zh-CN" w:bidi="ar-SA"/>
        </w:rPr>
        <w:t>2021年度部门“三公”经费预算安排相比2020年度未发生变动，部门对控制重点行政成本的努力程度需进一步加强。</w:t>
      </w:r>
    </w:p>
    <w:p>
      <w:pPr>
        <w:pStyle w:val="2"/>
        <w:keepNext w:val="0"/>
        <w:keepLines w:val="0"/>
        <w:pageBreakBefore w:val="0"/>
        <w:widowControl w:val="0"/>
        <w:kinsoku/>
        <w:wordWrap/>
        <w:overflowPunct/>
        <w:topLinePunct w:val="0"/>
        <w:autoSpaceDE w:val="0"/>
        <w:autoSpaceDN w:val="0"/>
        <w:bidi w:val="0"/>
        <w:adjustRightInd/>
        <w:snapToGrid/>
        <w:spacing w:before="190" w:line="240" w:lineRule="auto"/>
        <w:ind w:left="0" w:leftChars="0" w:right="0" w:rightChars="0" w:firstLine="643" w:firstLineChars="200"/>
        <w:jc w:val="left"/>
        <w:textAlignment w:val="auto"/>
        <w:outlineLvl w:val="9"/>
        <w:rPr>
          <w:rFonts w:hint="eastAsia" w:ascii="仿宋_GB2312" w:hAnsi="仿宋" w:eastAsia="仿宋_GB2312" w:cs="宋体"/>
          <w:b/>
          <w:bCs/>
          <w:color w:val="auto"/>
          <w:kern w:val="0"/>
          <w:sz w:val="32"/>
          <w:szCs w:val="32"/>
          <w:highlight w:val="none"/>
          <w:lang w:val="en-US" w:eastAsia="zh-CN" w:bidi="ar-SA"/>
        </w:rPr>
      </w:pPr>
      <w:r>
        <w:rPr>
          <w:rFonts w:hint="eastAsia" w:ascii="楷体" w:hAnsi="楷体" w:eastAsia="楷体" w:cs="楷体"/>
          <w:b/>
          <w:bCs/>
          <w:color w:val="auto"/>
          <w:kern w:val="0"/>
          <w:sz w:val="32"/>
          <w:szCs w:val="32"/>
          <w:highlight w:val="none"/>
          <w:shd w:val="clear" w:color="auto" w:fill="FFFFFF"/>
          <w:lang w:val="en-US" w:eastAsia="zh-CN"/>
        </w:rPr>
        <w:t>3.预算执行管理有待强化</w:t>
      </w:r>
      <w:r>
        <w:rPr>
          <w:rFonts w:hint="eastAsia" w:ascii="仿宋_GB2312" w:hAnsi="仿宋" w:eastAsia="仿宋_GB2312" w:cs="宋体"/>
          <w:b/>
          <w:bCs/>
          <w:color w:val="auto"/>
          <w:kern w:val="0"/>
          <w:sz w:val="32"/>
          <w:szCs w:val="32"/>
          <w:highlight w:val="none"/>
          <w:lang w:val="en-US" w:eastAsia="zh-CN" w:bidi="ar-SA"/>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default" w:ascii="仿宋_GB2312" w:hAnsi="仿宋" w:eastAsia="仿宋_GB2312" w:cs="宋体"/>
          <w:color w:val="auto"/>
          <w:kern w:val="0"/>
          <w:sz w:val="32"/>
          <w:szCs w:val="32"/>
          <w:highlight w:val="none"/>
          <w:lang w:val="en-US" w:eastAsia="zh-Hans"/>
        </w:rPr>
      </w:pPr>
      <w:r>
        <w:rPr>
          <w:rFonts w:hint="eastAsia" w:ascii="仿宋" w:hAnsi="仿宋" w:eastAsia="仿宋" w:cs="仿宋"/>
          <w:color w:val="auto"/>
          <w:kern w:val="0"/>
          <w:sz w:val="32"/>
          <w:szCs w:val="32"/>
          <w:highlight w:val="none"/>
          <w:shd w:val="clear" w:color="auto" w:fill="FFFFFF"/>
          <w:lang w:val="en-US" w:eastAsia="zh-CN"/>
        </w:rPr>
        <w:t>部门在年度预算执行过程中，部门预算调整率达到50%。相关预算调整数据主要体现在部门年度决算数据和文件中，未发现预算调整的相关批复文件等资料。年度预算执行过程中，资金支付进度率有待提升</w:t>
      </w:r>
      <w:r>
        <w:rPr>
          <w:rFonts w:hint="default" w:ascii="仿宋_GB2312" w:hAnsi="仿宋" w:eastAsia="仿宋_GB2312" w:cs="宋体"/>
          <w:color w:val="auto"/>
          <w:kern w:val="0"/>
          <w:sz w:val="32"/>
          <w:szCs w:val="32"/>
          <w:highlight w:val="none"/>
          <w:lang w:val="en-US" w:eastAsia="zh-Hans"/>
        </w:rPr>
        <w:t>。</w:t>
      </w:r>
    </w:p>
    <w:p>
      <w:pPr>
        <w:pStyle w:val="2"/>
        <w:keepNext w:val="0"/>
        <w:keepLines w:val="0"/>
        <w:pageBreakBefore w:val="0"/>
        <w:widowControl w:val="0"/>
        <w:kinsoku/>
        <w:wordWrap/>
        <w:overflowPunct/>
        <w:topLinePunct w:val="0"/>
        <w:autoSpaceDE w:val="0"/>
        <w:autoSpaceDN w:val="0"/>
        <w:bidi w:val="0"/>
        <w:adjustRightInd/>
        <w:snapToGrid/>
        <w:spacing w:before="190" w:line="240" w:lineRule="auto"/>
        <w:ind w:left="0" w:leftChars="0" w:right="0" w:rightChars="0" w:firstLine="643" w:firstLineChars="200"/>
        <w:jc w:val="left"/>
        <w:textAlignment w:val="auto"/>
        <w:outlineLvl w:val="9"/>
        <w:rPr>
          <w:rFonts w:hint="default" w:ascii="仿宋_GB2312" w:hAnsi="仿宋" w:eastAsia="仿宋_GB2312" w:cs="宋体"/>
          <w:b/>
          <w:bCs/>
          <w:color w:val="auto"/>
          <w:kern w:val="0"/>
          <w:sz w:val="32"/>
          <w:szCs w:val="32"/>
          <w:highlight w:val="none"/>
          <w:lang w:val="en-US" w:eastAsia="zh-Hans" w:bidi="ar-SA"/>
        </w:rPr>
      </w:pPr>
      <w:r>
        <w:rPr>
          <w:rFonts w:hint="eastAsia" w:ascii="仿宋_GB2312" w:hAnsi="仿宋" w:eastAsia="仿宋_GB2312" w:cs="宋体"/>
          <w:b/>
          <w:bCs/>
          <w:color w:val="auto"/>
          <w:kern w:val="0"/>
          <w:sz w:val="32"/>
          <w:szCs w:val="32"/>
          <w:highlight w:val="none"/>
          <w:lang w:val="en-US" w:eastAsia="zh-CN" w:bidi="ar-SA"/>
        </w:rPr>
        <w:t>4</w:t>
      </w:r>
      <w:r>
        <w:rPr>
          <w:rFonts w:hint="eastAsia" w:ascii="仿宋_GB2312" w:hAnsi="仿宋" w:eastAsia="仿宋_GB2312" w:cs="宋体"/>
          <w:b/>
          <w:bCs/>
          <w:color w:val="auto"/>
          <w:kern w:val="0"/>
          <w:sz w:val="32"/>
          <w:szCs w:val="32"/>
          <w:highlight w:val="none"/>
          <w:lang w:val="en-US" w:eastAsia="zh-Hans" w:bidi="ar-SA"/>
        </w:rPr>
        <w:t>.</w:t>
      </w:r>
      <w:r>
        <w:rPr>
          <w:rFonts w:hint="eastAsia" w:ascii="楷体" w:hAnsi="楷体" w:eastAsia="楷体" w:cs="楷体"/>
          <w:b/>
          <w:bCs/>
          <w:color w:val="auto"/>
          <w:kern w:val="0"/>
          <w:sz w:val="32"/>
          <w:szCs w:val="32"/>
          <w:highlight w:val="none"/>
          <w:shd w:val="clear" w:color="auto" w:fill="FFFFFF"/>
          <w:lang w:val="en-US" w:eastAsia="zh-CN"/>
        </w:rPr>
        <w:t>部门公用经费控制需进一步提升</w:t>
      </w:r>
      <w:r>
        <w:rPr>
          <w:rFonts w:hint="eastAsia" w:ascii="仿宋_GB2312" w:hAnsi="仿宋" w:eastAsia="仿宋_GB2312" w:cs="宋体"/>
          <w:b/>
          <w:bCs/>
          <w:color w:val="auto"/>
          <w:kern w:val="0"/>
          <w:sz w:val="32"/>
          <w:szCs w:val="32"/>
          <w:highlight w:val="none"/>
          <w:lang w:val="en-US" w:eastAsia="zh-CN" w:bidi="ar-SA"/>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default" w:ascii="仿宋_GB2312" w:hAnsi="仿宋" w:eastAsia="仿宋_GB2312" w:cs="宋体"/>
          <w:color w:val="auto"/>
          <w:kern w:val="0"/>
          <w:sz w:val="32"/>
          <w:szCs w:val="32"/>
          <w:highlight w:val="none"/>
          <w:lang w:val="en-US" w:eastAsia="zh-Hans"/>
        </w:rPr>
      </w:pPr>
      <w:r>
        <w:rPr>
          <w:rFonts w:hint="eastAsia" w:ascii="仿宋" w:hAnsi="仿宋" w:eastAsia="仿宋" w:cs="仿宋"/>
          <w:color w:val="auto"/>
          <w:kern w:val="0"/>
          <w:sz w:val="32"/>
          <w:szCs w:val="32"/>
          <w:highlight w:val="none"/>
          <w:shd w:val="clear" w:color="auto" w:fill="FFFFFF"/>
          <w:lang w:val="en-US" w:eastAsia="zh-CN"/>
        </w:rPr>
        <w:t>2021年度部门公用经费支出预算数为51.15万元，年终决算时，年度公用经费支出决算数据为118.46万元，公用经费相比年初预算安排，预算调整较大，实际支出较大幅度超出年初预算安排</w:t>
      </w:r>
      <w:r>
        <w:rPr>
          <w:rFonts w:hint="default" w:ascii="仿宋_GB2312" w:hAnsi="仿宋" w:eastAsia="仿宋_GB2312" w:cs="宋体"/>
          <w:color w:val="auto"/>
          <w:kern w:val="0"/>
          <w:sz w:val="32"/>
          <w:szCs w:val="32"/>
          <w:highlight w:val="none"/>
          <w:lang w:val="en-US" w:eastAsia="zh-Hans"/>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rPr>
          <w:rFonts w:hint="eastAsia" w:ascii="楷体" w:hAnsi="楷体" w:eastAsia="楷体" w:cs="楷体"/>
          <w:b/>
          <w:bCs/>
          <w:color w:val="auto"/>
          <w:kern w:val="0"/>
          <w:sz w:val="32"/>
          <w:szCs w:val="32"/>
          <w:highlight w:val="none"/>
          <w:lang w:eastAsia="zh-Hans"/>
        </w:rPr>
      </w:pPr>
      <w:r>
        <w:rPr>
          <w:rFonts w:hint="default" w:ascii="楷体" w:hAnsi="楷体" w:eastAsia="楷体" w:cs="楷体"/>
          <w:b/>
          <w:bCs/>
          <w:color w:val="auto"/>
          <w:kern w:val="0"/>
          <w:sz w:val="32"/>
          <w:szCs w:val="32"/>
          <w:highlight w:val="none"/>
          <w:lang w:eastAsia="zh-Hans"/>
        </w:rPr>
        <w:t>（</w:t>
      </w:r>
      <w:r>
        <w:rPr>
          <w:rFonts w:hint="eastAsia" w:ascii="楷体" w:hAnsi="楷体" w:eastAsia="楷体" w:cs="楷体"/>
          <w:b/>
          <w:bCs/>
          <w:color w:val="auto"/>
          <w:kern w:val="0"/>
          <w:sz w:val="32"/>
          <w:szCs w:val="32"/>
          <w:highlight w:val="none"/>
          <w:lang w:val="en-US" w:eastAsia="zh-Hans"/>
        </w:rPr>
        <w:t>二</w:t>
      </w:r>
      <w:r>
        <w:rPr>
          <w:rFonts w:hint="default" w:ascii="楷体" w:hAnsi="楷体" w:eastAsia="楷体" w:cs="楷体"/>
          <w:b/>
          <w:bCs/>
          <w:color w:val="auto"/>
          <w:kern w:val="0"/>
          <w:sz w:val="32"/>
          <w:szCs w:val="32"/>
          <w:highlight w:val="none"/>
          <w:lang w:eastAsia="zh-Hans"/>
        </w:rPr>
        <w:t>）</w:t>
      </w:r>
      <w:r>
        <w:rPr>
          <w:rFonts w:hint="eastAsia" w:ascii="楷体" w:hAnsi="楷体" w:eastAsia="楷体" w:cs="楷体"/>
          <w:b/>
          <w:bCs/>
          <w:color w:val="auto"/>
          <w:kern w:val="0"/>
          <w:sz w:val="32"/>
          <w:szCs w:val="32"/>
          <w:highlight w:val="none"/>
          <w:lang w:val="en-US" w:eastAsia="zh-Hans"/>
        </w:rPr>
        <w:t>有关建议</w:t>
      </w:r>
    </w:p>
    <w:p>
      <w:pPr>
        <w:pStyle w:val="2"/>
        <w:keepNext w:val="0"/>
        <w:keepLines w:val="0"/>
        <w:pageBreakBefore w:val="0"/>
        <w:widowControl w:val="0"/>
        <w:kinsoku/>
        <w:wordWrap/>
        <w:overflowPunct/>
        <w:topLinePunct w:val="0"/>
        <w:autoSpaceDE w:val="0"/>
        <w:autoSpaceDN w:val="0"/>
        <w:bidi w:val="0"/>
        <w:adjustRightInd/>
        <w:snapToGrid/>
        <w:spacing w:before="0" w:line="600" w:lineRule="exact"/>
        <w:ind w:left="0" w:leftChars="0" w:right="0" w:rightChars="0" w:firstLine="643" w:firstLineChars="200"/>
        <w:jc w:val="left"/>
        <w:textAlignment w:val="auto"/>
        <w:outlineLvl w:val="9"/>
        <w:rPr>
          <w:rFonts w:hint="default" w:ascii="仿宋_GB2312" w:hAnsi="仿宋_GB2312" w:eastAsia="仿宋_GB2312" w:cs="仿宋_GB2312"/>
          <w:b/>
          <w:bCs/>
          <w:color w:val="auto"/>
          <w:kern w:val="0"/>
          <w:sz w:val="32"/>
          <w:szCs w:val="32"/>
          <w:highlight w:val="none"/>
          <w:lang w:eastAsia="zh-Hans"/>
        </w:rPr>
      </w:pPr>
      <w:r>
        <w:rPr>
          <w:rFonts w:hint="default" w:ascii="仿宋" w:hAnsi="仿宋" w:eastAsia="仿宋" w:cs="仿宋"/>
          <w:b/>
          <w:bCs/>
          <w:color w:val="auto"/>
          <w:kern w:val="0"/>
          <w:sz w:val="32"/>
          <w:szCs w:val="32"/>
          <w:highlight w:val="none"/>
          <w:shd w:val="clear" w:color="auto" w:fill="FFFFFF"/>
          <w:lang w:val="en-US" w:eastAsia="zh-Hans" w:bidi="ar-SA"/>
        </w:rPr>
        <w:t>1</w:t>
      </w:r>
      <w:r>
        <w:rPr>
          <w:rFonts w:hint="eastAsia" w:ascii="仿宋" w:hAnsi="仿宋" w:eastAsia="仿宋" w:cs="仿宋"/>
          <w:b/>
          <w:bCs/>
          <w:color w:val="auto"/>
          <w:kern w:val="0"/>
          <w:sz w:val="32"/>
          <w:szCs w:val="32"/>
          <w:highlight w:val="none"/>
          <w:shd w:val="clear" w:color="auto" w:fill="FFFFFF"/>
          <w:lang w:val="en-US" w:eastAsia="zh-Hans" w:bidi="ar-SA"/>
        </w:rPr>
        <w:t>.</w:t>
      </w:r>
      <w:r>
        <w:rPr>
          <w:rFonts w:hint="eastAsia" w:ascii="楷体" w:hAnsi="楷体" w:eastAsia="楷体" w:cs="楷体"/>
          <w:b/>
          <w:bCs/>
          <w:color w:val="auto"/>
          <w:kern w:val="0"/>
          <w:sz w:val="32"/>
          <w:szCs w:val="32"/>
          <w:highlight w:val="none"/>
          <w:shd w:val="clear" w:color="auto" w:fill="FFFFFF"/>
          <w:lang w:val="en-US" w:eastAsia="zh-CN"/>
        </w:rPr>
        <w:t>完善部门预算绩效管理体制机制</w:t>
      </w:r>
      <w:r>
        <w:rPr>
          <w:rFonts w:hint="eastAsia" w:ascii="仿宋" w:hAnsi="仿宋" w:eastAsia="仿宋" w:cs="仿宋"/>
          <w:b/>
          <w:bCs/>
          <w:color w:val="auto"/>
          <w:kern w:val="0"/>
          <w:sz w:val="32"/>
          <w:szCs w:val="32"/>
          <w:highlight w:val="none"/>
          <w:shd w:val="clear" w:color="auto" w:fill="FFFFFF"/>
          <w:lang w:val="en-US" w:eastAsia="zh-CN" w:bidi="ar-SA"/>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default" w:ascii="仿宋_GB2312" w:hAnsi="仿宋" w:eastAsia="仿宋_GB2312" w:cs="宋体"/>
          <w:color w:val="auto"/>
          <w:kern w:val="0"/>
          <w:sz w:val="32"/>
          <w:szCs w:val="32"/>
          <w:highlight w:val="none"/>
          <w:lang w:eastAsia="zh-Hans"/>
        </w:rPr>
      </w:pPr>
      <w:r>
        <w:rPr>
          <w:rFonts w:hint="eastAsia" w:ascii="仿宋" w:hAnsi="仿宋" w:eastAsia="仿宋" w:cs="仿宋"/>
          <w:color w:val="auto"/>
          <w:kern w:val="0"/>
          <w:sz w:val="32"/>
          <w:szCs w:val="32"/>
          <w:highlight w:val="none"/>
          <w:shd w:val="clear" w:color="auto" w:fill="FFFFFF"/>
          <w:lang w:val="en-US" w:eastAsia="zh-CN"/>
        </w:rPr>
        <w:t>做好部门相关人员预算绩效管理培训工作，重点加强绩效目标管理培训，掌握绩效目标设定原则和设定标准，充分考量绩效目标内容全面性、目标合理性、指标明确性、数据可得性等多方面，加强部门内部绩效目标自审核，提升绩效目标的科学性、完整性</w:t>
      </w:r>
      <w:r>
        <w:rPr>
          <w:rFonts w:hint="default" w:ascii="仿宋_GB2312" w:hAnsi="仿宋" w:eastAsia="仿宋_GB2312" w:cs="宋体"/>
          <w:color w:val="auto"/>
          <w:kern w:val="0"/>
          <w:sz w:val="32"/>
          <w:szCs w:val="32"/>
          <w:highlight w:val="none"/>
          <w:lang w:val="en-US" w:eastAsia="zh-Hans"/>
        </w:rPr>
        <w:t>。</w:t>
      </w:r>
    </w:p>
    <w:p>
      <w:pPr>
        <w:pStyle w:val="2"/>
        <w:keepNext w:val="0"/>
        <w:keepLines w:val="0"/>
        <w:pageBreakBefore w:val="0"/>
        <w:widowControl w:val="0"/>
        <w:kinsoku/>
        <w:wordWrap/>
        <w:overflowPunct/>
        <w:topLinePunct w:val="0"/>
        <w:autoSpaceDE w:val="0"/>
        <w:autoSpaceDN w:val="0"/>
        <w:bidi w:val="0"/>
        <w:adjustRightInd/>
        <w:snapToGrid/>
        <w:spacing w:before="0" w:line="600" w:lineRule="exact"/>
        <w:ind w:left="0" w:leftChars="0" w:right="0" w:rightChars="0" w:firstLine="643" w:firstLineChars="200"/>
        <w:jc w:val="left"/>
        <w:textAlignment w:val="auto"/>
        <w:outlineLvl w:val="9"/>
        <w:rPr>
          <w:rFonts w:hint="default" w:ascii="仿宋" w:hAnsi="仿宋" w:eastAsia="仿宋" w:cs="仿宋"/>
          <w:b/>
          <w:bCs/>
          <w:color w:val="auto"/>
          <w:kern w:val="0"/>
          <w:sz w:val="32"/>
          <w:szCs w:val="32"/>
          <w:highlight w:val="none"/>
          <w:shd w:val="clear" w:color="auto" w:fill="FFFFFF"/>
          <w:lang w:val="en-US" w:eastAsia="zh-Hans" w:bidi="ar-SA"/>
        </w:rPr>
      </w:pPr>
      <w:r>
        <w:rPr>
          <w:rFonts w:hint="default" w:ascii="仿宋" w:hAnsi="仿宋" w:eastAsia="仿宋" w:cs="仿宋"/>
          <w:b/>
          <w:bCs/>
          <w:color w:val="auto"/>
          <w:kern w:val="0"/>
          <w:sz w:val="32"/>
          <w:szCs w:val="32"/>
          <w:highlight w:val="none"/>
          <w:shd w:val="clear" w:color="auto" w:fill="FFFFFF"/>
          <w:lang w:val="en-US" w:eastAsia="zh-Hans" w:bidi="ar-SA"/>
        </w:rPr>
        <w:t>2</w:t>
      </w:r>
      <w:r>
        <w:rPr>
          <w:rFonts w:hint="eastAsia" w:ascii="仿宋" w:hAnsi="仿宋" w:eastAsia="仿宋" w:cs="仿宋"/>
          <w:b/>
          <w:bCs/>
          <w:color w:val="auto"/>
          <w:kern w:val="0"/>
          <w:sz w:val="32"/>
          <w:szCs w:val="32"/>
          <w:highlight w:val="none"/>
          <w:shd w:val="clear" w:color="auto" w:fill="FFFFFF"/>
          <w:lang w:val="en-US" w:eastAsia="zh-Hans" w:bidi="ar-SA"/>
        </w:rPr>
        <w:t>.</w:t>
      </w:r>
      <w:r>
        <w:rPr>
          <w:rFonts w:hint="eastAsia" w:ascii="楷体" w:hAnsi="楷体" w:eastAsia="楷体" w:cs="楷体"/>
          <w:b/>
          <w:bCs/>
          <w:color w:val="auto"/>
          <w:kern w:val="0"/>
          <w:sz w:val="32"/>
          <w:szCs w:val="32"/>
          <w:highlight w:val="none"/>
          <w:shd w:val="clear" w:color="auto" w:fill="FFFFFF"/>
          <w:lang w:val="en-US" w:eastAsia="zh-CN"/>
        </w:rPr>
        <w:t>深化预算执行监控，加强预算调整管理</w:t>
      </w:r>
      <w:r>
        <w:rPr>
          <w:rFonts w:hint="eastAsia" w:ascii="仿宋" w:hAnsi="仿宋" w:eastAsia="仿宋" w:cs="仿宋"/>
          <w:b/>
          <w:bCs/>
          <w:color w:val="auto"/>
          <w:kern w:val="0"/>
          <w:sz w:val="32"/>
          <w:szCs w:val="32"/>
          <w:highlight w:val="none"/>
          <w:shd w:val="clear" w:color="auto" w:fill="FFFFFF"/>
          <w:lang w:val="en-US" w:eastAsia="zh-CN" w:bidi="ar-SA"/>
        </w:rPr>
        <w:t>。</w:t>
      </w:r>
    </w:p>
    <w:p>
      <w:pPr>
        <w:pStyle w:val="2"/>
        <w:keepNext w:val="0"/>
        <w:keepLines w:val="0"/>
        <w:pageBreakBefore w:val="0"/>
        <w:widowControl w:val="0"/>
        <w:kinsoku/>
        <w:wordWrap/>
        <w:overflowPunct/>
        <w:topLinePunct w:val="0"/>
        <w:autoSpaceDE w:val="0"/>
        <w:autoSpaceDN w:val="0"/>
        <w:bidi w:val="0"/>
        <w:adjustRightInd/>
        <w:snapToGrid/>
        <w:spacing w:before="0" w:line="600" w:lineRule="exact"/>
        <w:ind w:left="0" w:leftChars="0" w:right="0" w:rightChars="0" w:firstLine="640" w:firstLineChars="200"/>
        <w:jc w:val="left"/>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建议预算部门建立健全预算执行监控体制机制，针对预算执行进度和绩效目标实现程度开展监控，落实部门预算执行监控主体责任，加强部门“日常监控”+“重点监控”双监控机制，定期进行预算执行监控分析。</w:t>
      </w:r>
    </w:p>
    <w:p>
      <w:pPr>
        <w:pStyle w:val="2"/>
        <w:keepNext w:val="0"/>
        <w:keepLines w:val="0"/>
        <w:pageBreakBefore w:val="0"/>
        <w:widowControl w:val="0"/>
        <w:kinsoku/>
        <w:wordWrap/>
        <w:overflowPunct/>
        <w:topLinePunct w:val="0"/>
        <w:autoSpaceDE w:val="0"/>
        <w:autoSpaceDN w:val="0"/>
        <w:bidi w:val="0"/>
        <w:adjustRightInd/>
        <w:snapToGrid/>
        <w:spacing w:before="190" w:line="240" w:lineRule="auto"/>
        <w:ind w:left="0" w:leftChars="0" w:right="0" w:rightChars="0" w:firstLine="643" w:firstLineChars="200"/>
        <w:jc w:val="left"/>
        <w:textAlignment w:val="auto"/>
        <w:outlineLvl w:val="9"/>
        <w:rPr>
          <w:rFonts w:hint="default" w:ascii="仿宋" w:hAnsi="仿宋" w:eastAsia="仿宋" w:cs="仿宋"/>
          <w:b/>
          <w:bCs/>
          <w:color w:val="auto"/>
          <w:kern w:val="0"/>
          <w:sz w:val="32"/>
          <w:szCs w:val="32"/>
          <w:highlight w:val="none"/>
          <w:shd w:val="clear" w:color="auto" w:fill="FFFFFF"/>
          <w:lang w:val="en-US" w:eastAsia="zh-Hans" w:bidi="ar-SA"/>
        </w:rPr>
      </w:pPr>
      <w:r>
        <w:rPr>
          <w:rFonts w:hint="default" w:ascii="仿宋" w:hAnsi="仿宋" w:eastAsia="仿宋" w:cs="仿宋"/>
          <w:b/>
          <w:bCs/>
          <w:color w:val="auto"/>
          <w:kern w:val="0"/>
          <w:sz w:val="32"/>
          <w:szCs w:val="32"/>
          <w:highlight w:val="none"/>
          <w:shd w:val="clear" w:color="auto" w:fill="FFFFFF"/>
          <w:lang w:val="en-US" w:eastAsia="zh-Hans" w:bidi="ar-SA"/>
        </w:rPr>
        <w:t>3</w:t>
      </w:r>
      <w:r>
        <w:rPr>
          <w:rFonts w:hint="eastAsia" w:ascii="仿宋" w:hAnsi="仿宋" w:eastAsia="仿宋" w:cs="仿宋"/>
          <w:b/>
          <w:bCs/>
          <w:color w:val="auto"/>
          <w:kern w:val="0"/>
          <w:sz w:val="32"/>
          <w:szCs w:val="32"/>
          <w:highlight w:val="none"/>
          <w:shd w:val="clear" w:color="auto" w:fill="FFFFFF"/>
          <w:lang w:val="en-US" w:eastAsia="zh-Hans" w:bidi="ar-SA"/>
        </w:rPr>
        <w:t>.加强部门成本控制，落实“过紧日子”思想</w:t>
      </w:r>
      <w:r>
        <w:rPr>
          <w:rFonts w:hint="eastAsia" w:ascii="仿宋" w:hAnsi="仿宋" w:eastAsia="仿宋" w:cs="仿宋"/>
          <w:b/>
          <w:bCs/>
          <w:color w:val="auto"/>
          <w:kern w:val="0"/>
          <w:sz w:val="32"/>
          <w:szCs w:val="32"/>
          <w:highlight w:val="none"/>
          <w:shd w:val="clear" w:color="auto" w:fill="FFFFFF"/>
          <w:lang w:val="en-US" w:eastAsia="zh-CN" w:bidi="ar-SA"/>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default" w:ascii="仿宋_GB2312" w:hAnsi="仿宋" w:eastAsia="仿宋_GB2312" w:cs="宋体"/>
          <w:color w:val="auto"/>
          <w:kern w:val="0"/>
          <w:sz w:val="32"/>
          <w:szCs w:val="32"/>
          <w:highlight w:val="none"/>
          <w:lang w:eastAsia="zh-Hans"/>
        </w:rPr>
      </w:pPr>
      <w:r>
        <w:rPr>
          <w:rFonts w:hint="eastAsia" w:ascii="仿宋" w:hAnsi="仿宋" w:eastAsia="仿宋" w:cs="仿宋"/>
          <w:color w:val="auto"/>
          <w:kern w:val="0"/>
          <w:sz w:val="32"/>
          <w:szCs w:val="32"/>
          <w:highlight w:val="none"/>
          <w:shd w:val="clear" w:color="auto" w:fill="FFFFFF"/>
          <w:lang w:val="en-US" w:eastAsia="zh-CN"/>
        </w:rPr>
        <w:t>建议部门不断加强“公用经费”、“三公经费”等费用支出控制，在保障工作效率和服务效果的基础上，提升重点行政运行成本的努力程度。不断完善财务管理制度，建立部门成本管控制度和管理机制，提升部门成本管控力度，优化财政资源分配结构</w:t>
      </w:r>
      <w:r>
        <w:rPr>
          <w:rFonts w:hint="default" w:ascii="仿宋_GB2312" w:hAnsi="仿宋" w:eastAsia="仿宋_GB2312" w:cs="宋体"/>
          <w:color w:val="auto"/>
          <w:kern w:val="0"/>
          <w:sz w:val="32"/>
          <w:szCs w:val="32"/>
          <w:highlight w:val="none"/>
          <w:lang w:eastAsia="zh-Hans"/>
        </w:rPr>
        <w:t>。</w:t>
      </w:r>
    </w:p>
    <w:p>
      <w:pPr>
        <w:pStyle w:val="2"/>
        <w:rPr>
          <w:rFonts w:hint="default" w:ascii="仿宋_GB2312" w:hAnsi="仿宋" w:eastAsia="仿宋_GB2312" w:cs="宋体"/>
          <w:color w:val="auto"/>
          <w:kern w:val="0"/>
          <w:sz w:val="32"/>
          <w:szCs w:val="32"/>
          <w:highlight w:val="none"/>
          <w:lang w:eastAsia="zh-Hans"/>
        </w:rPr>
      </w:pPr>
    </w:p>
    <w:p>
      <w:pPr>
        <w:pStyle w:val="2"/>
        <w:rPr>
          <w:rFonts w:hint="default" w:ascii="仿宋_GB2312" w:hAnsi="仿宋" w:eastAsia="仿宋_GB2312" w:cs="宋体"/>
          <w:color w:val="auto"/>
          <w:kern w:val="0"/>
          <w:sz w:val="32"/>
          <w:szCs w:val="32"/>
          <w:highlight w:val="none"/>
          <w:lang w:eastAsia="zh-Hans"/>
        </w:rPr>
      </w:pPr>
    </w:p>
    <w:p>
      <w:pPr>
        <w:pStyle w:val="2"/>
        <w:rPr>
          <w:rFonts w:hint="default" w:ascii="仿宋_GB2312" w:hAnsi="仿宋" w:eastAsia="仿宋_GB2312" w:cs="宋体"/>
          <w:color w:val="auto"/>
          <w:kern w:val="0"/>
          <w:sz w:val="32"/>
          <w:szCs w:val="32"/>
          <w:highlight w:val="none"/>
          <w:lang w:eastAsia="zh-Hans"/>
        </w:rPr>
      </w:pPr>
    </w:p>
    <w:p>
      <w:pPr>
        <w:pStyle w:val="2"/>
        <w:rPr>
          <w:rFonts w:hint="default" w:ascii="仿宋_GB2312" w:hAnsi="仿宋" w:eastAsia="仿宋_GB2312" w:cs="宋体"/>
          <w:color w:val="auto"/>
          <w:kern w:val="0"/>
          <w:sz w:val="32"/>
          <w:szCs w:val="32"/>
          <w:highlight w:val="none"/>
          <w:lang w:eastAsia="zh-Hans"/>
        </w:rPr>
      </w:pPr>
    </w:p>
    <w:p>
      <w:pPr>
        <w:pStyle w:val="2"/>
        <w:rPr>
          <w:rFonts w:hint="default" w:ascii="仿宋_GB2312" w:hAnsi="仿宋" w:eastAsia="仿宋_GB2312" w:cs="宋体"/>
          <w:color w:val="auto"/>
          <w:kern w:val="0"/>
          <w:sz w:val="32"/>
          <w:szCs w:val="32"/>
          <w:highlight w:val="none"/>
          <w:lang w:eastAsia="zh-Hans"/>
        </w:rPr>
      </w:pPr>
    </w:p>
    <w:p>
      <w:pPr>
        <w:pStyle w:val="2"/>
        <w:rPr>
          <w:rFonts w:hint="default" w:ascii="仿宋_GB2312" w:hAnsi="仿宋" w:eastAsia="仿宋_GB2312" w:cs="宋体"/>
          <w:color w:val="auto"/>
          <w:kern w:val="0"/>
          <w:sz w:val="32"/>
          <w:szCs w:val="32"/>
          <w:highlight w:val="none"/>
          <w:lang w:eastAsia="zh-Hans"/>
        </w:rPr>
      </w:pPr>
    </w:p>
    <w:p>
      <w:pPr>
        <w:pStyle w:val="2"/>
        <w:rPr>
          <w:rFonts w:hint="default" w:ascii="仿宋_GB2312" w:hAnsi="仿宋" w:eastAsia="仿宋_GB2312" w:cs="宋体"/>
          <w:color w:val="auto"/>
          <w:kern w:val="0"/>
          <w:sz w:val="32"/>
          <w:szCs w:val="32"/>
          <w:highlight w:val="none"/>
          <w:lang w:eastAsia="zh-Hans"/>
        </w:rPr>
      </w:pPr>
    </w:p>
    <w:p>
      <w:pPr>
        <w:pStyle w:val="2"/>
        <w:rPr>
          <w:rFonts w:hint="default" w:ascii="仿宋_GB2312" w:hAnsi="仿宋" w:eastAsia="仿宋_GB2312" w:cs="宋体"/>
          <w:color w:val="auto"/>
          <w:kern w:val="0"/>
          <w:sz w:val="32"/>
          <w:szCs w:val="32"/>
          <w:highlight w:val="none"/>
          <w:lang w:eastAsia="zh-Hans"/>
        </w:rPr>
      </w:pPr>
    </w:p>
    <w:p>
      <w:pPr>
        <w:keepNext w:val="0"/>
        <w:keepLines w:val="0"/>
        <w:pageBreakBefore w:val="0"/>
        <w:shd w:val="clear" w:color="auto" w:fill="FFFFFF"/>
        <w:kinsoku/>
        <w:wordWrap/>
        <w:overflowPunct/>
        <w:topLinePunct w:val="0"/>
        <w:autoSpaceDE/>
        <w:autoSpaceDN/>
        <w:bidi w:val="0"/>
        <w:adjustRightInd/>
        <w:snapToGrid/>
        <w:spacing w:line="600" w:lineRule="exact"/>
        <w:jc w:val="center"/>
        <w:textAlignment w:val="auto"/>
        <w:outlineLvl w:val="9"/>
        <w:rPr>
          <w:rFonts w:hint="eastAsia" w:ascii="方正小标宋" w:hAnsi="方正小标宋" w:eastAsia="方正小标宋" w:cs="方正小标宋"/>
          <w:b/>
          <w:sz w:val="36"/>
          <w:highlight w:val="none"/>
        </w:rPr>
      </w:pPr>
    </w:p>
    <w:p>
      <w:pPr>
        <w:pStyle w:val="2"/>
        <w:rPr>
          <w:rFonts w:hint="eastAsia" w:ascii="方正小标宋" w:hAnsi="方正小标宋" w:eastAsia="方正小标宋" w:cs="方正小标宋"/>
          <w:b/>
          <w:sz w:val="36"/>
          <w:highlight w:val="none"/>
        </w:rPr>
      </w:pPr>
    </w:p>
    <w:p>
      <w:pPr>
        <w:pStyle w:val="2"/>
        <w:rPr>
          <w:rFonts w:hint="eastAsia" w:ascii="方正小标宋" w:hAnsi="方正小标宋" w:eastAsia="方正小标宋" w:cs="方正小标宋"/>
          <w:b/>
          <w:sz w:val="36"/>
          <w:highlight w:val="none"/>
        </w:rPr>
      </w:pPr>
    </w:p>
    <w:p>
      <w:pPr>
        <w:pStyle w:val="2"/>
        <w:rPr>
          <w:rFonts w:hint="eastAsia" w:ascii="方正小标宋" w:hAnsi="方正小标宋" w:eastAsia="方正小标宋" w:cs="方正小标宋"/>
          <w:b/>
          <w:sz w:val="36"/>
          <w:highlight w:val="none"/>
        </w:rPr>
      </w:pPr>
    </w:p>
    <w:p>
      <w:pPr>
        <w:pStyle w:val="2"/>
        <w:rPr>
          <w:rFonts w:hint="eastAsia" w:ascii="方正小标宋" w:hAnsi="方正小标宋" w:eastAsia="方正小标宋" w:cs="方正小标宋"/>
          <w:b/>
          <w:sz w:val="36"/>
          <w:highlight w:val="none"/>
        </w:rPr>
      </w:pPr>
    </w:p>
    <w:p>
      <w:pPr>
        <w:keepNext w:val="0"/>
        <w:keepLines w:val="0"/>
        <w:pageBreakBefore w:val="0"/>
        <w:shd w:val="clear" w:color="auto" w:fill="FFFFFF"/>
        <w:kinsoku/>
        <w:wordWrap/>
        <w:overflowPunct/>
        <w:topLinePunct w:val="0"/>
        <w:autoSpaceDE/>
        <w:autoSpaceDN/>
        <w:bidi w:val="0"/>
        <w:adjustRightInd/>
        <w:snapToGrid/>
        <w:spacing w:line="600" w:lineRule="exact"/>
        <w:jc w:val="center"/>
        <w:textAlignment w:val="auto"/>
        <w:outlineLvl w:val="9"/>
        <w:rPr>
          <w:rFonts w:hint="eastAsia" w:ascii="方正小标宋" w:hAnsi="方正小标宋" w:eastAsia="方正小标宋" w:cs="方正小标宋"/>
          <w:b/>
          <w:sz w:val="36"/>
          <w:highlight w:val="none"/>
        </w:rPr>
      </w:pPr>
      <w:r>
        <w:rPr>
          <w:rFonts w:hint="eastAsia" w:ascii="方正小标宋" w:hAnsi="方正小标宋" w:eastAsia="方正小标宋" w:cs="方正小标宋"/>
          <w:b/>
          <w:sz w:val="36"/>
          <w:highlight w:val="none"/>
        </w:rPr>
        <w:t>铜川市</w:t>
      </w:r>
      <w:r>
        <w:rPr>
          <w:rFonts w:hint="eastAsia" w:ascii="方正小标宋" w:hAnsi="方正小标宋" w:eastAsia="方正小标宋" w:cs="方正小标宋"/>
          <w:b/>
          <w:sz w:val="36"/>
          <w:highlight w:val="none"/>
          <w:lang w:val="en-US" w:eastAsia="zh-CN"/>
        </w:rPr>
        <w:t>新区2021年度咸丰路街道办事处</w:t>
      </w:r>
      <w:r>
        <w:rPr>
          <w:rFonts w:hint="eastAsia" w:ascii="方正小标宋" w:hAnsi="方正小标宋" w:eastAsia="方正小标宋" w:cs="方正小标宋"/>
          <w:b/>
          <w:sz w:val="36"/>
          <w:highlight w:val="none"/>
        </w:rPr>
        <w:t>部门整体支出</w:t>
      </w:r>
    </w:p>
    <w:p>
      <w:pPr>
        <w:keepNext w:val="0"/>
        <w:keepLines w:val="0"/>
        <w:pageBreakBefore w:val="0"/>
        <w:shd w:val="clear" w:color="auto" w:fill="FFFFFF"/>
        <w:kinsoku/>
        <w:wordWrap/>
        <w:overflowPunct/>
        <w:topLinePunct w:val="0"/>
        <w:autoSpaceDE/>
        <w:autoSpaceDN/>
        <w:bidi w:val="0"/>
        <w:adjustRightInd/>
        <w:snapToGrid/>
        <w:spacing w:line="600" w:lineRule="exact"/>
        <w:jc w:val="center"/>
        <w:textAlignment w:val="auto"/>
        <w:outlineLvl w:val="9"/>
        <w:rPr>
          <w:rFonts w:hint="eastAsia" w:ascii="方正小标宋" w:hAnsi="方正小标宋" w:eastAsia="方正小标宋" w:cs="方正小标宋"/>
          <w:b/>
          <w:sz w:val="36"/>
          <w:highlight w:val="none"/>
        </w:rPr>
      </w:pPr>
      <w:r>
        <w:rPr>
          <w:rFonts w:hint="eastAsia" w:ascii="方正小标宋" w:hAnsi="方正小标宋" w:eastAsia="方正小标宋" w:cs="方正小标宋"/>
          <w:b/>
          <w:sz w:val="36"/>
          <w:highlight w:val="none"/>
        </w:rPr>
        <w:t>绩效评价报告</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leftChars="0" w:right="0" w:rightChars="0" w:firstLine="640" w:firstLineChars="200"/>
        <w:jc w:val="both"/>
        <w:textAlignment w:val="auto"/>
        <w:rPr>
          <w:rFonts w:hint="eastAsia" w:ascii="仿宋" w:hAnsi="仿宋" w:eastAsia="仿宋" w:cs="仿宋"/>
          <w:sz w:val="32"/>
          <w:szCs w:val="32"/>
          <w:highlight w:val="none"/>
          <w:lang w:val="en-US" w:eastAsia="zh-CN"/>
        </w:rPr>
      </w:pPr>
      <w:r>
        <w:rPr>
          <w:rFonts w:hint="eastAsia" w:ascii="仿宋" w:hAnsi="仿宋" w:eastAsia="仿宋" w:cs="仿宋"/>
          <w:color w:val="auto"/>
          <w:kern w:val="0"/>
          <w:sz w:val="32"/>
          <w:szCs w:val="32"/>
          <w:highlight w:val="none"/>
          <w:lang w:val="en-US" w:eastAsia="zh-CN"/>
        </w:rPr>
        <w:t>为规范政府部门财政支出预算管理，考核财政资金预期绩效目标的实现程度和综合效果，更好地优化资源配置，切实提高财政资金的使用效益，进一步提升预算部门的行政效能，根据铜川市新区财政局《关于开展2021年新区项目和部门整体支出绩效自评及重点项目绩效评价</w:t>
      </w:r>
      <w:r>
        <w:rPr>
          <w:rFonts w:hint="eastAsia" w:ascii="仿宋" w:hAnsi="仿宋" w:eastAsia="仿宋" w:cs="仿宋"/>
          <w:color w:val="auto"/>
          <w:kern w:val="0"/>
          <w:sz w:val="32"/>
          <w:szCs w:val="32"/>
          <w:highlight w:val="none"/>
          <w:lang w:val="en-US" w:eastAsia="zh-Hans"/>
        </w:rPr>
        <w:t>工作</w:t>
      </w:r>
      <w:r>
        <w:rPr>
          <w:rFonts w:hint="eastAsia" w:ascii="仿宋" w:hAnsi="仿宋" w:eastAsia="仿宋" w:cs="仿宋"/>
          <w:color w:val="auto"/>
          <w:kern w:val="0"/>
          <w:sz w:val="32"/>
          <w:szCs w:val="32"/>
          <w:highlight w:val="none"/>
          <w:lang w:val="en-US" w:eastAsia="zh-CN"/>
        </w:rPr>
        <w:t>的通知》文件要求，从投入、过程、产出、效果四个维度对新区咸丰路街道办事处2021年度部门整体支出进行绩效评价。经过资料审查、数据采集、现场访谈、社会调查等评价程序，运用科学、合理的绩效评价方法，形成本绩效评价报告。</w:t>
      </w:r>
      <w:bookmarkStart w:id="1" w:name="_bookmark0"/>
      <w:bookmarkEnd w:id="1"/>
      <w:bookmarkStart w:id="2" w:name="一、项目基本情况"/>
      <w:bookmarkEnd w:id="2"/>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0"/>
        <w:rPr>
          <w:rFonts w:hint="eastAsia" w:ascii="黑体" w:hAnsi="黑体" w:eastAsia="黑体" w:cs="黑体"/>
          <w:b w:val="0"/>
          <w:bCs w:val="0"/>
          <w:color w:val="auto"/>
          <w:kern w:val="0"/>
          <w:sz w:val="32"/>
          <w:szCs w:val="32"/>
          <w:highlight w:val="none"/>
          <w:lang w:val="en-US" w:eastAsia="zh-CN"/>
        </w:rPr>
      </w:pPr>
      <w:bookmarkStart w:id="3" w:name="_Toc31592"/>
      <w:r>
        <w:rPr>
          <w:rFonts w:hint="eastAsia" w:ascii="黑体" w:hAnsi="黑体" w:eastAsia="黑体" w:cs="黑体"/>
          <w:b w:val="0"/>
          <w:bCs w:val="0"/>
          <w:color w:val="auto"/>
          <w:kern w:val="0"/>
          <w:sz w:val="32"/>
          <w:szCs w:val="32"/>
          <w:highlight w:val="none"/>
          <w:lang w:val="en-US" w:eastAsia="zh-CN"/>
        </w:rPr>
        <w:t>一、部门基本情况</w:t>
      </w:r>
      <w:bookmarkEnd w:id="3"/>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leftChars="0" w:right="0" w:rightChars="0" w:firstLine="643" w:firstLineChars="200"/>
        <w:jc w:val="both"/>
        <w:textAlignment w:val="auto"/>
        <w:outlineLvl w:val="1"/>
        <w:rPr>
          <w:rFonts w:hint="eastAsia" w:ascii="楷体" w:hAnsi="楷体" w:eastAsia="楷体" w:cs="楷体"/>
          <w:b/>
          <w:bCs/>
          <w:color w:val="auto"/>
          <w:kern w:val="0"/>
          <w:sz w:val="32"/>
          <w:szCs w:val="32"/>
          <w:highlight w:val="none"/>
          <w:lang w:val="en-US" w:eastAsia="zh-CN"/>
        </w:rPr>
      </w:pPr>
      <w:bookmarkStart w:id="4" w:name="_Toc19240"/>
      <w:r>
        <w:rPr>
          <w:rFonts w:hint="eastAsia" w:ascii="楷体" w:hAnsi="楷体" w:eastAsia="楷体" w:cs="楷体"/>
          <w:b/>
          <w:bCs/>
          <w:color w:val="auto"/>
          <w:kern w:val="0"/>
          <w:sz w:val="32"/>
          <w:szCs w:val="32"/>
          <w:highlight w:val="none"/>
          <w:lang w:val="en-US" w:eastAsia="zh-CN"/>
        </w:rPr>
        <w:t>（一）部门概况</w:t>
      </w:r>
      <w:bookmarkEnd w:id="4"/>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leftChars="0" w:right="0" w:rightChars="0" w:firstLine="643" w:firstLineChars="200"/>
        <w:jc w:val="both"/>
        <w:textAlignment w:val="auto"/>
        <w:outlineLvl w:val="9"/>
        <w:rPr>
          <w:rFonts w:hint="eastAsia" w:ascii="仿宋" w:hAnsi="仿宋" w:eastAsia="仿宋" w:cs="仿宋"/>
          <w:b/>
          <w:bCs/>
          <w:color w:val="auto"/>
          <w:kern w:val="0"/>
          <w:sz w:val="32"/>
          <w:szCs w:val="32"/>
          <w:highlight w:val="none"/>
          <w:lang w:val="en-US" w:eastAsia="zh-CN"/>
        </w:rPr>
      </w:pPr>
      <w:r>
        <w:rPr>
          <w:rFonts w:hint="eastAsia" w:ascii="仿宋" w:hAnsi="仿宋" w:eastAsia="仿宋" w:cs="仿宋"/>
          <w:b/>
          <w:bCs/>
          <w:color w:val="auto"/>
          <w:kern w:val="0"/>
          <w:sz w:val="32"/>
          <w:szCs w:val="32"/>
          <w:highlight w:val="none"/>
          <w:lang w:val="en-US" w:eastAsia="zh-CN"/>
        </w:rPr>
        <w:t>1.主要职</w:t>
      </w:r>
      <w:r>
        <w:rPr>
          <w:rFonts w:hint="eastAsia" w:ascii="仿宋" w:hAnsi="仿宋" w:eastAsia="仿宋" w:cs="仿宋"/>
          <w:b/>
          <w:bCs/>
          <w:color w:val="auto"/>
          <w:kern w:val="0"/>
          <w:sz w:val="32"/>
          <w:szCs w:val="32"/>
          <w:highlight w:val="none"/>
          <w:lang w:val="en-US" w:eastAsia="zh-Hans"/>
        </w:rPr>
        <w:t>责</w:t>
      </w:r>
      <w:r>
        <w:rPr>
          <w:rFonts w:hint="eastAsia" w:ascii="仿宋" w:hAnsi="仿宋" w:eastAsia="仿宋" w:cs="仿宋"/>
          <w:b/>
          <w:bCs/>
          <w:color w:val="auto"/>
          <w:kern w:val="0"/>
          <w:sz w:val="32"/>
          <w:szCs w:val="32"/>
          <w:highlight w:val="none"/>
          <w:lang w:val="en-US" w:eastAsia="zh-CN"/>
        </w:rPr>
        <w:t>。</w:t>
      </w:r>
    </w:p>
    <w:p>
      <w:pPr>
        <w:pStyle w:val="2"/>
        <w:keepNext w:val="0"/>
        <w:keepLines w:val="0"/>
        <w:pageBreakBefore w:val="0"/>
        <w:widowControl w:val="0"/>
        <w:kinsoku/>
        <w:wordWrap/>
        <w:overflowPunct/>
        <w:topLinePunct w:val="0"/>
        <w:autoSpaceDE w:val="0"/>
        <w:autoSpaceDN w:val="0"/>
        <w:bidi w:val="0"/>
        <w:adjustRightInd/>
        <w:snapToGrid/>
        <w:spacing w:before="0" w:line="600" w:lineRule="exact"/>
        <w:ind w:left="0" w:firstLine="640" w:firstLineChars="200"/>
        <w:textAlignment w:val="auto"/>
        <w:rPr>
          <w:rFonts w:hint="eastAsia" w:ascii="仿宋" w:hAnsi="仿宋" w:eastAsia="仿宋" w:cs="仿宋"/>
          <w:color w:val="auto"/>
          <w:kern w:val="0"/>
          <w:sz w:val="32"/>
          <w:szCs w:val="32"/>
          <w:highlight w:val="none"/>
          <w:lang w:val="en-US" w:eastAsia="zh-CN"/>
        </w:rPr>
      </w:pPr>
      <w:r>
        <w:rPr>
          <w:rFonts w:hint="eastAsia" w:ascii="仿宋" w:hAnsi="仿宋" w:eastAsia="仿宋" w:cs="仿宋"/>
          <w:color w:val="auto"/>
          <w:kern w:val="0"/>
          <w:sz w:val="32"/>
          <w:szCs w:val="32"/>
          <w:highlight w:val="none"/>
          <w:lang w:val="en-US" w:eastAsia="zh-CN"/>
        </w:rPr>
        <w:t>（1）贯彻执行法律、法规、规章和铜川市人民政府、铜川市新区管委会的决定、命令、指示，保证市政府与新区管委会各项任务顺利完成。</w:t>
      </w:r>
    </w:p>
    <w:p>
      <w:pPr>
        <w:pStyle w:val="2"/>
        <w:keepNext w:val="0"/>
        <w:keepLines w:val="0"/>
        <w:pageBreakBefore w:val="0"/>
        <w:widowControl w:val="0"/>
        <w:kinsoku/>
        <w:wordWrap/>
        <w:overflowPunct/>
        <w:topLinePunct w:val="0"/>
        <w:autoSpaceDE w:val="0"/>
        <w:autoSpaceDN w:val="0"/>
        <w:bidi w:val="0"/>
        <w:adjustRightInd/>
        <w:snapToGrid/>
        <w:spacing w:before="0" w:line="600" w:lineRule="exact"/>
        <w:ind w:left="0" w:firstLine="640" w:firstLineChars="200"/>
        <w:textAlignment w:val="auto"/>
        <w:rPr>
          <w:rFonts w:hint="default" w:ascii="仿宋" w:hAnsi="仿宋" w:eastAsia="仿宋" w:cs="仿宋"/>
          <w:color w:val="auto"/>
          <w:kern w:val="0"/>
          <w:sz w:val="32"/>
          <w:szCs w:val="32"/>
          <w:highlight w:val="none"/>
          <w:lang w:val="en-US" w:eastAsia="zh-CN"/>
        </w:rPr>
      </w:pPr>
      <w:r>
        <w:rPr>
          <w:rFonts w:hint="default" w:ascii="仿宋" w:hAnsi="仿宋" w:eastAsia="仿宋" w:cs="仿宋"/>
          <w:color w:val="auto"/>
          <w:kern w:val="0"/>
          <w:sz w:val="32"/>
          <w:szCs w:val="32"/>
          <w:highlight w:val="none"/>
          <w:lang w:val="en-US" w:eastAsia="zh-CN"/>
        </w:rPr>
        <w:t>（2）制定街道、社区全面发展建设规划并组织实施，向辖区内社会单位布置地区性、社会性、群众性工作任务，并监督检查落实情况。</w:t>
      </w:r>
    </w:p>
    <w:p>
      <w:pPr>
        <w:pStyle w:val="2"/>
        <w:keepNext w:val="0"/>
        <w:keepLines w:val="0"/>
        <w:pageBreakBefore w:val="0"/>
        <w:widowControl w:val="0"/>
        <w:kinsoku/>
        <w:wordWrap/>
        <w:overflowPunct/>
        <w:topLinePunct w:val="0"/>
        <w:autoSpaceDE w:val="0"/>
        <w:autoSpaceDN w:val="0"/>
        <w:bidi w:val="0"/>
        <w:adjustRightInd/>
        <w:snapToGrid/>
        <w:spacing w:before="0" w:line="600" w:lineRule="exact"/>
        <w:ind w:left="0" w:firstLine="640" w:firstLineChars="200"/>
        <w:textAlignment w:val="auto"/>
        <w:rPr>
          <w:rFonts w:hint="default" w:ascii="仿宋" w:hAnsi="仿宋" w:eastAsia="仿宋" w:cs="仿宋"/>
          <w:color w:val="auto"/>
          <w:kern w:val="0"/>
          <w:sz w:val="32"/>
          <w:szCs w:val="32"/>
          <w:highlight w:val="none"/>
          <w:lang w:val="en-US" w:eastAsia="zh-CN"/>
        </w:rPr>
      </w:pPr>
      <w:r>
        <w:rPr>
          <w:rFonts w:hint="default" w:ascii="仿宋" w:hAnsi="仿宋" w:eastAsia="仿宋" w:cs="仿宋"/>
          <w:color w:val="auto"/>
          <w:kern w:val="0"/>
          <w:sz w:val="32"/>
          <w:szCs w:val="32"/>
          <w:highlight w:val="none"/>
          <w:lang w:val="en-US" w:eastAsia="zh-CN"/>
        </w:rPr>
        <w:t>（3）负责街道财政预决算和收支管理，促进区域经济发展。</w:t>
      </w:r>
    </w:p>
    <w:p>
      <w:pPr>
        <w:pStyle w:val="2"/>
        <w:keepNext w:val="0"/>
        <w:keepLines w:val="0"/>
        <w:pageBreakBefore w:val="0"/>
        <w:widowControl w:val="0"/>
        <w:kinsoku/>
        <w:wordWrap/>
        <w:overflowPunct/>
        <w:topLinePunct w:val="0"/>
        <w:autoSpaceDE w:val="0"/>
        <w:autoSpaceDN w:val="0"/>
        <w:bidi w:val="0"/>
        <w:adjustRightInd/>
        <w:snapToGrid/>
        <w:spacing w:before="0" w:line="600" w:lineRule="exact"/>
        <w:ind w:left="0" w:firstLine="640" w:firstLineChars="200"/>
        <w:textAlignment w:val="auto"/>
        <w:rPr>
          <w:rFonts w:hint="default" w:ascii="仿宋" w:hAnsi="仿宋" w:eastAsia="仿宋" w:cs="仿宋"/>
          <w:color w:val="auto"/>
          <w:kern w:val="0"/>
          <w:sz w:val="32"/>
          <w:szCs w:val="32"/>
          <w:highlight w:val="none"/>
          <w:lang w:val="en-US" w:eastAsia="zh-CN"/>
        </w:rPr>
      </w:pPr>
      <w:r>
        <w:rPr>
          <w:rFonts w:hint="default" w:ascii="仿宋" w:hAnsi="仿宋" w:eastAsia="仿宋" w:cs="仿宋"/>
          <w:color w:val="auto"/>
          <w:kern w:val="0"/>
          <w:sz w:val="32"/>
          <w:szCs w:val="32"/>
          <w:highlight w:val="none"/>
          <w:lang w:val="en-US" w:eastAsia="zh-CN"/>
        </w:rPr>
        <w:t>（4）开展爱国卫生、环境卫生、环境保护、绿化美化工作。</w:t>
      </w:r>
    </w:p>
    <w:p>
      <w:pPr>
        <w:pStyle w:val="2"/>
        <w:keepNext w:val="0"/>
        <w:keepLines w:val="0"/>
        <w:pageBreakBefore w:val="0"/>
        <w:widowControl w:val="0"/>
        <w:kinsoku/>
        <w:wordWrap/>
        <w:overflowPunct/>
        <w:topLinePunct w:val="0"/>
        <w:autoSpaceDE w:val="0"/>
        <w:autoSpaceDN w:val="0"/>
        <w:bidi w:val="0"/>
        <w:adjustRightInd/>
        <w:snapToGrid/>
        <w:spacing w:before="0" w:line="600" w:lineRule="exact"/>
        <w:ind w:left="0" w:firstLine="640" w:firstLineChars="200"/>
        <w:textAlignment w:val="auto"/>
        <w:rPr>
          <w:rFonts w:hint="default" w:ascii="仿宋" w:hAnsi="仿宋" w:eastAsia="仿宋" w:cs="仿宋"/>
          <w:color w:val="auto"/>
          <w:kern w:val="0"/>
          <w:sz w:val="32"/>
          <w:szCs w:val="32"/>
          <w:highlight w:val="none"/>
          <w:lang w:val="en-US" w:eastAsia="zh-CN"/>
        </w:rPr>
      </w:pPr>
      <w:r>
        <w:rPr>
          <w:rFonts w:hint="default" w:ascii="仿宋" w:hAnsi="仿宋" w:eastAsia="仿宋" w:cs="仿宋"/>
          <w:color w:val="auto"/>
          <w:kern w:val="0"/>
          <w:sz w:val="32"/>
          <w:szCs w:val="32"/>
          <w:highlight w:val="none"/>
          <w:lang w:val="en-US" w:eastAsia="zh-CN"/>
        </w:rPr>
        <w:t>（5）参与城市建设，危房改造及居住小区的管理工作。</w:t>
      </w:r>
    </w:p>
    <w:p>
      <w:pPr>
        <w:pStyle w:val="2"/>
        <w:keepNext w:val="0"/>
        <w:keepLines w:val="0"/>
        <w:pageBreakBefore w:val="0"/>
        <w:widowControl w:val="0"/>
        <w:kinsoku/>
        <w:wordWrap/>
        <w:overflowPunct/>
        <w:topLinePunct w:val="0"/>
        <w:autoSpaceDE w:val="0"/>
        <w:autoSpaceDN w:val="0"/>
        <w:bidi w:val="0"/>
        <w:adjustRightInd/>
        <w:snapToGrid/>
        <w:spacing w:before="0" w:line="600" w:lineRule="exact"/>
        <w:ind w:left="0" w:firstLine="640" w:firstLineChars="200"/>
        <w:textAlignment w:val="auto"/>
        <w:rPr>
          <w:rFonts w:hint="default" w:ascii="仿宋" w:hAnsi="仿宋" w:eastAsia="仿宋" w:cs="仿宋"/>
          <w:color w:val="auto"/>
          <w:kern w:val="0"/>
          <w:sz w:val="32"/>
          <w:szCs w:val="32"/>
          <w:highlight w:val="none"/>
          <w:lang w:val="en-US" w:eastAsia="zh-CN"/>
        </w:rPr>
      </w:pPr>
      <w:r>
        <w:rPr>
          <w:rFonts w:hint="default" w:ascii="仿宋" w:hAnsi="仿宋" w:eastAsia="仿宋" w:cs="仿宋"/>
          <w:color w:val="auto"/>
          <w:kern w:val="0"/>
          <w:sz w:val="32"/>
          <w:szCs w:val="32"/>
          <w:highlight w:val="none"/>
          <w:lang w:val="en-US" w:eastAsia="zh-CN"/>
        </w:rPr>
        <w:t>（6）制定本辖区社会治安综合治理规划并组织落实，加强外来人口管理，维护老年人、妇女、未成年人和残疾人的合法权益。</w:t>
      </w:r>
    </w:p>
    <w:p>
      <w:pPr>
        <w:pStyle w:val="2"/>
        <w:keepNext w:val="0"/>
        <w:keepLines w:val="0"/>
        <w:pageBreakBefore w:val="0"/>
        <w:widowControl w:val="0"/>
        <w:kinsoku/>
        <w:wordWrap/>
        <w:overflowPunct/>
        <w:topLinePunct w:val="0"/>
        <w:autoSpaceDE w:val="0"/>
        <w:autoSpaceDN w:val="0"/>
        <w:bidi w:val="0"/>
        <w:adjustRightInd/>
        <w:snapToGrid/>
        <w:spacing w:before="0" w:line="600" w:lineRule="exact"/>
        <w:ind w:left="0" w:firstLine="640" w:firstLineChars="200"/>
        <w:textAlignment w:val="auto"/>
        <w:rPr>
          <w:rFonts w:hint="default" w:ascii="仿宋" w:hAnsi="仿宋" w:eastAsia="仿宋" w:cs="仿宋"/>
          <w:color w:val="auto"/>
          <w:kern w:val="0"/>
          <w:sz w:val="32"/>
          <w:szCs w:val="32"/>
          <w:highlight w:val="none"/>
          <w:lang w:val="en-US" w:eastAsia="zh-CN"/>
        </w:rPr>
      </w:pPr>
      <w:r>
        <w:rPr>
          <w:rFonts w:hint="default" w:ascii="仿宋" w:hAnsi="仿宋" w:eastAsia="仿宋" w:cs="仿宋"/>
          <w:color w:val="auto"/>
          <w:kern w:val="0"/>
          <w:sz w:val="32"/>
          <w:szCs w:val="32"/>
          <w:highlight w:val="none"/>
          <w:lang w:val="en-US" w:eastAsia="zh-CN"/>
        </w:rPr>
        <w:t>（7）负责计划生育、拥军优属、防汛、指导监察劳动和社会保障工作。</w:t>
      </w:r>
    </w:p>
    <w:p>
      <w:pPr>
        <w:pStyle w:val="2"/>
        <w:keepNext w:val="0"/>
        <w:keepLines w:val="0"/>
        <w:pageBreakBefore w:val="0"/>
        <w:widowControl w:val="0"/>
        <w:kinsoku/>
        <w:wordWrap/>
        <w:overflowPunct/>
        <w:topLinePunct w:val="0"/>
        <w:autoSpaceDE w:val="0"/>
        <w:autoSpaceDN w:val="0"/>
        <w:bidi w:val="0"/>
        <w:adjustRightInd/>
        <w:snapToGrid/>
        <w:spacing w:before="0" w:line="600" w:lineRule="exact"/>
        <w:ind w:left="0" w:firstLine="640" w:firstLineChars="200"/>
        <w:textAlignment w:val="auto"/>
        <w:rPr>
          <w:rFonts w:hint="default" w:ascii="仿宋" w:hAnsi="仿宋" w:eastAsia="仿宋" w:cs="仿宋"/>
          <w:color w:val="auto"/>
          <w:kern w:val="0"/>
          <w:sz w:val="32"/>
          <w:szCs w:val="32"/>
          <w:highlight w:val="none"/>
          <w:lang w:val="en-US" w:eastAsia="zh-CN"/>
        </w:rPr>
      </w:pPr>
      <w:r>
        <w:rPr>
          <w:rFonts w:hint="default" w:ascii="仿宋" w:hAnsi="仿宋" w:eastAsia="仿宋" w:cs="仿宋"/>
          <w:color w:val="auto"/>
          <w:kern w:val="0"/>
          <w:sz w:val="32"/>
          <w:szCs w:val="32"/>
          <w:highlight w:val="none"/>
          <w:lang w:val="en-US" w:eastAsia="zh-CN"/>
        </w:rPr>
        <w:t>（8）加强社区服务设施的基础建设，整合社区资源，做好社会救助工作。</w:t>
      </w:r>
    </w:p>
    <w:p>
      <w:pPr>
        <w:pStyle w:val="2"/>
        <w:keepNext w:val="0"/>
        <w:keepLines w:val="0"/>
        <w:pageBreakBefore w:val="0"/>
        <w:widowControl w:val="0"/>
        <w:kinsoku/>
        <w:wordWrap/>
        <w:overflowPunct/>
        <w:topLinePunct w:val="0"/>
        <w:autoSpaceDE w:val="0"/>
        <w:autoSpaceDN w:val="0"/>
        <w:bidi w:val="0"/>
        <w:adjustRightInd/>
        <w:snapToGrid/>
        <w:spacing w:before="0" w:line="600" w:lineRule="exact"/>
        <w:ind w:left="0" w:firstLine="640" w:firstLineChars="200"/>
        <w:textAlignment w:val="auto"/>
        <w:rPr>
          <w:rFonts w:hint="default" w:ascii="仿宋" w:hAnsi="仿宋" w:eastAsia="仿宋" w:cs="仿宋"/>
          <w:color w:val="auto"/>
          <w:kern w:val="0"/>
          <w:sz w:val="32"/>
          <w:szCs w:val="32"/>
          <w:highlight w:val="none"/>
          <w:lang w:val="en-US" w:eastAsia="zh-CN"/>
        </w:rPr>
      </w:pPr>
      <w:r>
        <w:rPr>
          <w:rFonts w:hint="default" w:ascii="仿宋" w:hAnsi="仿宋" w:eastAsia="仿宋" w:cs="仿宋"/>
          <w:color w:val="auto"/>
          <w:kern w:val="0"/>
          <w:sz w:val="32"/>
          <w:szCs w:val="32"/>
          <w:highlight w:val="none"/>
          <w:lang w:val="en-US" w:eastAsia="zh-CN"/>
        </w:rPr>
        <w:t>（9）开展群众文化、体育活动和社区教育、卫生工作，普及科学常识，对居民进行法制和社会公德教育；组织单位和居民参与社会公益活动，建设社会主义精神文明。</w:t>
      </w:r>
    </w:p>
    <w:p>
      <w:pPr>
        <w:pStyle w:val="2"/>
        <w:keepNext w:val="0"/>
        <w:keepLines w:val="0"/>
        <w:pageBreakBefore w:val="0"/>
        <w:widowControl w:val="0"/>
        <w:kinsoku/>
        <w:wordWrap/>
        <w:overflowPunct/>
        <w:topLinePunct w:val="0"/>
        <w:autoSpaceDE w:val="0"/>
        <w:autoSpaceDN w:val="0"/>
        <w:bidi w:val="0"/>
        <w:adjustRightInd/>
        <w:snapToGrid/>
        <w:spacing w:before="0" w:line="600" w:lineRule="exact"/>
        <w:ind w:left="0" w:firstLine="640" w:firstLineChars="200"/>
        <w:textAlignment w:val="auto"/>
        <w:rPr>
          <w:rFonts w:hint="default" w:ascii="仿宋" w:hAnsi="仿宋" w:eastAsia="仿宋" w:cs="仿宋"/>
          <w:color w:val="auto"/>
          <w:kern w:val="0"/>
          <w:sz w:val="32"/>
          <w:szCs w:val="32"/>
          <w:highlight w:val="none"/>
          <w:lang w:val="en-US" w:eastAsia="zh-CN"/>
        </w:rPr>
      </w:pPr>
      <w:r>
        <w:rPr>
          <w:rFonts w:hint="default" w:ascii="仿宋" w:hAnsi="仿宋" w:eastAsia="仿宋" w:cs="仿宋"/>
          <w:color w:val="auto"/>
          <w:kern w:val="0"/>
          <w:sz w:val="32"/>
          <w:szCs w:val="32"/>
          <w:highlight w:val="none"/>
          <w:lang w:val="en-US" w:eastAsia="zh-CN"/>
        </w:rPr>
        <w:t>（10）指导社区自治组织工作，加强社区居民委员会建设，发挥社区代表会议作用，及时向上级政府反映居民的意见和要求。</w:t>
      </w:r>
    </w:p>
    <w:p>
      <w:pPr>
        <w:pStyle w:val="2"/>
        <w:keepNext w:val="0"/>
        <w:keepLines w:val="0"/>
        <w:pageBreakBefore w:val="0"/>
        <w:widowControl w:val="0"/>
        <w:kinsoku/>
        <w:wordWrap/>
        <w:overflowPunct/>
        <w:topLinePunct w:val="0"/>
        <w:autoSpaceDE w:val="0"/>
        <w:autoSpaceDN w:val="0"/>
        <w:bidi w:val="0"/>
        <w:adjustRightInd/>
        <w:snapToGrid/>
        <w:spacing w:before="0" w:line="600" w:lineRule="exact"/>
        <w:ind w:left="0" w:firstLine="640" w:firstLineChars="200"/>
        <w:textAlignment w:val="auto"/>
        <w:rPr>
          <w:rFonts w:hint="default" w:ascii="仿宋" w:hAnsi="仿宋" w:eastAsia="仿宋" w:cs="仿宋"/>
          <w:color w:val="auto"/>
          <w:kern w:val="0"/>
          <w:sz w:val="32"/>
          <w:szCs w:val="32"/>
          <w:highlight w:val="none"/>
          <w:lang w:val="en-US" w:eastAsia="zh-CN"/>
        </w:rPr>
      </w:pPr>
      <w:r>
        <w:rPr>
          <w:rFonts w:hint="default" w:ascii="仿宋" w:hAnsi="仿宋" w:eastAsia="仿宋" w:cs="仿宋"/>
          <w:color w:val="auto"/>
          <w:kern w:val="0"/>
          <w:sz w:val="32"/>
          <w:szCs w:val="32"/>
          <w:highlight w:val="none"/>
          <w:lang w:val="en-US" w:eastAsia="zh-CN"/>
        </w:rPr>
        <w:t>（11）在本部门职责范围内加强为市属单位、驻区部队和区域内企事业单位的服务。</w:t>
      </w:r>
    </w:p>
    <w:p>
      <w:pPr>
        <w:pStyle w:val="2"/>
        <w:keepNext w:val="0"/>
        <w:keepLines w:val="0"/>
        <w:pageBreakBefore w:val="0"/>
        <w:widowControl w:val="0"/>
        <w:kinsoku/>
        <w:wordWrap/>
        <w:overflowPunct/>
        <w:topLinePunct w:val="0"/>
        <w:autoSpaceDE w:val="0"/>
        <w:autoSpaceDN w:val="0"/>
        <w:bidi w:val="0"/>
        <w:adjustRightInd/>
        <w:snapToGrid/>
        <w:spacing w:before="0" w:line="600" w:lineRule="exact"/>
        <w:ind w:left="0" w:firstLine="640" w:firstLineChars="200"/>
        <w:textAlignment w:val="auto"/>
        <w:rPr>
          <w:rFonts w:hint="default" w:ascii="仿宋" w:hAnsi="仿宋" w:eastAsia="仿宋" w:cs="仿宋"/>
          <w:color w:val="auto"/>
          <w:kern w:val="0"/>
          <w:sz w:val="32"/>
          <w:szCs w:val="32"/>
          <w:highlight w:val="none"/>
          <w:lang w:val="en-US" w:eastAsia="zh-CN"/>
        </w:rPr>
      </w:pPr>
      <w:r>
        <w:rPr>
          <w:rFonts w:hint="default" w:ascii="仿宋" w:hAnsi="仿宋" w:eastAsia="仿宋" w:cs="仿宋"/>
          <w:color w:val="auto"/>
          <w:kern w:val="0"/>
          <w:sz w:val="32"/>
          <w:szCs w:val="32"/>
          <w:highlight w:val="none"/>
          <w:lang w:val="en-US" w:eastAsia="zh-CN"/>
        </w:rPr>
        <w:t>（12）完成工委、管委会和上级部门交办的其他工作任务。</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leftChars="0" w:right="0" w:rightChars="0" w:firstLine="643" w:firstLineChars="200"/>
        <w:jc w:val="both"/>
        <w:textAlignment w:val="auto"/>
        <w:outlineLvl w:val="9"/>
        <w:rPr>
          <w:rFonts w:hint="eastAsia" w:ascii="仿宋" w:hAnsi="仿宋" w:eastAsia="仿宋" w:cs="仿宋"/>
          <w:b/>
          <w:bCs/>
          <w:color w:val="auto"/>
          <w:kern w:val="0"/>
          <w:sz w:val="32"/>
          <w:szCs w:val="32"/>
          <w:highlight w:val="none"/>
          <w:lang w:val="en-US" w:eastAsia="zh-CN"/>
        </w:rPr>
      </w:pPr>
      <w:r>
        <w:rPr>
          <w:rFonts w:hint="eastAsia" w:ascii="仿宋" w:hAnsi="仿宋" w:eastAsia="仿宋" w:cs="仿宋"/>
          <w:b/>
          <w:bCs/>
          <w:color w:val="auto"/>
          <w:kern w:val="0"/>
          <w:sz w:val="32"/>
          <w:szCs w:val="32"/>
          <w:highlight w:val="none"/>
          <w:lang w:val="en-US" w:eastAsia="zh-CN"/>
        </w:rPr>
        <w:t>2.组织机构。</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default" w:ascii="仿宋" w:hAnsi="仿宋" w:eastAsia="仿宋" w:cs="仿宋"/>
          <w:color w:val="auto"/>
          <w:kern w:val="0"/>
          <w:sz w:val="32"/>
          <w:szCs w:val="32"/>
          <w:highlight w:val="none"/>
          <w:lang w:val="en-US" w:eastAsia="zh-CN"/>
        </w:rPr>
      </w:pPr>
      <w:r>
        <w:rPr>
          <w:rFonts w:hint="eastAsia" w:ascii="仿宋" w:hAnsi="仿宋" w:eastAsia="仿宋" w:cs="仿宋"/>
          <w:color w:val="auto"/>
          <w:kern w:val="0"/>
          <w:sz w:val="32"/>
          <w:szCs w:val="32"/>
          <w:highlight w:val="none"/>
          <w:lang w:val="en-US" w:eastAsia="zh-CN"/>
        </w:rPr>
        <w:t>咸丰路街道办事处为全额财政拨款行政单位，设置党政综合办公室、党建工作办公室（人大工作委员会办公室）、城市综合管理办公室（综合执法办公室）、社区发展和社会事务办公室（民政办公室）、平安建设和应急管理办公室、区域经济发展办公室 6 个行政机构，办设党群服务中心（便民服务中心、退役军人服务站、综合文化站）、网格化管理服务中心（社会治安综合治理中心、12345 市民热线服务中心）、农业农村综合服务中心（农产品质量安全监管中心、农村经济经营管理站、农村公路管理站）3 个事业机构。下辖6个城市社区、12个行政。截止2021年底，本部门人员编制42人，其中行政编制19人、事业编制23人；实有人员38人。</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leftChars="0" w:right="0" w:rightChars="0" w:firstLine="643" w:firstLineChars="200"/>
        <w:jc w:val="both"/>
        <w:textAlignment w:val="auto"/>
        <w:outlineLvl w:val="9"/>
        <w:rPr>
          <w:rFonts w:hint="eastAsia" w:ascii="仿宋" w:hAnsi="仿宋" w:eastAsia="仿宋" w:cs="仿宋"/>
          <w:b/>
          <w:bCs/>
          <w:color w:val="auto"/>
          <w:kern w:val="0"/>
          <w:sz w:val="32"/>
          <w:szCs w:val="32"/>
          <w:highlight w:val="none"/>
          <w:lang w:val="en-US" w:eastAsia="zh-CN"/>
        </w:rPr>
      </w:pPr>
      <w:r>
        <w:rPr>
          <w:rFonts w:hint="eastAsia" w:ascii="仿宋" w:hAnsi="仿宋" w:eastAsia="仿宋" w:cs="仿宋"/>
          <w:b/>
          <w:bCs/>
          <w:color w:val="auto"/>
          <w:kern w:val="0"/>
          <w:sz w:val="32"/>
          <w:szCs w:val="32"/>
          <w:highlight w:val="none"/>
          <w:lang w:val="en-US" w:eastAsia="zh-Hans"/>
        </w:rPr>
        <w:t>3.财政预决算及项目支出情况</w:t>
      </w:r>
      <w:r>
        <w:rPr>
          <w:rFonts w:hint="eastAsia" w:ascii="仿宋" w:hAnsi="仿宋" w:eastAsia="仿宋" w:cs="仿宋"/>
          <w:b/>
          <w:bCs/>
          <w:color w:val="auto"/>
          <w:kern w:val="0"/>
          <w:sz w:val="32"/>
          <w:szCs w:val="32"/>
          <w:highlight w:val="none"/>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outlineLvl w:val="9"/>
        <w:rPr>
          <w:rFonts w:hint="default" w:ascii="仿宋" w:hAnsi="仿宋" w:eastAsia="仿宋" w:cs="仿宋"/>
          <w:b/>
          <w:bCs/>
          <w:color w:val="auto"/>
          <w:kern w:val="0"/>
          <w:sz w:val="28"/>
          <w:szCs w:val="28"/>
          <w:highlight w:val="none"/>
          <w:lang w:val="en-US" w:eastAsia="zh-CN"/>
        </w:rPr>
      </w:pPr>
      <w:r>
        <w:rPr>
          <w:rFonts w:hint="eastAsia" w:ascii="仿宋" w:hAnsi="仿宋" w:eastAsia="仿宋" w:cs="仿宋"/>
          <w:color w:val="auto"/>
          <w:kern w:val="0"/>
          <w:sz w:val="32"/>
          <w:szCs w:val="32"/>
          <w:highlight w:val="none"/>
          <w:lang w:val="en-US" w:eastAsia="zh-CN"/>
        </w:rPr>
        <w:t>根据新区咸丰路街道办事处2021年部门预算和决算文件内容，2021年年初一般公共预算财政拨款收入1164.58万元，年初结转结余资金2654.57万元，部门2021年年初支出预算数为3819.15万元，调整预算数为7669.63万元，决算支出数为7669.63万元。财政部门年度批复预算7669.63万元。</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1"/>
        <w:rPr>
          <w:rFonts w:hint="eastAsia" w:ascii="楷体" w:hAnsi="楷体" w:eastAsia="楷体" w:cs="楷体"/>
          <w:b/>
          <w:bCs/>
          <w:color w:val="auto"/>
          <w:kern w:val="0"/>
          <w:sz w:val="32"/>
          <w:szCs w:val="32"/>
          <w:highlight w:val="none"/>
          <w:shd w:val="clear" w:color="auto" w:fill="FFFFFF"/>
          <w:lang w:val="en-US" w:eastAsia="zh-CN"/>
        </w:rPr>
      </w:pPr>
      <w:bookmarkStart w:id="5" w:name="_Toc2651"/>
      <w:r>
        <w:rPr>
          <w:rFonts w:hint="eastAsia" w:ascii="楷体" w:hAnsi="楷体" w:eastAsia="楷体" w:cs="楷体"/>
          <w:b/>
          <w:bCs/>
          <w:color w:val="auto"/>
          <w:kern w:val="0"/>
          <w:sz w:val="32"/>
          <w:szCs w:val="32"/>
          <w:highlight w:val="none"/>
          <w:shd w:val="clear" w:color="auto" w:fill="FFFFFF"/>
          <w:lang w:val="en-US" w:eastAsia="zh-CN"/>
        </w:rPr>
        <w:t>（二）绩效目标</w:t>
      </w:r>
      <w:bookmarkEnd w:id="5"/>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 w:hAnsi="仿宋" w:eastAsia="仿宋" w:cs="仿宋"/>
          <w:b/>
          <w:bCs/>
          <w:color w:val="auto"/>
          <w:kern w:val="0"/>
          <w:sz w:val="32"/>
          <w:szCs w:val="32"/>
          <w:highlight w:val="none"/>
          <w:shd w:val="clear" w:color="auto" w:fill="FFFFFF"/>
          <w:lang w:val="en-US" w:eastAsia="zh-CN"/>
        </w:rPr>
      </w:pPr>
      <w:r>
        <w:rPr>
          <w:rFonts w:hint="eastAsia" w:ascii="仿宋" w:hAnsi="仿宋" w:eastAsia="仿宋" w:cs="仿宋"/>
          <w:b/>
          <w:bCs/>
          <w:color w:val="auto"/>
          <w:kern w:val="0"/>
          <w:sz w:val="32"/>
          <w:szCs w:val="32"/>
          <w:highlight w:val="none"/>
          <w:shd w:val="clear" w:color="auto" w:fill="FFFFFF"/>
          <w:lang w:val="en-US" w:eastAsia="zh-Hans"/>
        </w:rPr>
        <w:t>1.</w:t>
      </w:r>
      <w:r>
        <w:rPr>
          <w:rFonts w:hint="eastAsia" w:ascii="仿宋" w:hAnsi="仿宋" w:eastAsia="仿宋" w:cs="仿宋"/>
          <w:b/>
          <w:bCs/>
          <w:color w:val="auto"/>
          <w:kern w:val="0"/>
          <w:sz w:val="32"/>
          <w:szCs w:val="32"/>
          <w:highlight w:val="none"/>
          <w:shd w:val="clear" w:color="auto" w:fill="FFFFFF"/>
          <w:lang w:val="en-US" w:eastAsia="zh-CN"/>
        </w:rPr>
        <w:t>年度工作任务。</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（1）以“四清”活动为抓手，高质量组织好换届选举工作。</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jc w:val="left"/>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CN"/>
        </w:rPr>
        <w:t>提前谋划行动，扎实开展“研判清底、审计清账、矛盾清访、纪律清风”工作，准确把握政策程序和制度规定，将组织放心、群众满意、素质优良的人才吸引充实到基层干部队伍中。</w:t>
      </w:r>
    </w:p>
    <w:p>
      <w:pPr>
        <w:keepNext w:val="0"/>
        <w:keepLines w:val="0"/>
        <w:pageBreakBefore w:val="0"/>
        <w:widowControl w:val="0"/>
        <w:numPr>
          <w:ilvl w:val="0"/>
          <w:numId w:val="2"/>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以农业供给侧改革为切入点，持续壮大发展村集体经济。发展特色农业，探索村集体经济市场化管理、公司化运营模式，实现街道村级集体经济实现 100 全覆盖，提升农民合作社发展质量，实现脱贫攻坚和乡村振兴有效衔接，描绘镇域经济发展新蓝图。</w:t>
      </w:r>
    </w:p>
    <w:p>
      <w:pPr>
        <w:pStyle w:val="2"/>
        <w:keepNext w:val="0"/>
        <w:keepLines w:val="0"/>
        <w:pageBreakBefore w:val="0"/>
        <w:widowControl w:val="0"/>
        <w:numPr>
          <w:ilvl w:val="0"/>
          <w:numId w:val="2"/>
        </w:numPr>
        <w:kinsoku/>
        <w:wordWrap/>
        <w:overflowPunct/>
        <w:topLinePunct w:val="0"/>
        <w:autoSpaceDE w:val="0"/>
        <w:autoSpaceDN w:val="0"/>
        <w:bidi w:val="0"/>
        <w:adjustRightInd/>
        <w:snapToGrid/>
        <w:spacing w:before="0" w:line="600" w:lineRule="exact"/>
        <w:ind w:left="0" w:leftChars="0" w:firstLine="640" w:firstLineChars="200"/>
        <w:textAlignment w:val="auto"/>
        <w:rPr>
          <w:rFonts w:hint="eastAsia" w:ascii="仿宋" w:hAnsi="仿宋" w:eastAsia="仿宋" w:cs="仿宋"/>
          <w:color w:val="auto"/>
          <w:kern w:val="0"/>
          <w:sz w:val="32"/>
          <w:szCs w:val="32"/>
          <w:highlight w:val="none"/>
          <w:shd w:val="clear" w:color="auto" w:fill="FFFFFF"/>
          <w:lang w:val="en-US" w:eastAsia="zh-CN" w:bidi="ar-SA"/>
        </w:rPr>
      </w:pPr>
      <w:r>
        <w:rPr>
          <w:rFonts w:hint="eastAsia" w:ascii="仿宋" w:hAnsi="仿宋" w:eastAsia="仿宋" w:cs="仿宋"/>
          <w:color w:val="auto"/>
          <w:kern w:val="0"/>
          <w:sz w:val="32"/>
          <w:szCs w:val="32"/>
          <w:highlight w:val="none"/>
          <w:shd w:val="clear" w:color="auto" w:fill="FFFFFF"/>
          <w:lang w:val="en-US" w:eastAsia="zh-CN" w:bidi="ar-SA"/>
        </w:rPr>
        <w:t>按照“一社区一品牌”发展模式,着力打造党建工作示范点。积极开展互联互动、共建共驻活动，探索新兴领域党建工作，推动基层党建不断向开放、联动、融合迈进。</w:t>
      </w:r>
    </w:p>
    <w:p>
      <w:pPr>
        <w:pStyle w:val="2"/>
        <w:keepNext w:val="0"/>
        <w:keepLines w:val="0"/>
        <w:pageBreakBefore w:val="0"/>
        <w:widowControl w:val="0"/>
        <w:numPr>
          <w:ilvl w:val="0"/>
          <w:numId w:val="2"/>
        </w:numPr>
        <w:kinsoku/>
        <w:wordWrap/>
        <w:overflowPunct/>
        <w:topLinePunct w:val="0"/>
        <w:autoSpaceDE w:val="0"/>
        <w:autoSpaceDN w:val="0"/>
        <w:bidi w:val="0"/>
        <w:adjustRightInd/>
        <w:snapToGrid/>
        <w:spacing w:before="0" w:line="600" w:lineRule="exact"/>
        <w:ind w:left="0" w:leftChars="0" w:firstLine="640" w:firstLineChars="200"/>
        <w:textAlignment w:val="auto"/>
        <w:rPr>
          <w:rFonts w:hint="eastAsia" w:ascii="仿宋" w:hAnsi="仿宋" w:eastAsia="仿宋" w:cs="仿宋"/>
          <w:color w:val="auto"/>
          <w:kern w:val="0"/>
          <w:sz w:val="32"/>
          <w:szCs w:val="32"/>
          <w:highlight w:val="none"/>
          <w:shd w:val="clear" w:color="auto" w:fill="FFFFFF"/>
          <w:lang w:val="en-US" w:eastAsia="zh-CN" w:bidi="ar-SA"/>
        </w:rPr>
      </w:pPr>
      <w:r>
        <w:rPr>
          <w:rFonts w:hint="eastAsia" w:ascii="仿宋" w:hAnsi="仿宋" w:eastAsia="仿宋" w:cs="仿宋"/>
          <w:color w:val="auto"/>
          <w:kern w:val="0"/>
          <w:sz w:val="32"/>
          <w:szCs w:val="32"/>
          <w:highlight w:val="none"/>
          <w:shd w:val="clear" w:color="auto" w:fill="FFFFFF"/>
          <w:lang w:val="en-US" w:eastAsia="zh-CN" w:bidi="ar-SA"/>
        </w:rPr>
        <w:t>发挥“金牌店小二”精神，打通要素保障“最后一厘米”。以项目征迁为抓手，积极主动做好各方关系的协调员、服务员，全力保障群众实际利益，全面巡查土地违法行为，做实做细做到位项目服务保障，确保重点项目建设按期推进。</w:t>
      </w:r>
    </w:p>
    <w:p>
      <w:pPr>
        <w:pStyle w:val="2"/>
        <w:keepNext w:val="0"/>
        <w:keepLines w:val="0"/>
        <w:pageBreakBefore w:val="0"/>
        <w:widowControl w:val="0"/>
        <w:numPr>
          <w:ilvl w:val="0"/>
          <w:numId w:val="2"/>
        </w:numPr>
        <w:kinsoku/>
        <w:wordWrap/>
        <w:overflowPunct/>
        <w:topLinePunct w:val="0"/>
        <w:autoSpaceDE w:val="0"/>
        <w:autoSpaceDN w:val="0"/>
        <w:bidi w:val="0"/>
        <w:adjustRightInd/>
        <w:snapToGrid/>
        <w:spacing w:before="0" w:line="600" w:lineRule="exact"/>
        <w:ind w:left="0" w:leftChars="0" w:firstLine="640" w:firstLineChars="200"/>
        <w:textAlignment w:val="auto"/>
        <w:rPr>
          <w:rFonts w:hint="eastAsia" w:ascii="仿宋" w:hAnsi="仿宋" w:eastAsia="仿宋" w:cs="仿宋"/>
          <w:color w:val="auto"/>
          <w:kern w:val="0"/>
          <w:sz w:val="32"/>
          <w:szCs w:val="32"/>
          <w:highlight w:val="none"/>
          <w:shd w:val="clear" w:color="auto" w:fill="FFFFFF"/>
          <w:lang w:val="en-US" w:eastAsia="zh-CN" w:bidi="ar-SA"/>
        </w:rPr>
      </w:pPr>
      <w:r>
        <w:rPr>
          <w:rFonts w:hint="eastAsia" w:ascii="仿宋" w:hAnsi="仿宋" w:eastAsia="仿宋" w:cs="仿宋"/>
          <w:color w:val="auto"/>
          <w:kern w:val="0"/>
          <w:sz w:val="32"/>
          <w:szCs w:val="32"/>
          <w:highlight w:val="none"/>
          <w:shd w:val="clear" w:color="auto" w:fill="FFFFFF"/>
          <w:lang w:val="en-US" w:eastAsia="zh-CN" w:bidi="ar-SA"/>
        </w:rPr>
        <w:t>五是完成新区党工委、管委会交办的其他工作。</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0"/>
        <w:rPr>
          <w:rFonts w:hint="eastAsia" w:ascii="黑体" w:hAnsi="黑体" w:eastAsia="黑体" w:cs="黑体"/>
          <w:b w:val="0"/>
          <w:bCs w:val="0"/>
          <w:color w:val="auto"/>
          <w:kern w:val="0"/>
          <w:sz w:val="32"/>
          <w:szCs w:val="32"/>
          <w:highlight w:val="none"/>
          <w:lang w:val="en-US" w:eastAsia="zh-CN"/>
        </w:rPr>
      </w:pPr>
      <w:bookmarkStart w:id="6" w:name="_Toc22489"/>
      <w:r>
        <w:rPr>
          <w:rFonts w:hint="eastAsia" w:ascii="黑体" w:hAnsi="黑体" w:eastAsia="黑体" w:cs="黑体"/>
          <w:b w:val="0"/>
          <w:bCs w:val="0"/>
          <w:color w:val="auto"/>
          <w:kern w:val="0"/>
          <w:sz w:val="32"/>
          <w:szCs w:val="32"/>
          <w:highlight w:val="none"/>
          <w:lang w:val="en-US" w:eastAsia="zh-CN"/>
        </w:rPr>
        <w:t>二、绩效评价工作开展情况</w:t>
      </w:r>
      <w:bookmarkEnd w:id="6"/>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1"/>
        <w:rPr>
          <w:rFonts w:hint="eastAsia" w:ascii="楷体" w:hAnsi="楷体" w:eastAsia="楷体" w:cs="楷体"/>
          <w:b/>
          <w:bCs/>
          <w:color w:val="auto"/>
          <w:kern w:val="0"/>
          <w:sz w:val="32"/>
          <w:szCs w:val="32"/>
          <w:highlight w:val="none"/>
          <w:lang w:val="en-US" w:eastAsia="zh-CN"/>
        </w:rPr>
      </w:pPr>
      <w:bookmarkStart w:id="7" w:name="_Toc19145"/>
      <w:r>
        <w:rPr>
          <w:rFonts w:hint="eastAsia" w:ascii="楷体" w:hAnsi="楷体" w:eastAsia="楷体" w:cs="楷体"/>
          <w:b/>
          <w:bCs/>
          <w:color w:val="auto"/>
          <w:kern w:val="0"/>
          <w:sz w:val="32"/>
          <w:szCs w:val="32"/>
          <w:highlight w:val="none"/>
          <w:lang w:val="en-US" w:eastAsia="zh-CN"/>
        </w:rPr>
        <w:t>（一）绩效评价目的和依据</w:t>
      </w:r>
      <w:bookmarkEnd w:id="7"/>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推进预算绩效管理是贯彻落实党中央、国务院要求，从根本上深化行政管理体制改革、促进政府职能转变、提高部门责任意识，建设高效、责任、透明政府的有效举措，是贯彻落实科学发展观的必然选择,是实施行政问责制和加强政府效能建设的重要抓手。为深入贯彻落实科学发展观，完善公共财政体系，进一步推进财政预算绩效管理，不断提升财政管理科学化精细化水平，根据《关于全面实施预算绩效管理的意见》（中发〔2018〕34号）、《项目支出绩效评价管理办法》（财预〔2020〕10号）等文件要求，依据</w:t>
      </w:r>
      <w:r>
        <w:rPr>
          <w:rFonts w:hint="eastAsia" w:ascii="仿宋" w:hAnsi="仿宋" w:eastAsia="仿宋" w:cs="仿宋"/>
          <w:color w:val="auto"/>
          <w:kern w:val="0"/>
          <w:sz w:val="32"/>
          <w:szCs w:val="32"/>
          <w:highlight w:val="none"/>
          <w:lang w:val="en-US" w:eastAsia="zh-CN"/>
        </w:rPr>
        <w:t>铜川市新区财政局《关于开展2021年新区项目和部门整体支出绩效自评及重点项目绩效评价</w:t>
      </w:r>
      <w:r>
        <w:rPr>
          <w:rFonts w:hint="eastAsia" w:ascii="仿宋" w:hAnsi="仿宋" w:eastAsia="仿宋" w:cs="仿宋"/>
          <w:color w:val="auto"/>
          <w:kern w:val="0"/>
          <w:sz w:val="32"/>
          <w:szCs w:val="32"/>
          <w:highlight w:val="none"/>
          <w:lang w:val="en-US" w:eastAsia="zh-Hans"/>
        </w:rPr>
        <w:t>工作</w:t>
      </w:r>
      <w:r>
        <w:rPr>
          <w:rFonts w:hint="eastAsia" w:ascii="仿宋" w:hAnsi="仿宋" w:eastAsia="仿宋" w:cs="仿宋"/>
          <w:color w:val="auto"/>
          <w:kern w:val="0"/>
          <w:sz w:val="32"/>
          <w:szCs w:val="32"/>
          <w:highlight w:val="none"/>
          <w:lang w:val="en-US" w:eastAsia="zh-CN"/>
        </w:rPr>
        <w:t>的通知》</w:t>
      </w:r>
      <w:r>
        <w:rPr>
          <w:rFonts w:hint="eastAsia" w:ascii="仿宋" w:hAnsi="仿宋" w:eastAsia="仿宋" w:cs="仿宋"/>
          <w:color w:val="auto"/>
          <w:kern w:val="0"/>
          <w:sz w:val="32"/>
          <w:szCs w:val="32"/>
          <w:highlight w:val="none"/>
          <w:shd w:val="clear" w:color="auto" w:fill="FFFFFF"/>
          <w:lang w:val="en-US" w:eastAsia="zh-Hans"/>
        </w:rPr>
        <w:t>文件规定，对</w:t>
      </w:r>
      <w:r>
        <w:rPr>
          <w:rFonts w:hint="eastAsia" w:ascii="仿宋" w:hAnsi="仿宋" w:eastAsia="仿宋" w:cs="仿宋"/>
          <w:color w:val="auto"/>
          <w:kern w:val="0"/>
          <w:sz w:val="32"/>
          <w:szCs w:val="32"/>
          <w:highlight w:val="none"/>
          <w:shd w:val="clear" w:color="auto" w:fill="FFFFFF"/>
          <w:lang w:val="en-US" w:eastAsia="zh-CN"/>
        </w:rPr>
        <w:t>铜川市新区咸丰路街道办事处</w:t>
      </w:r>
      <w:r>
        <w:rPr>
          <w:rFonts w:hint="eastAsia" w:ascii="仿宋" w:hAnsi="仿宋" w:eastAsia="仿宋" w:cs="仿宋"/>
          <w:color w:val="auto"/>
          <w:kern w:val="0"/>
          <w:sz w:val="32"/>
          <w:szCs w:val="32"/>
          <w:highlight w:val="none"/>
          <w:shd w:val="clear" w:color="auto" w:fill="FFFFFF"/>
          <w:lang w:val="en-US" w:eastAsia="zh-Hans"/>
        </w:rPr>
        <w:t>202</w:t>
      </w:r>
      <w:r>
        <w:rPr>
          <w:rFonts w:hint="eastAsia" w:ascii="仿宋" w:hAnsi="仿宋" w:eastAsia="仿宋" w:cs="仿宋"/>
          <w:color w:val="auto"/>
          <w:kern w:val="0"/>
          <w:sz w:val="32"/>
          <w:szCs w:val="32"/>
          <w:highlight w:val="none"/>
          <w:shd w:val="clear" w:color="auto" w:fill="FFFFFF"/>
          <w:lang w:val="en-US" w:eastAsia="zh-CN"/>
        </w:rPr>
        <w:t>1</w:t>
      </w:r>
      <w:r>
        <w:rPr>
          <w:rFonts w:hint="eastAsia" w:ascii="仿宋" w:hAnsi="仿宋" w:eastAsia="仿宋" w:cs="仿宋"/>
          <w:color w:val="auto"/>
          <w:kern w:val="0"/>
          <w:sz w:val="32"/>
          <w:szCs w:val="32"/>
          <w:highlight w:val="none"/>
          <w:shd w:val="clear" w:color="auto" w:fill="FFFFFF"/>
          <w:lang w:val="en-US" w:eastAsia="zh-Hans"/>
        </w:rPr>
        <w:t>年度</w:t>
      </w:r>
      <w:r>
        <w:rPr>
          <w:rFonts w:hint="eastAsia" w:ascii="仿宋" w:hAnsi="仿宋" w:eastAsia="仿宋" w:cs="仿宋"/>
          <w:color w:val="auto"/>
          <w:kern w:val="0"/>
          <w:sz w:val="32"/>
          <w:szCs w:val="32"/>
          <w:highlight w:val="none"/>
          <w:shd w:val="clear" w:color="auto" w:fill="FFFFFF"/>
          <w:lang w:val="en-US" w:eastAsia="zh-CN"/>
        </w:rPr>
        <w:t>部门</w:t>
      </w:r>
      <w:r>
        <w:rPr>
          <w:rFonts w:hint="eastAsia" w:ascii="仿宋" w:hAnsi="仿宋" w:eastAsia="仿宋" w:cs="仿宋"/>
          <w:color w:val="auto"/>
          <w:kern w:val="0"/>
          <w:sz w:val="32"/>
          <w:szCs w:val="32"/>
          <w:highlight w:val="none"/>
          <w:shd w:val="clear" w:color="auto" w:fill="FFFFFF"/>
          <w:lang w:val="en-US" w:eastAsia="zh-Hans"/>
        </w:rPr>
        <w:t>整体支出资金使用情况，以及部门职能及重点工作执行情况进行绩效评价。</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 w:hAnsi="仿宋" w:eastAsia="仿宋" w:cs="仿宋"/>
          <w:b/>
          <w:bCs/>
          <w:color w:val="auto"/>
          <w:kern w:val="0"/>
          <w:sz w:val="32"/>
          <w:szCs w:val="32"/>
          <w:highlight w:val="none"/>
          <w:shd w:val="clear" w:color="auto" w:fill="FFFFFF"/>
          <w:lang w:val="en-US" w:eastAsia="zh-CN"/>
        </w:rPr>
      </w:pPr>
      <w:r>
        <w:rPr>
          <w:rFonts w:hint="eastAsia" w:ascii="仿宋" w:hAnsi="仿宋" w:eastAsia="仿宋" w:cs="仿宋"/>
          <w:b/>
          <w:bCs/>
          <w:color w:val="auto"/>
          <w:kern w:val="0"/>
          <w:sz w:val="32"/>
          <w:szCs w:val="32"/>
          <w:highlight w:val="none"/>
          <w:shd w:val="clear" w:color="auto" w:fill="FFFFFF"/>
          <w:lang w:val="en-US" w:eastAsia="zh-Hans"/>
        </w:rPr>
        <w:t>1.评价目的</w:t>
      </w:r>
      <w:r>
        <w:rPr>
          <w:rFonts w:hint="eastAsia" w:ascii="仿宋" w:hAnsi="仿宋" w:eastAsia="仿宋" w:cs="仿宋"/>
          <w:b/>
          <w:bCs/>
          <w:color w:val="auto"/>
          <w:kern w:val="0"/>
          <w:sz w:val="32"/>
          <w:szCs w:val="32"/>
          <w:highlight w:val="none"/>
          <w:shd w:val="clear" w:color="auto" w:fill="FFFFFF"/>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本次绩效评价工作主要目的包括如下两部分：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一是通过开展部门整体支出绩效评价，促进部门从整体上提升预算绩效管理工作水平，强化部门支出责任，规范资金管理行为，提高财政资金使用效益，保障部门更好地履行职责。</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二是通过本次绩效评价工作的开展，为铜川市</w:t>
      </w:r>
      <w:r>
        <w:rPr>
          <w:rFonts w:hint="eastAsia" w:ascii="仿宋" w:hAnsi="仿宋" w:eastAsia="仿宋" w:cs="仿宋"/>
          <w:color w:val="auto"/>
          <w:kern w:val="0"/>
          <w:sz w:val="32"/>
          <w:szCs w:val="32"/>
          <w:highlight w:val="none"/>
          <w:shd w:val="clear" w:color="auto" w:fill="FFFFFF"/>
          <w:lang w:val="en-US" w:eastAsia="zh-CN"/>
        </w:rPr>
        <w:t>新区</w:t>
      </w:r>
      <w:r>
        <w:rPr>
          <w:rFonts w:hint="eastAsia" w:ascii="仿宋" w:hAnsi="仿宋" w:eastAsia="仿宋" w:cs="仿宋"/>
          <w:color w:val="auto"/>
          <w:kern w:val="0"/>
          <w:sz w:val="32"/>
          <w:szCs w:val="32"/>
          <w:highlight w:val="none"/>
          <w:shd w:val="clear" w:color="auto" w:fill="FFFFFF"/>
          <w:lang w:val="en-US" w:eastAsia="zh-Hans"/>
        </w:rPr>
        <w:t>财政绩效管理工作积累经验，并有效落实绩效评价结果应用，探索更加符合财政管理特点的绩效管理模式和方法，优化</w:t>
      </w:r>
      <w:r>
        <w:rPr>
          <w:rFonts w:hint="eastAsia" w:ascii="仿宋" w:hAnsi="仿宋" w:eastAsia="仿宋" w:cs="仿宋"/>
          <w:color w:val="auto"/>
          <w:kern w:val="0"/>
          <w:sz w:val="32"/>
          <w:szCs w:val="32"/>
          <w:highlight w:val="none"/>
          <w:shd w:val="clear" w:color="auto" w:fill="FFFFFF"/>
          <w:lang w:val="en-US" w:eastAsia="zh-CN"/>
        </w:rPr>
        <w:t>财政支出结构</w:t>
      </w:r>
      <w:r>
        <w:rPr>
          <w:rFonts w:hint="eastAsia" w:ascii="仿宋" w:hAnsi="仿宋" w:eastAsia="仿宋" w:cs="仿宋"/>
          <w:color w:val="auto"/>
          <w:kern w:val="0"/>
          <w:sz w:val="32"/>
          <w:szCs w:val="32"/>
          <w:highlight w:val="none"/>
          <w:shd w:val="clear" w:color="auto" w:fill="FFFFFF"/>
          <w:lang w:val="en-US" w:eastAsia="zh-Hans"/>
        </w:rPr>
        <w:t>，提升财政支出</w:t>
      </w:r>
      <w:r>
        <w:rPr>
          <w:rFonts w:hint="eastAsia" w:ascii="仿宋" w:hAnsi="仿宋" w:eastAsia="仿宋" w:cs="仿宋"/>
          <w:color w:val="auto"/>
          <w:kern w:val="0"/>
          <w:sz w:val="32"/>
          <w:szCs w:val="32"/>
          <w:highlight w:val="none"/>
          <w:shd w:val="clear" w:color="auto" w:fill="FFFFFF"/>
          <w:lang w:val="en-US" w:eastAsia="zh-CN"/>
        </w:rPr>
        <w:t>预算</w:t>
      </w:r>
      <w:r>
        <w:rPr>
          <w:rFonts w:hint="eastAsia" w:ascii="仿宋" w:hAnsi="仿宋" w:eastAsia="仿宋" w:cs="仿宋"/>
          <w:color w:val="auto"/>
          <w:kern w:val="0"/>
          <w:sz w:val="32"/>
          <w:szCs w:val="32"/>
          <w:highlight w:val="none"/>
          <w:shd w:val="clear" w:color="auto" w:fill="FFFFFF"/>
          <w:lang w:val="en-US" w:eastAsia="zh-Hans"/>
        </w:rPr>
        <w:t>执行效率。</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 w:hAnsi="仿宋" w:eastAsia="仿宋" w:cs="仿宋"/>
          <w:b/>
          <w:bCs/>
          <w:color w:val="auto"/>
          <w:kern w:val="0"/>
          <w:sz w:val="32"/>
          <w:szCs w:val="32"/>
          <w:highlight w:val="none"/>
          <w:shd w:val="clear" w:color="auto" w:fill="FFFFFF"/>
          <w:lang w:val="en-US" w:eastAsia="zh-CN"/>
        </w:rPr>
      </w:pPr>
      <w:r>
        <w:rPr>
          <w:rFonts w:hint="eastAsia" w:ascii="仿宋" w:hAnsi="仿宋" w:eastAsia="仿宋" w:cs="仿宋"/>
          <w:b/>
          <w:bCs/>
          <w:color w:val="auto"/>
          <w:kern w:val="0"/>
          <w:sz w:val="32"/>
          <w:szCs w:val="32"/>
          <w:highlight w:val="none"/>
          <w:shd w:val="clear" w:color="auto" w:fill="FFFFFF"/>
          <w:lang w:val="en-US" w:eastAsia="zh-Hans"/>
        </w:rPr>
        <w:t>2.评价依据</w:t>
      </w:r>
      <w:r>
        <w:rPr>
          <w:rFonts w:hint="eastAsia" w:ascii="仿宋" w:hAnsi="仿宋" w:eastAsia="仿宋" w:cs="仿宋"/>
          <w:b/>
          <w:bCs/>
          <w:color w:val="auto"/>
          <w:kern w:val="0"/>
          <w:sz w:val="32"/>
          <w:szCs w:val="32"/>
          <w:highlight w:val="none"/>
          <w:shd w:val="clear" w:color="auto" w:fill="FFFFFF"/>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（1）《财政部关于印发&lt;项目支出绩效评价管理办法&gt;的通知》（财预〔2020〕10 号）；</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（2）《预算绩效评价共性指标体系框架》（财预〔2013〕53 号）；</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（3）陕西省财政厅关于印发《省级部门整体支出绩效评价办法》的通知(陕财办预〔2017〕80 号)</w:t>
      </w:r>
      <w:r>
        <w:rPr>
          <w:rFonts w:hint="eastAsia" w:ascii="仿宋" w:hAnsi="仿宋" w:eastAsia="仿宋" w:cs="仿宋"/>
          <w:color w:val="auto"/>
          <w:kern w:val="0"/>
          <w:sz w:val="32"/>
          <w:szCs w:val="32"/>
          <w:highlight w:val="none"/>
          <w:shd w:val="clear" w:color="auto" w:fill="FFFFFF"/>
          <w:lang w:val="en-US" w:eastAsia="zh-CN"/>
        </w:rPr>
        <w:t>；</w:t>
      </w:r>
      <w:r>
        <w:rPr>
          <w:rFonts w:hint="eastAsia" w:ascii="仿宋" w:hAnsi="仿宋" w:eastAsia="仿宋" w:cs="仿宋"/>
          <w:color w:val="auto"/>
          <w:kern w:val="0"/>
          <w:sz w:val="32"/>
          <w:szCs w:val="32"/>
          <w:highlight w:val="none"/>
          <w:shd w:val="clear" w:color="auto" w:fill="FFFFFF"/>
          <w:lang w:val="en-US" w:eastAsia="zh-Hans"/>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（4）</w:t>
      </w:r>
      <w:r>
        <w:rPr>
          <w:rFonts w:hint="eastAsia" w:ascii="仿宋" w:hAnsi="仿宋" w:eastAsia="仿宋" w:cs="仿宋"/>
          <w:color w:val="auto"/>
          <w:kern w:val="0"/>
          <w:sz w:val="32"/>
          <w:szCs w:val="32"/>
          <w:highlight w:val="none"/>
          <w:lang w:val="en-US" w:eastAsia="zh-CN"/>
        </w:rPr>
        <w:t>铜川市新区财政局《关于开展2021年新区项目和部门整体支出绩效自评及重点项目绩效评价</w:t>
      </w:r>
      <w:r>
        <w:rPr>
          <w:rFonts w:hint="eastAsia" w:ascii="仿宋" w:hAnsi="仿宋" w:eastAsia="仿宋" w:cs="仿宋"/>
          <w:color w:val="auto"/>
          <w:kern w:val="0"/>
          <w:sz w:val="32"/>
          <w:szCs w:val="32"/>
          <w:highlight w:val="none"/>
          <w:lang w:val="en-US" w:eastAsia="zh-Hans"/>
        </w:rPr>
        <w:t>工作</w:t>
      </w:r>
      <w:r>
        <w:rPr>
          <w:rFonts w:hint="eastAsia" w:ascii="仿宋" w:hAnsi="仿宋" w:eastAsia="仿宋" w:cs="仿宋"/>
          <w:color w:val="auto"/>
          <w:kern w:val="0"/>
          <w:sz w:val="32"/>
          <w:szCs w:val="32"/>
          <w:highlight w:val="none"/>
          <w:lang w:val="en-US" w:eastAsia="zh-CN"/>
        </w:rPr>
        <w:t>的通知》</w:t>
      </w:r>
      <w:r>
        <w:rPr>
          <w:rFonts w:hint="eastAsia" w:ascii="仿宋" w:hAnsi="仿宋" w:eastAsia="仿宋" w:cs="仿宋"/>
          <w:color w:val="auto"/>
          <w:kern w:val="0"/>
          <w:sz w:val="32"/>
          <w:szCs w:val="32"/>
          <w:highlight w:val="none"/>
          <w:shd w:val="clear" w:color="auto" w:fill="FFFFFF"/>
          <w:lang w:val="en-US" w:eastAsia="zh-Hans"/>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default"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Hans"/>
        </w:rPr>
        <w:t>（5）</w:t>
      </w:r>
      <w:r>
        <w:rPr>
          <w:rFonts w:hint="eastAsia" w:ascii="仿宋" w:hAnsi="仿宋" w:eastAsia="仿宋" w:cs="仿宋"/>
          <w:color w:val="auto"/>
          <w:kern w:val="0"/>
          <w:sz w:val="32"/>
          <w:szCs w:val="32"/>
          <w:highlight w:val="none"/>
          <w:shd w:val="clear" w:color="auto" w:fill="FFFFFF"/>
          <w:lang w:val="en-US" w:eastAsia="zh-CN"/>
        </w:rPr>
        <w:t>铜川市新区财政局《关于下达2021年部门预算的通知》</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CN"/>
        </w:rPr>
        <w:t>（6）</w:t>
      </w:r>
      <w:r>
        <w:rPr>
          <w:rFonts w:hint="eastAsia" w:ascii="仿宋" w:hAnsi="仿宋" w:eastAsia="仿宋" w:cs="仿宋"/>
          <w:color w:val="auto"/>
          <w:kern w:val="0"/>
          <w:sz w:val="32"/>
          <w:szCs w:val="32"/>
          <w:highlight w:val="none"/>
          <w:shd w:val="clear" w:color="auto" w:fill="FFFFFF"/>
          <w:lang w:val="en-US" w:eastAsia="zh-Hans"/>
        </w:rPr>
        <w:t>《关于做好202</w:t>
      </w:r>
      <w:r>
        <w:rPr>
          <w:rFonts w:hint="eastAsia" w:ascii="仿宋" w:hAnsi="仿宋" w:eastAsia="仿宋" w:cs="仿宋"/>
          <w:color w:val="auto"/>
          <w:kern w:val="0"/>
          <w:sz w:val="32"/>
          <w:szCs w:val="32"/>
          <w:highlight w:val="none"/>
          <w:shd w:val="clear" w:color="auto" w:fill="FFFFFF"/>
          <w:lang w:val="en-US" w:eastAsia="zh-CN"/>
        </w:rPr>
        <w:t>1</w:t>
      </w:r>
      <w:r>
        <w:rPr>
          <w:rFonts w:hint="eastAsia" w:ascii="仿宋" w:hAnsi="仿宋" w:eastAsia="仿宋" w:cs="仿宋"/>
          <w:color w:val="auto"/>
          <w:kern w:val="0"/>
          <w:sz w:val="32"/>
          <w:szCs w:val="32"/>
          <w:highlight w:val="none"/>
          <w:shd w:val="clear" w:color="auto" w:fill="FFFFFF"/>
          <w:lang w:val="en-US" w:eastAsia="zh-Hans"/>
        </w:rPr>
        <w:t>年部门预算公开的通知》</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w:t>
      </w:r>
      <w:r>
        <w:rPr>
          <w:rFonts w:hint="eastAsia" w:ascii="仿宋" w:hAnsi="仿宋" w:eastAsia="仿宋" w:cs="仿宋"/>
          <w:color w:val="auto"/>
          <w:kern w:val="0"/>
          <w:sz w:val="32"/>
          <w:szCs w:val="32"/>
          <w:highlight w:val="none"/>
          <w:shd w:val="clear" w:color="auto" w:fill="FFFFFF"/>
          <w:lang w:val="en-US" w:eastAsia="zh-CN"/>
        </w:rPr>
        <w:t>7</w:t>
      </w:r>
      <w:r>
        <w:rPr>
          <w:rFonts w:hint="eastAsia" w:ascii="仿宋" w:hAnsi="仿宋" w:eastAsia="仿宋" w:cs="仿宋"/>
          <w:color w:val="auto"/>
          <w:kern w:val="0"/>
          <w:sz w:val="32"/>
          <w:szCs w:val="32"/>
          <w:highlight w:val="none"/>
          <w:shd w:val="clear" w:color="auto" w:fill="FFFFFF"/>
          <w:lang w:val="en-US" w:eastAsia="zh-Hans"/>
        </w:rPr>
        <w:t>）《铜川市预决算公开工作考核办法》（铜财预〔2018〕117 号）；</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w:t>
      </w:r>
      <w:r>
        <w:rPr>
          <w:rFonts w:hint="eastAsia" w:ascii="仿宋" w:hAnsi="仿宋" w:eastAsia="仿宋" w:cs="仿宋"/>
          <w:color w:val="auto"/>
          <w:kern w:val="0"/>
          <w:sz w:val="32"/>
          <w:szCs w:val="32"/>
          <w:highlight w:val="none"/>
          <w:shd w:val="clear" w:color="auto" w:fill="FFFFFF"/>
          <w:lang w:val="en-US" w:eastAsia="zh-CN"/>
        </w:rPr>
        <w:t>8</w:t>
      </w:r>
      <w:r>
        <w:rPr>
          <w:rFonts w:hint="eastAsia" w:ascii="仿宋" w:hAnsi="仿宋" w:eastAsia="仿宋" w:cs="仿宋"/>
          <w:color w:val="auto"/>
          <w:kern w:val="0"/>
          <w:sz w:val="32"/>
          <w:szCs w:val="32"/>
          <w:highlight w:val="none"/>
          <w:shd w:val="clear" w:color="auto" w:fill="FFFFFF"/>
          <w:lang w:val="en-US" w:eastAsia="zh-Hans"/>
        </w:rPr>
        <w:t>）《地方预决算公开操作规程》（铜财预〔2016〕102号）；</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default"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Hans"/>
        </w:rPr>
        <w:t>（</w:t>
      </w:r>
      <w:r>
        <w:rPr>
          <w:rFonts w:hint="eastAsia" w:ascii="仿宋" w:hAnsi="仿宋" w:eastAsia="仿宋" w:cs="仿宋"/>
          <w:color w:val="auto"/>
          <w:kern w:val="0"/>
          <w:sz w:val="32"/>
          <w:szCs w:val="32"/>
          <w:highlight w:val="none"/>
          <w:shd w:val="clear" w:color="auto" w:fill="FFFFFF"/>
          <w:lang w:val="en-US" w:eastAsia="zh-CN"/>
        </w:rPr>
        <w:t>9</w:t>
      </w:r>
      <w:r>
        <w:rPr>
          <w:rFonts w:hint="eastAsia" w:ascii="仿宋" w:hAnsi="仿宋" w:eastAsia="仿宋" w:cs="仿宋"/>
          <w:color w:val="auto"/>
          <w:kern w:val="0"/>
          <w:sz w:val="32"/>
          <w:szCs w:val="32"/>
          <w:highlight w:val="none"/>
          <w:shd w:val="clear" w:color="auto" w:fill="FFFFFF"/>
          <w:lang w:val="en-US" w:eastAsia="zh-Hans"/>
        </w:rPr>
        <w:t>）铜川市财政局印发的《市级部门预算绩效目标管理暂行办法》（铜财预〔2016〕74号）；</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default"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（10）铜川市新区咸丰路街道办事处2021年度部门综合预算和决算文件；</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CN"/>
        </w:rPr>
        <w:t>（11）</w:t>
      </w:r>
      <w:r>
        <w:rPr>
          <w:rFonts w:hint="eastAsia" w:ascii="仿宋" w:hAnsi="仿宋" w:eastAsia="仿宋" w:cs="仿宋"/>
          <w:color w:val="auto"/>
          <w:kern w:val="0"/>
          <w:sz w:val="32"/>
          <w:szCs w:val="32"/>
          <w:highlight w:val="none"/>
          <w:shd w:val="clear" w:color="auto" w:fill="FFFFFF"/>
          <w:lang w:val="en-US" w:eastAsia="zh-Hans"/>
        </w:rPr>
        <w:t>铜川市</w:t>
      </w:r>
      <w:r>
        <w:rPr>
          <w:rFonts w:hint="eastAsia" w:ascii="仿宋" w:hAnsi="仿宋" w:eastAsia="仿宋" w:cs="仿宋"/>
          <w:color w:val="auto"/>
          <w:kern w:val="0"/>
          <w:sz w:val="32"/>
          <w:szCs w:val="32"/>
          <w:highlight w:val="none"/>
          <w:shd w:val="clear" w:color="auto" w:fill="FFFFFF"/>
          <w:lang w:val="en-US" w:eastAsia="zh-CN"/>
        </w:rPr>
        <w:t>新区咸丰路街道办事处</w:t>
      </w:r>
      <w:r>
        <w:rPr>
          <w:rFonts w:hint="eastAsia" w:ascii="仿宋" w:hAnsi="仿宋" w:eastAsia="仿宋" w:cs="仿宋"/>
          <w:color w:val="auto"/>
          <w:kern w:val="0"/>
          <w:sz w:val="32"/>
          <w:szCs w:val="32"/>
          <w:highlight w:val="none"/>
          <w:shd w:val="clear" w:color="auto" w:fill="FFFFFF"/>
          <w:lang w:val="en-US" w:eastAsia="zh-Hans"/>
        </w:rPr>
        <w:t>相关职责、制度及管理办法；</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（1</w:t>
      </w:r>
      <w:r>
        <w:rPr>
          <w:rFonts w:hint="eastAsia" w:ascii="仿宋" w:hAnsi="仿宋" w:eastAsia="仿宋" w:cs="仿宋"/>
          <w:color w:val="auto"/>
          <w:kern w:val="0"/>
          <w:sz w:val="32"/>
          <w:szCs w:val="32"/>
          <w:highlight w:val="none"/>
          <w:shd w:val="clear" w:color="auto" w:fill="FFFFFF"/>
          <w:lang w:val="en-US" w:eastAsia="zh-CN"/>
        </w:rPr>
        <w:t>2</w:t>
      </w:r>
      <w:r>
        <w:rPr>
          <w:rFonts w:hint="eastAsia" w:ascii="仿宋" w:hAnsi="仿宋" w:eastAsia="仿宋" w:cs="仿宋"/>
          <w:color w:val="auto"/>
          <w:kern w:val="0"/>
          <w:sz w:val="32"/>
          <w:szCs w:val="32"/>
          <w:highlight w:val="none"/>
          <w:shd w:val="clear" w:color="auto" w:fill="FFFFFF"/>
          <w:lang w:val="en-US" w:eastAsia="zh-Hans"/>
        </w:rPr>
        <w:t>）铜川市</w:t>
      </w:r>
      <w:r>
        <w:rPr>
          <w:rFonts w:hint="eastAsia" w:ascii="仿宋" w:hAnsi="仿宋" w:eastAsia="仿宋" w:cs="仿宋"/>
          <w:color w:val="auto"/>
          <w:kern w:val="0"/>
          <w:sz w:val="32"/>
          <w:szCs w:val="32"/>
          <w:highlight w:val="none"/>
          <w:shd w:val="clear" w:color="auto" w:fill="FFFFFF"/>
          <w:lang w:val="en-US" w:eastAsia="zh-CN"/>
        </w:rPr>
        <w:t>新区咸丰路街道办事处2021年度重点工作</w:t>
      </w:r>
      <w:r>
        <w:rPr>
          <w:rFonts w:hint="eastAsia" w:ascii="仿宋" w:hAnsi="仿宋" w:eastAsia="仿宋" w:cs="仿宋"/>
          <w:color w:val="auto"/>
          <w:kern w:val="0"/>
          <w:sz w:val="32"/>
          <w:szCs w:val="32"/>
          <w:highlight w:val="none"/>
          <w:shd w:val="clear" w:color="auto" w:fill="FFFFFF"/>
          <w:lang w:val="en-US" w:eastAsia="zh-Hans"/>
        </w:rPr>
        <w:t>资料（预算批复文件、项目支出明细账、会计凭证等财务资料，年度工作计划、项目</w:t>
      </w:r>
      <w:r>
        <w:rPr>
          <w:rFonts w:hint="eastAsia" w:ascii="仿宋" w:hAnsi="仿宋" w:eastAsia="仿宋" w:cs="仿宋"/>
          <w:color w:val="auto"/>
          <w:kern w:val="0"/>
          <w:sz w:val="32"/>
          <w:szCs w:val="32"/>
          <w:highlight w:val="none"/>
          <w:shd w:val="clear" w:color="auto" w:fill="FFFFFF"/>
          <w:lang w:val="en-US" w:eastAsia="zh-CN"/>
        </w:rPr>
        <w:t>合同文件、验收资料</w:t>
      </w:r>
      <w:r>
        <w:rPr>
          <w:rFonts w:hint="eastAsia" w:ascii="仿宋" w:hAnsi="仿宋" w:eastAsia="仿宋" w:cs="仿宋"/>
          <w:color w:val="auto"/>
          <w:kern w:val="0"/>
          <w:sz w:val="32"/>
          <w:szCs w:val="32"/>
          <w:highlight w:val="none"/>
          <w:shd w:val="clear" w:color="auto" w:fill="FFFFFF"/>
          <w:lang w:val="en-US" w:eastAsia="zh-Hans"/>
        </w:rPr>
        <w:t>、年度工作总结、阶段总结、绩效佐证资料等档案资料）。</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1"/>
        <w:rPr>
          <w:rFonts w:hint="eastAsia" w:ascii="楷体" w:hAnsi="楷体" w:eastAsia="楷体" w:cs="楷体"/>
          <w:b/>
          <w:bCs/>
          <w:color w:val="auto"/>
          <w:kern w:val="0"/>
          <w:sz w:val="32"/>
          <w:szCs w:val="32"/>
          <w:highlight w:val="none"/>
          <w:shd w:val="clear" w:color="auto" w:fill="FFFFFF"/>
          <w:lang w:val="en-US" w:eastAsia="zh-Hans"/>
        </w:rPr>
      </w:pPr>
      <w:bookmarkStart w:id="8" w:name="_Toc10668"/>
      <w:r>
        <w:rPr>
          <w:rFonts w:hint="eastAsia" w:ascii="楷体" w:hAnsi="楷体" w:eastAsia="楷体" w:cs="楷体"/>
          <w:b/>
          <w:bCs/>
          <w:color w:val="auto"/>
          <w:kern w:val="0"/>
          <w:sz w:val="32"/>
          <w:szCs w:val="32"/>
          <w:highlight w:val="none"/>
          <w:shd w:val="clear" w:color="auto" w:fill="FFFFFF"/>
          <w:lang w:val="en-US" w:eastAsia="zh-Hans"/>
        </w:rPr>
        <w:t>（二）评价对象、范围和时段</w:t>
      </w:r>
      <w:bookmarkEnd w:id="8"/>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评价对象：铜川市</w:t>
      </w:r>
      <w:r>
        <w:rPr>
          <w:rFonts w:hint="eastAsia" w:ascii="仿宋" w:hAnsi="仿宋" w:eastAsia="仿宋" w:cs="仿宋"/>
          <w:color w:val="auto"/>
          <w:kern w:val="0"/>
          <w:sz w:val="32"/>
          <w:szCs w:val="32"/>
          <w:highlight w:val="none"/>
          <w:shd w:val="clear" w:color="auto" w:fill="FFFFFF"/>
          <w:lang w:val="en-US" w:eastAsia="zh-CN"/>
        </w:rPr>
        <w:t>新区咸丰路街道办事处</w:t>
      </w:r>
      <w:r>
        <w:rPr>
          <w:rFonts w:hint="eastAsia" w:ascii="仿宋" w:hAnsi="仿宋" w:eastAsia="仿宋" w:cs="仿宋"/>
          <w:color w:val="auto"/>
          <w:kern w:val="0"/>
          <w:sz w:val="32"/>
          <w:szCs w:val="32"/>
          <w:highlight w:val="none"/>
          <w:shd w:val="clear" w:color="auto" w:fill="FFFFFF"/>
          <w:lang w:val="en-US" w:eastAsia="zh-Hans"/>
        </w:rPr>
        <w:t>202</w:t>
      </w:r>
      <w:r>
        <w:rPr>
          <w:rFonts w:hint="eastAsia" w:ascii="仿宋" w:hAnsi="仿宋" w:eastAsia="仿宋" w:cs="仿宋"/>
          <w:color w:val="auto"/>
          <w:kern w:val="0"/>
          <w:sz w:val="32"/>
          <w:szCs w:val="32"/>
          <w:highlight w:val="none"/>
          <w:shd w:val="clear" w:color="auto" w:fill="FFFFFF"/>
          <w:lang w:val="en-US" w:eastAsia="zh-CN"/>
        </w:rPr>
        <w:t>1</w:t>
      </w:r>
      <w:r>
        <w:rPr>
          <w:rFonts w:hint="eastAsia" w:ascii="仿宋" w:hAnsi="仿宋" w:eastAsia="仿宋" w:cs="仿宋"/>
          <w:color w:val="auto"/>
          <w:kern w:val="0"/>
          <w:sz w:val="32"/>
          <w:szCs w:val="32"/>
          <w:highlight w:val="none"/>
          <w:shd w:val="clear" w:color="auto" w:fill="FFFFFF"/>
          <w:lang w:val="en-US" w:eastAsia="zh-Hans"/>
        </w:rPr>
        <w:t>年部门</w:t>
      </w:r>
      <w:r>
        <w:rPr>
          <w:rFonts w:hint="eastAsia" w:ascii="仿宋" w:hAnsi="仿宋" w:eastAsia="仿宋" w:cs="仿宋"/>
          <w:color w:val="auto"/>
          <w:kern w:val="0"/>
          <w:sz w:val="32"/>
          <w:szCs w:val="32"/>
          <w:highlight w:val="none"/>
          <w:shd w:val="clear" w:color="auto" w:fill="FFFFFF"/>
          <w:lang w:val="en-US" w:eastAsia="zh-CN"/>
        </w:rPr>
        <w:t>财政拨款</w:t>
      </w:r>
      <w:r>
        <w:rPr>
          <w:rFonts w:hint="eastAsia" w:ascii="仿宋" w:hAnsi="仿宋" w:eastAsia="仿宋" w:cs="仿宋"/>
          <w:color w:val="auto"/>
          <w:kern w:val="0"/>
          <w:sz w:val="32"/>
          <w:szCs w:val="32"/>
          <w:highlight w:val="none"/>
          <w:shd w:val="clear" w:color="auto" w:fill="FFFFFF"/>
          <w:lang w:val="en-US" w:eastAsia="zh-Hans"/>
        </w:rPr>
        <w:t>资金</w:t>
      </w:r>
      <w:r>
        <w:rPr>
          <w:rFonts w:hint="eastAsia" w:ascii="仿宋" w:hAnsi="仿宋" w:eastAsia="仿宋" w:cs="仿宋"/>
          <w:color w:val="auto"/>
          <w:kern w:val="0"/>
          <w:sz w:val="32"/>
          <w:szCs w:val="32"/>
          <w:highlight w:val="none"/>
          <w:shd w:val="clear" w:color="auto" w:fill="FFFFFF"/>
          <w:lang w:val="en-US" w:eastAsia="zh-CN"/>
        </w:rPr>
        <w:t>7669.63万元</w:t>
      </w:r>
      <w:r>
        <w:rPr>
          <w:rFonts w:hint="eastAsia" w:ascii="仿宋" w:hAnsi="仿宋" w:eastAsia="仿宋" w:cs="仿宋"/>
          <w:color w:val="auto"/>
          <w:kern w:val="0"/>
          <w:sz w:val="32"/>
          <w:szCs w:val="32"/>
          <w:highlight w:val="none"/>
          <w:shd w:val="clear" w:color="auto" w:fill="FFFFFF"/>
          <w:lang w:val="en-US" w:eastAsia="zh-Hans"/>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评价范围：铜川市</w:t>
      </w:r>
      <w:r>
        <w:rPr>
          <w:rFonts w:hint="eastAsia" w:ascii="仿宋" w:hAnsi="仿宋" w:eastAsia="仿宋" w:cs="仿宋"/>
          <w:color w:val="auto"/>
          <w:kern w:val="0"/>
          <w:sz w:val="32"/>
          <w:szCs w:val="32"/>
          <w:highlight w:val="none"/>
          <w:shd w:val="clear" w:color="auto" w:fill="FFFFFF"/>
          <w:lang w:val="en-US" w:eastAsia="zh-CN"/>
        </w:rPr>
        <w:t>新区咸丰路街道办事处</w:t>
      </w:r>
      <w:r>
        <w:rPr>
          <w:rFonts w:hint="eastAsia" w:ascii="仿宋" w:hAnsi="仿宋" w:eastAsia="仿宋" w:cs="仿宋"/>
          <w:color w:val="auto"/>
          <w:kern w:val="0"/>
          <w:sz w:val="32"/>
          <w:szCs w:val="32"/>
          <w:highlight w:val="none"/>
          <w:shd w:val="clear" w:color="auto" w:fill="FFFFFF"/>
          <w:lang w:val="en-US" w:eastAsia="zh-Hans"/>
        </w:rPr>
        <w:t>202</w:t>
      </w:r>
      <w:r>
        <w:rPr>
          <w:rFonts w:hint="eastAsia" w:ascii="仿宋" w:hAnsi="仿宋" w:eastAsia="仿宋" w:cs="仿宋"/>
          <w:color w:val="auto"/>
          <w:kern w:val="0"/>
          <w:sz w:val="32"/>
          <w:szCs w:val="32"/>
          <w:highlight w:val="none"/>
          <w:shd w:val="clear" w:color="auto" w:fill="FFFFFF"/>
          <w:lang w:val="en-US" w:eastAsia="zh-CN"/>
        </w:rPr>
        <w:t>1</w:t>
      </w:r>
      <w:r>
        <w:rPr>
          <w:rFonts w:hint="eastAsia" w:ascii="仿宋" w:hAnsi="仿宋" w:eastAsia="仿宋" w:cs="仿宋"/>
          <w:color w:val="auto"/>
          <w:kern w:val="0"/>
          <w:sz w:val="32"/>
          <w:szCs w:val="32"/>
          <w:highlight w:val="none"/>
          <w:shd w:val="clear" w:color="auto" w:fill="FFFFFF"/>
          <w:lang w:val="en-US" w:eastAsia="zh-Hans"/>
        </w:rPr>
        <w:t>年度依据部门职能开展的工作，以及职责范围内开展的</w:t>
      </w:r>
      <w:r>
        <w:rPr>
          <w:rFonts w:hint="eastAsia" w:ascii="仿宋" w:hAnsi="仿宋" w:eastAsia="仿宋" w:cs="仿宋"/>
          <w:color w:val="auto"/>
          <w:kern w:val="0"/>
          <w:sz w:val="32"/>
          <w:szCs w:val="32"/>
          <w:highlight w:val="none"/>
          <w:shd w:val="clear" w:color="auto" w:fill="FFFFFF"/>
          <w:lang w:val="en-US" w:eastAsia="zh-CN"/>
        </w:rPr>
        <w:t>重点工作安排</w:t>
      </w:r>
      <w:r>
        <w:rPr>
          <w:rFonts w:hint="eastAsia" w:ascii="仿宋" w:hAnsi="仿宋" w:eastAsia="仿宋" w:cs="仿宋"/>
          <w:color w:val="auto"/>
          <w:kern w:val="0"/>
          <w:sz w:val="32"/>
          <w:szCs w:val="32"/>
          <w:highlight w:val="none"/>
          <w:shd w:val="clear" w:color="auto" w:fill="FFFFFF"/>
          <w:lang w:val="en-US" w:eastAsia="zh-Hans"/>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评价时段：202</w:t>
      </w:r>
      <w:r>
        <w:rPr>
          <w:rFonts w:hint="eastAsia" w:ascii="仿宋" w:hAnsi="仿宋" w:eastAsia="仿宋" w:cs="仿宋"/>
          <w:color w:val="auto"/>
          <w:kern w:val="0"/>
          <w:sz w:val="32"/>
          <w:szCs w:val="32"/>
          <w:highlight w:val="none"/>
          <w:shd w:val="clear" w:color="auto" w:fill="FFFFFF"/>
          <w:lang w:val="en-US" w:eastAsia="zh-CN"/>
        </w:rPr>
        <w:t>1</w:t>
      </w:r>
      <w:r>
        <w:rPr>
          <w:rFonts w:hint="eastAsia" w:ascii="仿宋" w:hAnsi="仿宋" w:eastAsia="仿宋" w:cs="仿宋"/>
          <w:color w:val="auto"/>
          <w:kern w:val="0"/>
          <w:sz w:val="32"/>
          <w:szCs w:val="32"/>
          <w:highlight w:val="none"/>
          <w:shd w:val="clear" w:color="auto" w:fill="FFFFFF"/>
          <w:lang w:val="en-US" w:eastAsia="zh-Hans"/>
        </w:rPr>
        <w:t>年1月1日-202</w:t>
      </w:r>
      <w:r>
        <w:rPr>
          <w:rFonts w:hint="eastAsia" w:ascii="仿宋" w:hAnsi="仿宋" w:eastAsia="仿宋" w:cs="仿宋"/>
          <w:color w:val="auto"/>
          <w:kern w:val="0"/>
          <w:sz w:val="32"/>
          <w:szCs w:val="32"/>
          <w:highlight w:val="none"/>
          <w:shd w:val="clear" w:color="auto" w:fill="FFFFFF"/>
          <w:lang w:val="en-US" w:eastAsia="zh-CN"/>
        </w:rPr>
        <w:t>1</w:t>
      </w:r>
      <w:r>
        <w:rPr>
          <w:rFonts w:hint="eastAsia" w:ascii="仿宋" w:hAnsi="仿宋" w:eastAsia="仿宋" w:cs="仿宋"/>
          <w:color w:val="auto"/>
          <w:kern w:val="0"/>
          <w:sz w:val="32"/>
          <w:szCs w:val="32"/>
          <w:highlight w:val="none"/>
          <w:shd w:val="clear" w:color="auto" w:fill="FFFFFF"/>
          <w:lang w:val="en-US" w:eastAsia="zh-Hans"/>
        </w:rPr>
        <w:t>年12月31日。</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1"/>
        <w:rPr>
          <w:rFonts w:hint="eastAsia" w:ascii="楷体" w:hAnsi="楷体" w:eastAsia="楷体" w:cs="楷体"/>
          <w:b/>
          <w:bCs/>
          <w:color w:val="auto"/>
          <w:kern w:val="0"/>
          <w:sz w:val="32"/>
          <w:szCs w:val="32"/>
          <w:highlight w:val="none"/>
          <w:shd w:val="clear" w:color="auto" w:fill="FFFFFF"/>
          <w:lang w:val="en-US" w:eastAsia="zh-Hans"/>
        </w:rPr>
      </w:pPr>
      <w:bookmarkStart w:id="9" w:name="_Toc18458"/>
      <w:r>
        <w:rPr>
          <w:rFonts w:hint="eastAsia" w:ascii="楷体" w:hAnsi="楷体" w:eastAsia="楷体" w:cs="楷体"/>
          <w:b/>
          <w:bCs/>
          <w:color w:val="auto"/>
          <w:kern w:val="0"/>
          <w:sz w:val="32"/>
          <w:szCs w:val="32"/>
          <w:highlight w:val="none"/>
          <w:shd w:val="clear" w:color="auto" w:fill="FFFFFF"/>
          <w:lang w:val="en-US" w:eastAsia="zh-Hans"/>
        </w:rPr>
        <w:t>（三）绩效评价原则、方法</w:t>
      </w:r>
      <w:r>
        <w:rPr>
          <w:rFonts w:hint="eastAsia" w:ascii="楷体" w:hAnsi="楷体" w:eastAsia="楷体" w:cs="楷体"/>
          <w:b/>
          <w:bCs/>
          <w:color w:val="auto"/>
          <w:kern w:val="0"/>
          <w:sz w:val="32"/>
          <w:szCs w:val="32"/>
          <w:highlight w:val="none"/>
          <w:shd w:val="clear" w:color="auto" w:fill="FFFFFF"/>
          <w:lang w:val="en-US" w:eastAsia="zh-CN"/>
        </w:rPr>
        <w:t>和</w:t>
      </w:r>
      <w:r>
        <w:rPr>
          <w:rFonts w:hint="eastAsia" w:ascii="楷体" w:hAnsi="楷体" w:eastAsia="楷体" w:cs="楷体"/>
          <w:b/>
          <w:bCs/>
          <w:color w:val="auto"/>
          <w:kern w:val="0"/>
          <w:sz w:val="32"/>
          <w:szCs w:val="32"/>
          <w:highlight w:val="none"/>
          <w:shd w:val="clear" w:color="auto" w:fill="FFFFFF"/>
          <w:lang w:val="en-US" w:eastAsia="zh-Hans"/>
        </w:rPr>
        <w:t>指标体系</w:t>
      </w:r>
      <w:bookmarkEnd w:id="9"/>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 w:hAnsi="仿宋" w:eastAsia="仿宋" w:cs="仿宋"/>
          <w:b/>
          <w:bCs/>
          <w:color w:val="auto"/>
          <w:kern w:val="0"/>
          <w:sz w:val="32"/>
          <w:szCs w:val="32"/>
          <w:highlight w:val="none"/>
          <w:shd w:val="clear" w:color="auto" w:fill="FFFFFF"/>
          <w:lang w:val="en-US" w:eastAsia="zh-CN"/>
        </w:rPr>
      </w:pPr>
      <w:r>
        <w:rPr>
          <w:rFonts w:hint="eastAsia" w:ascii="仿宋" w:hAnsi="仿宋" w:eastAsia="仿宋" w:cs="仿宋"/>
          <w:b/>
          <w:bCs/>
          <w:color w:val="auto"/>
          <w:kern w:val="0"/>
          <w:sz w:val="32"/>
          <w:szCs w:val="32"/>
          <w:highlight w:val="none"/>
          <w:shd w:val="clear" w:color="auto" w:fill="FFFFFF"/>
          <w:lang w:val="en-US" w:eastAsia="zh-Hans"/>
        </w:rPr>
        <w:t>1.评价原则</w:t>
      </w:r>
      <w:r>
        <w:rPr>
          <w:rFonts w:hint="eastAsia" w:ascii="仿宋" w:hAnsi="仿宋" w:eastAsia="仿宋" w:cs="仿宋"/>
          <w:b/>
          <w:bCs/>
          <w:color w:val="auto"/>
          <w:kern w:val="0"/>
          <w:sz w:val="32"/>
          <w:szCs w:val="32"/>
          <w:highlight w:val="none"/>
          <w:shd w:val="clear" w:color="auto" w:fill="FFFFFF"/>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（1）科学规范原则。本次绩效评价工作按照科学可行的原则，采取定量分析与定性分析相结合的评价方法，评价机构设计绩效评价</w:t>
      </w:r>
      <w:r>
        <w:rPr>
          <w:rFonts w:hint="eastAsia" w:ascii="仿宋" w:hAnsi="仿宋" w:eastAsia="仿宋" w:cs="仿宋"/>
          <w:color w:val="auto"/>
          <w:kern w:val="0"/>
          <w:sz w:val="32"/>
          <w:szCs w:val="32"/>
          <w:highlight w:val="none"/>
          <w:shd w:val="clear" w:color="auto" w:fill="FFFFFF"/>
          <w:lang w:val="en-US" w:eastAsia="zh-CN"/>
        </w:rPr>
        <w:t>指标体系</w:t>
      </w:r>
      <w:r>
        <w:rPr>
          <w:rFonts w:hint="eastAsia" w:ascii="仿宋" w:hAnsi="仿宋" w:eastAsia="仿宋" w:cs="仿宋"/>
          <w:color w:val="auto"/>
          <w:kern w:val="0"/>
          <w:sz w:val="32"/>
          <w:szCs w:val="32"/>
          <w:highlight w:val="none"/>
          <w:shd w:val="clear" w:color="auto" w:fill="FFFFFF"/>
          <w:lang w:val="en-US" w:eastAsia="zh-Hans"/>
        </w:rPr>
        <w:t>并组织实施绩效评价。</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（2）独立公正原则。以真实、客观、公正的要求完成本次绩效评价工作，并接受相关部门监督。</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（3）绩效相关原则。本次绩效评价工作重点对该</w:t>
      </w:r>
      <w:r>
        <w:rPr>
          <w:rFonts w:hint="eastAsia" w:ascii="仿宋" w:hAnsi="仿宋" w:eastAsia="仿宋" w:cs="仿宋"/>
          <w:color w:val="auto"/>
          <w:kern w:val="0"/>
          <w:sz w:val="32"/>
          <w:szCs w:val="32"/>
          <w:highlight w:val="none"/>
          <w:shd w:val="clear" w:color="auto" w:fill="FFFFFF"/>
          <w:lang w:val="en-US" w:eastAsia="zh-CN"/>
        </w:rPr>
        <w:t>部门职责履行</w:t>
      </w:r>
      <w:r>
        <w:rPr>
          <w:rFonts w:hint="eastAsia" w:ascii="仿宋" w:hAnsi="仿宋" w:eastAsia="仿宋" w:cs="仿宋"/>
          <w:color w:val="auto"/>
          <w:kern w:val="0"/>
          <w:sz w:val="32"/>
          <w:szCs w:val="32"/>
          <w:highlight w:val="none"/>
          <w:shd w:val="clear" w:color="auto" w:fill="FFFFFF"/>
          <w:lang w:val="en-US" w:eastAsia="zh-Hans"/>
        </w:rPr>
        <w:t>及其</w:t>
      </w:r>
      <w:r>
        <w:rPr>
          <w:rFonts w:hint="eastAsia" w:ascii="仿宋" w:hAnsi="仿宋" w:eastAsia="仿宋" w:cs="仿宋"/>
          <w:color w:val="auto"/>
          <w:kern w:val="0"/>
          <w:sz w:val="32"/>
          <w:szCs w:val="32"/>
          <w:highlight w:val="none"/>
          <w:shd w:val="clear" w:color="auto" w:fill="FFFFFF"/>
          <w:lang w:val="en-US" w:eastAsia="zh-CN"/>
        </w:rPr>
        <w:t>履职效益</w:t>
      </w:r>
      <w:r>
        <w:rPr>
          <w:rFonts w:hint="eastAsia" w:ascii="仿宋" w:hAnsi="仿宋" w:eastAsia="仿宋" w:cs="仿宋"/>
          <w:color w:val="auto"/>
          <w:kern w:val="0"/>
          <w:sz w:val="32"/>
          <w:szCs w:val="32"/>
          <w:highlight w:val="none"/>
          <w:shd w:val="clear" w:color="auto" w:fill="FFFFFF"/>
          <w:lang w:val="en-US" w:eastAsia="zh-Hans"/>
        </w:rPr>
        <w:t>绩效进行评价，评价结果反映</w:t>
      </w:r>
      <w:r>
        <w:rPr>
          <w:rFonts w:hint="eastAsia" w:ascii="仿宋" w:hAnsi="仿宋" w:eastAsia="仿宋" w:cs="仿宋"/>
          <w:color w:val="auto"/>
          <w:kern w:val="0"/>
          <w:sz w:val="32"/>
          <w:szCs w:val="32"/>
          <w:highlight w:val="none"/>
          <w:shd w:val="clear" w:color="auto" w:fill="FFFFFF"/>
          <w:lang w:val="en-US" w:eastAsia="zh-CN"/>
        </w:rPr>
        <w:t>部门职责履行</w:t>
      </w:r>
      <w:r>
        <w:rPr>
          <w:rFonts w:hint="eastAsia" w:ascii="仿宋" w:hAnsi="仿宋" w:eastAsia="仿宋" w:cs="仿宋"/>
          <w:color w:val="auto"/>
          <w:kern w:val="0"/>
          <w:sz w:val="32"/>
          <w:szCs w:val="32"/>
          <w:highlight w:val="none"/>
          <w:shd w:val="clear" w:color="auto" w:fill="FFFFFF"/>
          <w:lang w:val="en-US" w:eastAsia="zh-Hans"/>
        </w:rPr>
        <w:t>与</w:t>
      </w:r>
      <w:r>
        <w:rPr>
          <w:rFonts w:hint="eastAsia" w:ascii="仿宋" w:hAnsi="仿宋" w:eastAsia="仿宋" w:cs="仿宋"/>
          <w:color w:val="auto"/>
          <w:kern w:val="0"/>
          <w:sz w:val="32"/>
          <w:szCs w:val="32"/>
          <w:highlight w:val="none"/>
          <w:shd w:val="clear" w:color="auto" w:fill="FFFFFF"/>
          <w:lang w:val="en-US" w:eastAsia="zh-CN"/>
        </w:rPr>
        <w:t>履行效益</w:t>
      </w:r>
      <w:r>
        <w:rPr>
          <w:rFonts w:hint="eastAsia" w:ascii="仿宋" w:hAnsi="仿宋" w:eastAsia="仿宋" w:cs="仿宋"/>
          <w:color w:val="auto"/>
          <w:kern w:val="0"/>
          <w:sz w:val="32"/>
          <w:szCs w:val="32"/>
          <w:highlight w:val="none"/>
          <w:shd w:val="clear" w:color="auto" w:fill="FFFFFF"/>
          <w:lang w:val="en-US" w:eastAsia="zh-Hans"/>
        </w:rPr>
        <w:t>之间的紧密对应关系。</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（4）简便有效原则。本次绩效评价工作尽量简化工作程序，尽量减少委托方、</w:t>
      </w:r>
      <w:r>
        <w:rPr>
          <w:rFonts w:hint="eastAsia" w:ascii="仿宋" w:hAnsi="仿宋" w:eastAsia="仿宋" w:cs="仿宋"/>
          <w:color w:val="auto"/>
          <w:kern w:val="0"/>
          <w:sz w:val="32"/>
          <w:szCs w:val="32"/>
          <w:highlight w:val="none"/>
          <w:shd w:val="clear" w:color="auto" w:fill="FFFFFF"/>
          <w:lang w:val="en-US" w:eastAsia="zh-CN"/>
        </w:rPr>
        <w:t>被评价部门</w:t>
      </w:r>
      <w:r>
        <w:rPr>
          <w:rFonts w:hint="eastAsia" w:ascii="仿宋" w:hAnsi="仿宋" w:eastAsia="仿宋" w:cs="仿宋"/>
          <w:color w:val="auto"/>
          <w:kern w:val="0"/>
          <w:sz w:val="32"/>
          <w:szCs w:val="32"/>
          <w:highlight w:val="none"/>
          <w:shd w:val="clear" w:color="auto" w:fill="FFFFFF"/>
          <w:lang w:val="en-US" w:eastAsia="zh-Hans"/>
        </w:rPr>
        <w:t>工作负担，通过科学合理的工作方式与方法，在全面分析绩效材料，并在与委托方、</w:t>
      </w:r>
      <w:r>
        <w:rPr>
          <w:rFonts w:hint="eastAsia" w:ascii="仿宋" w:hAnsi="仿宋" w:eastAsia="仿宋" w:cs="仿宋"/>
          <w:color w:val="auto"/>
          <w:kern w:val="0"/>
          <w:sz w:val="32"/>
          <w:szCs w:val="32"/>
          <w:highlight w:val="none"/>
          <w:shd w:val="clear" w:color="auto" w:fill="FFFFFF"/>
          <w:lang w:val="en-US" w:eastAsia="zh-CN"/>
        </w:rPr>
        <w:t>被评价部门</w:t>
      </w:r>
      <w:r>
        <w:rPr>
          <w:rFonts w:hint="eastAsia" w:ascii="仿宋" w:hAnsi="仿宋" w:eastAsia="仿宋" w:cs="仿宋"/>
          <w:color w:val="auto"/>
          <w:kern w:val="0"/>
          <w:sz w:val="32"/>
          <w:szCs w:val="32"/>
          <w:highlight w:val="none"/>
          <w:shd w:val="clear" w:color="auto" w:fill="FFFFFF"/>
          <w:lang w:val="en-US" w:eastAsia="zh-Hans"/>
        </w:rPr>
        <w:t>充分沟通的基础上，着力保障绩效评价工作本身的“绩效”。</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 w:hAnsi="仿宋" w:eastAsia="仿宋" w:cs="仿宋"/>
          <w:b/>
          <w:bCs/>
          <w:color w:val="auto"/>
          <w:kern w:val="0"/>
          <w:sz w:val="32"/>
          <w:szCs w:val="32"/>
          <w:highlight w:val="none"/>
          <w:shd w:val="clear" w:color="auto" w:fill="FFFFFF"/>
          <w:lang w:val="en-US" w:eastAsia="zh-CN"/>
        </w:rPr>
      </w:pPr>
      <w:r>
        <w:rPr>
          <w:rFonts w:hint="eastAsia" w:ascii="仿宋" w:hAnsi="仿宋" w:eastAsia="仿宋" w:cs="仿宋"/>
          <w:b/>
          <w:bCs/>
          <w:color w:val="auto"/>
          <w:kern w:val="0"/>
          <w:sz w:val="32"/>
          <w:szCs w:val="32"/>
          <w:highlight w:val="none"/>
          <w:shd w:val="clear" w:color="auto" w:fill="FFFFFF"/>
          <w:lang w:val="en-US" w:eastAsia="zh-Hans"/>
        </w:rPr>
        <w:t>2.评价方法</w:t>
      </w:r>
      <w:r>
        <w:rPr>
          <w:rFonts w:hint="eastAsia" w:ascii="仿宋" w:hAnsi="仿宋" w:eastAsia="仿宋" w:cs="仿宋"/>
          <w:b/>
          <w:bCs/>
          <w:color w:val="auto"/>
          <w:kern w:val="0"/>
          <w:sz w:val="32"/>
          <w:szCs w:val="32"/>
          <w:highlight w:val="none"/>
          <w:shd w:val="clear" w:color="auto" w:fill="FFFFFF"/>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本次评价将通过文件资料研读、现场</w:t>
      </w:r>
      <w:r>
        <w:rPr>
          <w:rFonts w:hint="eastAsia" w:ascii="仿宋" w:hAnsi="仿宋" w:eastAsia="仿宋" w:cs="仿宋"/>
          <w:color w:val="auto"/>
          <w:kern w:val="0"/>
          <w:sz w:val="32"/>
          <w:szCs w:val="32"/>
          <w:highlight w:val="none"/>
          <w:shd w:val="clear" w:color="auto" w:fill="FFFFFF"/>
          <w:lang w:val="en-US" w:eastAsia="zh-CN"/>
        </w:rPr>
        <w:t>座谈</w:t>
      </w:r>
      <w:r>
        <w:rPr>
          <w:rFonts w:hint="eastAsia" w:ascii="仿宋" w:hAnsi="仿宋" w:eastAsia="仿宋" w:cs="仿宋"/>
          <w:color w:val="auto"/>
          <w:kern w:val="0"/>
          <w:sz w:val="32"/>
          <w:szCs w:val="32"/>
          <w:highlight w:val="none"/>
          <w:shd w:val="clear" w:color="auto" w:fill="FFFFFF"/>
          <w:lang w:val="en-US" w:eastAsia="zh-Hans"/>
        </w:rPr>
        <w:t>等方法进行定性评价；通过基础数据统计分析等方法，进行定量评价。在定性评价中，也须明确支撑评价结果的证明材料，尽量减少定性评价带有的主观随意性。本次绩效评价使用（但不限于）以下几种具体的评价方法：</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Hans"/>
        </w:rPr>
        <w:t>（1）</w:t>
      </w:r>
      <w:r>
        <w:rPr>
          <w:rFonts w:hint="eastAsia" w:ascii="仿宋" w:hAnsi="仿宋" w:eastAsia="仿宋" w:cs="仿宋"/>
          <w:color w:val="auto"/>
          <w:kern w:val="0"/>
          <w:sz w:val="32"/>
          <w:szCs w:val="32"/>
          <w:highlight w:val="none"/>
          <w:shd w:val="clear" w:color="auto" w:fill="FFFFFF"/>
          <w:lang w:val="en-US" w:eastAsia="zh-CN"/>
        </w:rPr>
        <w:t>比较法。</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通过对绩效目标与实施效果、历史与当期情况、不同部门和地区同类支出的比较，综合分析绩效目标实现程度。</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Hans"/>
        </w:rPr>
        <w:t>（2）案卷研究法</w:t>
      </w:r>
      <w:r>
        <w:rPr>
          <w:rFonts w:hint="eastAsia" w:ascii="仿宋" w:hAnsi="仿宋" w:eastAsia="仿宋" w:cs="仿宋"/>
          <w:color w:val="auto"/>
          <w:kern w:val="0"/>
          <w:sz w:val="32"/>
          <w:szCs w:val="32"/>
          <w:highlight w:val="none"/>
          <w:shd w:val="clear" w:color="auto" w:fill="FFFFFF"/>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对于</w:t>
      </w:r>
      <w:r>
        <w:rPr>
          <w:rFonts w:hint="eastAsia" w:ascii="仿宋" w:hAnsi="仿宋" w:eastAsia="仿宋" w:cs="仿宋"/>
          <w:color w:val="auto"/>
          <w:kern w:val="0"/>
          <w:sz w:val="32"/>
          <w:szCs w:val="32"/>
          <w:highlight w:val="none"/>
          <w:shd w:val="clear" w:color="auto" w:fill="FFFFFF"/>
          <w:lang w:val="en-US" w:eastAsia="zh-CN"/>
        </w:rPr>
        <w:t>部门提供的</w:t>
      </w:r>
      <w:r>
        <w:rPr>
          <w:rFonts w:hint="eastAsia" w:ascii="仿宋" w:hAnsi="仿宋" w:eastAsia="仿宋" w:cs="仿宋"/>
          <w:color w:val="auto"/>
          <w:kern w:val="0"/>
          <w:sz w:val="32"/>
          <w:szCs w:val="32"/>
          <w:highlight w:val="none"/>
          <w:shd w:val="clear" w:color="auto" w:fill="FFFFFF"/>
          <w:lang w:val="en-US" w:eastAsia="zh-Hans"/>
        </w:rPr>
        <w:t>相关</w:t>
      </w:r>
      <w:r>
        <w:rPr>
          <w:rFonts w:hint="eastAsia" w:ascii="仿宋" w:hAnsi="仿宋" w:eastAsia="仿宋" w:cs="仿宋"/>
          <w:color w:val="auto"/>
          <w:kern w:val="0"/>
          <w:sz w:val="32"/>
          <w:szCs w:val="32"/>
          <w:highlight w:val="none"/>
          <w:shd w:val="clear" w:color="auto" w:fill="FFFFFF"/>
          <w:lang w:val="en-US" w:eastAsia="zh-CN"/>
        </w:rPr>
        <w:t>资料</w:t>
      </w:r>
      <w:r>
        <w:rPr>
          <w:rFonts w:hint="eastAsia" w:ascii="仿宋" w:hAnsi="仿宋" w:eastAsia="仿宋" w:cs="仿宋"/>
          <w:color w:val="auto"/>
          <w:kern w:val="0"/>
          <w:sz w:val="32"/>
          <w:szCs w:val="32"/>
          <w:highlight w:val="none"/>
          <w:shd w:val="clear" w:color="auto" w:fill="FFFFFF"/>
          <w:lang w:val="en-US" w:eastAsia="zh-Hans"/>
        </w:rPr>
        <w:t>和文件通知、实施方案、政府采购相关文件、资金支出程序文件、工作总结、服务对象满意度调查等相关资料进行深入研究、比较、分析，提取重要信息，为绩效评价提供支撑依据。</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Hans"/>
        </w:rPr>
        <w:t>（3）现场</w:t>
      </w:r>
      <w:r>
        <w:rPr>
          <w:rFonts w:hint="eastAsia" w:ascii="仿宋" w:hAnsi="仿宋" w:eastAsia="仿宋" w:cs="仿宋"/>
          <w:color w:val="auto"/>
          <w:kern w:val="0"/>
          <w:sz w:val="32"/>
          <w:szCs w:val="32"/>
          <w:highlight w:val="none"/>
          <w:shd w:val="clear" w:color="auto" w:fill="FFFFFF"/>
          <w:lang w:val="en-US" w:eastAsia="zh-CN"/>
        </w:rPr>
        <w:t>座谈</w:t>
      </w:r>
      <w:r>
        <w:rPr>
          <w:rFonts w:hint="eastAsia" w:ascii="仿宋" w:hAnsi="仿宋" w:eastAsia="仿宋" w:cs="仿宋"/>
          <w:color w:val="auto"/>
          <w:kern w:val="0"/>
          <w:sz w:val="32"/>
          <w:szCs w:val="32"/>
          <w:highlight w:val="none"/>
          <w:shd w:val="clear" w:color="auto" w:fill="FFFFFF"/>
          <w:lang w:val="en-US" w:eastAsia="zh-Hans"/>
        </w:rPr>
        <w:t>法</w:t>
      </w:r>
      <w:r>
        <w:rPr>
          <w:rFonts w:hint="eastAsia" w:ascii="仿宋" w:hAnsi="仿宋" w:eastAsia="仿宋" w:cs="仿宋"/>
          <w:color w:val="auto"/>
          <w:kern w:val="0"/>
          <w:sz w:val="32"/>
          <w:szCs w:val="32"/>
          <w:highlight w:val="none"/>
          <w:shd w:val="clear" w:color="auto" w:fill="FFFFFF"/>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现场</w:t>
      </w:r>
      <w:r>
        <w:rPr>
          <w:rFonts w:hint="eastAsia" w:ascii="仿宋" w:hAnsi="仿宋" w:eastAsia="仿宋" w:cs="仿宋"/>
          <w:color w:val="auto"/>
          <w:kern w:val="0"/>
          <w:sz w:val="32"/>
          <w:szCs w:val="32"/>
          <w:highlight w:val="none"/>
          <w:shd w:val="clear" w:color="auto" w:fill="FFFFFF"/>
          <w:lang w:val="en-US" w:eastAsia="zh-CN"/>
        </w:rPr>
        <w:t>座谈</w:t>
      </w:r>
      <w:r>
        <w:rPr>
          <w:rFonts w:hint="eastAsia" w:ascii="仿宋" w:hAnsi="仿宋" w:eastAsia="仿宋" w:cs="仿宋"/>
          <w:color w:val="auto"/>
          <w:kern w:val="0"/>
          <w:sz w:val="32"/>
          <w:szCs w:val="32"/>
          <w:highlight w:val="none"/>
          <w:shd w:val="clear" w:color="auto" w:fill="FFFFFF"/>
          <w:lang w:val="en-US" w:eastAsia="zh-Hans"/>
        </w:rPr>
        <w:t>是本次评价的一个重要手段，通过对</w:t>
      </w:r>
      <w:r>
        <w:rPr>
          <w:rFonts w:hint="eastAsia" w:ascii="仿宋" w:hAnsi="仿宋" w:eastAsia="仿宋" w:cs="仿宋"/>
          <w:color w:val="auto"/>
          <w:kern w:val="0"/>
          <w:sz w:val="32"/>
          <w:szCs w:val="32"/>
          <w:highlight w:val="none"/>
          <w:shd w:val="clear" w:color="auto" w:fill="FFFFFF"/>
          <w:lang w:val="en-US" w:eastAsia="zh-CN"/>
        </w:rPr>
        <w:t>新区咸丰路街道办事处年度重点工作安排等</w:t>
      </w:r>
      <w:r>
        <w:rPr>
          <w:rFonts w:hint="eastAsia" w:ascii="仿宋" w:hAnsi="仿宋" w:eastAsia="仿宋" w:cs="仿宋"/>
          <w:color w:val="auto"/>
          <w:kern w:val="0"/>
          <w:sz w:val="32"/>
          <w:szCs w:val="32"/>
          <w:highlight w:val="none"/>
          <w:shd w:val="clear" w:color="auto" w:fill="FFFFFF"/>
          <w:lang w:val="en-US" w:eastAsia="zh-Hans"/>
        </w:rPr>
        <w:t>等进行现场</w:t>
      </w:r>
      <w:r>
        <w:rPr>
          <w:rFonts w:hint="eastAsia" w:ascii="仿宋" w:hAnsi="仿宋" w:eastAsia="仿宋" w:cs="仿宋"/>
          <w:color w:val="auto"/>
          <w:kern w:val="0"/>
          <w:sz w:val="32"/>
          <w:szCs w:val="32"/>
          <w:highlight w:val="none"/>
          <w:shd w:val="clear" w:color="auto" w:fill="FFFFFF"/>
          <w:lang w:val="en-US" w:eastAsia="zh-CN"/>
        </w:rPr>
        <w:t>座谈</w:t>
      </w:r>
      <w:r>
        <w:rPr>
          <w:rFonts w:hint="eastAsia" w:ascii="仿宋" w:hAnsi="仿宋" w:eastAsia="仿宋" w:cs="仿宋"/>
          <w:color w:val="auto"/>
          <w:kern w:val="0"/>
          <w:sz w:val="32"/>
          <w:szCs w:val="32"/>
          <w:highlight w:val="none"/>
          <w:shd w:val="clear" w:color="auto" w:fill="FFFFFF"/>
          <w:lang w:val="en-US" w:eastAsia="zh-Hans"/>
        </w:rPr>
        <w:t>，并在前期书面资料分析的基础上，进一步核查重点</w:t>
      </w:r>
      <w:r>
        <w:rPr>
          <w:rFonts w:hint="eastAsia" w:ascii="仿宋" w:hAnsi="仿宋" w:eastAsia="仿宋" w:cs="仿宋"/>
          <w:color w:val="auto"/>
          <w:kern w:val="0"/>
          <w:sz w:val="32"/>
          <w:szCs w:val="32"/>
          <w:highlight w:val="none"/>
          <w:shd w:val="clear" w:color="auto" w:fill="FFFFFF"/>
          <w:lang w:val="en-US" w:eastAsia="zh-CN"/>
        </w:rPr>
        <w:t>工作安排情况，</w:t>
      </w:r>
      <w:r>
        <w:rPr>
          <w:rFonts w:hint="eastAsia" w:ascii="仿宋" w:hAnsi="仿宋" w:eastAsia="仿宋" w:cs="仿宋"/>
          <w:color w:val="auto"/>
          <w:kern w:val="0"/>
          <w:sz w:val="32"/>
          <w:szCs w:val="32"/>
          <w:highlight w:val="none"/>
          <w:shd w:val="clear" w:color="auto" w:fill="FFFFFF"/>
          <w:lang w:val="en-US" w:eastAsia="zh-Hans"/>
        </w:rPr>
        <w:t>任务完成及效益实现等情况，修正指标评分，发现典型问题并探究原因。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Hans"/>
        </w:rPr>
        <w:t>（4）因素分析法</w:t>
      </w:r>
      <w:r>
        <w:rPr>
          <w:rFonts w:hint="eastAsia" w:ascii="仿宋" w:hAnsi="仿宋" w:eastAsia="仿宋" w:cs="仿宋"/>
          <w:color w:val="auto"/>
          <w:kern w:val="0"/>
          <w:sz w:val="32"/>
          <w:szCs w:val="32"/>
          <w:highlight w:val="none"/>
          <w:shd w:val="clear" w:color="auto" w:fill="FFFFFF"/>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在评价过程中，通过综合分析相关资料，挖掘影响绩效目标实现、实施效果的内外部因素，科学评判项目实施过程中存在的问题，有效提出相关建议。</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 w:hAnsi="仿宋" w:eastAsia="仿宋" w:cs="仿宋"/>
          <w:b/>
          <w:bCs/>
          <w:color w:val="auto"/>
          <w:kern w:val="0"/>
          <w:sz w:val="32"/>
          <w:szCs w:val="32"/>
          <w:highlight w:val="none"/>
          <w:shd w:val="clear" w:color="auto" w:fill="FFFFFF"/>
          <w:lang w:val="en-US" w:eastAsia="zh-CN"/>
        </w:rPr>
      </w:pPr>
      <w:r>
        <w:rPr>
          <w:rFonts w:hint="eastAsia" w:ascii="仿宋" w:hAnsi="仿宋" w:eastAsia="仿宋" w:cs="仿宋"/>
          <w:b/>
          <w:bCs/>
          <w:color w:val="auto"/>
          <w:kern w:val="0"/>
          <w:sz w:val="32"/>
          <w:szCs w:val="32"/>
          <w:highlight w:val="none"/>
          <w:shd w:val="clear" w:color="auto" w:fill="FFFFFF"/>
          <w:lang w:val="en-US" w:eastAsia="zh-Hans"/>
        </w:rPr>
        <w:t>3、评价指标体系</w:t>
      </w:r>
      <w:r>
        <w:rPr>
          <w:rFonts w:hint="eastAsia" w:ascii="仿宋" w:hAnsi="仿宋" w:eastAsia="仿宋" w:cs="仿宋"/>
          <w:b/>
          <w:bCs/>
          <w:color w:val="auto"/>
          <w:kern w:val="0"/>
          <w:sz w:val="32"/>
          <w:szCs w:val="32"/>
          <w:highlight w:val="none"/>
          <w:shd w:val="clear" w:color="auto" w:fill="FFFFFF"/>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根据部门整体支出绩效评价的基本原理、原则和部门特点，结合《铜川市市级部门整体支出绩效评价指标及评分标准》的要求，本次绩效评价指标体系包括投入、过程、产出及效果4个一级指标，</w:t>
      </w:r>
      <w:r>
        <w:rPr>
          <w:rFonts w:hint="eastAsia" w:ascii="仿宋" w:hAnsi="仿宋" w:eastAsia="仿宋" w:cs="仿宋"/>
          <w:color w:val="auto"/>
          <w:kern w:val="0"/>
          <w:sz w:val="32"/>
          <w:szCs w:val="32"/>
          <w:highlight w:val="none"/>
          <w:shd w:val="clear" w:color="auto" w:fill="FFFFFF"/>
          <w:lang w:val="en-US" w:eastAsia="zh-CN"/>
        </w:rPr>
        <w:t>10</w:t>
      </w:r>
      <w:r>
        <w:rPr>
          <w:rFonts w:hint="eastAsia" w:ascii="仿宋" w:hAnsi="仿宋" w:eastAsia="仿宋" w:cs="仿宋"/>
          <w:color w:val="auto"/>
          <w:kern w:val="0"/>
          <w:sz w:val="32"/>
          <w:szCs w:val="32"/>
          <w:highlight w:val="none"/>
          <w:shd w:val="clear" w:color="auto" w:fill="FFFFFF"/>
          <w:lang w:val="en-US" w:eastAsia="zh-Hans"/>
        </w:rPr>
        <w:t>个二级指标和</w:t>
      </w:r>
      <w:r>
        <w:rPr>
          <w:rFonts w:hint="eastAsia" w:ascii="仿宋" w:hAnsi="仿宋" w:eastAsia="仿宋" w:cs="仿宋"/>
          <w:color w:val="auto"/>
          <w:kern w:val="0"/>
          <w:sz w:val="32"/>
          <w:szCs w:val="32"/>
          <w:highlight w:val="none"/>
          <w:shd w:val="clear" w:color="auto" w:fill="FFFFFF"/>
          <w:lang w:val="en-US" w:eastAsia="zh-CN"/>
        </w:rPr>
        <w:t>31</w:t>
      </w:r>
      <w:r>
        <w:rPr>
          <w:rFonts w:hint="eastAsia" w:ascii="仿宋" w:hAnsi="仿宋" w:eastAsia="仿宋" w:cs="仿宋"/>
          <w:color w:val="auto"/>
          <w:kern w:val="0"/>
          <w:sz w:val="32"/>
          <w:szCs w:val="32"/>
          <w:highlight w:val="none"/>
          <w:shd w:val="clear" w:color="auto" w:fill="FFFFFF"/>
          <w:lang w:val="en-US" w:eastAsia="zh-Hans"/>
        </w:rPr>
        <w:t>个三级指标（详见附件</w:t>
      </w:r>
      <w:r>
        <w:rPr>
          <w:rFonts w:hint="eastAsia" w:ascii="仿宋" w:hAnsi="仿宋" w:eastAsia="仿宋" w:cs="仿宋"/>
          <w:color w:val="auto"/>
          <w:kern w:val="0"/>
          <w:sz w:val="32"/>
          <w:szCs w:val="32"/>
          <w:highlight w:val="none"/>
          <w:shd w:val="clear" w:color="auto" w:fill="FFFFFF"/>
          <w:lang w:val="en-US" w:eastAsia="zh-CN"/>
        </w:rPr>
        <w:t>3</w:t>
      </w:r>
      <w:r>
        <w:rPr>
          <w:rFonts w:hint="eastAsia" w:ascii="仿宋" w:hAnsi="仿宋" w:eastAsia="仿宋" w:cs="仿宋"/>
          <w:color w:val="auto"/>
          <w:kern w:val="0"/>
          <w:sz w:val="32"/>
          <w:szCs w:val="32"/>
          <w:highlight w:val="none"/>
          <w:shd w:val="clear" w:color="auto" w:fill="FFFFFF"/>
          <w:lang w:val="en-US" w:eastAsia="zh-Hans"/>
        </w:rPr>
        <w:t>），满分为100分。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（1）投入：从目标设定和预算配置两方面评价绩效目标合理性、绩效指标明确性、在职人员控制率</w:t>
      </w:r>
      <w:r>
        <w:rPr>
          <w:rFonts w:hint="eastAsia" w:ascii="仿宋" w:hAnsi="仿宋" w:eastAsia="仿宋" w:cs="仿宋"/>
          <w:color w:val="auto"/>
          <w:kern w:val="0"/>
          <w:sz w:val="32"/>
          <w:szCs w:val="32"/>
          <w:highlight w:val="none"/>
          <w:shd w:val="clear" w:color="auto" w:fill="FFFFFF"/>
          <w:lang w:val="en-US" w:eastAsia="zh-CN"/>
        </w:rPr>
        <w:t>、</w:t>
      </w:r>
      <w:r>
        <w:rPr>
          <w:rFonts w:hint="eastAsia" w:ascii="仿宋" w:hAnsi="仿宋" w:eastAsia="仿宋" w:cs="仿宋"/>
          <w:color w:val="auto"/>
          <w:kern w:val="0"/>
          <w:sz w:val="32"/>
          <w:szCs w:val="32"/>
          <w:highlight w:val="none"/>
          <w:shd w:val="clear" w:color="auto" w:fill="FFFFFF"/>
          <w:lang w:val="en-US" w:eastAsia="zh-Hans"/>
        </w:rPr>
        <w:t>“</w:t>
      </w:r>
      <w:r>
        <w:rPr>
          <w:rFonts w:hint="eastAsia" w:ascii="仿宋" w:hAnsi="仿宋" w:eastAsia="仿宋" w:cs="仿宋"/>
          <w:color w:val="auto"/>
          <w:kern w:val="0"/>
          <w:sz w:val="32"/>
          <w:szCs w:val="32"/>
          <w:highlight w:val="none"/>
          <w:shd w:val="clear" w:color="auto" w:fill="FFFFFF"/>
          <w:lang w:val="en-US" w:eastAsia="zh-CN"/>
        </w:rPr>
        <w:t>三公</w:t>
      </w:r>
      <w:r>
        <w:rPr>
          <w:rFonts w:hint="eastAsia" w:ascii="仿宋" w:hAnsi="仿宋" w:eastAsia="仿宋" w:cs="仿宋"/>
          <w:color w:val="auto"/>
          <w:kern w:val="0"/>
          <w:sz w:val="32"/>
          <w:szCs w:val="32"/>
          <w:highlight w:val="none"/>
          <w:shd w:val="clear" w:color="auto" w:fill="FFFFFF"/>
          <w:lang w:val="en-US" w:eastAsia="zh-Hans"/>
        </w:rPr>
        <w:t>经费”变动率、重点支出安排率等内容。</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（2）过程：从预算执行、预算管理和资产管理三方面评价预算完成率、</w:t>
      </w:r>
      <w:r>
        <w:rPr>
          <w:rFonts w:hint="eastAsia" w:ascii="仿宋" w:hAnsi="仿宋" w:eastAsia="仿宋" w:cs="仿宋"/>
          <w:color w:val="auto"/>
          <w:kern w:val="0"/>
          <w:sz w:val="32"/>
          <w:szCs w:val="32"/>
          <w:highlight w:val="none"/>
          <w:shd w:val="clear" w:color="auto" w:fill="FFFFFF"/>
          <w:lang w:val="en-US" w:eastAsia="zh-CN"/>
        </w:rPr>
        <w:t>预算调整率、支付进度率、</w:t>
      </w:r>
      <w:r>
        <w:rPr>
          <w:rFonts w:hint="eastAsia" w:ascii="仿宋" w:hAnsi="仿宋" w:eastAsia="仿宋" w:cs="仿宋"/>
          <w:color w:val="auto"/>
          <w:kern w:val="0"/>
          <w:sz w:val="32"/>
          <w:szCs w:val="32"/>
          <w:highlight w:val="none"/>
          <w:shd w:val="clear" w:color="auto" w:fill="FFFFFF"/>
          <w:lang w:val="en-US" w:eastAsia="zh-Hans"/>
        </w:rPr>
        <w:t>结转结余率、</w:t>
      </w:r>
      <w:r>
        <w:rPr>
          <w:rFonts w:hint="eastAsia" w:ascii="仿宋" w:hAnsi="仿宋" w:eastAsia="仿宋" w:cs="仿宋"/>
          <w:color w:val="auto"/>
          <w:kern w:val="0"/>
          <w:sz w:val="32"/>
          <w:szCs w:val="32"/>
          <w:highlight w:val="none"/>
          <w:shd w:val="clear" w:color="auto" w:fill="FFFFFF"/>
          <w:lang w:val="en-US" w:eastAsia="zh-CN"/>
        </w:rPr>
        <w:t>结转结余变动率、</w:t>
      </w:r>
      <w:r>
        <w:rPr>
          <w:rFonts w:hint="eastAsia" w:ascii="仿宋" w:hAnsi="仿宋" w:eastAsia="仿宋" w:cs="仿宋"/>
          <w:color w:val="auto"/>
          <w:kern w:val="0"/>
          <w:sz w:val="32"/>
          <w:szCs w:val="32"/>
          <w:highlight w:val="none"/>
          <w:shd w:val="clear" w:color="auto" w:fill="FFFFFF"/>
          <w:lang w:val="en-US" w:eastAsia="zh-Hans"/>
        </w:rPr>
        <w:t>公用经费控制率、“三公经费”控制率、政府采购执行率和管理制度健全性、资金使用合规性、预决算信息公开性</w:t>
      </w:r>
      <w:r>
        <w:rPr>
          <w:rFonts w:hint="eastAsia" w:ascii="仿宋" w:hAnsi="仿宋" w:eastAsia="仿宋" w:cs="仿宋"/>
          <w:color w:val="auto"/>
          <w:kern w:val="0"/>
          <w:sz w:val="32"/>
          <w:szCs w:val="32"/>
          <w:highlight w:val="none"/>
          <w:shd w:val="clear" w:color="auto" w:fill="FFFFFF"/>
          <w:lang w:val="en-US" w:eastAsia="zh-CN"/>
        </w:rPr>
        <w:t>、运行监控和自评有效性、基础信息完善性</w:t>
      </w:r>
      <w:r>
        <w:rPr>
          <w:rFonts w:hint="eastAsia" w:ascii="仿宋" w:hAnsi="仿宋" w:eastAsia="仿宋" w:cs="仿宋"/>
          <w:color w:val="auto"/>
          <w:kern w:val="0"/>
          <w:sz w:val="32"/>
          <w:szCs w:val="32"/>
          <w:highlight w:val="none"/>
          <w:shd w:val="clear" w:color="auto" w:fill="FFFFFF"/>
          <w:lang w:val="en-US" w:eastAsia="zh-Hans"/>
        </w:rPr>
        <w:t>、</w:t>
      </w:r>
      <w:r>
        <w:rPr>
          <w:rFonts w:hint="eastAsia" w:ascii="仿宋" w:hAnsi="仿宋" w:eastAsia="仿宋" w:cs="仿宋"/>
          <w:color w:val="auto"/>
          <w:kern w:val="0"/>
          <w:sz w:val="32"/>
          <w:szCs w:val="32"/>
          <w:highlight w:val="none"/>
          <w:shd w:val="clear" w:color="auto" w:fill="FFFFFF"/>
          <w:lang w:val="en-US" w:eastAsia="zh-CN"/>
        </w:rPr>
        <w:t>管理制度健全性</w:t>
      </w:r>
      <w:r>
        <w:rPr>
          <w:rFonts w:hint="eastAsia" w:ascii="仿宋" w:hAnsi="仿宋" w:eastAsia="仿宋" w:cs="仿宋"/>
          <w:color w:val="auto"/>
          <w:kern w:val="0"/>
          <w:sz w:val="32"/>
          <w:szCs w:val="32"/>
          <w:highlight w:val="none"/>
          <w:shd w:val="clear" w:color="auto" w:fill="FFFFFF"/>
          <w:lang w:val="en-US" w:eastAsia="zh-Hans"/>
        </w:rPr>
        <w:t>以及资产管理</w:t>
      </w:r>
      <w:r>
        <w:rPr>
          <w:rFonts w:hint="eastAsia" w:ascii="仿宋" w:hAnsi="仿宋" w:eastAsia="仿宋" w:cs="仿宋"/>
          <w:color w:val="auto"/>
          <w:kern w:val="0"/>
          <w:sz w:val="32"/>
          <w:szCs w:val="32"/>
          <w:highlight w:val="none"/>
          <w:shd w:val="clear" w:color="auto" w:fill="FFFFFF"/>
          <w:lang w:val="en-US" w:eastAsia="zh-CN"/>
        </w:rPr>
        <w:t>安全</w:t>
      </w:r>
      <w:r>
        <w:rPr>
          <w:rFonts w:hint="eastAsia" w:ascii="仿宋" w:hAnsi="仿宋" w:eastAsia="仿宋" w:cs="仿宋"/>
          <w:color w:val="auto"/>
          <w:kern w:val="0"/>
          <w:sz w:val="32"/>
          <w:szCs w:val="32"/>
          <w:highlight w:val="none"/>
          <w:shd w:val="clear" w:color="auto" w:fill="FFFFFF"/>
          <w:lang w:val="en-US" w:eastAsia="zh-Hans"/>
        </w:rPr>
        <w:t>性、固定资产利用率等内容。</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（3）产出：用于考察年度</w:t>
      </w:r>
      <w:r>
        <w:rPr>
          <w:rFonts w:hint="eastAsia" w:ascii="仿宋" w:hAnsi="仿宋" w:eastAsia="仿宋" w:cs="仿宋"/>
          <w:color w:val="auto"/>
          <w:kern w:val="0"/>
          <w:sz w:val="32"/>
          <w:szCs w:val="32"/>
          <w:highlight w:val="none"/>
          <w:shd w:val="clear" w:color="auto" w:fill="FFFFFF"/>
          <w:lang w:val="en-US" w:eastAsia="zh-CN"/>
        </w:rPr>
        <w:t>部门职责履行</w:t>
      </w:r>
      <w:r>
        <w:rPr>
          <w:rFonts w:hint="eastAsia" w:ascii="仿宋" w:hAnsi="仿宋" w:eastAsia="仿宋" w:cs="仿宋"/>
          <w:color w:val="auto"/>
          <w:kern w:val="0"/>
          <w:sz w:val="32"/>
          <w:szCs w:val="32"/>
          <w:highlight w:val="none"/>
          <w:shd w:val="clear" w:color="auto" w:fill="FFFFFF"/>
          <w:lang w:val="en-US" w:eastAsia="zh-Hans"/>
        </w:rPr>
        <w:t>的</w:t>
      </w:r>
      <w:r>
        <w:rPr>
          <w:rFonts w:hint="eastAsia" w:ascii="仿宋" w:hAnsi="仿宋" w:eastAsia="仿宋" w:cs="仿宋"/>
          <w:color w:val="auto"/>
          <w:kern w:val="0"/>
          <w:sz w:val="32"/>
          <w:szCs w:val="32"/>
          <w:highlight w:val="none"/>
          <w:shd w:val="clear" w:color="auto" w:fill="FFFFFF"/>
          <w:lang w:val="en-US" w:eastAsia="zh-CN"/>
        </w:rPr>
        <w:t>部门年度工作实际完成率、完成及时率、质量达标率、重点工作办结率</w:t>
      </w:r>
      <w:r>
        <w:rPr>
          <w:rFonts w:hint="eastAsia" w:ascii="仿宋" w:hAnsi="仿宋" w:eastAsia="仿宋" w:cs="仿宋"/>
          <w:color w:val="auto"/>
          <w:kern w:val="0"/>
          <w:sz w:val="32"/>
          <w:szCs w:val="32"/>
          <w:highlight w:val="none"/>
          <w:shd w:val="clear" w:color="auto" w:fill="FFFFFF"/>
          <w:lang w:val="en-US" w:eastAsia="zh-Hans"/>
        </w:rPr>
        <w:t>等内容。</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（4）效果：用于综合评价部门年度总体工作及资金投用所得</w:t>
      </w:r>
      <w:r>
        <w:rPr>
          <w:rFonts w:hint="eastAsia" w:ascii="仿宋" w:hAnsi="仿宋" w:eastAsia="仿宋" w:cs="仿宋"/>
          <w:color w:val="auto"/>
          <w:kern w:val="0"/>
          <w:sz w:val="32"/>
          <w:szCs w:val="32"/>
          <w:highlight w:val="none"/>
          <w:shd w:val="clear" w:color="auto" w:fill="FFFFFF"/>
          <w:lang w:val="en-US" w:eastAsia="zh-CN"/>
        </w:rPr>
        <w:t>部门履职</w:t>
      </w:r>
      <w:r>
        <w:rPr>
          <w:rFonts w:hint="eastAsia" w:ascii="仿宋" w:hAnsi="仿宋" w:eastAsia="仿宋" w:cs="仿宋"/>
          <w:color w:val="auto"/>
          <w:kern w:val="0"/>
          <w:sz w:val="32"/>
          <w:szCs w:val="32"/>
          <w:highlight w:val="none"/>
          <w:shd w:val="clear" w:color="auto" w:fill="FFFFFF"/>
          <w:lang w:val="en-US" w:eastAsia="zh-Hans"/>
        </w:rPr>
        <w:t>产生的</w:t>
      </w:r>
      <w:r>
        <w:rPr>
          <w:rFonts w:hint="eastAsia" w:ascii="仿宋" w:hAnsi="仿宋" w:eastAsia="仿宋" w:cs="仿宋"/>
          <w:color w:val="auto"/>
          <w:kern w:val="0"/>
          <w:sz w:val="32"/>
          <w:szCs w:val="32"/>
          <w:highlight w:val="none"/>
          <w:shd w:val="clear" w:color="auto" w:fill="FFFFFF"/>
          <w:lang w:val="en-US" w:eastAsia="zh-CN"/>
        </w:rPr>
        <w:t>经济效益、</w:t>
      </w:r>
      <w:r>
        <w:rPr>
          <w:rFonts w:hint="eastAsia" w:ascii="仿宋" w:hAnsi="仿宋" w:eastAsia="仿宋" w:cs="仿宋"/>
          <w:color w:val="auto"/>
          <w:kern w:val="0"/>
          <w:sz w:val="32"/>
          <w:szCs w:val="32"/>
          <w:highlight w:val="none"/>
          <w:shd w:val="clear" w:color="auto" w:fill="FFFFFF"/>
          <w:lang w:val="en-US" w:eastAsia="zh-Hans"/>
        </w:rPr>
        <w:t>社会效益、</w:t>
      </w:r>
      <w:r>
        <w:rPr>
          <w:rFonts w:hint="eastAsia" w:ascii="仿宋" w:hAnsi="仿宋" w:eastAsia="仿宋" w:cs="仿宋"/>
          <w:color w:val="auto"/>
          <w:kern w:val="0"/>
          <w:sz w:val="32"/>
          <w:szCs w:val="32"/>
          <w:highlight w:val="none"/>
          <w:shd w:val="clear" w:color="auto" w:fill="FFFFFF"/>
          <w:lang w:val="en-US" w:eastAsia="zh-CN"/>
        </w:rPr>
        <w:t>可持续性影响</w:t>
      </w:r>
      <w:r>
        <w:rPr>
          <w:rFonts w:hint="eastAsia" w:ascii="仿宋" w:hAnsi="仿宋" w:eastAsia="仿宋" w:cs="仿宋"/>
          <w:color w:val="auto"/>
          <w:kern w:val="0"/>
          <w:sz w:val="32"/>
          <w:szCs w:val="32"/>
          <w:highlight w:val="none"/>
          <w:shd w:val="clear" w:color="auto" w:fill="FFFFFF"/>
          <w:lang w:val="en-US" w:eastAsia="zh-Hans"/>
        </w:rPr>
        <w:t>及社会公众满意度。</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 w:hAnsi="仿宋" w:eastAsia="仿宋" w:cs="仿宋"/>
          <w:b/>
          <w:bCs/>
          <w:color w:val="auto"/>
          <w:kern w:val="0"/>
          <w:sz w:val="32"/>
          <w:szCs w:val="32"/>
          <w:highlight w:val="none"/>
          <w:shd w:val="clear" w:color="auto" w:fill="FFFFFF"/>
          <w:lang w:val="en-US" w:eastAsia="zh-CN"/>
        </w:rPr>
      </w:pPr>
      <w:r>
        <w:rPr>
          <w:rFonts w:hint="eastAsia" w:ascii="仿宋" w:hAnsi="仿宋" w:eastAsia="仿宋" w:cs="仿宋"/>
          <w:b/>
          <w:bCs/>
          <w:color w:val="auto"/>
          <w:kern w:val="0"/>
          <w:sz w:val="32"/>
          <w:szCs w:val="32"/>
          <w:highlight w:val="none"/>
          <w:shd w:val="clear" w:color="auto" w:fill="FFFFFF"/>
          <w:lang w:val="en-US" w:eastAsia="zh-Hans"/>
        </w:rPr>
        <w:t>4、绩效评价的局限性</w:t>
      </w:r>
      <w:r>
        <w:rPr>
          <w:rFonts w:hint="eastAsia" w:ascii="仿宋" w:hAnsi="仿宋" w:eastAsia="仿宋" w:cs="仿宋"/>
          <w:b/>
          <w:bCs/>
          <w:color w:val="auto"/>
          <w:kern w:val="0"/>
          <w:sz w:val="32"/>
          <w:szCs w:val="32"/>
          <w:highlight w:val="none"/>
          <w:shd w:val="clear" w:color="auto" w:fill="FFFFFF"/>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bookmarkStart w:id="10" w:name="_Toc1318217999"/>
      <w:r>
        <w:rPr>
          <w:rFonts w:hint="eastAsia" w:ascii="仿宋" w:hAnsi="仿宋" w:eastAsia="仿宋" w:cs="仿宋"/>
          <w:color w:val="auto"/>
          <w:kern w:val="0"/>
          <w:sz w:val="32"/>
          <w:szCs w:val="32"/>
          <w:highlight w:val="none"/>
          <w:shd w:val="clear" w:color="auto" w:fill="FFFFFF"/>
          <w:lang w:val="en-US" w:eastAsia="zh-Hans"/>
        </w:rPr>
        <w:t>本次对</w:t>
      </w:r>
      <w:r>
        <w:rPr>
          <w:rFonts w:hint="eastAsia" w:ascii="仿宋" w:hAnsi="仿宋" w:eastAsia="仿宋" w:cs="仿宋"/>
          <w:color w:val="auto"/>
          <w:kern w:val="0"/>
          <w:sz w:val="32"/>
          <w:szCs w:val="32"/>
          <w:highlight w:val="none"/>
          <w:shd w:val="clear" w:color="auto" w:fill="FFFFFF"/>
          <w:lang w:val="en-US" w:eastAsia="zh-CN"/>
        </w:rPr>
        <w:t>新区咸丰路街道办事处</w:t>
      </w:r>
      <w:r>
        <w:rPr>
          <w:rFonts w:hint="eastAsia" w:ascii="仿宋" w:hAnsi="仿宋" w:eastAsia="仿宋" w:cs="仿宋"/>
          <w:color w:val="auto"/>
          <w:kern w:val="0"/>
          <w:sz w:val="32"/>
          <w:szCs w:val="32"/>
          <w:highlight w:val="none"/>
          <w:shd w:val="clear" w:color="auto" w:fill="FFFFFF"/>
          <w:lang w:val="en-US" w:eastAsia="zh-Hans"/>
        </w:rPr>
        <w:t>202</w:t>
      </w:r>
      <w:r>
        <w:rPr>
          <w:rFonts w:hint="eastAsia" w:ascii="仿宋" w:hAnsi="仿宋" w:eastAsia="仿宋" w:cs="仿宋"/>
          <w:color w:val="auto"/>
          <w:kern w:val="0"/>
          <w:sz w:val="32"/>
          <w:szCs w:val="32"/>
          <w:highlight w:val="none"/>
          <w:shd w:val="clear" w:color="auto" w:fill="FFFFFF"/>
          <w:lang w:val="en-US" w:eastAsia="zh-CN"/>
        </w:rPr>
        <w:t>1</w:t>
      </w:r>
      <w:r>
        <w:rPr>
          <w:rFonts w:hint="eastAsia" w:ascii="仿宋" w:hAnsi="仿宋" w:eastAsia="仿宋" w:cs="仿宋"/>
          <w:color w:val="auto"/>
          <w:kern w:val="0"/>
          <w:sz w:val="32"/>
          <w:szCs w:val="32"/>
          <w:highlight w:val="none"/>
          <w:shd w:val="clear" w:color="auto" w:fill="FFFFFF"/>
          <w:lang w:val="en-US" w:eastAsia="zh-Hans"/>
        </w:rPr>
        <w:t>年度部门整体支出绩效进行分析和评价打分的基础数据来源于其提供的202</w:t>
      </w:r>
      <w:r>
        <w:rPr>
          <w:rFonts w:hint="eastAsia" w:ascii="仿宋" w:hAnsi="仿宋" w:eastAsia="仿宋" w:cs="仿宋"/>
          <w:color w:val="auto"/>
          <w:kern w:val="0"/>
          <w:sz w:val="32"/>
          <w:szCs w:val="32"/>
          <w:highlight w:val="none"/>
          <w:shd w:val="clear" w:color="auto" w:fill="FFFFFF"/>
          <w:lang w:val="en-US" w:eastAsia="zh-CN"/>
        </w:rPr>
        <w:t>1</w:t>
      </w:r>
      <w:r>
        <w:rPr>
          <w:rFonts w:hint="eastAsia" w:ascii="仿宋" w:hAnsi="仿宋" w:eastAsia="仿宋" w:cs="仿宋"/>
          <w:color w:val="auto"/>
          <w:kern w:val="0"/>
          <w:sz w:val="32"/>
          <w:szCs w:val="32"/>
          <w:highlight w:val="none"/>
          <w:shd w:val="clear" w:color="auto" w:fill="FFFFFF"/>
          <w:lang w:val="en-US" w:eastAsia="zh-Hans"/>
        </w:rPr>
        <w:t>年</w:t>
      </w:r>
      <w:r>
        <w:rPr>
          <w:rFonts w:hint="eastAsia" w:ascii="仿宋" w:hAnsi="仿宋" w:eastAsia="仿宋" w:cs="仿宋"/>
          <w:color w:val="auto"/>
          <w:kern w:val="0"/>
          <w:sz w:val="32"/>
          <w:szCs w:val="32"/>
          <w:highlight w:val="none"/>
          <w:shd w:val="clear" w:color="auto" w:fill="FFFFFF"/>
          <w:lang w:val="en-US" w:eastAsia="zh-CN"/>
        </w:rPr>
        <w:t>新区咸丰路街道办事处</w:t>
      </w:r>
      <w:r>
        <w:rPr>
          <w:rFonts w:hint="eastAsia" w:ascii="仿宋" w:hAnsi="仿宋" w:eastAsia="仿宋" w:cs="仿宋"/>
          <w:color w:val="auto"/>
          <w:kern w:val="0"/>
          <w:sz w:val="32"/>
          <w:szCs w:val="32"/>
          <w:highlight w:val="none"/>
          <w:shd w:val="clear" w:color="auto" w:fill="FFFFFF"/>
          <w:lang w:val="en-US" w:eastAsia="zh-Hans"/>
        </w:rPr>
        <w:t>本级部门预算表、202</w:t>
      </w:r>
      <w:r>
        <w:rPr>
          <w:rFonts w:hint="eastAsia" w:ascii="仿宋" w:hAnsi="仿宋" w:eastAsia="仿宋" w:cs="仿宋"/>
          <w:color w:val="auto"/>
          <w:kern w:val="0"/>
          <w:sz w:val="32"/>
          <w:szCs w:val="32"/>
          <w:highlight w:val="none"/>
          <w:shd w:val="clear" w:color="auto" w:fill="FFFFFF"/>
          <w:lang w:val="en-US" w:eastAsia="zh-CN"/>
        </w:rPr>
        <w:t>1</w:t>
      </w:r>
      <w:r>
        <w:rPr>
          <w:rFonts w:hint="eastAsia" w:ascii="仿宋" w:hAnsi="仿宋" w:eastAsia="仿宋" w:cs="仿宋"/>
          <w:color w:val="auto"/>
          <w:kern w:val="0"/>
          <w:sz w:val="32"/>
          <w:szCs w:val="32"/>
          <w:highlight w:val="none"/>
          <w:shd w:val="clear" w:color="auto" w:fill="FFFFFF"/>
          <w:lang w:val="en-US" w:eastAsia="zh-Hans"/>
        </w:rPr>
        <w:t>年度部门决算报表、</w:t>
      </w:r>
      <w:r>
        <w:rPr>
          <w:rFonts w:hint="eastAsia" w:ascii="仿宋" w:hAnsi="仿宋" w:eastAsia="仿宋" w:cs="仿宋"/>
          <w:color w:val="auto"/>
          <w:kern w:val="0"/>
          <w:sz w:val="32"/>
          <w:szCs w:val="32"/>
          <w:highlight w:val="none"/>
          <w:shd w:val="clear" w:color="auto" w:fill="FFFFFF"/>
          <w:lang w:val="en-US" w:eastAsia="zh-CN"/>
        </w:rPr>
        <w:t>新区咸丰路街道办事处</w:t>
      </w:r>
      <w:r>
        <w:rPr>
          <w:rFonts w:hint="eastAsia" w:ascii="仿宋" w:hAnsi="仿宋" w:eastAsia="仿宋" w:cs="仿宋"/>
          <w:color w:val="auto"/>
          <w:kern w:val="0"/>
          <w:sz w:val="32"/>
          <w:szCs w:val="32"/>
          <w:highlight w:val="none"/>
          <w:shd w:val="clear" w:color="auto" w:fill="FFFFFF"/>
          <w:lang w:val="en-US" w:eastAsia="zh-Hans"/>
        </w:rPr>
        <w:t>提供的档案资料以及调查者反映的情况等资料，上述数据的完整性、真实性、准确性直接影响绩效评价结果。</w:t>
      </w:r>
      <w:bookmarkEnd w:id="10"/>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1"/>
        <w:rPr>
          <w:rFonts w:hint="eastAsia" w:ascii="楷体" w:hAnsi="楷体" w:eastAsia="楷体" w:cs="楷体"/>
          <w:color w:val="auto"/>
          <w:kern w:val="0"/>
          <w:sz w:val="32"/>
          <w:szCs w:val="32"/>
          <w:highlight w:val="none"/>
          <w:shd w:val="clear" w:color="auto" w:fill="FFFFFF"/>
          <w:lang w:val="en-US" w:eastAsia="zh-Hans"/>
        </w:rPr>
      </w:pPr>
      <w:bookmarkStart w:id="11" w:name="_Toc21754"/>
      <w:r>
        <w:rPr>
          <w:rFonts w:hint="eastAsia" w:ascii="楷体" w:hAnsi="楷体" w:eastAsia="楷体" w:cs="楷体"/>
          <w:b/>
          <w:bCs/>
          <w:color w:val="auto"/>
          <w:kern w:val="0"/>
          <w:sz w:val="32"/>
          <w:szCs w:val="32"/>
          <w:highlight w:val="none"/>
          <w:shd w:val="clear" w:color="auto" w:fill="FFFFFF"/>
          <w:lang w:val="en-US" w:eastAsia="zh-Hans"/>
        </w:rPr>
        <w:t>（四）评价工作过程</w:t>
      </w:r>
      <w:bookmarkEnd w:id="11"/>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本次绩效评价工作主要分为前期准备、组织实施、</w:t>
      </w:r>
      <w:r>
        <w:rPr>
          <w:rFonts w:hint="eastAsia" w:ascii="仿宋" w:hAnsi="仿宋" w:eastAsia="仿宋" w:cs="仿宋"/>
          <w:color w:val="auto"/>
          <w:kern w:val="0"/>
          <w:sz w:val="32"/>
          <w:szCs w:val="32"/>
          <w:highlight w:val="none"/>
          <w:shd w:val="clear" w:color="auto" w:fill="FFFFFF"/>
          <w:lang w:val="en-US" w:eastAsia="zh-CN"/>
        </w:rPr>
        <w:t>报告撰写</w:t>
      </w:r>
      <w:r>
        <w:rPr>
          <w:rFonts w:hint="eastAsia" w:ascii="仿宋" w:hAnsi="仿宋" w:eastAsia="仿宋" w:cs="仿宋"/>
          <w:color w:val="auto"/>
          <w:kern w:val="0"/>
          <w:sz w:val="32"/>
          <w:szCs w:val="32"/>
          <w:highlight w:val="none"/>
          <w:shd w:val="clear" w:color="auto" w:fill="FFFFFF"/>
          <w:lang w:val="en-US" w:eastAsia="zh-Hans"/>
        </w:rPr>
        <w:t>以及资料整理归档四个阶段。</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 w:hAnsi="仿宋" w:eastAsia="仿宋" w:cs="仿宋"/>
          <w:b/>
          <w:bCs/>
          <w:color w:val="auto"/>
          <w:kern w:val="0"/>
          <w:sz w:val="32"/>
          <w:szCs w:val="32"/>
          <w:highlight w:val="none"/>
          <w:shd w:val="clear" w:color="auto" w:fill="FFFFFF"/>
          <w:lang w:val="en-US" w:eastAsia="zh-CN"/>
        </w:rPr>
      </w:pPr>
      <w:r>
        <w:rPr>
          <w:rFonts w:hint="eastAsia" w:ascii="仿宋" w:hAnsi="仿宋" w:eastAsia="仿宋" w:cs="仿宋"/>
          <w:b/>
          <w:bCs/>
          <w:color w:val="auto"/>
          <w:kern w:val="0"/>
          <w:sz w:val="32"/>
          <w:szCs w:val="32"/>
          <w:highlight w:val="none"/>
          <w:shd w:val="clear" w:color="auto" w:fill="FFFFFF"/>
          <w:lang w:val="en-US" w:eastAsia="zh-Hans"/>
        </w:rPr>
        <w:t>1.前期准备阶段</w:t>
      </w:r>
      <w:r>
        <w:rPr>
          <w:rFonts w:hint="eastAsia" w:ascii="仿宋" w:hAnsi="仿宋" w:eastAsia="仿宋" w:cs="仿宋"/>
          <w:b/>
          <w:bCs/>
          <w:color w:val="auto"/>
          <w:kern w:val="0"/>
          <w:sz w:val="32"/>
          <w:szCs w:val="32"/>
          <w:highlight w:val="none"/>
          <w:shd w:val="clear" w:color="auto" w:fill="FFFFFF"/>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（1）项目启动。</w:t>
      </w:r>
      <w:r>
        <w:rPr>
          <w:rFonts w:hint="eastAsia" w:ascii="仿宋" w:hAnsi="仿宋" w:eastAsia="仿宋" w:cs="仿宋"/>
          <w:color w:val="auto"/>
          <w:kern w:val="0"/>
          <w:sz w:val="32"/>
          <w:szCs w:val="32"/>
          <w:highlight w:val="none"/>
          <w:shd w:val="clear" w:color="auto" w:fill="FFFFFF"/>
          <w:lang w:val="en-US" w:eastAsia="zh-CN"/>
        </w:rPr>
        <w:t>首先成立</w:t>
      </w:r>
      <w:r>
        <w:rPr>
          <w:rFonts w:hint="eastAsia" w:ascii="仿宋" w:hAnsi="仿宋" w:eastAsia="仿宋" w:cs="仿宋"/>
          <w:color w:val="auto"/>
          <w:kern w:val="0"/>
          <w:sz w:val="32"/>
          <w:szCs w:val="32"/>
          <w:highlight w:val="none"/>
          <w:shd w:val="clear" w:color="auto" w:fill="FFFFFF"/>
          <w:lang w:val="en-US" w:eastAsia="zh-Hans"/>
        </w:rPr>
        <w:t>评价小组，联络本次绩效评价的相关部门及人员，收集相关资料。</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（2）开展前期调研并</w:t>
      </w:r>
      <w:r>
        <w:rPr>
          <w:rFonts w:hint="eastAsia" w:ascii="仿宋" w:hAnsi="仿宋" w:eastAsia="仿宋" w:cs="仿宋"/>
          <w:color w:val="auto"/>
          <w:kern w:val="0"/>
          <w:sz w:val="32"/>
          <w:szCs w:val="32"/>
          <w:highlight w:val="none"/>
          <w:shd w:val="clear" w:color="auto" w:fill="FFFFFF"/>
          <w:lang w:val="en-US" w:eastAsia="zh-CN"/>
        </w:rPr>
        <w:t>制定指标体系</w:t>
      </w:r>
      <w:r>
        <w:rPr>
          <w:rFonts w:hint="eastAsia" w:ascii="仿宋" w:hAnsi="仿宋" w:eastAsia="仿宋" w:cs="仿宋"/>
          <w:color w:val="auto"/>
          <w:kern w:val="0"/>
          <w:sz w:val="32"/>
          <w:szCs w:val="32"/>
          <w:highlight w:val="none"/>
          <w:shd w:val="clear" w:color="auto" w:fill="FFFFFF"/>
          <w:lang w:val="en-US" w:eastAsia="zh-Hans"/>
        </w:rPr>
        <w:t>。由评价小组成员与被评价部门进行充分沟通，了解部门的机构职能、职责划分、内设机构、下属预算单位等基本信息，并收集该部门202</w:t>
      </w:r>
      <w:r>
        <w:rPr>
          <w:rFonts w:hint="eastAsia" w:ascii="仿宋" w:hAnsi="仿宋" w:eastAsia="仿宋" w:cs="仿宋"/>
          <w:color w:val="auto"/>
          <w:kern w:val="0"/>
          <w:sz w:val="32"/>
          <w:szCs w:val="32"/>
          <w:highlight w:val="none"/>
          <w:shd w:val="clear" w:color="auto" w:fill="FFFFFF"/>
          <w:lang w:val="en-US" w:eastAsia="zh-CN"/>
        </w:rPr>
        <w:t>1</w:t>
      </w:r>
      <w:r>
        <w:rPr>
          <w:rFonts w:hint="eastAsia" w:ascii="仿宋" w:hAnsi="仿宋" w:eastAsia="仿宋" w:cs="仿宋"/>
          <w:color w:val="auto"/>
          <w:kern w:val="0"/>
          <w:sz w:val="32"/>
          <w:szCs w:val="32"/>
          <w:highlight w:val="none"/>
          <w:shd w:val="clear" w:color="auto" w:fill="FFFFFF"/>
          <w:lang w:val="en-US" w:eastAsia="zh-Hans"/>
        </w:rPr>
        <w:t>年度内开展建设及运营监管项目的立项文件、预算安排、项目年度目标、工作实施计划、管理制度等文件资料。</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根据部门实际情况和</w:t>
      </w:r>
      <w:r>
        <w:rPr>
          <w:rFonts w:hint="eastAsia" w:ascii="仿宋" w:hAnsi="仿宋" w:eastAsia="仿宋" w:cs="仿宋"/>
          <w:color w:val="auto"/>
          <w:kern w:val="0"/>
          <w:sz w:val="32"/>
          <w:szCs w:val="32"/>
          <w:highlight w:val="none"/>
          <w:shd w:val="clear" w:color="auto" w:fill="FFFFFF"/>
          <w:lang w:val="en-US" w:eastAsia="zh-CN"/>
        </w:rPr>
        <w:t>咸丰路街道办事处</w:t>
      </w:r>
      <w:r>
        <w:rPr>
          <w:rFonts w:hint="eastAsia" w:ascii="仿宋" w:hAnsi="仿宋" w:eastAsia="仿宋" w:cs="仿宋"/>
          <w:color w:val="auto"/>
          <w:kern w:val="0"/>
          <w:sz w:val="32"/>
          <w:szCs w:val="32"/>
          <w:highlight w:val="none"/>
          <w:shd w:val="clear" w:color="auto" w:fill="FFFFFF"/>
          <w:lang w:val="en-US" w:eastAsia="zh-Hans"/>
        </w:rPr>
        <w:t>工作特点，形成绩效评价的总体思路，设计指标体系、问卷调查及访谈内容广泛听取意见、进行完善。</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 w:hAnsi="仿宋" w:eastAsia="仿宋" w:cs="仿宋"/>
          <w:b/>
          <w:bCs/>
          <w:color w:val="auto"/>
          <w:kern w:val="0"/>
          <w:sz w:val="32"/>
          <w:szCs w:val="32"/>
          <w:highlight w:val="none"/>
          <w:shd w:val="clear" w:color="auto" w:fill="FFFFFF"/>
          <w:lang w:val="en-US" w:eastAsia="zh-CN"/>
        </w:rPr>
      </w:pPr>
      <w:r>
        <w:rPr>
          <w:rFonts w:hint="eastAsia" w:ascii="仿宋" w:hAnsi="仿宋" w:eastAsia="仿宋" w:cs="仿宋"/>
          <w:b/>
          <w:bCs/>
          <w:color w:val="auto"/>
          <w:kern w:val="0"/>
          <w:sz w:val="32"/>
          <w:szCs w:val="32"/>
          <w:highlight w:val="none"/>
          <w:shd w:val="clear" w:color="auto" w:fill="FFFFFF"/>
          <w:lang w:val="en-US" w:eastAsia="zh-Hans"/>
        </w:rPr>
        <w:t>2.组织实施阶段</w:t>
      </w:r>
      <w:r>
        <w:rPr>
          <w:rFonts w:hint="eastAsia" w:ascii="仿宋" w:hAnsi="仿宋" w:eastAsia="仿宋" w:cs="仿宋"/>
          <w:b/>
          <w:bCs/>
          <w:color w:val="auto"/>
          <w:kern w:val="0"/>
          <w:sz w:val="32"/>
          <w:szCs w:val="32"/>
          <w:highlight w:val="none"/>
          <w:shd w:val="clear" w:color="auto" w:fill="FFFFFF"/>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（1）数据收集和审核资料</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评价小组根据评价工作需要和相关要求，多渠道收集基础信息资料，根据绩效目标设立的依据和调整情况，整理投入、过程、产出和</w:t>
      </w:r>
      <w:r>
        <w:rPr>
          <w:rFonts w:hint="eastAsia" w:ascii="仿宋" w:hAnsi="仿宋" w:eastAsia="仿宋" w:cs="仿宋"/>
          <w:color w:val="auto"/>
          <w:kern w:val="0"/>
          <w:sz w:val="32"/>
          <w:szCs w:val="32"/>
          <w:highlight w:val="none"/>
          <w:shd w:val="clear" w:color="auto" w:fill="FFFFFF"/>
          <w:lang w:val="en-US" w:eastAsia="zh-CN"/>
        </w:rPr>
        <w:t>效益</w:t>
      </w:r>
      <w:r>
        <w:rPr>
          <w:rFonts w:hint="eastAsia" w:ascii="仿宋" w:hAnsi="仿宋" w:eastAsia="仿宋" w:cs="仿宋"/>
          <w:color w:val="auto"/>
          <w:kern w:val="0"/>
          <w:sz w:val="32"/>
          <w:szCs w:val="32"/>
          <w:highlight w:val="none"/>
          <w:shd w:val="clear" w:color="auto" w:fill="FFFFFF"/>
          <w:lang w:val="en-US" w:eastAsia="zh-Hans"/>
        </w:rPr>
        <w:t>资料，相关业务和财务资料，管理措施及组织实施情况与绩效评价相关的计划标准、行业标准、历史标准等，以及其他必要的相关资料。在收集齐全的基础上对所有资料进行分类整理，对相关资料进行核实和分析，并要求预算单位对缺失的资料及时补充，对存在疑问的资料和数据进行解释和说明。</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（2）现场</w:t>
      </w:r>
      <w:r>
        <w:rPr>
          <w:rFonts w:hint="eastAsia" w:ascii="仿宋" w:hAnsi="仿宋" w:eastAsia="仿宋" w:cs="仿宋"/>
          <w:color w:val="auto"/>
          <w:kern w:val="0"/>
          <w:sz w:val="32"/>
          <w:szCs w:val="32"/>
          <w:highlight w:val="none"/>
          <w:shd w:val="clear" w:color="auto" w:fill="FFFFFF"/>
          <w:lang w:val="en-US" w:eastAsia="zh-CN"/>
        </w:rPr>
        <w:t>座谈</w:t>
      </w:r>
      <w:r>
        <w:rPr>
          <w:rFonts w:hint="eastAsia" w:ascii="仿宋" w:hAnsi="仿宋" w:eastAsia="仿宋" w:cs="仿宋"/>
          <w:color w:val="auto"/>
          <w:kern w:val="0"/>
          <w:sz w:val="32"/>
          <w:szCs w:val="32"/>
          <w:highlight w:val="none"/>
          <w:shd w:val="clear" w:color="auto" w:fill="FFFFFF"/>
          <w:lang w:val="en-US" w:eastAsia="zh-Hans"/>
        </w:rPr>
        <w:t>及社会调查阶段</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对部门单位及实施项目进行访谈、联系部门和项目单位组织人员进行社会调查，对有关情况和基础材料进行核实，掌握评价基础资料。</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 w:hAnsi="仿宋" w:eastAsia="仿宋" w:cs="仿宋"/>
          <w:b/>
          <w:bCs/>
          <w:color w:val="auto"/>
          <w:kern w:val="0"/>
          <w:sz w:val="32"/>
          <w:szCs w:val="32"/>
          <w:highlight w:val="none"/>
          <w:shd w:val="clear" w:color="auto" w:fill="FFFFFF"/>
          <w:lang w:val="en-US" w:eastAsia="zh-CN"/>
        </w:rPr>
      </w:pPr>
      <w:r>
        <w:rPr>
          <w:rFonts w:hint="eastAsia" w:ascii="仿宋" w:hAnsi="仿宋" w:eastAsia="仿宋" w:cs="仿宋"/>
          <w:b/>
          <w:bCs/>
          <w:color w:val="auto"/>
          <w:kern w:val="0"/>
          <w:sz w:val="32"/>
          <w:szCs w:val="32"/>
          <w:highlight w:val="none"/>
          <w:shd w:val="clear" w:color="auto" w:fill="FFFFFF"/>
          <w:lang w:val="en-US" w:eastAsia="zh-Hans"/>
        </w:rPr>
        <w:t>3.</w:t>
      </w:r>
      <w:r>
        <w:rPr>
          <w:rFonts w:hint="eastAsia" w:ascii="仿宋" w:hAnsi="仿宋" w:eastAsia="仿宋" w:cs="仿宋"/>
          <w:b/>
          <w:bCs/>
          <w:color w:val="auto"/>
          <w:kern w:val="0"/>
          <w:sz w:val="32"/>
          <w:szCs w:val="32"/>
          <w:highlight w:val="none"/>
          <w:shd w:val="clear" w:color="auto" w:fill="FFFFFF"/>
          <w:lang w:val="en-US" w:eastAsia="zh-CN"/>
        </w:rPr>
        <w:t>报告撰写</w:t>
      </w:r>
      <w:r>
        <w:rPr>
          <w:rFonts w:hint="eastAsia" w:ascii="仿宋" w:hAnsi="仿宋" w:eastAsia="仿宋" w:cs="仿宋"/>
          <w:b/>
          <w:bCs/>
          <w:color w:val="auto"/>
          <w:kern w:val="0"/>
          <w:sz w:val="32"/>
          <w:szCs w:val="32"/>
          <w:highlight w:val="none"/>
          <w:shd w:val="clear" w:color="auto" w:fill="FFFFFF"/>
          <w:lang w:val="en-US" w:eastAsia="zh-Hans"/>
        </w:rPr>
        <w:t>阶段</w:t>
      </w:r>
      <w:r>
        <w:rPr>
          <w:rFonts w:hint="eastAsia" w:ascii="仿宋" w:hAnsi="仿宋" w:eastAsia="仿宋" w:cs="仿宋"/>
          <w:b/>
          <w:bCs/>
          <w:color w:val="auto"/>
          <w:kern w:val="0"/>
          <w:sz w:val="32"/>
          <w:szCs w:val="32"/>
          <w:highlight w:val="none"/>
          <w:shd w:val="clear" w:color="auto" w:fill="FFFFFF"/>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（1）综合分析评价。根据收集和审核的基础资料，结合现场</w:t>
      </w:r>
      <w:r>
        <w:rPr>
          <w:rFonts w:hint="eastAsia" w:ascii="仿宋" w:hAnsi="仿宋" w:eastAsia="仿宋" w:cs="仿宋"/>
          <w:color w:val="auto"/>
          <w:kern w:val="0"/>
          <w:sz w:val="32"/>
          <w:szCs w:val="32"/>
          <w:highlight w:val="none"/>
          <w:shd w:val="clear" w:color="auto" w:fill="FFFFFF"/>
          <w:lang w:val="en-US" w:eastAsia="zh-CN"/>
        </w:rPr>
        <w:t>座谈</w:t>
      </w:r>
      <w:r>
        <w:rPr>
          <w:rFonts w:hint="eastAsia" w:ascii="仿宋" w:hAnsi="仿宋" w:eastAsia="仿宋" w:cs="仿宋"/>
          <w:color w:val="auto"/>
          <w:kern w:val="0"/>
          <w:sz w:val="32"/>
          <w:szCs w:val="32"/>
          <w:highlight w:val="none"/>
          <w:shd w:val="clear" w:color="auto" w:fill="FFFFFF"/>
          <w:lang w:val="en-US" w:eastAsia="zh-Hans"/>
        </w:rPr>
        <w:t>的有关情况，整理出绩效评价所需的资料和数据；按照评价工作方案确定的评价指标、评价标准和评价方法，对本部门的绩效情况进行全面的定量、定性分析和综合评价，并进行量化打分，根据评分结果确定相应档次，并形成评价结论。</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（2）撰写提交绩效评价报告。综合前期收集和审核的部门及项目资料、现场调研的结果，评价工作组对部门年度工作情况进行综合分析，并按照规定的文本格式和相关要求撰写评价报告。报告内容</w:t>
      </w:r>
      <w:r>
        <w:rPr>
          <w:rFonts w:hint="eastAsia" w:ascii="仿宋" w:hAnsi="仿宋" w:eastAsia="仿宋" w:cs="仿宋"/>
          <w:color w:val="auto"/>
          <w:kern w:val="0"/>
          <w:sz w:val="32"/>
          <w:szCs w:val="32"/>
          <w:highlight w:val="none"/>
          <w:shd w:val="clear" w:color="auto" w:fill="FFFFFF"/>
          <w:lang w:val="en-US" w:eastAsia="zh-CN"/>
        </w:rPr>
        <w:t>详实</w:t>
      </w:r>
      <w:r>
        <w:rPr>
          <w:rFonts w:hint="eastAsia" w:ascii="仿宋" w:hAnsi="仿宋" w:eastAsia="仿宋" w:cs="仿宋"/>
          <w:color w:val="auto"/>
          <w:kern w:val="0"/>
          <w:sz w:val="32"/>
          <w:szCs w:val="32"/>
          <w:highlight w:val="none"/>
          <w:shd w:val="clear" w:color="auto" w:fill="FFFFFF"/>
          <w:lang w:val="en-US" w:eastAsia="zh-Hans"/>
        </w:rPr>
        <w:t>，逻辑清晰，结论鲜明，依据真实、充分，底稿及附件齐全。评价报告在经过</w:t>
      </w:r>
      <w:r>
        <w:rPr>
          <w:rFonts w:hint="eastAsia" w:ascii="仿宋" w:hAnsi="仿宋" w:eastAsia="仿宋" w:cs="仿宋"/>
          <w:color w:val="auto"/>
          <w:kern w:val="0"/>
          <w:sz w:val="32"/>
          <w:szCs w:val="32"/>
          <w:highlight w:val="none"/>
          <w:shd w:val="clear" w:color="auto" w:fill="FFFFFF"/>
          <w:lang w:val="en-US" w:eastAsia="zh-CN"/>
        </w:rPr>
        <w:t>与被评价部门</w:t>
      </w:r>
      <w:r>
        <w:rPr>
          <w:rFonts w:hint="eastAsia" w:ascii="仿宋" w:hAnsi="仿宋" w:eastAsia="仿宋" w:cs="仿宋"/>
          <w:color w:val="auto"/>
          <w:kern w:val="0"/>
          <w:sz w:val="32"/>
          <w:szCs w:val="32"/>
          <w:highlight w:val="none"/>
          <w:shd w:val="clear" w:color="auto" w:fill="FFFFFF"/>
          <w:lang w:val="en-US" w:eastAsia="zh-Hans"/>
        </w:rPr>
        <w:t>沟通意见，修改完善绩效评价报告，及时提交</w:t>
      </w:r>
      <w:r>
        <w:rPr>
          <w:rFonts w:hint="eastAsia" w:ascii="仿宋" w:hAnsi="仿宋" w:eastAsia="仿宋" w:cs="仿宋"/>
          <w:color w:val="auto"/>
          <w:kern w:val="0"/>
          <w:sz w:val="32"/>
          <w:szCs w:val="32"/>
          <w:highlight w:val="none"/>
          <w:shd w:val="clear" w:color="auto" w:fill="FFFFFF"/>
          <w:lang w:val="en-US" w:eastAsia="zh-CN"/>
        </w:rPr>
        <w:t>委托方</w:t>
      </w:r>
      <w:r>
        <w:rPr>
          <w:rFonts w:hint="eastAsia" w:ascii="仿宋" w:hAnsi="仿宋" w:eastAsia="仿宋" w:cs="仿宋"/>
          <w:color w:val="auto"/>
          <w:kern w:val="0"/>
          <w:sz w:val="32"/>
          <w:szCs w:val="32"/>
          <w:highlight w:val="none"/>
          <w:shd w:val="clear" w:color="auto" w:fill="FFFFFF"/>
          <w:lang w:val="en-US" w:eastAsia="zh-Hans"/>
        </w:rPr>
        <w:t>确认。</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b/>
          <w:bCs/>
          <w:color w:val="auto"/>
          <w:kern w:val="0"/>
          <w:sz w:val="32"/>
          <w:szCs w:val="32"/>
          <w:highlight w:val="none"/>
          <w:shd w:val="clear" w:color="auto" w:fill="FFFFFF"/>
          <w:lang w:val="en-US" w:eastAsia="zh-Hans"/>
        </w:rPr>
        <w:t>4.资料整理阶段</w:t>
      </w:r>
      <w:r>
        <w:rPr>
          <w:rFonts w:hint="eastAsia" w:ascii="仿宋" w:hAnsi="仿宋" w:eastAsia="仿宋" w:cs="仿宋"/>
          <w:b/>
          <w:bCs/>
          <w:color w:val="auto"/>
          <w:kern w:val="0"/>
          <w:sz w:val="32"/>
          <w:szCs w:val="32"/>
          <w:highlight w:val="none"/>
          <w:shd w:val="clear" w:color="auto" w:fill="FFFFFF"/>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绩效评价工作结束后，评价工作组将绩效评价过程中所涉及的材料（电子版、纸质版），及时收集和整理，并归档备查。同时，根据绩效评价结果，应相关要求，及时帮助被评价方就相关问题、建议积极落实结果应用，切实提升</w:t>
      </w:r>
      <w:r>
        <w:rPr>
          <w:rFonts w:hint="eastAsia" w:ascii="仿宋" w:hAnsi="仿宋" w:eastAsia="仿宋" w:cs="仿宋"/>
          <w:color w:val="auto"/>
          <w:kern w:val="0"/>
          <w:sz w:val="32"/>
          <w:szCs w:val="32"/>
          <w:highlight w:val="none"/>
          <w:shd w:val="clear" w:color="auto" w:fill="FFFFFF"/>
          <w:lang w:val="en-US" w:eastAsia="zh-CN"/>
        </w:rPr>
        <w:t>财政资金使用</w:t>
      </w:r>
      <w:r>
        <w:rPr>
          <w:rFonts w:hint="eastAsia" w:ascii="仿宋" w:hAnsi="仿宋" w:eastAsia="仿宋" w:cs="仿宋"/>
          <w:color w:val="auto"/>
          <w:kern w:val="0"/>
          <w:sz w:val="32"/>
          <w:szCs w:val="32"/>
          <w:highlight w:val="none"/>
          <w:shd w:val="clear" w:color="auto" w:fill="FFFFFF"/>
          <w:lang w:val="en-US" w:eastAsia="zh-Hans"/>
        </w:rPr>
        <w:t>绩效。</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0"/>
        <w:rPr>
          <w:rFonts w:hint="eastAsia" w:ascii="黑体" w:hAnsi="黑体" w:eastAsia="黑体" w:cs="黑体"/>
          <w:b w:val="0"/>
          <w:bCs w:val="0"/>
          <w:color w:val="auto"/>
          <w:kern w:val="0"/>
          <w:sz w:val="32"/>
          <w:szCs w:val="32"/>
          <w:highlight w:val="none"/>
          <w:shd w:val="clear" w:color="auto" w:fill="FFFFFF"/>
          <w:lang w:val="en-US" w:eastAsia="zh-Hans"/>
        </w:rPr>
      </w:pPr>
      <w:bookmarkStart w:id="12" w:name="_Toc27023"/>
      <w:r>
        <w:rPr>
          <w:rFonts w:hint="eastAsia" w:ascii="黑体" w:hAnsi="黑体" w:eastAsia="黑体" w:cs="黑体"/>
          <w:b w:val="0"/>
          <w:bCs w:val="0"/>
          <w:color w:val="auto"/>
          <w:kern w:val="0"/>
          <w:sz w:val="32"/>
          <w:szCs w:val="32"/>
          <w:highlight w:val="none"/>
          <w:shd w:val="clear" w:color="auto" w:fill="FFFFFF"/>
          <w:lang w:val="en-US" w:eastAsia="zh-Hans"/>
        </w:rPr>
        <w:t>三、评价结论</w:t>
      </w:r>
      <w:bookmarkEnd w:id="12"/>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Hans"/>
        </w:rPr>
        <w:t>通过对</w:t>
      </w:r>
      <w:r>
        <w:rPr>
          <w:rFonts w:hint="eastAsia" w:ascii="仿宋" w:hAnsi="仿宋" w:eastAsia="仿宋" w:cs="仿宋"/>
          <w:color w:val="auto"/>
          <w:kern w:val="0"/>
          <w:sz w:val="32"/>
          <w:szCs w:val="32"/>
          <w:highlight w:val="none"/>
          <w:shd w:val="clear" w:color="auto" w:fill="FFFFFF"/>
          <w:lang w:val="en-US" w:eastAsia="zh-CN"/>
        </w:rPr>
        <w:t>新区咸丰路街道办事处</w:t>
      </w:r>
      <w:r>
        <w:rPr>
          <w:rFonts w:hint="eastAsia" w:ascii="仿宋" w:hAnsi="仿宋" w:eastAsia="仿宋" w:cs="仿宋"/>
          <w:color w:val="auto"/>
          <w:kern w:val="0"/>
          <w:sz w:val="32"/>
          <w:szCs w:val="32"/>
          <w:highlight w:val="none"/>
          <w:shd w:val="clear" w:color="auto" w:fill="FFFFFF"/>
          <w:lang w:val="en-US" w:eastAsia="zh-Hans"/>
        </w:rPr>
        <w:t>的</w:t>
      </w:r>
      <w:r>
        <w:rPr>
          <w:rFonts w:hint="eastAsia" w:ascii="仿宋" w:hAnsi="仿宋" w:eastAsia="仿宋" w:cs="仿宋"/>
          <w:color w:val="auto"/>
          <w:kern w:val="0"/>
          <w:sz w:val="32"/>
          <w:szCs w:val="32"/>
          <w:highlight w:val="none"/>
          <w:shd w:val="clear" w:color="auto" w:fill="FFFFFF"/>
          <w:lang w:val="en-US" w:eastAsia="zh-CN"/>
        </w:rPr>
        <w:t>相关</w:t>
      </w:r>
      <w:r>
        <w:rPr>
          <w:rFonts w:hint="eastAsia" w:ascii="仿宋" w:hAnsi="仿宋" w:eastAsia="仿宋" w:cs="仿宋"/>
          <w:color w:val="auto"/>
          <w:kern w:val="0"/>
          <w:sz w:val="32"/>
          <w:szCs w:val="32"/>
          <w:highlight w:val="none"/>
          <w:shd w:val="clear" w:color="auto" w:fill="FFFFFF"/>
          <w:lang w:val="en-US" w:eastAsia="zh-Hans"/>
        </w:rPr>
        <w:t>材料审核和现场</w:t>
      </w:r>
      <w:r>
        <w:rPr>
          <w:rFonts w:hint="eastAsia" w:ascii="仿宋" w:hAnsi="仿宋" w:eastAsia="仿宋" w:cs="仿宋"/>
          <w:color w:val="auto"/>
          <w:kern w:val="0"/>
          <w:sz w:val="32"/>
          <w:szCs w:val="32"/>
          <w:highlight w:val="none"/>
          <w:shd w:val="clear" w:color="auto" w:fill="FFFFFF"/>
          <w:lang w:val="en-US" w:eastAsia="zh-CN"/>
        </w:rPr>
        <w:t>座谈</w:t>
      </w:r>
      <w:r>
        <w:rPr>
          <w:rFonts w:hint="eastAsia" w:ascii="仿宋" w:hAnsi="仿宋" w:eastAsia="仿宋" w:cs="仿宋"/>
          <w:color w:val="auto"/>
          <w:kern w:val="0"/>
          <w:sz w:val="32"/>
          <w:szCs w:val="32"/>
          <w:highlight w:val="none"/>
          <w:shd w:val="clear" w:color="auto" w:fill="FFFFFF"/>
          <w:lang w:val="en-US" w:eastAsia="zh-Hans"/>
        </w:rPr>
        <w:t>、评审等，从</w:t>
      </w:r>
      <w:r>
        <w:rPr>
          <w:rFonts w:hint="eastAsia" w:ascii="仿宋" w:hAnsi="仿宋" w:eastAsia="仿宋" w:cs="仿宋"/>
          <w:color w:val="auto"/>
          <w:kern w:val="0"/>
          <w:sz w:val="32"/>
          <w:szCs w:val="32"/>
          <w:highlight w:val="none"/>
          <w:shd w:val="clear" w:color="auto" w:fill="FFFFFF"/>
          <w:lang w:val="en-US" w:eastAsia="zh-CN"/>
        </w:rPr>
        <w:t>投入</w:t>
      </w:r>
      <w:r>
        <w:rPr>
          <w:rFonts w:hint="eastAsia" w:ascii="仿宋" w:hAnsi="仿宋" w:eastAsia="仿宋" w:cs="仿宋"/>
          <w:color w:val="auto"/>
          <w:kern w:val="0"/>
          <w:sz w:val="32"/>
          <w:szCs w:val="32"/>
          <w:highlight w:val="none"/>
          <w:shd w:val="clear" w:color="auto" w:fill="FFFFFF"/>
          <w:lang w:val="en-US" w:eastAsia="zh-Hans"/>
        </w:rPr>
        <w:t>、</w:t>
      </w:r>
      <w:r>
        <w:rPr>
          <w:rFonts w:hint="eastAsia" w:ascii="仿宋" w:hAnsi="仿宋" w:eastAsia="仿宋" w:cs="仿宋"/>
          <w:color w:val="auto"/>
          <w:kern w:val="0"/>
          <w:sz w:val="32"/>
          <w:szCs w:val="32"/>
          <w:highlight w:val="none"/>
          <w:shd w:val="clear" w:color="auto" w:fill="FFFFFF"/>
          <w:lang w:val="en-US" w:eastAsia="zh-CN"/>
        </w:rPr>
        <w:t>过程</w:t>
      </w:r>
      <w:r>
        <w:rPr>
          <w:rFonts w:hint="eastAsia" w:ascii="仿宋" w:hAnsi="仿宋" w:eastAsia="仿宋" w:cs="仿宋"/>
          <w:color w:val="auto"/>
          <w:kern w:val="0"/>
          <w:sz w:val="32"/>
          <w:szCs w:val="32"/>
          <w:highlight w:val="none"/>
          <w:shd w:val="clear" w:color="auto" w:fill="FFFFFF"/>
          <w:lang w:val="en-US" w:eastAsia="zh-Hans"/>
        </w:rPr>
        <w:t>、产出、</w:t>
      </w:r>
      <w:r>
        <w:rPr>
          <w:rFonts w:hint="eastAsia" w:ascii="仿宋" w:hAnsi="仿宋" w:eastAsia="仿宋" w:cs="仿宋"/>
          <w:color w:val="auto"/>
          <w:kern w:val="0"/>
          <w:sz w:val="32"/>
          <w:szCs w:val="32"/>
          <w:highlight w:val="none"/>
          <w:shd w:val="clear" w:color="auto" w:fill="FFFFFF"/>
          <w:lang w:val="en-US" w:eastAsia="zh-CN"/>
        </w:rPr>
        <w:t>效果</w:t>
      </w:r>
      <w:r>
        <w:rPr>
          <w:rFonts w:hint="eastAsia" w:ascii="仿宋" w:hAnsi="仿宋" w:eastAsia="仿宋" w:cs="仿宋"/>
          <w:color w:val="auto"/>
          <w:kern w:val="0"/>
          <w:sz w:val="32"/>
          <w:szCs w:val="32"/>
          <w:highlight w:val="none"/>
          <w:shd w:val="clear" w:color="auto" w:fill="FFFFFF"/>
          <w:lang w:val="en-US" w:eastAsia="zh-Hans"/>
        </w:rPr>
        <w:t>四个维度综合评价铜川市</w:t>
      </w:r>
      <w:r>
        <w:rPr>
          <w:rFonts w:hint="eastAsia" w:ascii="仿宋" w:hAnsi="仿宋" w:eastAsia="仿宋" w:cs="仿宋"/>
          <w:color w:val="auto"/>
          <w:kern w:val="0"/>
          <w:sz w:val="32"/>
          <w:szCs w:val="32"/>
          <w:highlight w:val="none"/>
          <w:shd w:val="clear" w:color="auto" w:fill="FFFFFF"/>
          <w:lang w:val="en-US" w:eastAsia="zh-CN"/>
        </w:rPr>
        <w:t>新区咸丰路街道办事处</w:t>
      </w:r>
      <w:r>
        <w:rPr>
          <w:rFonts w:hint="eastAsia" w:ascii="仿宋" w:hAnsi="仿宋" w:eastAsia="仿宋" w:cs="仿宋"/>
          <w:color w:val="auto"/>
          <w:kern w:val="0"/>
          <w:sz w:val="32"/>
          <w:szCs w:val="32"/>
          <w:highlight w:val="none"/>
          <w:shd w:val="clear" w:color="auto" w:fill="FFFFFF"/>
          <w:lang w:val="en-US" w:eastAsia="zh-Hans"/>
        </w:rPr>
        <w:t>202</w:t>
      </w:r>
      <w:r>
        <w:rPr>
          <w:rFonts w:hint="eastAsia" w:ascii="仿宋" w:hAnsi="仿宋" w:eastAsia="仿宋" w:cs="仿宋"/>
          <w:color w:val="auto"/>
          <w:kern w:val="0"/>
          <w:sz w:val="32"/>
          <w:szCs w:val="32"/>
          <w:highlight w:val="none"/>
          <w:shd w:val="clear" w:color="auto" w:fill="FFFFFF"/>
          <w:lang w:val="en-US" w:eastAsia="zh-CN"/>
        </w:rPr>
        <w:t>1</w:t>
      </w:r>
      <w:r>
        <w:rPr>
          <w:rFonts w:hint="eastAsia" w:ascii="仿宋" w:hAnsi="仿宋" w:eastAsia="仿宋" w:cs="仿宋"/>
          <w:color w:val="auto"/>
          <w:kern w:val="0"/>
          <w:sz w:val="32"/>
          <w:szCs w:val="32"/>
          <w:highlight w:val="none"/>
          <w:shd w:val="clear" w:color="auto" w:fill="FFFFFF"/>
          <w:lang w:val="en-US" w:eastAsia="zh-Hans"/>
        </w:rPr>
        <w:t>年部门整体支出绩效，评价工作组认为：总体上</w:t>
      </w:r>
      <w:r>
        <w:rPr>
          <w:rFonts w:hint="eastAsia" w:ascii="仿宋" w:hAnsi="仿宋" w:eastAsia="仿宋" w:cs="仿宋"/>
          <w:color w:val="auto"/>
          <w:kern w:val="0"/>
          <w:sz w:val="32"/>
          <w:szCs w:val="32"/>
          <w:highlight w:val="none"/>
          <w:shd w:val="clear" w:color="auto" w:fill="FFFFFF"/>
          <w:lang w:val="en-US" w:eastAsia="zh-CN"/>
        </w:rPr>
        <w:t>新区咸丰路街道办事处2021年度部门整体支出效果表现良好，但在投入、过程、职责履行和履职效益方面存在有待完善的地方。评价结果分为优(</w:t>
      </w:r>
      <w:r>
        <w:rPr>
          <w:rFonts w:hint="default" w:ascii="仿宋" w:hAnsi="仿宋" w:eastAsia="仿宋" w:cs="仿宋"/>
          <w:color w:val="auto"/>
          <w:kern w:val="0"/>
          <w:sz w:val="32"/>
          <w:szCs w:val="32"/>
          <w:highlight w:val="none"/>
          <w:shd w:val="clear" w:color="auto" w:fill="FFFFFF"/>
          <w:lang w:eastAsia="zh-CN"/>
        </w:rPr>
        <w:t>90</w:t>
      </w:r>
      <w:r>
        <w:rPr>
          <w:rFonts w:hint="eastAsia" w:ascii="仿宋" w:hAnsi="仿宋" w:eastAsia="仿宋" w:cs="仿宋"/>
          <w:color w:val="auto"/>
          <w:kern w:val="0"/>
          <w:sz w:val="32"/>
          <w:szCs w:val="32"/>
          <w:highlight w:val="none"/>
          <w:shd w:val="clear" w:color="auto" w:fill="FFFFFF"/>
          <w:lang w:val="en-US" w:eastAsia="zh-CN"/>
        </w:rPr>
        <w:t>分以上)、良(</w:t>
      </w:r>
      <w:r>
        <w:rPr>
          <w:rFonts w:hint="default" w:ascii="仿宋" w:hAnsi="仿宋" w:eastAsia="仿宋" w:cs="仿宋"/>
          <w:color w:val="auto"/>
          <w:kern w:val="0"/>
          <w:sz w:val="32"/>
          <w:szCs w:val="32"/>
          <w:highlight w:val="none"/>
          <w:shd w:val="clear" w:color="auto" w:fill="FFFFFF"/>
          <w:lang w:eastAsia="zh-CN"/>
        </w:rPr>
        <w:t>80</w:t>
      </w:r>
      <w:r>
        <w:rPr>
          <w:rFonts w:hint="eastAsia" w:ascii="仿宋" w:hAnsi="仿宋" w:eastAsia="仿宋" w:cs="仿宋"/>
          <w:color w:val="auto"/>
          <w:kern w:val="0"/>
          <w:sz w:val="32"/>
          <w:szCs w:val="32"/>
          <w:highlight w:val="none"/>
          <w:shd w:val="clear" w:color="auto" w:fill="FFFFFF"/>
          <w:lang w:val="en-US" w:eastAsia="zh-Hans"/>
        </w:rPr>
        <w:t>含</w:t>
      </w:r>
      <w:r>
        <w:rPr>
          <w:rFonts w:hint="eastAsia" w:ascii="仿宋" w:hAnsi="仿宋" w:eastAsia="仿宋" w:cs="仿宋"/>
          <w:color w:val="auto"/>
          <w:kern w:val="0"/>
          <w:sz w:val="32"/>
          <w:szCs w:val="32"/>
          <w:highlight w:val="none"/>
          <w:shd w:val="clear" w:color="auto" w:fill="FFFFFF"/>
          <w:lang w:val="en-US" w:eastAsia="zh-CN"/>
        </w:rPr>
        <w:t>-</w:t>
      </w:r>
      <w:r>
        <w:rPr>
          <w:rFonts w:hint="default" w:ascii="仿宋" w:hAnsi="仿宋" w:eastAsia="仿宋" w:cs="仿宋"/>
          <w:color w:val="auto"/>
          <w:kern w:val="0"/>
          <w:sz w:val="32"/>
          <w:szCs w:val="32"/>
          <w:highlight w:val="none"/>
          <w:shd w:val="clear" w:color="auto" w:fill="FFFFFF"/>
          <w:lang w:eastAsia="zh-CN"/>
        </w:rPr>
        <w:t>90</w:t>
      </w:r>
      <w:r>
        <w:rPr>
          <w:rFonts w:hint="eastAsia" w:ascii="仿宋" w:hAnsi="仿宋" w:eastAsia="仿宋" w:cs="仿宋"/>
          <w:color w:val="auto"/>
          <w:kern w:val="0"/>
          <w:sz w:val="32"/>
          <w:szCs w:val="32"/>
          <w:highlight w:val="none"/>
          <w:shd w:val="clear" w:color="auto" w:fill="FFFFFF"/>
          <w:lang w:val="en-US" w:eastAsia="zh-CN"/>
        </w:rPr>
        <w:t>分)、中(</w:t>
      </w:r>
      <w:r>
        <w:rPr>
          <w:rFonts w:hint="default" w:ascii="仿宋" w:hAnsi="仿宋" w:eastAsia="仿宋" w:cs="仿宋"/>
          <w:color w:val="auto"/>
          <w:kern w:val="0"/>
          <w:sz w:val="32"/>
          <w:szCs w:val="32"/>
          <w:highlight w:val="none"/>
          <w:shd w:val="clear" w:color="auto" w:fill="FFFFFF"/>
          <w:lang w:eastAsia="zh-CN"/>
        </w:rPr>
        <w:t>60</w:t>
      </w:r>
      <w:r>
        <w:rPr>
          <w:rFonts w:hint="eastAsia" w:ascii="仿宋" w:hAnsi="仿宋" w:eastAsia="仿宋" w:cs="仿宋"/>
          <w:color w:val="auto"/>
          <w:kern w:val="0"/>
          <w:sz w:val="32"/>
          <w:szCs w:val="32"/>
          <w:highlight w:val="none"/>
          <w:shd w:val="clear" w:color="auto" w:fill="FFFFFF"/>
          <w:lang w:val="en-US" w:eastAsia="zh-Hans"/>
        </w:rPr>
        <w:t>含</w:t>
      </w:r>
      <w:r>
        <w:rPr>
          <w:rFonts w:hint="eastAsia" w:ascii="仿宋" w:hAnsi="仿宋" w:eastAsia="仿宋" w:cs="仿宋"/>
          <w:color w:val="auto"/>
          <w:kern w:val="0"/>
          <w:sz w:val="32"/>
          <w:szCs w:val="32"/>
          <w:highlight w:val="none"/>
          <w:shd w:val="clear" w:color="auto" w:fill="FFFFFF"/>
          <w:lang w:val="en-US" w:eastAsia="zh-CN"/>
        </w:rPr>
        <w:t>-</w:t>
      </w:r>
      <w:r>
        <w:rPr>
          <w:rFonts w:hint="default" w:ascii="仿宋" w:hAnsi="仿宋" w:eastAsia="仿宋" w:cs="仿宋"/>
          <w:color w:val="auto"/>
          <w:kern w:val="0"/>
          <w:sz w:val="32"/>
          <w:szCs w:val="32"/>
          <w:highlight w:val="none"/>
          <w:shd w:val="clear" w:color="auto" w:fill="FFFFFF"/>
          <w:lang w:eastAsia="zh-CN"/>
        </w:rPr>
        <w:t>80</w:t>
      </w:r>
      <w:r>
        <w:rPr>
          <w:rFonts w:hint="eastAsia" w:ascii="仿宋" w:hAnsi="仿宋" w:eastAsia="仿宋" w:cs="仿宋"/>
          <w:color w:val="auto"/>
          <w:kern w:val="0"/>
          <w:sz w:val="32"/>
          <w:szCs w:val="32"/>
          <w:highlight w:val="none"/>
          <w:shd w:val="clear" w:color="auto" w:fill="FFFFFF"/>
          <w:lang w:val="en-US" w:eastAsia="zh-CN"/>
        </w:rPr>
        <w:t>分) 和差(</w:t>
      </w:r>
      <w:r>
        <w:rPr>
          <w:rFonts w:hint="default" w:ascii="仿宋" w:hAnsi="仿宋" w:eastAsia="仿宋" w:cs="仿宋"/>
          <w:color w:val="auto"/>
          <w:kern w:val="0"/>
          <w:sz w:val="32"/>
          <w:szCs w:val="32"/>
          <w:highlight w:val="none"/>
          <w:shd w:val="clear" w:color="auto" w:fill="FFFFFF"/>
          <w:lang w:eastAsia="zh-CN"/>
        </w:rPr>
        <w:t>60</w:t>
      </w:r>
      <w:r>
        <w:rPr>
          <w:rFonts w:hint="eastAsia" w:ascii="仿宋" w:hAnsi="仿宋" w:eastAsia="仿宋" w:cs="仿宋"/>
          <w:color w:val="auto"/>
          <w:kern w:val="0"/>
          <w:sz w:val="32"/>
          <w:szCs w:val="32"/>
          <w:highlight w:val="none"/>
          <w:shd w:val="clear" w:color="auto" w:fill="FFFFFF"/>
          <w:lang w:val="en-US" w:eastAsia="zh-CN"/>
        </w:rPr>
        <w:t>分以下)四个等次。经综合分析，该部门整体支出综合评价得分为81.55分，绩效等级为“良”。</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jc w:val="center"/>
        <w:textAlignment w:val="auto"/>
        <w:outlineLvl w:val="9"/>
        <w:rPr>
          <w:rFonts w:hint="eastAsia" w:ascii="仿宋" w:hAnsi="仿宋" w:eastAsia="仿宋" w:cs="仿宋"/>
          <w:b/>
          <w:bCs/>
          <w:color w:val="auto"/>
          <w:kern w:val="0"/>
          <w:sz w:val="28"/>
          <w:szCs w:val="28"/>
          <w:highlight w:val="none"/>
          <w:shd w:val="clear" w:color="auto" w:fill="FFFFFF"/>
          <w:lang w:val="en-US" w:eastAsia="zh-Hans"/>
        </w:rPr>
      </w:pPr>
      <w:r>
        <w:rPr>
          <w:rFonts w:hint="eastAsia" w:ascii="仿宋" w:hAnsi="仿宋" w:eastAsia="仿宋" w:cs="仿宋"/>
          <w:b/>
          <w:bCs/>
          <w:color w:val="auto"/>
          <w:kern w:val="0"/>
          <w:sz w:val="28"/>
          <w:szCs w:val="28"/>
          <w:highlight w:val="none"/>
          <w:shd w:val="clear" w:color="auto" w:fill="FFFFFF"/>
          <w:lang w:val="en-US" w:eastAsia="zh-Hans"/>
        </w:rPr>
        <w:t>表3-1 202</w:t>
      </w:r>
      <w:r>
        <w:rPr>
          <w:rFonts w:hint="eastAsia" w:ascii="仿宋" w:hAnsi="仿宋" w:eastAsia="仿宋" w:cs="仿宋"/>
          <w:b/>
          <w:bCs/>
          <w:color w:val="auto"/>
          <w:kern w:val="0"/>
          <w:sz w:val="28"/>
          <w:szCs w:val="28"/>
          <w:highlight w:val="none"/>
          <w:shd w:val="clear" w:color="auto" w:fill="FFFFFF"/>
          <w:lang w:val="en-US" w:eastAsia="zh-CN"/>
        </w:rPr>
        <w:t>1</w:t>
      </w:r>
      <w:r>
        <w:rPr>
          <w:rFonts w:hint="eastAsia" w:ascii="仿宋" w:hAnsi="仿宋" w:eastAsia="仿宋" w:cs="仿宋"/>
          <w:b/>
          <w:bCs/>
          <w:color w:val="auto"/>
          <w:kern w:val="0"/>
          <w:sz w:val="28"/>
          <w:szCs w:val="28"/>
          <w:highlight w:val="none"/>
          <w:shd w:val="clear" w:color="auto" w:fill="FFFFFF"/>
          <w:lang w:val="en-US" w:eastAsia="zh-Hans"/>
        </w:rPr>
        <w:t>年</w:t>
      </w:r>
      <w:r>
        <w:rPr>
          <w:rFonts w:hint="eastAsia" w:ascii="仿宋" w:hAnsi="仿宋" w:eastAsia="仿宋" w:cs="仿宋"/>
          <w:b/>
          <w:bCs/>
          <w:color w:val="auto"/>
          <w:kern w:val="0"/>
          <w:sz w:val="28"/>
          <w:szCs w:val="28"/>
          <w:highlight w:val="none"/>
          <w:shd w:val="clear" w:color="auto" w:fill="FFFFFF"/>
          <w:lang w:val="en-US" w:eastAsia="zh-CN"/>
        </w:rPr>
        <w:t>新区咸丰路街道办事处</w:t>
      </w:r>
      <w:r>
        <w:rPr>
          <w:rFonts w:hint="eastAsia" w:ascii="仿宋" w:hAnsi="仿宋" w:eastAsia="仿宋" w:cs="仿宋"/>
          <w:b/>
          <w:bCs/>
          <w:color w:val="auto"/>
          <w:kern w:val="0"/>
          <w:sz w:val="28"/>
          <w:szCs w:val="28"/>
          <w:highlight w:val="none"/>
          <w:shd w:val="clear" w:color="auto" w:fill="FFFFFF"/>
          <w:lang w:val="en-US" w:eastAsia="zh-Hans"/>
        </w:rPr>
        <w:t>部门整体支出绩效</w:t>
      </w:r>
      <w:r>
        <w:rPr>
          <w:rFonts w:hint="eastAsia" w:ascii="仿宋" w:hAnsi="仿宋" w:eastAsia="仿宋" w:cs="仿宋"/>
          <w:b/>
          <w:bCs/>
          <w:color w:val="auto"/>
          <w:kern w:val="0"/>
          <w:sz w:val="28"/>
          <w:szCs w:val="28"/>
          <w:highlight w:val="none"/>
          <w:shd w:val="clear" w:color="auto" w:fill="FFFFFF"/>
          <w:lang w:val="en-US" w:eastAsia="zh-CN"/>
        </w:rPr>
        <w:t>评价得分</w:t>
      </w:r>
      <w:r>
        <w:rPr>
          <w:rFonts w:hint="eastAsia" w:ascii="仿宋" w:hAnsi="仿宋" w:eastAsia="仿宋" w:cs="仿宋"/>
          <w:b/>
          <w:bCs/>
          <w:color w:val="auto"/>
          <w:kern w:val="0"/>
          <w:sz w:val="28"/>
          <w:szCs w:val="28"/>
          <w:highlight w:val="none"/>
          <w:shd w:val="clear" w:color="auto" w:fill="FFFFFF"/>
          <w:lang w:val="en-US" w:eastAsia="zh-Hans"/>
        </w:rPr>
        <w:t>表</w:t>
      </w:r>
    </w:p>
    <w:tbl>
      <w:tblPr>
        <w:tblStyle w:val="15"/>
        <w:tblW w:w="4998" w:type="pct"/>
        <w:tblInd w:w="0" w:type="dxa"/>
        <w:shd w:val="clear" w:color="auto" w:fill="auto"/>
        <w:tblLayout w:type="autofit"/>
        <w:tblCellMar>
          <w:top w:w="0" w:type="dxa"/>
          <w:left w:w="0" w:type="dxa"/>
          <w:bottom w:w="0" w:type="dxa"/>
          <w:right w:w="0" w:type="dxa"/>
        </w:tblCellMar>
      </w:tblPr>
      <w:tblGrid>
        <w:gridCol w:w="2076"/>
        <w:gridCol w:w="2076"/>
        <w:gridCol w:w="2595"/>
        <w:gridCol w:w="2079"/>
      </w:tblGrid>
      <w:tr>
        <w:tblPrEx>
          <w:shd w:val="clear" w:color="auto" w:fill="auto"/>
          <w:tblCellMar>
            <w:top w:w="0" w:type="dxa"/>
            <w:left w:w="0" w:type="dxa"/>
            <w:bottom w:w="0" w:type="dxa"/>
            <w:right w:w="0" w:type="dxa"/>
          </w:tblCellMar>
        </w:tblPrEx>
        <w:trPr>
          <w:trHeight w:val="300" w:hRule="atLeast"/>
        </w:trPr>
        <w:tc>
          <w:tcPr>
            <w:tcW w:w="1176"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一级指标</w:t>
            </w:r>
          </w:p>
        </w:tc>
        <w:tc>
          <w:tcPr>
            <w:tcW w:w="1176"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分值</w:t>
            </w:r>
          </w:p>
        </w:tc>
        <w:tc>
          <w:tcPr>
            <w:tcW w:w="147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得分</w:t>
            </w:r>
          </w:p>
        </w:tc>
        <w:tc>
          <w:tcPr>
            <w:tcW w:w="117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得分率</w:t>
            </w:r>
          </w:p>
        </w:tc>
      </w:tr>
      <w:tr>
        <w:tblPrEx>
          <w:tblCellMar>
            <w:top w:w="0" w:type="dxa"/>
            <w:left w:w="0" w:type="dxa"/>
            <w:bottom w:w="0" w:type="dxa"/>
            <w:right w:w="0" w:type="dxa"/>
          </w:tblCellMar>
        </w:tblPrEx>
        <w:trPr>
          <w:trHeight w:val="300" w:hRule="atLeast"/>
        </w:trPr>
        <w:tc>
          <w:tcPr>
            <w:tcW w:w="1176"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决策</w:t>
            </w:r>
          </w:p>
        </w:tc>
        <w:tc>
          <w:tcPr>
            <w:tcW w:w="207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15</w:t>
            </w:r>
          </w:p>
        </w:tc>
        <w:tc>
          <w:tcPr>
            <w:tcW w:w="259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1.81</w:t>
            </w:r>
          </w:p>
        </w:tc>
        <w:tc>
          <w:tcPr>
            <w:tcW w:w="207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cs="宋体"/>
                <w:i w:val="0"/>
                <w:color w:val="000000"/>
                <w:kern w:val="0"/>
                <w:sz w:val="24"/>
                <w:szCs w:val="24"/>
                <w:u w:val="none"/>
                <w:lang w:val="en-US" w:eastAsia="zh-CN" w:bidi="ar"/>
              </w:rPr>
              <w:t>12.07</w:t>
            </w:r>
            <w:r>
              <w:rPr>
                <w:rFonts w:hint="eastAsia" w:ascii="宋体" w:hAnsi="宋体" w:eastAsia="宋体" w:cs="宋体"/>
                <w:i w:val="0"/>
                <w:color w:val="000000"/>
                <w:kern w:val="0"/>
                <w:sz w:val="24"/>
                <w:szCs w:val="24"/>
                <w:u w:val="none"/>
                <w:lang w:val="en-US" w:eastAsia="zh-CN" w:bidi="ar"/>
              </w:rPr>
              <w:t>%</w:t>
            </w:r>
          </w:p>
        </w:tc>
      </w:tr>
      <w:tr>
        <w:tblPrEx>
          <w:tblCellMar>
            <w:top w:w="0" w:type="dxa"/>
            <w:left w:w="0" w:type="dxa"/>
            <w:bottom w:w="0" w:type="dxa"/>
            <w:right w:w="0" w:type="dxa"/>
          </w:tblCellMar>
        </w:tblPrEx>
        <w:trPr>
          <w:trHeight w:val="300" w:hRule="atLeast"/>
        </w:trPr>
        <w:tc>
          <w:tcPr>
            <w:tcW w:w="1176"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过程</w:t>
            </w:r>
          </w:p>
        </w:tc>
        <w:tc>
          <w:tcPr>
            <w:tcW w:w="207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25</w:t>
            </w:r>
          </w:p>
        </w:tc>
        <w:tc>
          <w:tcPr>
            <w:tcW w:w="259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22.17</w:t>
            </w:r>
          </w:p>
        </w:tc>
        <w:tc>
          <w:tcPr>
            <w:tcW w:w="207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cs="宋体"/>
                <w:i w:val="0"/>
                <w:color w:val="000000"/>
                <w:kern w:val="0"/>
                <w:sz w:val="24"/>
                <w:szCs w:val="24"/>
                <w:u w:val="none"/>
                <w:lang w:val="en-US" w:eastAsia="zh-CN" w:bidi="ar"/>
              </w:rPr>
              <w:t>88.68</w:t>
            </w:r>
            <w:r>
              <w:rPr>
                <w:rFonts w:hint="eastAsia" w:ascii="宋体" w:hAnsi="宋体" w:eastAsia="宋体" w:cs="宋体"/>
                <w:i w:val="0"/>
                <w:color w:val="000000"/>
                <w:kern w:val="0"/>
                <w:sz w:val="24"/>
                <w:szCs w:val="24"/>
                <w:u w:val="none"/>
                <w:lang w:val="en-US" w:eastAsia="zh-CN" w:bidi="ar"/>
              </w:rPr>
              <w:t>%</w:t>
            </w:r>
          </w:p>
        </w:tc>
      </w:tr>
      <w:tr>
        <w:tblPrEx>
          <w:tblCellMar>
            <w:top w:w="0" w:type="dxa"/>
            <w:left w:w="0" w:type="dxa"/>
            <w:bottom w:w="0" w:type="dxa"/>
            <w:right w:w="0" w:type="dxa"/>
          </w:tblCellMar>
        </w:tblPrEx>
        <w:trPr>
          <w:trHeight w:val="300" w:hRule="atLeast"/>
        </w:trPr>
        <w:tc>
          <w:tcPr>
            <w:tcW w:w="1176"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产出</w:t>
            </w:r>
          </w:p>
        </w:tc>
        <w:tc>
          <w:tcPr>
            <w:tcW w:w="207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35</w:t>
            </w:r>
          </w:p>
        </w:tc>
        <w:tc>
          <w:tcPr>
            <w:tcW w:w="259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34.57</w:t>
            </w:r>
          </w:p>
        </w:tc>
        <w:tc>
          <w:tcPr>
            <w:tcW w:w="207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cs="宋体"/>
                <w:i w:val="0"/>
                <w:color w:val="000000"/>
                <w:kern w:val="0"/>
                <w:sz w:val="24"/>
                <w:szCs w:val="24"/>
                <w:u w:val="none"/>
                <w:lang w:val="en-US" w:eastAsia="zh-CN" w:bidi="ar"/>
              </w:rPr>
              <w:t>98.77</w:t>
            </w:r>
            <w:r>
              <w:rPr>
                <w:rFonts w:hint="eastAsia" w:ascii="宋体" w:hAnsi="宋体" w:eastAsia="宋体" w:cs="宋体"/>
                <w:i w:val="0"/>
                <w:color w:val="000000"/>
                <w:kern w:val="0"/>
                <w:sz w:val="24"/>
                <w:szCs w:val="24"/>
                <w:u w:val="none"/>
                <w:lang w:val="en-US" w:eastAsia="zh-CN" w:bidi="ar"/>
              </w:rPr>
              <w:t>%</w:t>
            </w:r>
          </w:p>
        </w:tc>
      </w:tr>
      <w:tr>
        <w:tblPrEx>
          <w:tblCellMar>
            <w:top w:w="0" w:type="dxa"/>
            <w:left w:w="0" w:type="dxa"/>
            <w:bottom w:w="0" w:type="dxa"/>
            <w:right w:w="0" w:type="dxa"/>
          </w:tblCellMar>
        </w:tblPrEx>
        <w:trPr>
          <w:trHeight w:val="300" w:hRule="atLeast"/>
        </w:trPr>
        <w:tc>
          <w:tcPr>
            <w:tcW w:w="1176"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效益</w:t>
            </w:r>
          </w:p>
        </w:tc>
        <w:tc>
          <w:tcPr>
            <w:tcW w:w="207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25</w:t>
            </w:r>
          </w:p>
        </w:tc>
        <w:tc>
          <w:tcPr>
            <w:tcW w:w="259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仿宋" w:hAnsi="仿宋" w:eastAsia="仿宋" w:cs="仿宋"/>
                <w:i w:val="0"/>
                <w:color w:val="000000"/>
                <w:sz w:val="24"/>
                <w:szCs w:val="24"/>
                <w:u w:val="none"/>
                <w:lang w:val="en-US"/>
              </w:rPr>
            </w:pPr>
            <w:r>
              <w:rPr>
                <w:rFonts w:hint="eastAsia" w:ascii="仿宋" w:hAnsi="仿宋" w:eastAsia="仿宋" w:cs="仿宋"/>
                <w:i w:val="0"/>
                <w:color w:val="000000"/>
                <w:kern w:val="0"/>
                <w:sz w:val="24"/>
                <w:szCs w:val="24"/>
                <w:u w:val="none"/>
                <w:lang w:val="en-US" w:eastAsia="zh-CN" w:bidi="ar"/>
              </w:rPr>
              <w:t>23</w:t>
            </w:r>
          </w:p>
        </w:tc>
        <w:tc>
          <w:tcPr>
            <w:tcW w:w="207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cs="宋体"/>
                <w:i w:val="0"/>
                <w:color w:val="000000"/>
                <w:kern w:val="0"/>
                <w:sz w:val="24"/>
                <w:szCs w:val="24"/>
                <w:u w:val="none"/>
                <w:lang w:val="en-US" w:eastAsia="zh-CN" w:bidi="ar"/>
              </w:rPr>
              <w:t>100.00</w:t>
            </w:r>
            <w:r>
              <w:rPr>
                <w:rFonts w:hint="eastAsia" w:ascii="宋体" w:hAnsi="宋体" w:eastAsia="宋体" w:cs="宋体"/>
                <w:i w:val="0"/>
                <w:color w:val="000000"/>
                <w:kern w:val="0"/>
                <w:sz w:val="24"/>
                <w:szCs w:val="24"/>
                <w:u w:val="none"/>
                <w:lang w:val="en-US" w:eastAsia="zh-CN" w:bidi="ar"/>
              </w:rPr>
              <w:t>%</w:t>
            </w:r>
          </w:p>
        </w:tc>
      </w:tr>
      <w:tr>
        <w:tblPrEx>
          <w:tblCellMar>
            <w:top w:w="0" w:type="dxa"/>
            <w:left w:w="0" w:type="dxa"/>
            <w:bottom w:w="0" w:type="dxa"/>
            <w:right w:w="0" w:type="dxa"/>
          </w:tblCellMar>
        </w:tblPrEx>
        <w:trPr>
          <w:trHeight w:val="300" w:hRule="atLeast"/>
        </w:trPr>
        <w:tc>
          <w:tcPr>
            <w:tcW w:w="1176"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合计</w:t>
            </w:r>
          </w:p>
        </w:tc>
        <w:tc>
          <w:tcPr>
            <w:tcW w:w="207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100</w:t>
            </w:r>
          </w:p>
        </w:tc>
        <w:tc>
          <w:tcPr>
            <w:tcW w:w="259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宋体" w:hAnsi="宋体" w:eastAsia="宋体" w:cs="宋体"/>
                <w:i w:val="0"/>
                <w:color w:val="000000"/>
                <w:sz w:val="24"/>
                <w:szCs w:val="24"/>
                <w:u w:val="none"/>
                <w:lang w:val="en-US"/>
              </w:rPr>
            </w:pPr>
            <w:r>
              <w:rPr>
                <w:rFonts w:hint="eastAsia" w:cs="宋体"/>
                <w:i w:val="0"/>
                <w:color w:val="000000"/>
                <w:kern w:val="0"/>
                <w:sz w:val="24"/>
                <w:szCs w:val="24"/>
                <w:u w:val="none"/>
                <w:lang w:val="en-US" w:eastAsia="zh-CN" w:bidi="ar"/>
              </w:rPr>
              <w:t>81.55</w:t>
            </w:r>
          </w:p>
        </w:tc>
        <w:tc>
          <w:tcPr>
            <w:tcW w:w="207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cs="宋体"/>
                <w:i w:val="0"/>
                <w:color w:val="000000"/>
                <w:kern w:val="0"/>
                <w:sz w:val="24"/>
                <w:szCs w:val="24"/>
                <w:u w:val="none"/>
                <w:lang w:val="en-US" w:eastAsia="zh-CN" w:bidi="ar"/>
              </w:rPr>
              <w:t>81.55</w:t>
            </w:r>
            <w:r>
              <w:rPr>
                <w:rFonts w:hint="eastAsia" w:ascii="宋体" w:hAnsi="宋体" w:eastAsia="宋体" w:cs="宋体"/>
                <w:i w:val="0"/>
                <w:color w:val="000000"/>
                <w:kern w:val="0"/>
                <w:sz w:val="24"/>
                <w:szCs w:val="24"/>
                <w:u w:val="none"/>
                <w:lang w:val="en-US" w:eastAsia="zh-CN" w:bidi="ar"/>
              </w:rPr>
              <w:t>%</w:t>
            </w:r>
          </w:p>
        </w:tc>
      </w:tr>
      <w:tr>
        <w:tblPrEx>
          <w:tblCellMar>
            <w:top w:w="0" w:type="dxa"/>
            <w:left w:w="0" w:type="dxa"/>
            <w:bottom w:w="0" w:type="dxa"/>
            <w:right w:w="0" w:type="dxa"/>
          </w:tblCellMar>
        </w:tblPrEx>
        <w:trPr>
          <w:trHeight w:val="450" w:hRule="atLeast"/>
        </w:trPr>
        <w:tc>
          <w:tcPr>
            <w:tcW w:w="1176"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绩效评价得分：</w:t>
            </w:r>
          </w:p>
        </w:tc>
        <w:tc>
          <w:tcPr>
            <w:tcW w:w="1176"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仿宋" w:hAnsi="仿宋" w:eastAsia="仿宋" w:cs="仿宋"/>
                <w:i w:val="0"/>
                <w:color w:val="000000"/>
                <w:sz w:val="24"/>
                <w:szCs w:val="24"/>
                <w:u w:val="none"/>
                <w:lang w:val="en-US"/>
              </w:rPr>
            </w:pPr>
            <w:r>
              <w:rPr>
                <w:rFonts w:hint="eastAsia" w:cs="宋体"/>
                <w:i w:val="0"/>
                <w:color w:val="000000"/>
                <w:kern w:val="0"/>
                <w:sz w:val="24"/>
                <w:szCs w:val="24"/>
                <w:u w:val="none"/>
                <w:lang w:val="en-US" w:eastAsia="zh-CN" w:bidi="ar"/>
              </w:rPr>
              <w:t>81.55</w:t>
            </w:r>
          </w:p>
        </w:tc>
        <w:tc>
          <w:tcPr>
            <w:tcW w:w="147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综合评价结果等级：</w:t>
            </w:r>
          </w:p>
        </w:tc>
        <w:tc>
          <w:tcPr>
            <w:tcW w:w="117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仿宋" w:hAnsi="仿宋" w:eastAsia="仿宋" w:cs="仿宋"/>
                <w:i w:val="0"/>
                <w:color w:val="000000"/>
                <w:sz w:val="24"/>
                <w:szCs w:val="24"/>
                <w:u w:val="none"/>
                <w:lang w:val="en-US" w:eastAsia="zh-CN"/>
              </w:rPr>
            </w:pPr>
            <w:r>
              <w:rPr>
                <w:rFonts w:hint="eastAsia" w:ascii="仿宋" w:hAnsi="仿宋" w:eastAsia="仿宋" w:cs="仿宋"/>
                <w:i w:val="0"/>
                <w:color w:val="000000"/>
                <w:sz w:val="24"/>
                <w:szCs w:val="24"/>
                <w:u w:val="none"/>
                <w:lang w:val="en-US" w:eastAsia="zh-CN"/>
              </w:rPr>
              <w:t>良</w:t>
            </w:r>
          </w:p>
        </w:tc>
      </w:tr>
    </w:tbl>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0"/>
        <w:rPr>
          <w:rFonts w:hint="eastAsia" w:ascii="黑体" w:hAnsi="黑体" w:eastAsia="黑体" w:cs="黑体"/>
          <w:b w:val="0"/>
          <w:bCs w:val="0"/>
          <w:color w:val="auto"/>
          <w:kern w:val="0"/>
          <w:sz w:val="32"/>
          <w:szCs w:val="32"/>
          <w:highlight w:val="none"/>
          <w:lang w:val="en-US" w:eastAsia="zh-Hans"/>
        </w:rPr>
      </w:pPr>
      <w:bookmarkStart w:id="13" w:name="_Toc24355"/>
      <w:r>
        <w:rPr>
          <w:rFonts w:hint="eastAsia" w:ascii="黑体" w:hAnsi="黑体" w:eastAsia="黑体" w:cs="黑体"/>
          <w:b w:val="0"/>
          <w:bCs w:val="0"/>
          <w:color w:val="auto"/>
          <w:kern w:val="0"/>
          <w:sz w:val="32"/>
          <w:szCs w:val="32"/>
          <w:highlight w:val="none"/>
          <w:lang w:val="en-US" w:eastAsia="zh-Hans"/>
        </w:rPr>
        <w:t>四、绩效评价分析</w:t>
      </w:r>
      <w:bookmarkEnd w:id="13"/>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1"/>
        <w:rPr>
          <w:rFonts w:hint="eastAsia" w:ascii="楷体" w:hAnsi="楷体" w:eastAsia="楷体" w:cs="楷体"/>
          <w:b/>
          <w:bCs/>
          <w:color w:val="auto"/>
          <w:kern w:val="0"/>
          <w:sz w:val="32"/>
          <w:szCs w:val="32"/>
          <w:highlight w:val="none"/>
          <w:shd w:val="clear" w:color="auto" w:fill="FFFFFF"/>
          <w:lang w:val="en-US" w:eastAsia="zh-CN"/>
        </w:rPr>
      </w:pPr>
      <w:bookmarkStart w:id="14" w:name="_Toc30110"/>
      <w:r>
        <w:rPr>
          <w:rFonts w:hint="eastAsia" w:ascii="楷体" w:hAnsi="楷体" w:eastAsia="楷体" w:cs="楷体"/>
          <w:b/>
          <w:bCs/>
          <w:color w:val="auto"/>
          <w:kern w:val="0"/>
          <w:sz w:val="32"/>
          <w:szCs w:val="32"/>
          <w:highlight w:val="none"/>
          <w:shd w:val="clear" w:color="auto" w:fill="FFFFFF"/>
          <w:lang w:val="en-US" w:eastAsia="zh-CN"/>
        </w:rPr>
        <w:t>（一）投入方面</w:t>
      </w:r>
      <w:bookmarkEnd w:id="14"/>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该指标主要考核部门</w:t>
      </w:r>
      <w:r>
        <w:rPr>
          <w:rFonts w:hint="eastAsia" w:ascii="仿宋" w:hAnsi="仿宋" w:eastAsia="仿宋" w:cs="仿宋"/>
          <w:color w:val="auto"/>
          <w:kern w:val="0"/>
          <w:sz w:val="32"/>
          <w:szCs w:val="32"/>
          <w:highlight w:val="none"/>
          <w:shd w:val="clear" w:color="auto" w:fill="FFFFFF"/>
          <w:lang w:val="en-US" w:eastAsia="zh-Hans"/>
        </w:rPr>
        <w:t>目标设定和预算配置两方面内容</w:t>
      </w:r>
      <w:r>
        <w:rPr>
          <w:rFonts w:hint="eastAsia" w:ascii="仿宋" w:hAnsi="仿宋" w:eastAsia="仿宋" w:cs="仿宋"/>
          <w:color w:val="auto"/>
          <w:kern w:val="0"/>
          <w:sz w:val="32"/>
          <w:szCs w:val="32"/>
          <w:highlight w:val="none"/>
          <w:shd w:val="clear" w:color="auto" w:fill="FFFFFF"/>
          <w:lang w:val="en-US" w:eastAsia="zh-CN"/>
        </w:rPr>
        <w:t>，包括绩效目标合理性、</w:t>
      </w:r>
      <w:r>
        <w:rPr>
          <w:rFonts w:hint="eastAsia" w:ascii="仿宋" w:hAnsi="仿宋" w:eastAsia="仿宋" w:cs="仿宋"/>
          <w:color w:val="auto"/>
          <w:kern w:val="0"/>
          <w:sz w:val="32"/>
          <w:szCs w:val="32"/>
          <w:highlight w:val="none"/>
          <w:shd w:val="clear" w:color="auto" w:fill="FFFFFF"/>
          <w:lang w:val="en-US" w:eastAsia="zh-Hans"/>
        </w:rPr>
        <w:t>绩效指标明确性、在职人员控制率、“</w:t>
      </w:r>
      <w:r>
        <w:rPr>
          <w:rFonts w:hint="eastAsia" w:ascii="仿宋" w:hAnsi="仿宋" w:eastAsia="仿宋" w:cs="仿宋"/>
          <w:color w:val="auto"/>
          <w:kern w:val="0"/>
          <w:sz w:val="32"/>
          <w:szCs w:val="32"/>
          <w:highlight w:val="none"/>
          <w:shd w:val="clear" w:color="auto" w:fill="FFFFFF"/>
          <w:lang w:val="en-US" w:eastAsia="zh-CN"/>
        </w:rPr>
        <w:t>三公经费</w:t>
      </w:r>
      <w:r>
        <w:rPr>
          <w:rFonts w:hint="eastAsia" w:ascii="仿宋" w:hAnsi="仿宋" w:eastAsia="仿宋" w:cs="仿宋"/>
          <w:color w:val="auto"/>
          <w:kern w:val="0"/>
          <w:sz w:val="32"/>
          <w:szCs w:val="32"/>
          <w:highlight w:val="none"/>
          <w:shd w:val="clear" w:color="auto" w:fill="FFFFFF"/>
          <w:lang w:val="en-US" w:eastAsia="zh-Hans"/>
        </w:rPr>
        <w:t>”变动率、重点支出安排率</w:t>
      </w:r>
      <w:r>
        <w:rPr>
          <w:rFonts w:hint="eastAsia" w:ascii="仿宋" w:hAnsi="仿宋" w:eastAsia="仿宋" w:cs="仿宋"/>
          <w:color w:val="auto"/>
          <w:kern w:val="0"/>
          <w:sz w:val="32"/>
          <w:szCs w:val="32"/>
          <w:highlight w:val="none"/>
          <w:shd w:val="clear" w:color="auto" w:fill="FFFFFF"/>
          <w:lang w:val="en-US" w:eastAsia="zh-CN"/>
        </w:rPr>
        <w:t>等5个三级指标，指标权重15分，评价得分1.81分，得分率为12.07%。</w:t>
      </w:r>
    </w:p>
    <w:tbl>
      <w:tblPr>
        <w:tblStyle w:val="15"/>
        <w:tblW w:w="4975"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0" w:type="dxa"/>
          <w:bottom w:w="0" w:type="dxa"/>
          <w:right w:w="0" w:type="dxa"/>
        </w:tblCellMar>
      </w:tblPr>
      <w:tblGrid>
        <w:gridCol w:w="1383"/>
        <w:gridCol w:w="1384"/>
        <w:gridCol w:w="2611"/>
        <w:gridCol w:w="2023"/>
        <w:gridCol w:w="13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0" w:hRule="atLeast"/>
        </w:trPr>
        <w:tc>
          <w:tcPr>
            <w:tcW w:w="787" w:type="pct"/>
            <w:shd w:val="clear" w:color="auto" w:fill="auto"/>
            <w:tcMar>
              <w:top w:w="10" w:type="dxa"/>
              <w:left w:w="10" w:type="dxa"/>
              <w:right w:w="10" w:type="dxa"/>
            </w:tcMar>
            <w:vAlign w:val="center"/>
          </w:tcPr>
          <w:p>
            <w:pPr>
              <w:keepNext w:val="0"/>
              <w:keepLines w:val="0"/>
              <w:widowControl/>
              <w:suppressLineNumbers w:val="0"/>
              <w:jc w:val="center"/>
              <w:textAlignment w:val="center"/>
              <w:rPr>
                <w:rFonts w:ascii="楷体_GB2312" w:hAnsi="宋体" w:eastAsia="楷体_GB2312" w:cs="楷体_GB2312"/>
                <w:b/>
                <w:i w:val="0"/>
                <w:color w:val="000000"/>
                <w:sz w:val="20"/>
                <w:szCs w:val="20"/>
                <w:u w:val="none"/>
              </w:rPr>
            </w:pPr>
            <w:r>
              <w:rPr>
                <w:rFonts w:hint="default" w:ascii="楷体_GB2312" w:hAnsi="宋体" w:eastAsia="楷体_GB2312" w:cs="楷体_GB2312"/>
                <w:b/>
                <w:i w:val="0"/>
                <w:color w:val="000000"/>
                <w:kern w:val="0"/>
                <w:sz w:val="20"/>
                <w:szCs w:val="20"/>
                <w:u w:val="none"/>
                <w:lang w:val="en-US" w:eastAsia="zh-CN" w:bidi="ar"/>
              </w:rPr>
              <w:t>一级指标</w:t>
            </w:r>
          </w:p>
        </w:tc>
        <w:tc>
          <w:tcPr>
            <w:tcW w:w="787" w:type="pct"/>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楷体_GB2312" w:hAnsi="宋体" w:eastAsia="楷体_GB2312" w:cs="楷体_GB2312"/>
                <w:b/>
                <w:i w:val="0"/>
                <w:color w:val="000000"/>
                <w:sz w:val="20"/>
                <w:szCs w:val="20"/>
                <w:u w:val="none"/>
              </w:rPr>
            </w:pPr>
            <w:r>
              <w:rPr>
                <w:rFonts w:hint="default" w:ascii="楷体_GB2312" w:hAnsi="宋体" w:eastAsia="楷体_GB2312" w:cs="楷体_GB2312"/>
                <w:b/>
                <w:i w:val="0"/>
                <w:color w:val="000000"/>
                <w:kern w:val="0"/>
                <w:sz w:val="20"/>
                <w:szCs w:val="20"/>
                <w:u w:val="none"/>
                <w:lang w:val="en-US" w:eastAsia="zh-CN" w:bidi="ar"/>
              </w:rPr>
              <w:t>二级指标</w:t>
            </w:r>
          </w:p>
        </w:tc>
        <w:tc>
          <w:tcPr>
            <w:tcW w:w="1485" w:type="pct"/>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楷体_GB2312" w:hAnsi="宋体" w:eastAsia="楷体_GB2312" w:cs="楷体_GB2312"/>
                <w:b/>
                <w:i w:val="0"/>
                <w:color w:val="000000"/>
                <w:sz w:val="20"/>
                <w:szCs w:val="20"/>
                <w:u w:val="none"/>
              </w:rPr>
            </w:pPr>
            <w:r>
              <w:rPr>
                <w:rFonts w:hint="default" w:ascii="楷体_GB2312" w:hAnsi="宋体" w:eastAsia="楷体_GB2312" w:cs="楷体_GB2312"/>
                <w:b/>
                <w:i w:val="0"/>
                <w:color w:val="000000"/>
                <w:kern w:val="0"/>
                <w:sz w:val="20"/>
                <w:szCs w:val="20"/>
                <w:u w:val="none"/>
                <w:lang w:val="en-US" w:eastAsia="zh-CN" w:bidi="ar"/>
              </w:rPr>
              <w:t>三级指标</w:t>
            </w:r>
          </w:p>
        </w:tc>
        <w:tc>
          <w:tcPr>
            <w:tcW w:w="1151" w:type="pct"/>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楷体_GB2312" w:hAnsi="宋体" w:eastAsia="楷体_GB2312" w:cs="楷体_GB2312"/>
                <w:b/>
                <w:i w:val="0"/>
                <w:color w:val="000000"/>
                <w:sz w:val="20"/>
                <w:szCs w:val="20"/>
                <w:u w:val="none"/>
              </w:rPr>
            </w:pPr>
            <w:r>
              <w:rPr>
                <w:rFonts w:hint="default" w:ascii="楷体_GB2312" w:hAnsi="宋体" w:eastAsia="楷体_GB2312" w:cs="楷体_GB2312"/>
                <w:b/>
                <w:i w:val="0"/>
                <w:color w:val="000000"/>
                <w:kern w:val="0"/>
                <w:sz w:val="20"/>
                <w:szCs w:val="20"/>
                <w:u w:val="none"/>
                <w:lang w:val="en-US" w:eastAsia="zh-CN" w:bidi="ar"/>
              </w:rPr>
              <w:t>指标分值</w:t>
            </w:r>
          </w:p>
        </w:tc>
        <w:tc>
          <w:tcPr>
            <w:tcW w:w="788" w:type="pct"/>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楷体_GB2312" w:hAnsi="宋体" w:eastAsia="楷体_GB2312" w:cs="楷体_GB2312"/>
                <w:b/>
                <w:i w:val="0"/>
                <w:color w:val="000000"/>
                <w:sz w:val="20"/>
                <w:szCs w:val="20"/>
                <w:u w:val="none"/>
              </w:rPr>
            </w:pPr>
            <w:r>
              <w:rPr>
                <w:rFonts w:hint="default" w:ascii="楷体_GB2312" w:hAnsi="宋体" w:eastAsia="楷体_GB2312" w:cs="楷体_GB2312"/>
                <w:b/>
                <w:i w:val="0"/>
                <w:color w:val="000000"/>
                <w:kern w:val="0"/>
                <w:sz w:val="20"/>
                <w:szCs w:val="20"/>
                <w:u w:val="none"/>
                <w:lang w:val="en-US" w:eastAsia="zh-CN" w:bidi="ar"/>
              </w:rPr>
              <w:t>评价得分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300" w:hRule="atLeast"/>
        </w:trPr>
        <w:tc>
          <w:tcPr>
            <w:tcW w:w="787" w:type="pct"/>
            <w:vMerge w:val="restart"/>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投入</w:t>
            </w:r>
          </w:p>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（15分）</w:t>
            </w:r>
          </w:p>
        </w:tc>
        <w:tc>
          <w:tcPr>
            <w:tcW w:w="787" w:type="pct"/>
            <w:vMerge w:val="restart"/>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目标</w:t>
            </w:r>
          </w:p>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设定</w:t>
            </w:r>
          </w:p>
        </w:tc>
        <w:tc>
          <w:tcPr>
            <w:tcW w:w="1485" w:type="pct"/>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绩效目标合理性</w:t>
            </w:r>
          </w:p>
        </w:tc>
        <w:tc>
          <w:tcPr>
            <w:tcW w:w="1151" w:type="pct"/>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3</w:t>
            </w:r>
          </w:p>
        </w:tc>
        <w:tc>
          <w:tcPr>
            <w:tcW w:w="1385" w:type="dxa"/>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300" w:hRule="atLeast"/>
        </w:trPr>
        <w:tc>
          <w:tcPr>
            <w:tcW w:w="787" w:type="pct"/>
            <w:vMerge w:val="continue"/>
            <w:shd w:val="clear" w:color="auto" w:fill="auto"/>
            <w:noWrap/>
            <w:tcMar>
              <w:top w:w="10" w:type="dxa"/>
              <w:left w:w="10" w:type="dxa"/>
              <w:right w:w="10" w:type="dxa"/>
            </w:tcMar>
            <w:vAlign w:val="center"/>
          </w:tcPr>
          <w:p>
            <w:pPr>
              <w:rPr>
                <w:rFonts w:hint="eastAsia" w:ascii="仿宋" w:hAnsi="仿宋" w:eastAsia="仿宋" w:cs="仿宋"/>
                <w:i w:val="0"/>
                <w:color w:val="000000"/>
                <w:sz w:val="24"/>
                <w:szCs w:val="24"/>
                <w:u w:val="none"/>
              </w:rPr>
            </w:pPr>
          </w:p>
        </w:tc>
        <w:tc>
          <w:tcPr>
            <w:tcW w:w="787" w:type="pct"/>
            <w:vMerge w:val="continue"/>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485" w:type="pct"/>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绩效指标明确性</w:t>
            </w:r>
          </w:p>
        </w:tc>
        <w:tc>
          <w:tcPr>
            <w:tcW w:w="1151" w:type="pct"/>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4</w:t>
            </w:r>
          </w:p>
        </w:tc>
        <w:tc>
          <w:tcPr>
            <w:tcW w:w="1385" w:type="dxa"/>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300" w:hRule="atLeast"/>
        </w:trPr>
        <w:tc>
          <w:tcPr>
            <w:tcW w:w="787" w:type="pct"/>
            <w:vMerge w:val="continue"/>
            <w:shd w:val="clear" w:color="auto" w:fill="auto"/>
            <w:noWrap/>
            <w:tcMar>
              <w:top w:w="10" w:type="dxa"/>
              <w:left w:w="10" w:type="dxa"/>
              <w:right w:w="10" w:type="dxa"/>
            </w:tcMar>
            <w:vAlign w:val="center"/>
          </w:tcPr>
          <w:p>
            <w:pPr>
              <w:rPr>
                <w:rFonts w:hint="eastAsia" w:ascii="仿宋" w:hAnsi="仿宋" w:eastAsia="仿宋" w:cs="仿宋"/>
                <w:i w:val="0"/>
                <w:color w:val="000000"/>
                <w:sz w:val="24"/>
                <w:szCs w:val="24"/>
                <w:u w:val="none"/>
              </w:rPr>
            </w:pPr>
          </w:p>
        </w:tc>
        <w:tc>
          <w:tcPr>
            <w:tcW w:w="787" w:type="pct"/>
            <w:vMerge w:val="restart"/>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预算</w:t>
            </w:r>
          </w:p>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配置</w:t>
            </w:r>
          </w:p>
        </w:tc>
        <w:tc>
          <w:tcPr>
            <w:tcW w:w="1485" w:type="pct"/>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在职人员控制率</w:t>
            </w:r>
          </w:p>
        </w:tc>
        <w:tc>
          <w:tcPr>
            <w:tcW w:w="1151" w:type="pct"/>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w:t>
            </w:r>
          </w:p>
        </w:tc>
        <w:tc>
          <w:tcPr>
            <w:tcW w:w="1385" w:type="dxa"/>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宋体" w:hAnsi="宋体" w:eastAsia="宋体" w:cs="宋体"/>
                <w:i w:val="0"/>
                <w:color w:val="000000"/>
                <w:kern w:val="0"/>
                <w:sz w:val="24"/>
                <w:szCs w:val="24"/>
                <w:u w:val="none"/>
                <w:lang w:val="en-US" w:eastAsia="zh-CN" w:bidi="ar"/>
              </w:rPr>
              <w:t>1.81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300" w:hRule="atLeast"/>
        </w:trPr>
        <w:tc>
          <w:tcPr>
            <w:tcW w:w="787" w:type="pct"/>
            <w:vMerge w:val="continue"/>
            <w:shd w:val="clear" w:color="auto" w:fill="auto"/>
            <w:noWrap/>
            <w:tcMar>
              <w:top w:w="10" w:type="dxa"/>
              <w:left w:w="10" w:type="dxa"/>
              <w:right w:w="10" w:type="dxa"/>
            </w:tcMar>
            <w:vAlign w:val="center"/>
          </w:tcPr>
          <w:p>
            <w:pPr>
              <w:rPr>
                <w:rFonts w:hint="eastAsia" w:ascii="仿宋" w:hAnsi="仿宋" w:eastAsia="仿宋" w:cs="仿宋"/>
                <w:i w:val="0"/>
                <w:color w:val="000000"/>
                <w:sz w:val="24"/>
                <w:szCs w:val="24"/>
                <w:u w:val="none"/>
              </w:rPr>
            </w:pPr>
          </w:p>
        </w:tc>
        <w:tc>
          <w:tcPr>
            <w:tcW w:w="787" w:type="pct"/>
            <w:vMerge w:val="continue"/>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485" w:type="pct"/>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“三公经费”变动率</w:t>
            </w:r>
          </w:p>
        </w:tc>
        <w:tc>
          <w:tcPr>
            <w:tcW w:w="1151" w:type="pct"/>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w:t>
            </w:r>
          </w:p>
        </w:tc>
        <w:tc>
          <w:tcPr>
            <w:tcW w:w="1385" w:type="dxa"/>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300" w:hRule="atLeast"/>
        </w:trPr>
        <w:tc>
          <w:tcPr>
            <w:tcW w:w="787" w:type="pct"/>
            <w:vMerge w:val="continue"/>
            <w:shd w:val="clear" w:color="auto" w:fill="auto"/>
            <w:noWrap/>
            <w:tcMar>
              <w:top w:w="10" w:type="dxa"/>
              <w:left w:w="10" w:type="dxa"/>
              <w:right w:w="10" w:type="dxa"/>
            </w:tcMar>
            <w:vAlign w:val="center"/>
          </w:tcPr>
          <w:p>
            <w:pPr>
              <w:rPr>
                <w:rFonts w:hint="eastAsia" w:ascii="仿宋" w:hAnsi="仿宋" w:eastAsia="仿宋" w:cs="仿宋"/>
                <w:i w:val="0"/>
                <w:color w:val="000000"/>
                <w:sz w:val="24"/>
                <w:szCs w:val="24"/>
                <w:u w:val="none"/>
              </w:rPr>
            </w:pPr>
          </w:p>
        </w:tc>
        <w:tc>
          <w:tcPr>
            <w:tcW w:w="787" w:type="pct"/>
            <w:vMerge w:val="continue"/>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485" w:type="pct"/>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重点支出安排率</w:t>
            </w:r>
          </w:p>
        </w:tc>
        <w:tc>
          <w:tcPr>
            <w:tcW w:w="1151" w:type="pct"/>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4</w:t>
            </w:r>
          </w:p>
        </w:tc>
        <w:tc>
          <w:tcPr>
            <w:tcW w:w="1385" w:type="dxa"/>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300" w:hRule="atLeast"/>
        </w:trPr>
        <w:tc>
          <w:tcPr>
            <w:tcW w:w="1574" w:type="pct"/>
            <w:gridSpan w:val="2"/>
            <w:shd w:val="clear" w:color="auto" w:fill="auto"/>
            <w:noWrap/>
            <w:tcMar>
              <w:top w:w="10" w:type="dxa"/>
              <w:left w:w="10" w:type="dxa"/>
              <w:right w:w="10" w:type="dxa"/>
            </w:tcMar>
            <w:vAlign w:val="center"/>
          </w:tcPr>
          <w:p>
            <w:pPr>
              <w:jc w:val="center"/>
              <w:rPr>
                <w:rFonts w:hint="eastAsia" w:ascii="仿宋" w:hAnsi="仿宋" w:eastAsia="仿宋" w:cs="仿宋"/>
                <w:i w:val="0"/>
                <w:color w:val="000000"/>
                <w:sz w:val="24"/>
                <w:szCs w:val="24"/>
                <w:u w:val="none"/>
                <w:lang w:val="en-US" w:eastAsia="zh-CN"/>
              </w:rPr>
            </w:pPr>
            <w:r>
              <w:rPr>
                <w:rFonts w:hint="eastAsia" w:ascii="仿宋" w:hAnsi="仿宋" w:eastAsia="仿宋" w:cs="仿宋"/>
                <w:i w:val="0"/>
                <w:color w:val="000000"/>
                <w:sz w:val="24"/>
                <w:szCs w:val="24"/>
                <w:u w:val="none"/>
                <w:lang w:val="en-US" w:eastAsia="zh-CN"/>
              </w:rPr>
              <w:t>合计</w:t>
            </w:r>
          </w:p>
        </w:tc>
        <w:tc>
          <w:tcPr>
            <w:tcW w:w="1485" w:type="pct"/>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kern w:val="0"/>
                <w:sz w:val="24"/>
                <w:szCs w:val="24"/>
                <w:u w:val="none"/>
                <w:lang w:val="en-US" w:eastAsia="zh-CN" w:bidi="ar"/>
              </w:rPr>
            </w:pPr>
          </w:p>
        </w:tc>
        <w:tc>
          <w:tcPr>
            <w:tcW w:w="1151" w:type="pct"/>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15</w:t>
            </w:r>
          </w:p>
        </w:tc>
        <w:tc>
          <w:tcPr>
            <w:tcW w:w="788" w:type="pct"/>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default"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1.81</w:t>
            </w:r>
          </w:p>
        </w:tc>
      </w:tr>
    </w:tbl>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 w:hAnsi="仿宋" w:eastAsia="仿宋" w:cs="仿宋"/>
          <w:b/>
          <w:bCs/>
          <w:color w:val="auto"/>
          <w:kern w:val="0"/>
          <w:sz w:val="32"/>
          <w:szCs w:val="32"/>
          <w:highlight w:val="none"/>
          <w:shd w:val="clear" w:color="auto" w:fill="FFFFFF"/>
          <w:lang w:val="en-US" w:eastAsia="zh-CN"/>
        </w:rPr>
      </w:pPr>
      <w:r>
        <w:rPr>
          <w:rFonts w:hint="eastAsia" w:ascii="仿宋" w:hAnsi="仿宋" w:eastAsia="仿宋" w:cs="仿宋"/>
          <w:b/>
          <w:bCs/>
          <w:color w:val="auto"/>
          <w:kern w:val="0"/>
          <w:sz w:val="32"/>
          <w:szCs w:val="32"/>
          <w:highlight w:val="none"/>
          <w:shd w:val="clear" w:color="auto" w:fill="FFFFFF"/>
          <w:lang w:val="en-US" w:eastAsia="zh-Hans"/>
        </w:rPr>
        <w:t>1.目标设定</w:t>
      </w:r>
      <w:r>
        <w:rPr>
          <w:rFonts w:hint="eastAsia" w:ascii="仿宋" w:hAnsi="仿宋" w:eastAsia="仿宋" w:cs="仿宋"/>
          <w:b/>
          <w:bCs/>
          <w:color w:val="auto"/>
          <w:kern w:val="0"/>
          <w:sz w:val="32"/>
          <w:szCs w:val="32"/>
          <w:highlight w:val="none"/>
          <w:shd w:val="clear" w:color="auto" w:fill="FFFFFF"/>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Hans"/>
        </w:rPr>
        <w:t>（1）绩效目标合理性</w:t>
      </w:r>
      <w:r>
        <w:rPr>
          <w:rFonts w:hint="eastAsia" w:ascii="仿宋" w:hAnsi="仿宋" w:eastAsia="仿宋" w:cs="仿宋"/>
          <w:color w:val="auto"/>
          <w:kern w:val="0"/>
          <w:sz w:val="32"/>
          <w:szCs w:val="32"/>
          <w:highlight w:val="none"/>
          <w:shd w:val="clear" w:color="auto" w:fill="FFFFFF"/>
          <w:lang w:val="en-US" w:eastAsia="zh-CN"/>
        </w:rPr>
        <w:t>--3分。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根据新区</w:t>
      </w:r>
      <w:r>
        <w:rPr>
          <w:rFonts w:hint="eastAsia" w:ascii="仿宋" w:hAnsi="仿宋" w:eastAsia="仿宋" w:cs="仿宋"/>
          <w:color w:val="auto"/>
          <w:kern w:val="0"/>
          <w:sz w:val="32"/>
          <w:szCs w:val="32"/>
          <w:highlight w:val="none"/>
          <w:shd w:val="clear" w:color="auto" w:fill="FFFFFF"/>
          <w:lang w:val="en-US" w:eastAsia="zh-CN"/>
        </w:rPr>
        <w:t>咸丰路街道办事处</w:t>
      </w:r>
      <w:r>
        <w:rPr>
          <w:rFonts w:hint="eastAsia" w:ascii="仿宋" w:hAnsi="仿宋" w:eastAsia="仿宋" w:cs="仿宋"/>
          <w:color w:val="auto"/>
          <w:kern w:val="0"/>
          <w:sz w:val="32"/>
          <w:szCs w:val="32"/>
          <w:highlight w:val="none"/>
          <w:shd w:val="clear" w:color="auto" w:fill="FFFFFF"/>
          <w:lang w:val="en-US" w:eastAsia="zh-Hans"/>
        </w:rPr>
        <w:t>所报相关资料和现场座谈内容，2021年度部门编制了综合预算，针对专项业务经费设置项目支出绩效目标，并上报财政部门审核。但年初未制定部门整体支出绩效目标表。</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结合项目支出绩效评价指标体系内容和评分标准，经综合评价，该项指标得分为0分。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Hans"/>
        </w:rPr>
        <w:t>（2）绩效指标明确性</w:t>
      </w:r>
      <w:r>
        <w:rPr>
          <w:rFonts w:hint="eastAsia" w:ascii="仿宋" w:hAnsi="仿宋" w:eastAsia="仿宋" w:cs="仿宋"/>
          <w:color w:val="auto"/>
          <w:kern w:val="0"/>
          <w:sz w:val="32"/>
          <w:szCs w:val="32"/>
          <w:highlight w:val="none"/>
          <w:shd w:val="clear" w:color="auto" w:fill="FFFFFF"/>
          <w:lang w:val="en-US" w:eastAsia="zh-CN"/>
        </w:rPr>
        <w:t>--4分。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根据新区</w:t>
      </w:r>
      <w:r>
        <w:rPr>
          <w:rFonts w:hint="eastAsia" w:ascii="仿宋" w:hAnsi="仿宋" w:eastAsia="仿宋" w:cs="仿宋"/>
          <w:color w:val="auto"/>
          <w:kern w:val="0"/>
          <w:sz w:val="32"/>
          <w:szCs w:val="32"/>
          <w:highlight w:val="none"/>
          <w:shd w:val="clear" w:color="auto" w:fill="FFFFFF"/>
          <w:lang w:val="en-US" w:eastAsia="zh-CN"/>
        </w:rPr>
        <w:t>咸丰路街道办事处</w:t>
      </w:r>
      <w:r>
        <w:rPr>
          <w:rFonts w:hint="eastAsia" w:ascii="仿宋" w:hAnsi="仿宋" w:eastAsia="仿宋" w:cs="仿宋"/>
          <w:color w:val="auto"/>
          <w:kern w:val="0"/>
          <w:sz w:val="32"/>
          <w:szCs w:val="32"/>
          <w:highlight w:val="none"/>
          <w:shd w:val="clear" w:color="auto" w:fill="FFFFFF"/>
          <w:lang w:val="en-US" w:eastAsia="zh-Hans"/>
        </w:rPr>
        <w:t>所报相关资料和现场座谈内容，2021年度部门编制了综合预算，针对专项业务经费设置项目支出绩效目标，并上报财政部门审核。但年初未制定部门整体支出绩效目标表。</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结合项目支出绩效评价指标体系内容和评分标准，经综合评价，该项指标得分为0分</w:t>
      </w:r>
      <w:r>
        <w:rPr>
          <w:rFonts w:hint="eastAsia" w:ascii="仿宋" w:hAnsi="仿宋" w:eastAsia="仿宋" w:cs="仿宋"/>
          <w:color w:val="auto"/>
          <w:kern w:val="0"/>
          <w:sz w:val="32"/>
          <w:szCs w:val="32"/>
          <w:highlight w:val="none"/>
          <w:shd w:val="clear" w:color="auto" w:fill="FFFFFF"/>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 w:hAnsi="仿宋" w:eastAsia="仿宋" w:cs="仿宋"/>
          <w:b/>
          <w:bCs/>
          <w:color w:val="auto"/>
          <w:kern w:val="0"/>
          <w:sz w:val="32"/>
          <w:szCs w:val="32"/>
          <w:highlight w:val="none"/>
          <w:shd w:val="clear" w:color="auto" w:fill="FFFFFF"/>
          <w:lang w:val="en-US" w:eastAsia="zh-CN"/>
        </w:rPr>
      </w:pPr>
      <w:r>
        <w:rPr>
          <w:rFonts w:hint="eastAsia" w:ascii="仿宋" w:hAnsi="仿宋" w:eastAsia="仿宋" w:cs="仿宋"/>
          <w:b/>
          <w:bCs/>
          <w:color w:val="auto"/>
          <w:kern w:val="0"/>
          <w:sz w:val="32"/>
          <w:szCs w:val="32"/>
          <w:highlight w:val="none"/>
          <w:shd w:val="clear" w:color="auto" w:fill="FFFFFF"/>
          <w:lang w:val="en-US" w:eastAsia="zh-Hans"/>
        </w:rPr>
        <w:t>2.预算配置</w:t>
      </w:r>
      <w:r>
        <w:rPr>
          <w:rFonts w:hint="eastAsia" w:ascii="仿宋" w:hAnsi="仿宋" w:eastAsia="仿宋" w:cs="仿宋"/>
          <w:b/>
          <w:bCs/>
          <w:color w:val="auto"/>
          <w:kern w:val="0"/>
          <w:sz w:val="32"/>
          <w:szCs w:val="32"/>
          <w:highlight w:val="none"/>
          <w:shd w:val="clear" w:color="auto" w:fill="FFFFFF"/>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Hans"/>
        </w:rPr>
        <w:t>（</w:t>
      </w:r>
      <w:r>
        <w:rPr>
          <w:rFonts w:hint="eastAsia" w:ascii="仿宋" w:hAnsi="仿宋" w:eastAsia="仿宋" w:cs="仿宋"/>
          <w:color w:val="auto"/>
          <w:kern w:val="0"/>
          <w:sz w:val="32"/>
          <w:szCs w:val="32"/>
          <w:highlight w:val="none"/>
          <w:shd w:val="clear" w:color="auto" w:fill="FFFFFF"/>
          <w:lang w:val="en-US" w:eastAsia="zh-CN"/>
        </w:rPr>
        <w:t>1</w:t>
      </w:r>
      <w:r>
        <w:rPr>
          <w:rFonts w:hint="eastAsia" w:ascii="仿宋" w:hAnsi="仿宋" w:eastAsia="仿宋" w:cs="仿宋"/>
          <w:color w:val="auto"/>
          <w:kern w:val="0"/>
          <w:sz w:val="32"/>
          <w:szCs w:val="32"/>
          <w:highlight w:val="none"/>
          <w:shd w:val="clear" w:color="auto" w:fill="FFFFFF"/>
          <w:lang w:val="en-US" w:eastAsia="zh-Hans"/>
        </w:rPr>
        <w:t>）在职人员控制率</w:t>
      </w:r>
      <w:r>
        <w:rPr>
          <w:rFonts w:hint="eastAsia" w:ascii="仿宋" w:hAnsi="仿宋" w:eastAsia="仿宋" w:cs="仿宋"/>
          <w:color w:val="auto"/>
          <w:kern w:val="0"/>
          <w:sz w:val="32"/>
          <w:szCs w:val="32"/>
          <w:highlight w:val="none"/>
          <w:shd w:val="clear" w:color="auto" w:fill="FFFFFF"/>
          <w:lang w:val="en-US" w:eastAsia="zh-CN"/>
        </w:rPr>
        <w:t>--2分。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根据铜川市新区管委会《关于新区街道办事处实施机构改革工作的通知》文件内容和2021年度行政事业性国有资产分析报告</w:t>
      </w:r>
      <w:r>
        <w:rPr>
          <w:rFonts w:hint="eastAsia" w:ascii="仿宋" w:hAnsi="仿宋" w:eastAsia="仿宋" w:cs="仿宋"/>
          <w:color w:val="auto"/>
          <w:kern w:val="0"/>
          <w:sz w:val="32"/>
          <w:szCs w:val="32"/>
          <w:highlight w:val="none"/>
          <w:shd w:val="clear" w:color="auto" w:fill="FFFFFF"/>
          <w:lang w:val="en-US" w:eastAsia="zh-CN"/>
        </w:rPr>
        <w:t>等</w:t>
      </w:r>
      <w:r>
        <w:rPr>
          <w:rFonts w:hint="eastAsia" w:ascii="仿宋" w:hAnsi="仿宋" w:eastAsia="仿宋" w:cs="仿宋"/>
          <w:color w:val="auto"/>
          <w:kern w:val="0"/>
          <w:sz w:val="32"/>
          <w:szCs w:val="32"/>
          <w:highlight w:val="none"/>
          <w:shd w:val="clear" w:color="auto" w:fill="FFFFFF"/>
          <w:lang w:val="en-US" w:eastAsia="zh-Hans"/>
        </w:rPr>
        <w:t>资料内容，咸丰路街道办事处设立行政编制19名，事业编制23名。截止到2021年底，实有人员38人。在职人员控制率为90.48%。</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结合部门整体支出绩效评价指标体系内容和评分标准，经综合评价，该项指标得分为1.81分。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（2）“三公经费”变动率--2分。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根据咸丰路街道办事处2021年度和2020年度部门预算公开内容，2021年“三公经费”预算支出5万元，2020年本部门当年一般公共预算“三公”经费预算支出5万元。“三公经费”变动率为0，2021年相比于2020年“三公经费”未发生变动，部门对控制重点行政成本的努力程度不足。</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结合部门整体支出绩效评价指标体系内容和评分标准，经综合评价，该项指标得分为0分。</w:t>
      </w:r>
      <w:bookmarkStart w:id="15" w:name="_Toc1682881084_WPSOffice_Level2"/>
      <w:bookmarkStart w:id="16" w:name="_Toc373329643_WPSOffice_Level2"/>
    </w:p>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600" w:lineRule="exact"/>
        <w:ind w:firstLine="640" w:firstLineChars="200"/>
        <w:textAlignment w:val="auto"/>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（3）重点支出安排率--4分。</w:t>
      </w:r>
    </w:p>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600" w:lineRule="exact"/>
        <w:ind w:firstLine="640" w:firstLineChars="200"/>
        <w:textAlignment w:val="auto"/>
        <w:rPr>
          <w:rFonts w:hint="default" w:ascii="仿宋" w:hAnsi="仿宋" w:eastAsia="仿宋" w:cs="仿宋"/>
          <w:color w:val="auto"/>
          <w:kern w:val="0"/>
          <w:sz w:val="32"/>
          <w:szCs w:val="32"/>
          <w:highlight w:val="none"/>
          <w:shd w:val="clear" w:color="auto" w:fill="FFFFFF"/>
          <w:lang w:val="en-US" w:eastAsia="zh-CN" w:bidi="ar-SA"/>
        </w:rPr>
      </w:pPr>
      <w:r>
        <w:rPr>
          <w:rFonts w:hint="default" w:ascii="仿宋" w:hAnsi="仿宋" w:eastAsia="仿宋" w:cs="仿宋"/>
          <w:color w:val="auto"/>
          <w:kern w:val="0"/>
          <w:sz w:val="32"/>
          <w:szCs w:val="32"/>
          <w:highlight w:val="none"/>
          <w:shd w:val="clear" w:color="auto" w:fill="FFFFFF"/>
          <w:lang w:val="en-US" w:eastAsia="zh-CN" w:bidi="ar-SA"/>
        </w:rPr>
        <w:t>根据咸丰路街道办事处2021年度部门综合预算公开内容，年初部门整体预算支出1164.58万元，其中项目支出安排769.54万元。部门专项业务经费多为工作经费、人员工资、党建经费等各类费用。其中重点支出102万元，包括白家村景丰路公厕管护6万元，人居环境整治支出85万元，司法宣传3万元，疫情防治专项5万元、信访经费2万元、兵役征集1万元。重点支出安排率为13.25%。</w:t>
      </w:r>
    </w:p>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600" w:lineRule="exact"/>
        <w:ind w:firstLine="640" w:firstLineChars="200"/>
        <w:textAlignment w:val="auto"/>
        <w:rPr>
          <w:rFonts w:hint="default" w:ascii="仿宋" w:hAnsi="仿宋" w:eastAsia="仿宋" w:cs="仿宋"/>
          <w:color w:val="auto"/>
          <w:kern w:val="0"/>
          <w:sz w:val="32"/>
          <w:szCs w:val="32"/>
          <w:highlight w:val="none"/>
          <w:shd w:val="clear" w:color="auto" w:fill="FFFFFF"/>
          <w:lang w:val="en-US" w:eastAsia="zh-CN" w:bidi="ar-SA"/>
        </w:rPr>
      </w:pPr>
      <w:r>
        <w:rPr>
          <w:rFonts w:hint="default" w:ascii="仿宋" w:hAnsi="仿宋" w:eastAsia="仿宋" w:cs="仿宋"/>
          <w:color w:val="auto"/>
          <w:kern w:val="0"/>
          <w:sz w:val="32"/>
          <w:szCs w:val="32"/>
          <w:highlight w:val="none"/>
          <w:shd w:val="clear" w:color="auto" w:fill="FFFFFF"/>
          <w:lang w:val="en-US" w:eastAsia="zh-CN" w:bidi="ar-SA"/>
        </w:rPr>
        <w:t>结合项目支出绩效评价指标体系内容和评分标准，经综合评价，该项指标得分为0</w:t>
      </w:r>
      <w:r>
        <w:rPr>
          <w:rFonts w:hint="eastAsia" w:ascii="仿宋" w:hAnsi="仿宋" w:eastAsia="仿宋" w:cs="仿宋"/>
          <w:color w:val="auto"/>
          <w:kern w:val="0"/>
          <w:sz w:val="32"/>
          <w:szCs w:val="32"/>
          <w:highlight w:val="none"/>
          <w:shd w:val="clear" w:color="auto" w:fill="FFFFFF"/>
          <w:lang w:val="en-US" w:eastAsia="zh-CN" w:bidi="ar-SA"/>
        </w:rPr>
        <w:t>。</w:t>
      </w:r>
    </w:p>
    <w:bookmarkEnd w:id="15"/>
    <w:bookmarkEnd w:id="16"/>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1"/>
        <w:rPr>
          <w:rFonts w:hint="eastAsia" w:ascii="仿宋" w:hAnsi="仿宋" w:eastAsia="仿宋" w:cs="仿宋"/>
          <w:color w:val="auto"/>
          <w:kern w:val="0"/>
          <w:sz w:val="32"/>
          <w:szCs w:val="32"/>
          <w:highlight w:val="none"/>
          <w:shd w:val="clear" w:color="auto" w:fill="FFFFFF"/>
          <w:lang w:val="en-US" w:eastAsia="zh-CN"/>
        </w:rPr>
      </w:pPr>
      <w:bookmarkStart w:id="17" w:name="_Toc22772"/>
      <w:r>
        <w:rPr>
          <w:rFonts w:hint="eastAsia" w:ascii="楷体" w:hAnsi="楷体" w:eastAsia="楷体" w:cs="楷体"/>
          <w:b/>
          <w:bCs/>
          <w:color w:val="auto"/>
          <w:kern w:val="0"/>
          <w:sz w:val="32"/>
          <w:szCs w:val="32"/>
          <w:highlight w:val="none"/>
          <w:shd w:val="clear" w:color="auto" w:fill="FFFFFF"/>
          <w:lang w:val="en-US" w:eastAsia="zh-CN"/>
        </w:rPr>
        <w:t>（二）过程管理</w:t>
      </w:r>
      <w:bookmarkEnd w:id="17"/>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该指标主要考核部门</w:t>
      </w:r>
      <w:r>
        <w:rPr>
          <w:rFonts w:hint="eastAsia" w:ascii="仿宋" w:hAnsi="仿宋" w:eastAsia="仿宋" w:cs="仿宋"/>
          <w:color w:val="auto"/>
          <w:kern w:val="0"/>
          <w:sz w:val="32"/>
          <w:szCs w:val="32"/>
          <w:highlight w:val="none"/>
          <w:shd w:val="clear" w:color="auto" w:fill="FFFFFF"/>
          <w:lang w:val="en-US" w:eastAsia="zh-Hans"/>
        </w:rPr>
        <w:t>预算执行、预算管理和资产管理三方面内容</w:t>
      </w:r>
      <w:r>
        <w:rPr>
          <w:rFonts w:hint="eastAsia" w:ascii="仿宋" w:hAnsi="仿宋" w:eastAsia="仿宋" w:cs="仿宋"/>
          <w:color w:val="auto"/>
          <w:kern w:val="0"/>
          <w:sz w:val="32"/>
          <w:szCs w:val="32"/>
          <w:highlight w:val="none"/>
          <w:shd w:val="clear" w:color="auto" w:fill="FFFFFF"/>
          <w:lang w:val="en-US" w:eastAsia="zh-CN"/>
        </w:rPr>
        <w:t>，包括预算完成率、预算调整率、支付进度率、结转结余率、结转结余变动率、公用经费控制率、“三公经费”控制率、政府采购执行率、管理制度健全性、资金使用合规性、预决算信息公开性、运行监控和自评有效性、基础信息完善性、管理制度健全性、资产管理安全性、固定资产利用率等16个三级指标，指标权重25分，评价得分22.17分，得分率为88.68%</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w:t>
      </w:r>
    </w:p>
    <w:tbl>
      <w:tblPr>
        <w:tblStyle w:val="15"/>
        <w:tblW w:w="4975" w:type="pct"/>
        <w:tblInd w:w="0" w:type="dxa"/>
        <w:shd w:val="clear" w:color="auto" w:fill="auto"/>
        <w:tblLayout w:type="autofit"/>
        <w:tblCellMar>
          <w:top w:w="0" w:type="dxa"/>
          <w:left w:w="0" w:type="dxa"/>
          <w:bottom w:w="0" w:type="dxa"/>
          <w:right w:w="0" w:type="dxa"/>
        </w:tblCellMar>
      </w:tblPr>
      <w:tblGrid>
        <w:gridCol w:w="1383"/>
        <w:gridCol w:w="1384"/>
        <w:gridCol w:w="2611"/>
        <w:gridCol w:w="2023"/>
        <w:gridCol w:w="1385"/>
      </w:tblGrid>
      <w:tr>
        <w:tblPrEx>
          <w:shd w:val="clear" w:color="auto" w:fill="auto"/>
          <w:tblCellMar>
            <w:top w:w="0" w:type="dxa"/>
            <w:left w:w="0" w:type="dxa"/>
            <w:bottom w:w="0" w:type="dxa"/>
            <w:right w:w="0" w:type="dxa"/>
          </w:tblCellMar>
        </w:tblPrEx>
        <w:trPr>
          <w:trHeight w:val="520" w:hRule="atLeast"/>
        </w:trPr>
        <w:tc>
          <w:tcPr>
            <w:tcW w:w="78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b/>
                <w:i w:val="0"/>
                <w:color w:val="000000"/>
                <w:kern w:val="0"/>
                <w:sz w:val="24"/>
                <w:szCs w:val="24"/>
                <w:u w:val="none"/>
                <w:lang w:val="en-US" w:eastAsia="zh-CN" w:bidi="ar"/>
              </w:rPr>
            </w:pPr>
            <w:r>
              <w:rPr>
                <w:rFonts w:hint="eastAsia" w:ascii="仿宋" w:hAnsi="仿宋" w:eastAsia="仿宋" w:cs="仿宋"/>
                <w:b/>
                <w:i w:val="0"/>
                <w:color w:val="000000"/>
                <w:kern w:val="0"/>
                <w:sz w:val="24"/>
                <w:szCs w:val="24"/>
                <w:u w:val="none"/>
                <w:lang w:val="en-US" w:eastAsia="zh-CN" w:bidi="ar"/>
              </w:rPr>
              <w:t>一级</w:t>
            </w:r>
          </w:p>
          <w:p>
            <w:pPr>
              <w:keepNext w:val="0"/>
              <w:keepLines w:val="0"/>
              <w:widowControl/>
              <w:suppressLineNumbers w:val="0"/>
              <w:jc w:val="center"/>
              <w:textAlignment w:val="center"/>
              <w:rPr>
                <w:rFonts w:hint="eastAsia" w:ascii="仿宋" w:hAnsi="仿宋" w:eastAsia="仿宋" w:cs="仿宋"/>
                <w:b/>
                <w:i w:val="0"/>
                <w:color w:val="000000"/>
                <w:sz w:val="24"/>
                <w:szCs w:val="24"/>
                <w:u w:val="none"/>
              </w:rPr>
            </w:pPr>
            <w:r>
              <w:rPr>
                <w:rFonts w:hint="eastAsia" w:ascii="仿宋" w:hAnsi="仿宋" w:eastAsia="仿宋" w:cs="仿宋"/>
                <w:b/>
                <w:i w:val="0"/>
                <w:color w:val="000000"/>
                <w:kern w:val="0"/>
                <w:sz w:val="24"/>
                <w:szCs w:val="24"/>
                <w:u w:val="none"/>
                <w:lang w:val="en-US" w:eastAsia="zh-CN" w:bidi="ar"/>
              </w:rPr>
              <w:t>指标</w:t>
            </w:r>
          </w:p>
        </w:tc>
        <w:tc>
          <w:tcPr>
            <w:tcW w:w="78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b/>
                <w:i w:val="0"/>
                <w:color w:val="000000"/>
                <w:kern w:val="0"/>
                <w:sz w:val="24"/>
                <w:szCs w:val="24"/>
                <w:u w:val="none"/>
                <w:lang w:val="en-US" w:eastAsia="zh-CN" w:bidi="ar"/>
              </w:rPr>
            </w:pPr>
            <w:r>
              <w:rPr>
                <w:rFonts w:hint="eastAsia" w:ascii="仿宋" w:hAnsi="仿宋" w:eastAsia="仿宋" w:cs="仿宋"/>
                <w:b/>
                <w:i w:val="0"/>
                <w:color w:val="000000"/>
                <w:kern w:val="0"/>
                <w:sz w:val="24"/>
                <w:szCs w:val="24"/>
                <w:u w:val="none"/>
                <w:lang w:val="en-US" w:eastAsia="zh-CN" w:bidi="ar"/>
              </w:rPr>
              <w:t>二级</w:t>
            </w:r>
          </w:p>
          <w:p>
            <w:pPr>
              <w:keepNext w:val="0"/>
              <w:keepLines w:val="0"/>
              <w:widowControl/>
              <w:suppressLineNumbers w:val="0"/>
              <w:jc w:val="center"/>
              <w:textAlignment w:val="center"/>
              <w:rPr>
                <w:rFonts w:hint="eastAsia" w:ascii="仿宋" w:hAnsi="仿宋" w:eastAsia="仿宋" w:cs="仿宋"/>
                <w:b/>
                <w:i w:val="0"/>
                <w:color w:val="000000"/>
                <w:sz w:val="24"/>
                <w:szCs w:val="24"/>
                <w:u w:val="none"/>
              </w:rPr>
            </w:pPr>
            <w:r>
              <w:rPr>
                <w:rFonts w:hint="eastAsia" w:ascii="仿宋" w:hAnsi="仿宋" w:eastAsia="仿宋" w:cs="仿宋"/>
                <w:b/>
                <w:i w:val="0"/>
                <w:color w:val="000000"/>
                <w:kern w:val="0"/>
                <w:sz w:val="24"/>
                <w:szCs w:val="24"/>
                <w:u w:val="none"/>
                <w:lang w:val="en-US" w:eastAsia="zh-CN" w:bidi="ar"/>
              </w:rPr>
              <w:t>指标</w:t>
            </w:r>
          </w:p>
        </w:tc>
        <w:tc>
          <w:tcPr>
            <w:tcW w:w="1485"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4"/>
                <w:szCs w:val="24"/>
                <w:u w:val="none"/>
              </w:rPr>
            </w:pPr>
            <w:r>
              <w:rPr>
                <w:rFonts w:hint="eastAsia" w:ascii="仿宋" w:hAnsi="仿宋" w:eastAsia="仿宋" w:cs="仿宋"/>
                <w:b/>
                <w:i w:val="0"/>
                <w:color w:val="000000"/>
                <w:kern w:val="0"/>
                <w:sz w:val="24"/>
                <w:szCs w:val="24"/>
                <w:u w:val="none"/>
                <w:lang w:val="en-US" w:eastAsia="zh-CN" w:bidi="ar"/>
              </w:rPr>
              <w:t>三级指标</w:t>
            </w:r>
          </w:p>
        </w:tc>
        <w:tc>
          <w:tcPr>
            <w:tcW w:w="115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4"/>
                <w:szCs w:val="24"/>
                <w:u w:val="none"/>
              </w:rPr>
            </w:pPr>
            <w:r>
              <w:rPr>
                <w:rFonts w:hint="eastAsia" w:ascii="仿宋" w:hAnsi="仿宋" w:eastAsia="仿宋" w:cs="仿宋"/>
                <w:b/>
                <w:i w:val="0"/>
                <w:color w:val="000000"/>
                <w:kern w:val="0"/>
                <w:sz w:val="24"/>
                <w:szCs w:val="24"/>
                <w:u w:val="none"/>
                <w:lang w:val="en-US" w:eastAsia="zh-CN" w:bidi="ar"/>
              </w:rPr>
              <w:t>指标分值</w:t>
            </w:r>
          </w:p>
        </w:tc>
        <w:tc>
          <w:tcPr>
            <w:tcW w:w="788"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4"/>
                <w:szCs w:val="24"/>
                <w:u w:val="none"/>
              </w:rPr>
            </w:pPr>
            <w:r>
              <w:rPr>
                <w:rFonts w:hint="eastAsia" w:ascii="仿宋" w:hAnsi="仿宋" w:eastAsia="仿宋" w:cs="仿宋"/>
                <w:b/>
                <w:i w:val="0"/>
                <w:color w:val="000000"/>
                <w:kern w:val="0"/>
                <w:sz w:val="24"/>
                <w:szCs w:val="24"/>
                <w:u w:val="none"/>
                <w:lang w:val="en-US" w:eastAsia="zh-CN" w:bidi="ar"/>
              </w:rPr>
              <w:t>评价得分</w:t>
            </w:r>
          </w:p>
        </w:tc>
      </w:tr>
      <w:tr>
        <w:tblPrEx>
          <w:shd w:val="clear" w:color="auto" w:fill="auto"/>
          <w:tblCellMar>
            <w:top w:w="0" w:type="dxa"/>
            <w:left w:w="0" w:type="dxa"/>
            <w:bottom w:w="0" w:type="dxa"/>
            <w:right w:w="0" w:type="dxa"/>
          </w:tblCellMar>
        </w:tblPrEx>
        <w:trPr>
          <w:trHeight w:val="300" w:hRule="atLeast"/>
        </w:trPr>
        <w:tc>
          <w:tcPr>
            <w:tcW w:w="787" w:type="pct"/>
            <w:vMerge w:val="restar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p>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p>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p>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p>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p>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p>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过程</w:t>
            </w:r>
          </w:p>
        </w:tc>
        <w:tc>
          <w:tcPr>
            <w:tcW w:w="787" w:type="pct"/>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预算</w:t>
            </w:r>
          </w:p>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执行</w:t>
            </w:r>
          </w:p>
        </w:tc>
        <w:tc>
          <w:tcPr>
            <w:tcW w:w="1485"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预算完成率</w:t>
            </w:r>
          </w:p>
        </w:tc>
        <w:tc>
          <w:tcPr>
            <w:tcW w:w="115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1.5</w:t>
            </w:r>
          </w:p>
        </w:tc>
        <w:tc>
          <w:tcPr>
            <w:tcW w:w="138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宋体" w:hAnsi="宋体" w:eastAsia="宋体" w:cs="宋体"/>
                <w:i w:val="0"/>
                <w:color w:val="000000"/>
                <w:kern w:val="0"/>
                <w:sz w:val="24"/>
                <w:szCs w:val="24"/>
                <w:u w:val="none"/>
                <w:lang w:val="en-US" w:eastAsia="zh-CN" w:bidi="ar"/>
              </w:rPr>
              <w:t>1.5</w:t>
            </w:r>
          </w:p>
        </w:tc>
      </w:tr>
      <w:tr>
        <w:tblPrEx>
          <w:shd w:val="clear" w:color="auto" w:fill="auto"/>
          <w:tblCellMar>
            <w:top w:w="0" w:type="dxa"/>
            <w:left w:w="0" w:type="dxa"/>
            <w:bottom w:w="0" w:type="dxa"/>
            <w:right w:w="0" w:type="dxa"/>
          </w:tblCellMar>
        </w:tblPrEx>
        <w:trPr>
          <w:trHeight w:val="300" w:hRule="atLeast"/>
        </w:trPr>
        <w:tc>
          <w:tcPr>
            <w:tcW w:w="787"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787"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485"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预算调整率</w:t>
            </w:r>
          </w:p>
        </w:tc>
        <w:tc>
          <w:tcPr>
            <w:tcW w:w="115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w:t>
            </w:r>
          </w:p>
        </w:tc>
        <w:tc>
          <w:tcPr>
            <w:tcW w:w="138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宋体" w:hAnsi="宋体" w:eastAsia="宋体" w:cs="宋体"/>
                <w:i w:val="0"/>
                <w:color w:val="000000"/>
                <w:kern w:val="0"/>
                <w:sz w:val="24"/>
                <w:szCs w:val="24"/>
                <w:u w:val="none"/>
                <w:lang w:val="en-US" w:eastAsia="zh-CN" w:bidi="ar"/>
              </w:rPr>
              <w:t>0.5</w:t>
            </w:r>
          </w:p>
        </w:tc>
      </w:tr>
      <w:tr>
        <w:tblPrEx>
          <w:shd w:val="clear" w:color="auto" w:fill="auto"/>
          <w:tblCellMar>
            <w:top w:w="0" w:type="dxa"/>
            <w:left w:w="0" w:type="dxa"/>
            <w:bottom w:w="0" w:type="dxa"/>
            <w:right w:w="0" w:type="dxa"/>
          </w:tblCellMar>
        </w:tblPrEx>
        <w:trPr>
          <w:trHeight w:val="300" w:hRule="atLeast"/>
        </w:trPr>
        <w:tc>
          <w:tcPr>
            <w:tcW w:w="787"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787"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485"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支付进度率</w:t>
            </w:r>
          </w:p>
        </w:tc>
        <w:tc>
          <w:tcPr>
            <w:tcW w:w="115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1.5</w:t>
            </w:r>
          </w:p>
        </w:tc>
        <w:tc>
          <w:tcPr>
            <w:tcW w:w="138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宋体" w:hAnsi="宋体" w:eastAsia="宋体" w:cs="宋体"/>
                <w:i w:val="0"/>
                <w:color w:val="000000"/>
                <w:kern w:val="0"/>
                <w:sz w:val="24"/>
                <w:szCs w:val="24"/>
                <w:u w:val="none"/>
                <w:lang w:val="en-US" w:eastAsia="zh-CN" w:bidi="ar"/>
              </w:rPr>
              <w:t>1.17</w:t>
            </w:r>
          </w:p>
        </w:tc>
      </w:tr>
      <w:tr>
        <w:tblPrEx>
          <w:shd w:val="clear" w:color="auto" w:fill="auto"/>
          <w:tblCellMar>
            <w:top w:w="0" w:type="dxa"/>
            <w:left w:w="0" w:type="dxa"/>
            <w:bottom w:w="0" w:type="dxa"/>
            <w:right w:w="0" w:type="dxa"/>
          </w:tblCellMar>
        </w:tblPrEx>
        <w:trPr>
          <w:trHeight w:val="300" w:hRule="atLeast"/>
        </w:trPr>
        <w:tc>
          <w:tcPr>
            <w:tcW w:w="787"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787" w:type="pct"/>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预算执行</w:t>
            </w:r>
          </w:p>
        </w:tc>
        <w:tc>
          <w:tcPr>
            <w:tcW w:w="1485"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结转结余率</w:t>
            </w:r>
          </w:p>
        </w:tc>
        <w:tc>
          <w:tcPr>
            <w:tcW w:w="115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w:t>
            </w:r>
          </w:p>
        </w:tc>
        <w:tc>
          <w:tcPr>
            <w:tcW w:w="138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宋体" w:hAnsi="宋体" w:eastAsia="宋体" w:cs="宋体"/>
                <w:i w:val="0"/>
                <w:color w:val="000000"/>
                <w:kern w:val="0"/>
                <w:sz w:val="24"/>
                <w:szCs w:val="24"/>
                <w:u w:val="none"/>
                <w:lang w:val="en-US" w:eastAsia="zh-CN" w:bidi="ar"/>
              </w:rPr>
              <w:t>1</w:t>
            </w:r>
          </w:p>
        </w:tc>
      </w:tr>
      <w:tr>
        <w:tblPrEx>
          <w:shd w:val="clear" w:color="auto" w:fill="auto"/>
          <w:tblCellMar>
            <w:top w:w="0" w:type="dxa"/>
            <w:left w:w="0" w:type="dxa"/>
            <w:bottom w:w="0" w:type="dxa"/>
            <w:right w:w="0" w:type="dxa"/>
          </w:tblCellMar>
        </w:tblPrEx>
        <w:trPr>
          <w:trHeight w:val="300" w:hRule="atLeast"/>
        </w:trPr>
        <w:tc>
          <w:tcPr>
            <w:tcW w:w="787"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787"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485"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结转结余变动率</w:t>
            </w:r>
          </w:p>
        </w:tc>
        <w:tc>
          <w:tcPr>
            <w:tcW w:w="115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w:t>
            </w:r>
          </w:p>
        </w:tc>
        <w:tc>
          <w:tcPr>
            <w:tcW w:w="138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宋体" w:hAnsi="宋体" w:eastAsia="宋体" w:cs="宋体"/>
                <w:i w:val="0"/>
                <w:color w:val="000000"/>
                <w:kern w:val="0"/>
                <w:sz w:val="24"/>
                <w:szCs w:val="24"/>
                <w:u w:val="none"/>
                <w:lang w:val="en-US" w:eastAsia="zh-CN" w:bidi="ar"/>
              </w:rPr>
              <w:t>1</w:t>
            </w:r>
          </w:p>
        </w:tc>
      </w:tr>
      <w:tr>
        <w:tblPrEx>
          <w:shd w:val="clear" w:color="auto" w:fill="auto"/>
          <w:tblCellMar>
            <w:top w:w="0" w:type="dxa"/>
            <w:left w:w="0" w:type="dxa"/>
            <w:bottom w:w="0" w:type="dxa"/>
            <w:right w:w="0" w:type="dxa"/>
          </w:tblCellMar>
        </w:tblPrEx>
        <w:trPr>
          <w:trHeight w:val="300" w:hRule="atLeast"/>
        </w:trPr>
        <w:tc>
          <w:tcPr>
            <w:tcW w:w="787"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787"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485"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公用经费控制率</w:t>
            </w:r>
          </w:p>
        </w:tc>
        <w:tc>
          <w:tcPr>
            <w:tcW w:w="115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w:t>
            </w:r>
          </w:p>
        </w:tc>
        <w:tc>
          <w:tcPr>
            <w:tcW w:w="138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shd w:val="clear" w:color="auto" w:fill="auto"/>
          <w:tblCellMar>
            <w:top w:w="0" w:type="dxa"/>
            <w:left w:w="0" w:type="dxa"/>
            <w:bottom w:w="0" w:type="dxa"/>
            <w:right w:w="0" w:type="dxa"/>
          </w:tblCellMar>
        </w:tblPrEx>
        <w:trPr>
          <w:trHeight w:val="300" w:hRule="atLeast"/>
        </w:trPr>
        <w:tc>
          <w:tcPr>
            <w:tcW w:w="787"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787"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485"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“三公经费”控制率</w:t>
            </w:r>
          </w:p>
        </w:tc>
        <w:tc>
          <w:tcPr>
            <w:tcW w:w="115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1.5</w:t>
            </w:r>
          </w:p>
        </w:tc>
        <w:tc>
          <w:tcPr>
            <w:tcW w:w="138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宋体" w:hAnsi="宋体" w:eastAsia="宋体" w:cs="宋体"/>
                <w:i w:val="0"/>
                <w:color w:val="000000"/>
                <w:kern w:val="0"/>
                <w:sz w:val="24"/>
                <w:szCs w:val="24"/>
                <w:u w:val="none"/>
                <w:lang w:val="en-US" w:eastAsia="zh-CN" w:bidi="ar"/>
              </w:rPr>
              <w:t>1.5</w:t>
            </w:r>
          </w:p>
        </w:tc>
      </w:tr>
      <w:tr>
        <w:tblPrEx>
          <w:shd w:val="clear" w:color="auto" w:fill="auto"/>
          <w:tblCellMar>
            <w:top w:w="0" w:type="dxa"/>
            <w:left w:w="0" w:type="dxa"/>
            <w:bottom w:w="0" w:type="dxa"/>
            <w:right w:w="0" w:type="dxa"/>
          </w:tblCellMar>
        </w:tblPrEx>
        <w:trPr>
          <w:trHeight w:val="300" w:hRule="atLeast"/>
        </w:trPr>
        <w:tc>
          <w:tcPr>
            <w:tcW w:w="787"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787"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485"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政府采购执行率</w:t>
            </w:r>
          </w:p>
        </w:tc>
        <w:tc>
          <w:tcPr>
            <w:tcW w:w="115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1.5</w:t>
            </w:r>
          </w:p>
        </w:tc>
        <w:tc>
          <w:tcPr>
            <w:tcW w:w="138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宋体" w:hAnsi="宋体" w:eastAsia="宋体" w:cs="宋体"/>
                <w:i w:val="0"/>
                <w:color w:val="000000"/>
                <w:kern w:val="0"/>
                <w:sz w:val="24"/>
                <w:szCs w:val="24"/>
                <w:u w:val="none"/>
                <w:lang w:val="en-US" w:eastAsia="zh-CN" w:bidi="ar"/>
              </w:rPr>
              <w:t>1.5</w:t>
            </w:r>
          </w:p>
        </w:tc>
      </w:tr>
      <w:tr>
        <w:tblPrEx>
          <w:shd w:val="clear" w:color="auto" w:fill="auto"/>
          <w:tblCellMar>
            <w:top w:w="0" w:type="dxa"/>
            <w:left w:w="0" w:type="dxa"/>
            <w:bottom w:w="0" w:type="dxa"/>
            <w:right w:w="0" w:type="dxa"/>
          </w:tblCellMar>
        </w:tblPrEx>
        <w:trPr>
          <w:trHeight w:val="300" w:hRule="atLeast"/>
        </w:trPr>
        <w:tc>
          <w:tcPr>
            <w:tcW w:w="787"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787" w:type="pct"/>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预算</w:t>
            </w:r>
          </w:p>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管理</w:t>
            </w:r>
          </w:p>
        </w:tc>
        <w:tc>
          <w:tcPr>
            <w:tcW w:w="1485"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管理制度健全性</w:t>
            </w:r>
          </w:p>
        </w:tc>
        <w:tc>
          <w:tcPr>
            <w:tcW w:w="115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3</w:t>
            </w:r>
          </w:p>
        </w:tc>
        <w:tc>
          <w:tcPr>
            <w:tcW w:w="138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宋体" w:hAnsi="宋体" w:eastAsia="宋体" w:cs="宋体"/>
                <w:i w:val="0"/>
                <w:color w:val="000000"/>
                <w:kern w:val="0"/>
                <w:sz w:val="24"/>
                <w:szCs w:val="24"/>
                <w:u w:val="none"/>
                <w:lang w:val="en-US" w:eastAsia="zh-CN" w:bidi="ar"/>
              </w:rPr>
              <w:t>2</w:t>
            </w:r>
          </w:p>
        </w:tc>
      </w:tr>
      <w:tr>
        <w:tblPrEx>
          <w:shd w:val="clear" w:color="auto" w:fill="auto"/>
          <w:tblCellMar>
            <w:top w:w="0" w:type="dxa"/>
            <w:left w:w="0" w:type="dxa"/>
            <w:bottom w:w="0" w:type="dxa"/>
            <w:right w:w="0" w:type="dxa"/>
          </w:tblCellMar>
        </w:tblPrEx>
        <w:trPr>
          <w:trHeight w:val="300" w:hRule="atLeast"/>
        </w:trPr>
        <w:tc>
          <w:tcPr>
            <w:tcW w:w="787"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787"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485"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资金使用合规性</w:t>
            </w:r>
          </w:p>
        </w:tc>
        <w:tc>
          <w:tcPr>
            <w:tcW w:w="115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2.5</w:t>
            </w:r>
          </w:p>
        </w:tc>
        <w:tc>
          <w:tcPr>
            <w:tcW w:w="138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宋体" w:hAnsi="宋体" w:eastAsia="宋体" w:cs="宋体"/>
                <w:i w:val="0"/>
                <w:color w:val="000000"/>
                <w:kern w:val="0"/>
                <w:sz w:val="24"/>
                <w:szCs w:val="24"/>
                <w:u w:val="none"/>
                <w:lang w:val="en-US" w:eastAsia="zh-CN" w:bidi="ar"/>
              </w:rPr>
              <w:t>2.5</w:t>
            </w:r>
          </w:p>
        </w:tc>
      </w:tr>
      <w:tr>
        <w:tblPrEx>
          <w:shd w:val="clear" w:color="auto" w:fill="auto"/>
          <w:tblCellMar>
            <w:top w:w="0" w:type="dxa"/>
            <w:left w:w="0" w:type="dxa"/>
            <w:bottom w:w="0" w:type="dxa"/>
            <w:right w:w="0" w:type="dxa"/>
          </w:tblCellMar>
        </w:tblPrEx>
        <w:trPr>
          <w:trHeight w:val="300" w:hRule="atLeast"/>
        </w:trPr>
        <w:tc>
          <w:tcPr>
            <w:tcW w:w="787"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787"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485"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预决算信息公开性</w:t>
            </w:r>
          </w:p>
        </w:tc>
        <w:tc>
          <w:tcPr>
            <w:tcW w:w="115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0.6</w:t>
            </w:r>
          </w:p>
        </w:tc>
        <w:tc>
          <w:tcPr>
            <w:tcW w:w="138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宋体" w:hAnsi="宋体" w:eastAsia="宋体" w:cs="宋体"/>
                <w:i w:val="0"/>
                <w:color w:val="000000"/>
                <w:kern w:val="0"/>
                <w:sz w:val="24"/>
                <w:szCs w:val="24"/>
                <w:u w:val="none"/>
                <w:lang w:val="en-US" w:eastAsia="zh-CN" w:bidi="ar"/>
              </w:rPr>
              <w:t>0.6</w:t>
            </w:r>
          </w:p>
        </w:tc>
      </w:tr>
      <w:tr>
        <w:tblPrEx>
          <w:shd w:val="clear" w:color="auto" w:fill="auto"/>
          <w:tblCellMar>
            <w:top w:w="0" w:type="dxa"/>
            <w:left w:w="0" w:type="dxa"/>
            <w:bottom w:w="0" w:type="dxa"/>
            <w:right w:w="0" w:type="dxa"/>
          </w:tblCellMar>
        </w:tblPrEx>
        <w:trPr>
          <w:trHeight w:val="120" w:hRule="atLeast"/>
        </w:trPr>
        <w:tc>
          <w:tcPr>
            <w:tcW w:w="787"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787"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485"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运行监控和自评有效性</w:t>
            </w:r>
          </w:p>
        </w:tc>
        <w:tc>
          <w:tcPr>
            <w:tcW w:w="115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3</w:t>
            </w:r>
          </w:p>
        </w:tc>
        <w:tc>
          <w:tcPr>
            <w:tcW w:w="138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宋体" w:hAnsi="宋体" w:eastAsia="宋体" w:cs="宋体"/>
                <w:i w:val="0"/>
                <w:color w:val="000000"/>
                <w:kern w:val="0"/>
                <w:sz w:val="24"/>
                <w:szCs w:val="24"/>
                <w:u w:val="none"/>
                <w:lang w:val="en-US" w:eastAsia="zh-CN" w:bidi="ar"/>
              </w:rPr>
              <w:t>3</w:t>
            </w:r>
          </w:p>
        </w:tc>
      </w:tr>
      <w:tr>
        <w:tblPrEx>
          <w:shd w:val="clear" w:color="auto" w:fill="auto"/>
          <w:tblCellMar>
            <w:top w:w="0" w:type="dxa"/>
            <w:left w:w="0" w:type="dxa"/>
            <w:bottom w:w="0" w:type="dxa"/>
            <w:right w:w="0" w:type="dxa"/>
          </w:tblCellMar>
        </w:tblPrEx>
        <w:trPr>
          <w:trHeight w:val="300" w:hRule="atLeast"/>
        </w:trPr>
        <w:tc>
          <w:tcPr>
            <w:tcW w:w="787"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787"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485"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基础信息完善性</w:t>
            </w:r>
          </w:p>
        </w:tc>
        <w:tc>
          <w:tcPr>
            <w:tcW w:w="115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0.9</w:t>
            </w:r>
          </w:p>
        </w:tc>
        <w:tc>
          <w:tcPr>
            <w:tcW w:w="138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宋体" w:hAnsi="宋体" w:eastAsia="宋体" w:cs="宋体"/>
                <w:i w:val="0"/>
                <w:color w:val="000000"/>
                <w:kern w:val="0"/>
                <w:sz w:val="24"/>
                <w:szCs w:val="24"/>
                <w:u w:val="none"/>
                <w:lang w:val="en-US" w:eastAsia="zh-CN" w:bidi="ar"/>
              </w:rPr>
              <w:t>0.9</w:t>
            </w:r>
          </w:p>
        </w:tc>
      </w:tr>
      <w:tr>
        <w:tblPrEx>
          <w:tblCellMar>
            <w:top w:w="0" w:type="dxa"/>
            <w:left w:w="0" w:type="dxa"/>
            <w:bottom w:w="0" w:type="dxa"/>
            <w:right w:w="0" w:type="dxa"/>
          </w:tblCellMar>
        </w:tblPrEx>
        <w:trPr>
          <w:trHeight w:val="300" w:hRule="atLeast"/>
        </w:trPr>
        <w:tc>
          <w:tcPr>
            <w:tcW w:w="787"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787" w:type="pct"/>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资产</w:t>
            </w:r>
          </w:p>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管理</w:t>
            </w:r>
          </w:p>
        </w:tc>
        <w:tc>
          <w:tcPr>
            <w:tcW w:w="1485"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管理制度健全性</w:t>
            </w:r>
          </w:p>
        </w:tc>
        <w:tc>
          <w:tcPr>
            <w:tcW w:w="115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1.5</w:t>
            </w:r>
          </w:p>
        </w:tc>
        <w:tc>
          <w:tcPr>
            <w:tcW w:w="138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宋体" w:hAnsi="宋体" w:eastAsia="宋体" w:cs="宋体"/>
                <w:i w:val="0"/>
                <w:color w:val="000000"/>
                <w:kern w:val="0"/>
                <w:sz w:val="24"/>
                <w:szCs w:val="24"/>
                <w:u w:val="none"/>
                <w:lang w:val="en-US" w:eastAsia="zh-CN" w:bidi="ar"/>
              </w:rPr>
              <w:t>1.5</w:t>
            </w:r>
          </w:p>
        </w:tc>
      </w:tr>
      <w:tr>
        <w:tblPrEx>
          <w:tblCellMar>
            <w:top w:w="0" w:type="dxa"/>
            <w:left w:w="0" w:type="dxa"/>
            <w:bottom w:w="0" w:type="dxa"/>
            <w:right w:w="0" w:type="dxa"/>
          </w:tblCellMar>
        </w:tblPrEx>
        <w:trPr>
          <w:trHeight w:val="300" w:hRule="atLeast"/>
        </w:trPr>
        <w:tc>
          <w:tcPr>
            <w:tcW w:w="787"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787"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485"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资产管理安全性</w:t>
            </w:r>
          </w:p>
        </w:tc>
        <w:tc>
          <w:tcPr>
            <w:tcW w:w="115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1.5</w:t>
            </w:r>
          </w:p>
        </w:tc>
        <w:tc>
          <w:tcPr>
            <w:tcW w:w="138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宋体" w:hAnsi="宋体" w:eastAsia="宋体" w:cs="宋体"/>
                <w:i w:val="0"/>
                <w:color w:val="000000"/>
                <w:kern w:val="0"/>
                <w:sz w:val="24"/>
                <w:szCs w:val="24"/>
                <w:u w:val="none"/>
                <w:lang w:val="en-US" w:eastAsia="zh-CN" w:bidi="ar"/>
              </w:rPr>
              <w:t>1.5</w:t>
            </w:r>
          </w:p>
        </w:tc>
      </w:tr>
      <w:tr>
        <w:tblPrEx>
          <w:shd w:val="clear" w:color="auto" w:fill="auto"/>
          <w:tblCellMar>
            <w:top w:w="0" w:type="dxa"/>
            <w:left w:w="0" w:type="dxa"/>
            <w:bottom w:w="0" w:type="dxa"/>
            <w:right w:w="0" w:type="dxa"/>
          </w:tblCellMar>
        </w:tblPrEx>
        <w:trPr>
          <w:trHeight w:val="300" w:hRule="atLeast"/>
        </w:trPr>
        <w:tc>
          <w:tcPr>
            <w:tcW w:w="787"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787"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485"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固定资产利用率</w:t>
            </w:r>
          </w:p>
        </w:tc>
        <w:tc>
          <w:tcPr>
            <w:tcW w:w="115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w:t>
            </w:r>
          </w:p>
        </w:tc>
        <w:tc>
          <w:tcPr>
            <w:tcW w:w="138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宋体" w:hAnsi="宋体" w:eastAsia="宋体" w:cs="宋体"/>
                <w:i w:val="0"/>
                <w:color w:val="000000"/>
                <w:kern w:val="0"/>
                <w:sz w:val="24"/>
                <w:szCs w:val="24"/>
                <w:u w:val="none"/>
                <w:lang w:val="en-US" w:eastAsia="zh-CN" w:bidi="ar"/>
              </w:rPr>
              <w:t>2</w:t>
            </w:r>
          </w:p>
        </w:tc>
      </w:tr>
      <w:tr>
        <w:tblPrEx>
          <w:shd w:val="clear" w:color="auto" w:fill="auto"/>
          <w:tblCellMar>
            <w:top w:w="0" w:type="dxa"/>
            <w:left w:w="0" w:type="dxa"/>
            <w:bottom w:w="0" w:type="dxa"/>
            <w:right w:w="0" w:type="dxa"/>
          </w:tblCellMar>
        </w:tblPrEx>
        <w:trPr>
          <w:trHeight w:val="300" w:hRule="atLeast"/>
        </w:trPr>
        <w:tc>
          <w:tcPr>
            <w:tcW w:w="1574" w:type="pct"/>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仿宋" w:hAnsi="仿宋" w:eastAsia="仿宋" w:cs="仿宋"/>
                <w:i w:val="0"/>
                <w:color w:val="000000"/>
                <w:sz w:val="24"/>
                <w:szCs w:val="24"/>
                <w:u w:val="none"/>
                <w:lang w:val="en-US" w:eastAsia="zh-CN"/>
              </w:rPr>
            </w:pPr>
            <w:r>
              <w:rPr>
                <w:rFonts w:hint="eastAsia" w:ascii="仿宋" w:hAnsi="仿宋" w:eastAsia="仿宋" w:cs="仿宋"/>
                <w:i w:val="0"/>
                <w:color w:val="000000"/>
                <w:sz w:val="24"/>
                <w:szCs w:val="24"/>
                <w:u w:val="none"/>
                <w:lang w:val="en-US" w:eastAsia="zh-CN"/>
              </w:rPr>
              <w:t>合计</w:t>
            </w:r>
          </w:p>
        </w:tc>
        <w:tc>
          <w:tcPr>
            <w:tcW w:w="1485"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kern w:val="0"/>
                <w:sz w:val="24"/>
                <w:szCs w:val="24"/>
                <w:u w:val="none"/>
                <w:lang w:val="en-US" w:eastAsia="zh-CN" w:bidi="ar"/>
              </w:rPr>
            </w:pPr>
          </w:p>
        </w:tc>
        <w:tc>
          <w:tcPr>
            <w:tcW w:w="115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25</w:t>
            </w:r>
          </w:p>
        </w:tc>
        <w:tc>
          <w:tcPr>
            <w:tcW w:w="78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default"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22.17</w:t>
            </w:r>
          </w:p>
        </w:tc>
      </w:tr>
    </w:tbl>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 w:hAnsi="仿宋" w:eastAsia="仿宋" w:cs="仿宋"/>
          <w:b/>
          <w:bCs/>
          <w:color w:val="auto"/>
          <w:kern w:val="0"/>
          <w:sz w:val="32"/>
          <w:szCs w:val="32"/>
          <w:highlight w:val="none"/>
          <w:shd w:val="clear" w:color="auto" w:fill="FFFFFF"/>
          <w:lang w:val="en-US" w:eastAsia="zh-CN"/>
        </w:rPr>
      </w:pPr>
      <w:r>
        <w:rPr>
          <w:rFonts w:hint="eastAsia" w:ascii="仿宋" w:hAnsi="仿宋" w:eastAsia="仿宋" w:cs="仿宋"/>
          <w:b/>
          <w:bCs/>
          <w:color w:val="auto"/>
          <w:kern w:val="0"/>
          <w:sz w:val="32"/>
          <w:szCs w:val="32"/>
          <w:highlight w:val="none"/>
          <w:shd w:val="clear" w:color="auto" w:fill="FFFFFF"/>
          <w:lang w:val="en-US" w:eastAsia="zh-Hans"/>
        </w:rPr>
        <w:t>1.预算执行</w:t>
      </w:r>
      <w:r>
        <w:rPr>
          <w:rFonts w:hint="eastAsia" w:ascii="仿宋" w:hAnsi="仿宋" w:eastAsia="仿宋" w:cs="仿宋"/>
          <w:b/>
          <w:bCs/>
          <w:color w:val="auto"/>
          <w:kern w:val="0"/>
          <w:sz w:val="32"/>
          <w:szCs w:val="32"/>
          <w:highlight w:val="none"/>
          <w:shd w:val="clear" w:color="auto" w:fill="FFFFFF"/>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Hans"/>
        </w:rPr>
        <w:t>（1）预算完成率</w:t>
      </w:r>
      <w:r>
        <w:rPr>
          <w:rFonts w:hint="eastAsia" w:ascii="仿宋" w:hAnsi="仿宋" w:eastAsia="仿宋" w:cs="仿宋"/>
          <w:color w:val="auto"/>
          <w:kern w:val="0"/>
          <w:sz w:val="32"/>
          <w:szCs w:val="32"/>
          <w:highlight w:val="none"/>
          <w:shd w:val="clear" w:color="auto" w:fill="FFFFFF"/>
          <w:lang w:val="en-US" w:eastAsia="zh-CN"/>
        </w:rPr>
        <w:t>--1.5分。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根据铜川市新区咸丰路街道办事处2021年度收支决算汇总表，2021年年初一般公共预算财政拨款收入1164.58万元，年初结转结余资金2654.57万元，经部门决算统计，部门2021年年初支出预算数为3819.15万元，调整预算数为7669.63万元，决算支出数为7669.63万元。经统计计算，2021年度部门预算完成率为100%，预算完成率大于95%。</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CN"/>
        </w:rPr>
        <w:t>结合部门整体支出绩效评价指标体系内容和评分标准，经综合评价，该项指标得分为1.5分。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Hans"/>
        </w:rPr>
        <w:t>（</w:t>
      </w:r>
      <w:r>
        <w:rPr>
          <w:rFonts w:hint="default" w:ascii="仿宋" w:hAnsi="仿宋" w:eastAsia="仿宋" w:cs="仿宋"/>
          <w:color w:val="auto"/>
          <w:kern w:val="0"/>
          <w:sz w:val="32"/>
          <w:szCs w:val="32"/>
          <w:highlight w:val="none"/>
          <w:shd w:val="clear" w:color="auto" w:fill="FFFFFF"/>
          <w:lang w:eastAsia="zh-Hans"/>
        </w:rPr>
        <w:t>2</w:t>
      </w:r>
      <w:r>
        <w:rPr>
          <w:rFonts w:hint="eastAsia" w:ascii="仿宋" w:hAnsi="仿宋" w:eastAsia="仿宋" w:cs="仿宋"/>
          <w:color w:val="auto"/>
          <w:kern w:val="0"/>
          <w:sz w:val="32"/>
          <w:szCs w:val="32"/>
          <w:highlight w:val="none"/>
          <w:shd w:val="clear" w:color="auto" w:fill="FFFFFF"/>
          <w:lang w:val="en-US" w:eastAsia="zh-Hans"/>
        </w:rPr>
        <w:t>）</w:t>
      </w:r>
      <w:r>
        <w:rPr>
          <w:rFonts w:hint="eastAsia" w:ascii="仿宋" w:hAnsi="仿宋" w:eastAsia="仿宋" w:cs="仿宋"/>
          <w:color w:val="auto"/>
          <w:kern w:val="0"/>
          <w:sz w:val="32"/>
          <w:szCs w:val="32"/>
          <w:highlight w:val="none"/>
          <w:shd w:val="clear" w:color="auto" w:fill="FFFFFF"/>
          <w:lang w:val="en-US" w:eastAsia="zh-CN"/>
        </w:rPr>
        <w:t>预算调整率--1分。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根据铜川市新区咸丰路街道办事处2021年度收支决算汇总表，2021年部门年初支出预算数为3819.15万元，调整预算数为7669.63万元，年度预算调整数为3850.48万元。预算调整率为50.2%。</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结合部门整体支出绩效评价指标体系内容和评分标准，经综合评价，该项指标得分为0.5分。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（3）支付进度率--1分</w:t>
      </w:r>
    </w:p>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600" w:lineRule="exact"/>
        <w:ind w:firstLine="640" w:firstLineChars="200"/>
        <w:textAlignment w:val="auto"/>
        <w:rPr>
          <w:rFonts w:hint="default" w:ascii="仿宋" w:hAnsi="仿宋" w:eastAsia="仿宋" w:cs="仿宋"/>
          <w:color w:val="auto"/>
          <w:kern w:val="0"/>
          <w:sz w:val="32"/>
          <w:szCs w:val="32"/>
          <w:highlight w:val="none"/>
          <w:shd w:val="clear" w:color="auto" w:fill="FFFFFF"/>
          <w:lang w:val="en-US" w:eastAsia="zh-CN" w:bidi="ar-SA"/>
        </w:rPr>
      </w:pPr>
      <w:r>
        <w:rPr>
          <w:rFonts w:hint="default" w:ascii="仿宋" w:hAnsi="仿宋" w:eastAsia="仿宋" w:cs="仿宋"/>
          <w:color w:val="auto"/>
          <w:kern w:val="0"/>
          <w:sz w:val="32"/>
          <w:szCs w:val="32"/>
          <w:highlight w:val="none"/>
          <w:shd w:val="clear" w:color="auto" w:fill="FFFFFF"/>
          <w:lang w:val="en-US" w:eastAsia="zh-CN" w:bidi="ar-SA"/>
        </w:rPr>
        <w:t>根据新区咸丰路街道办事处公共财政支出台账、2021年收入支出决算统计表等部门相关资料内容。部门2021年支出决算完成数为7669.63万元，2021年3月底，部门公共财政支出完成1336.59万元，序时支出进度为1917.41万元，支付进度率为79.29%。以3月为时点，支付进度率得分为1.05分。2021年6月底，公共财政支出完成3564.31万元，序时支出进度为3834.82万元，支付进度率为69.71%。以6月为时点，支付进度率得分为1.39分。2021年9月底，公共财政支出完成4561.11万元，序时支出进度为5752.22万元，支付进度率为92.95%。以9月为时点，支付进度率得分为1.19分。2021年11月底，公共财政支出完成5420.72万元，序时支出进度为7669.63万元，支付进度率为70.68%。以11月为时点，支付进度率得分为1.06分。</w:t>
      </w:r>
    </w:p>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600" w:lineRule="exact"/>
        <w:ind w:firstLine="640" w:firstLineChars="200"/>
        <w:textAlignment w:val="auto"/>
        <w:rPr>
          <w:rFonts w:hint="default" w:ascii="仿宋" w:hAnsi="仿宋" w:eastAsia="仿宋" w:cs="仿宋"/>
          <w:color w:val="auto"/>
          <w:kern w:val="0"/>
          <w:sz w:val="32"/>
          <w:szCs w:val="32"/>
          <w:highlight w:val="none"/>
          <w:shd w:val="clear" w:color="auto" w:fill="FFFFFF"/>
          <w:lang w:val="en-US" w:eastAsia="zh-CN" w:bidi="ar-SA"/>
        </w:rPr>
      </w:pPr>
      <w:r>
        <w:rPr>
          <w:rFonts w:hint="default" w:ascii="仿宋" w:hAnsi="仿宋" w:eastAsia="仿宋" w:cs="仿宋"/>
          <w:color w:val="auto"/>
          <w:kern w:val="0"/>
          <w:sz w:val="32"/>
          <w:szCs w:val="32"/>
          <w:highlight w:val="none"/>
          <w:shd w:val="clear" w:color="auto" w:fill="FFFFFF"/>
          <w:lang w:val="en-US" w:eastAsia="zh-CN" w:bidi="ar-SA"/>
        </w:rPr>
        <w:t>结合部门整体支出绩效评价指标体系内容和评分标准，经综合评价，该项指标得分为1.17分。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（4）结转结余率--1分。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根据部门2021年度收支决算总表内容，部门年末结转和结余金额为0。部门本年度结转结余率为0，小于5%。</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CN"/>
        </w:rPr>
        <w:t>结合部门整体支出绩效评价指标体系内容和评分标准，经综合评价，该项指标得分为1分。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Hans"/>
        </w:rPr>
        <w:t>（</w:t>
      </w:r>
      <w:r>
        <w:rPr>
          <w:rFonts w:hint="eastAsia" w:ascii="仿宋" w:hAnsi="仿宋" w:eastAsia="仿宋" w:cs="仿宋"/>
          <w:color w:val="auto"/>
          <w:kern w:val="0"/>
          <w:sz w:val="32"/>
          <w:szCs w:val="32"/>
          <w:highlight w:val="none"/>
          <w:shd w:val="clear" w:color="auto" w:fill="FFFFFF"/>
          <w:lang w:val="en-US" w:eastAsia="zh-CN"/>
        </w:rPr>
        <w:t>5</w:t>
      </w:r>
      <w:r>
        <w:rPr>
          <w:rFonts w:hint="eastAsia" w:ascii="仿宋" w:hAnsi="仿宋" w:eastAsia="仿宋" w:cs="仿宋"/>
          <w:color w:val="auto"/>
          <w:kern w:val="0"/>
          <w:sz w:val="32"/>
          <w:szCs w:val="32"/>
          <w:highlight w:val="none"/>
          <w:shd w:val="clear" w:color="auto" w:fill="FFFFFF"/>
          <w:lang w:val="en-US" w:eastAsia="zh-Hans"/>
        </w:rPr>
        <w:t>）</w:t>
      </w:r>
      <w:r>
        <w:rPr>
          <w:rFonts w:hint="eastAsia" w:ascii="仿宋" w:hAnsi="仿宋" w:eastAsia="仿宋" w:cs="仿宋"/>
          <w:color w:val="auto"/>
          <w:kern w:val="0"/>
          <w:sz w:val="32"/>
          <w:szCs w:val="32"/>
          <w:highlight w:val="none"/>
          <w:shd w:val="clear" w:color="auto" w:fill="FFFFFF"/>
          <w:lang w:val="en-US" w:eastAsia="zh-CN"/>
        </w:rPr>
        <w:t>结转结余变动率--1分。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根据部门2021年度收入支出决算总表内容，上年度部门累计结转结余资金总额为2654.57万元，本年度末累计结转结余资金总额为0元。结转结余资金有效控制。</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结合部门整体支出绩效评价指标体系内容和评分标准，经综合评价，该项指标得分为1分</w:t>
      </w:r>
      <w:r>
        <w:rPr>
          <w:rFonts w:hint="eastAsia" w:ascii="仿宋" w:hAnsi="仿宋" w:eastAsia="仿宋" w:cs="仿宋"/>
          <w:color w:val="auto"/>
          <w:kern w:val="0"/>
          <w:sz w:val="32"/>
          <w:szCs w:val="32"/>
          <w:highlight w:val="none"/>
          <w:shd w:val="clear" w:color="auto" w:fill="FFFFFF"/>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（6）公用经费控制率--1分。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根据部门2021年度综合预算公开内容和部门收支决算表内容，2021年年初公用经费支出预算数为51.15万元，决算数据为118.46万元。公用经费控制率为231.59%。</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结合部门整体支出绩效评价指标体系内容和评分标准，经综合评价，该项指标得分为0分。</w:t>
      </w:r>
    </w:p>
    <w:p>
      <w:pPr>
        <w:pStyle w:val="2"/>
        <w:numPr>
          <w:ilvl w:val="0"/>
          <w:numId w:val="0"/>
        </w:numPr>
        <w:ind w:firstLine="640" w:firstLineChars="200"/>
        <w:rPr>
          <w:rFonts w:hint="default"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CN"/>
        </w:rPr>
        <w:t>（7）“三公经费”控制率--1.5分。</w:t>
      </w:r>
    </w:p>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600" w:lineRule="exact"/>
        <w:ind w:firstLine="640" w:firstLineChars="200"/>
        <w:textAlignment w:val="auto"/>
        <w:rPr>
          <w:rFonts w:hint="eastAsia" w:ascii="仿宋" w:hAnsi="仿宋" w:eastAsia="仿宋" w:cs="仿宋"/>
          <w:color w:val="auto"/>
          <w:kern w:val="0"/>
          <w:sz w:val="32"/>
          <w:szCs w:val="32"/>
          <w:highlight w:val="none"/>
          <w:shd w:val="clear" w:color="auto" w:fill="FFFFFF"/>
          <w:lang w:val="en-US" w:eastAsia="zh-CN" w:bidi="ar-SA"/>
        </w:rPr>
      </w:pPr>
      <w:r>
        <w:rPr>
          <w:rFonts w:hint="eastAsia" w:ascii="仿宋" w:hAnsi="仿宋" w:eastAsia="仿宋" w:cs="仿宋"/>
          <w:color w:val="auto"/>
          <w:kern w:val="0"/>
          <w:sz w:val="32"/>
          <w:szCs w:val="32"/>
          <w:highlight w:val="none"/>
          <w:shd w:val="clear" w:color="auto" w:fill="FFFFFF"/>
          <w:lang w:val="en-US" w:eastAsia="zh-CN" w:bidi="ar-SA"/>
        </w:rPr>
        <w:t>根据部门2021年度综合预算公开内容和部门收支决算表内容，年初“三公”经费部门预算安排数为5万元，年度“三公”经费实际支出4.16万元。“三公经费”控制率为83.2%，小于100%。</w:t>
      </w:r>
    </w:p>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600" w:lineRule="exact"/>
        <w:ind w:firstLine="640" w:firstLineChars="200"/>
        <w:textAlignment w:val="auto"/>
        <w:rPr>
          <w:rFonts w:hint="eastAsia" w:ascii="仿宋" w:hAnsi="仿宋" w:eastAsia="仿宋" w:cs="仿宋"/>
          <w:color w:val="auto"/>
          <w:kern w:val="0"/>
          <w:sz w:val="32"/>
          <w:szCs w:val="32"/>
          <w:highlight w:val="none"/>
          <w:shd w:val="clear" w:color="auto" w:fill="FFFFFF"/>
          <w:lang w:val="en-US" w:eastAsia="zh-CN" w:bidi="ar-SA"/>
        </w:rPr>
      </w:pPr>
      <w:r>
        <w:rPr>
          <w:rFonts w:hint="eastAsia" w:ascii="仿宋" w:hAnsi="仿宋" w:eastAsia="仿宋" w:cs="仿宋"/>
          <w:color w:val="auto"/>
          <w:kern w:val="0"/>
          <w:sz w:val="32"/>
          <w:szCs w:val="32"/>
          <w:highlight w:val="none"/>
          <w:shd w:val="clear" w:color="auto" w:fill="FFFFFF"/>
          <w:lang w:val="en-US" w:eastAsia="zh-CN" w:bidi="ar-SA"/>
        </w:rPr>
        <w:t>结合部门整体支出绩效评价指标体系内容和评分标准，经综合评价，该项指标得分为1.5分。</w:t>
      </w:r>
    </w:p>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600" w:lineRule="exact"/>
        <w:ind w:firstLine="640" w:firstLineChars="200"/>
        <w:textAlignment w:val="auto"/>
        <w:rPr>
          <w:rFonts w:hint="eastAsia" w:ascii="仿宋" w:hAnsi="仿宋" w:eastAsia="仿宋" w:cs="仿宋"/>
          <w:color w:val="auto"/>
          <w:kern w:val="0"/>
          <w:sz w:val="32"/>
          <w:szCs w:val="32"/>
          <w:highlight w:val="none"/>
          <w:shd w:val="clear" w:color="auto" w:fill="FFFFFF"/>
          <w:lang w:val="en-US" w:eastAsia="zh-CN" w:bidi="ar-SA"/>
        </w:rPr>
      </w:pPr>
      <w:r>
        <w:rPr>
          <w:rFonts w:hint="eastAsia" w:ascii="仿宋" w:hAnsi="仿宋" w:eastAsia="仿宋" w:cs="仿宋"/>
          <w:color w:val="auto"/>
          <w:kern w:val="0"/>
          <w:sz w:val="32"/>
          <w:szCs w:val="32"/>
          <w:highlight w:val="none"/>
          <w:shd w:val="clear" w:color="auto" w:fill="FFFFFF"/>
          <w:lang w:val="en-US" w:eastAsia="zh-CN" w:bidi="ar-SA"/>
        </w:rPr>
        <w:t>（8）政府采购执行率--1.5分。</w:t>
      </w:r>
    </w:p>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600" w:lineRule="exact"/>
        <w:ind w:firstLine="640" w:firstLineChars="200"/>
        <w:textAlignment w:val="auto"/>
        <w:rPr>
          <w:rFonts w:hint="eastAsia" w:ascii="仿宋" w:hAnsi="仿宋" w:eastAsia="仿宋" w:cs="仿宋"/>
          <w:color w:val="auto"/>
          <w:kern w:val="0"/>
          <w:sz w:val="32"/>
          <w:szCs w:val="32"/>
          <w:highlight w:val="none"/>
          <w:shd w:val="clear" w:color="auto" w:fill="FFFFFF"/>
          <w:lang w:val="en-US" w:eastAsia="zh-CN" w:bidi="ar-SA"/>
        </w:rPr>
      </w:pPr>
      <w:r>
        <w:rPr>
          <w:rFonts w:hint="eastAsia" w:ascii="仿宋" w:hAnsi="仿宋" w:eastAsia="仿宋" w:cs="仿宋"/>
          <w:color w:val="auto"/>
          <w:kern w:val="0"/>
          <w:sz w:val="32"/>
          <w:szCs w:val="32"/>
          <w:highlight w:val="none"/>
          <w:shd w:val="clear" w:color="auto" w:fill="FFFFFF"/>
          <w:lang w:val="en-US" w:eastAsia="zh-CN" w:bidi="ar-SA"/>
        </w:rPr>
        <w:t>根据新区咸丰路街道办事处2021年度新区政府采购项目核准书内容，经统计，2021年度政府采购预算资金合计为60.61万元，根据部门2021年各项合同内容，年度实际政府采购金额为58.69万元。政府采购执行率为96.83%，大于95%。</w:t>
      </w:r>
    </w:p>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600" w:lineRule="exact"/>
        <w:ind w:firstLine="640" w:firstLineChars="200"/>
        <w:textAlignment w:val="auto"/>
        <w:rPr>
          <w:rFonts w:hint="default" w:ascii="仿宋" w:hAnsi="仿宋" w:eastAsia="仿宋" w:cs="仿宋"/>
          <w:color w:val="auto"/>
          <w:kern w:val="0"/>
          <w:sz w:val="32"/>
          <w:szCs w:val="32"/>
          <w:highlight w:val="none"/>
          <w:shd w:val="clear" w:color="auto" w:fill="FFFFFF"/>
          <w:lang w:val="en-US" w:eastAsia="zh-CN" w:bidi="ar-SA"/>
        </w:rPr>
      </w:pPr>
      <w:r>
        <w:rPr>
          <w:rFonts w:hint="eastAsia" w:ascii="仿宋" w:hAnsi="仿宋" w:eastAsia="仿宋" w:cs="仿宋"/>
          <w:color w:val="auto"/>
          <w:kern w:val="0"/>
          <w:sz w:val="32"/>
          <w:szCs w:val="32"/>
          <w:highlight w:val="none"/>
          <w:shd w:val="clear" w:color="auto" w:fill="FFFFFF"/>
          <w:lang w:val="en-US" w:eastAsia="zh-CN" w:bidi="ar-SA"/>
        </w:rPr>
        <w:t>结合部门整体支出绩效评价指标体系内容和评分标准，经综合评价，该项指标得分为1.5分。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 w:hAnsi="仿宋" w:eastAsia="仿宋" w:cs="仿宋"/>
          <w:b/>
          <w:bCs/>
          <w:color w:val="auto"/>
          <w:kern w:val="0"/>
          <w:sz w:val="32"/>
          <w:szCs w:val="32"/>
          <w:highlight w:val="none"/>
          <w:shd w:val="clear" w:color="auto" w:fill="FFFFFF"/>
          <w:lang w:val="en-US" w:eastAsia="zh-CN"/>
        </w:rPr>
      </w:pPr>
      <w:r>
        <w:rPr>
          <w:rFonts w:hint="eastAsia" w:ascii="仿宋" w:hAnsi="仿宋" w:eastAsia="仿宋" w:cs="仿宋"/>
          <w:b/>
          <w:bCs/>
          <w:color w:val="auto"/>
          <w:kern w:val="0"/>
          <w:sz w:val="32"/>
          <w:szCs w:val="32"/>
          <w:highlight w:val="none"/>
          <w:shd w:val="clear" w:color="auto" w:fill="FFFFFF"/>
          <w:lang w:val="en-US" w:eastAsia="zh-Hans"/>
        </w:rPr>
        <w:t>2.预算管理</w:t>
      </w:r>
      <w:r>
        <w:rPr>
          <w:rFonts w:hint="eastAsia" w:ascii="仿宋" w:hAnsi="仿宋" w:eastAsia="仿宋" w:cs="仿宋"/>
          <w:b/>
          <w:bCs/>
          <w:color w:val="auto"/>
          <w:kern w:val="0"/>
          <w:sz w:val="32"/>
          <w:szCs w:val="32"/>
          <w:highlight w:val="none"/>
          <w:shd w:val="clear" w:color="auto" w:fill="FFFFFF"/>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Hans"/>
        </w:rPr>
        <w:t>（1）管理制度健全性</w:t>
      </w:r>
      <w:r>
        <w:rPr>
          <w:rFonts w:hint="eastAsia" w:ascii="仿宋" w:hAnsi="仿宋" w:eastAsia="仿宋" w:cs="仿宋"/>
          <w:color w:val="auto"/>
          <w:kern w:val="0"/>
          <w:sz w:val="32"/>
          <w:szCs w:val="32"/>
          <w:highlight w:val="none"/>
          <w:shd w:val="clear" w:color="auto" w:fill="FFFFFF"/>
          <w:lang w:val="en-US" w:eastAsia="zh-CN"/>
        </w:rPr>
        <w:t>--3分。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根据部门所报相关资料内容，咸丰路街道办事处制定了票据管理、“三公经费管理”、日常公用支出管理采购管理等管理制度文件，缺乏相应的会计核算制度、预算资金管理办法等相关制度，财务管理制度的完整性有待提升。</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default"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CN"/>
        </w:rPr>
        <w:t>结合部门整体支出绩效评价指标体系内容和评分标准，经综合评价，该项指标得分为2分。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（2）</w:t>
      </w:r>
      <w:r>
        <w:rPr>
          <w:rFonts w:hint="eastAsia" w:ascii="仿宋" w:hAnsi="仿宋" w:eastAsia="仿宋" w:cs="仿宋"/>
          <w:color w:val="auto"/>
          <w:kern w:val="0"/>
          <w:sz w:val="32"/>
          <w:szCs w:val="32"/>
          <w:highlight w:val="none"/>
          <w:shd w:val="clear" w:color="auto" w:fill="FFFFFF"/>
          <w:lang w:val="en-US" w:eastAsia="zh-Hans"/>
        </w:rPr>
        <w:t>资金使用合规性</w:t>
      </w:r>
      <w:r>
        <w:rPr>
          <w:rFonts w:hint="eastAsia" w:ascii="仿宋" w:hAnsi="仿宋" w:eastAsia="仿宋" w:cs="仿宋"/>
          <w:color w:val="auto"/>
          <w:kern w:val="0"/>
          <w:sz w:val="32"/>
          <w:szCs w:val="32"/>
          <w:highlight w:val="none"/>
          <w:shd w:val="clear" w:color="auto" w:fill="FFFFFF"/>
          <w:lang w:val="en-US" w:eastAsia="zh-CN"/>
        </w:rPr>
        <w:t>--2.5分。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CN"/>
        </w:rPr>
        <w:t>根据部门所提供2021年各项费用支付明细表，支付明细表详细列明支付凭证号、指标文号、结算金额、收款人信息、资金性质、资金支出功能科目等相关信息，各项费用支出在年初预算批复用途，资金拨付有完整的审批程序和手续，年度不存在项目重大开支，不存在截留、挤占、挪用、虚列支出等情况。结合部门整体支出绩效评价指标体系内容和评分标准，经综合评价，该项指标得分为2.5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default"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（3）预决算信息公开性--0.6分</w:t>
      </w:r>
    </w:p>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600" w:lineRule="exact"/>
        <w:ind w:firstLine="640" w:firstLineChars="200"/>
        <w:textAlignment w:val="auto"/>
        <w:rPr>
          <w:rFonts w:hint="eastAsia" w:ascii="仿宋" w:hAnsi="仿宋" w:eastAsia="仿宋" w:cs="仿宋"/>
          <w:lang w:val="en-US" w:eastAsia="zh-CN"/>
        </w:rPr>
      </w:pPr>
      <w:r>
        <w:rPr>
          <w:rFonts w:hint="eastAsia" w:ascii="仿宋" w:hAnsi="仿宋" w:eastAsia="仿宋" w:cs="仿宋"/>
          <w:lang w:val="en-US" w:eastAsia="zh-CN"/>
        </w:rPr>
        <w:t>部门按照财政部门相关要求，2021年3月15日完成部门2021年度综合预算公开，公开内容包括预算编制文件、年度工作任务计划、各项费用情况说明和部门整体绩效目标表、项目支出绩效目标表。2021年部门综合预算公开内容符合相关规定，在规定完成预算公开。根据财政要求，2022年10月完成部门上年度收支决算统计。</w:t>
      </w:r>
    </w:p>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600" w:lineRule="exact"/>
        <w:ind w:firstLine="640" w:firstLineChars="200"/>
        <w:textAlignment w:val="auto"/>
        <w:rPr>
          <w:rFonts w:hint="eastAsia" w:ascii="仿宋" w:hAnsi="仿宋" w:eastAsia="仿宋" w:cs="仿宋"/>
          <w:lang w:val="en-US" w:eastAsia="zh-CN"/>
        </w:rPr>
      </w:pPr>
      <w:r>
        <w:rPr>
          <w:rFonts w:hint="eastAsia" w:ascii="仿宋" w:hAnsi="仿宋" w:eastAsia="仿宋" w:cs="仿宋"/>
          <w:lang w:val="en-US" w:eastAsia="zh-CN"/>
        </w:rPr>
        <w:t>结合部门整体支出绩效评价指标体系内容和评分标准，经综合评价，该项指标得分为0.6分。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（4）运行监控和自评有效性--3分。</w:t>
      </w:r>
    </w:p>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600" w:lineRule="exact"/>
        <w:ind w:firstLine="640" w:firstLineChars="200"/>
        <w:textAlignment w:val="auto"/>
        <w:rPr>
          <w:rFonts w:hint="eastAsia" w:ascii="仿宋" w:hAnsi="仿宋" w:eastAsia="仿宋" w:cs="仿宋"/>
          <w:color w:val="auto"/>
          <w:kern w:val="0"/>
          <w:sz w:val="32"/>
          <w:szCs w:val="32"/>
          <w:highlight w:val="none"/>
          <w:shd w:val="clear" w:color="auto" w:fill="FFFFFF"/>
          <w:lang w:val="en-US" w:eastAsia="zh-CN" w:bidi="ar-SA"/>
        </w:rPr>
      </w:pPr>
      <w:r>
        <w:rPr>
          <w:rFonts w:hint="eastAsia" w:ascii="仿宋" w:hAnsi="仿宋" w:eastAsia="仿宋" w:cs="仿宋"/>
          <w:color w:val="auto"/>
          <w:kern w:val="0"/>
          <w:sz w:val="32"/>
          <w:szCs w:val="32"/>
          <w:highlight w:val="none"/>
          <w:shd w:val="clear" w:color="auto" w:fill="FFFFFF"/>
          <w:lang w:val="en-US" w:eastAsia="zh-CN" w:bidi="ar-SA"/>
        </w:rPr>
        <w:t>咸丰路街道办事处作为项目主管部门，按照财政部门相关要求，在年中7月份开展了部门项目绩效运行监控。在2022年4月份根据2021年预算执行情况和绩效目标完成情况开展了项目绩效自评管理工作，并形成绩效自评报告，详细论述各项目支出的过程情况和产出情况。深入分析项目绩效情况。</w:t>
      </w:r>
    </w:p>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600" w:lineRule="exact"/>
        <w:ind w:firstLine="640" w:firstLineChars="200"/>
        <w:textAlignment w:val="auto"/>
        <w:rPr>
          <w:rFonts w:hint="default" w:ascii="仿宋" w:hAnsi="仿宋" w:eastAsia="仿宋" w:cs="仿宋"/>
          <w:color w:val="auto"/>
          <w:kern w:val="0"/>
          <w:sz w:val="32"/>
          <w:szCs w:val="32"/>
          <w:highlight w:val="none"/>
          <w:shd w:val="clear" w:color="auto" w:fill="FFFFFF"/>
          <w:lang w:val="en-US" w:eastAsia="zh-CN" w:bidi="ar-SA"/>
        </w:rPr>
      </w:pPr>
      <w:r>
        <w:rPr>
          <w:rFonts w:hint="eastAsia" w:ascii="仿宋" w:hAnsi="仿宋" w:eastAsia="仿宋" w:cs="仿宋"/>
          <w:color w:val="auto"/>
          <w:kern w:val="0"/>
          <w:sz w:val="32"/>
          <w:szCs w:val="32"/>
          <w:highlight w:val="none"/>
          <w:shd w:val="clear" w:color="auto" w:fill="FFFFFF"/>
          <w:lang w:val="en-US" w:eastAsia="zh-CN" w:bidi="ar-SA"/>
        </w:rPr>
        <w:t>结合部门整体支出绩效评价指标体系内容和评分标准，经综合评价，该项指标得分为3分。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（5）基础信息完善</w:t>
      </w:r>
      <w:r>
        <w:rPr>
          <w:rFonts w:hint="eastAsia" w:ascii="仿宋" w:hAnsi="仿宋" w:eastAsia="仿宋" w:cs="仿宋"/>
          <w:color w:val="auto"/>
          <w:kern w:val="0"/>
          <w:sz w:val="32"/>
          <w:szCs w:val="32"/>
          <w:highlight w:val="none"/>
          <w:shd w:val="clear" w:color="auto" w:fill="FFFFFF"/>
          <w:lang w:val="en-US" w:eastAsia="zh-Hans"/>
        </w:rPr>
        <w:t>性</w:t>
      </w:r>
      <w:r>
        <w:rPr>
          <w:rFonts w:hint="eastAsia" w:ascii="仿宋" w:hAnsi="仿宋" w:eastAsia="仿宋" w:cs="仿宋"/>
          <w:color w:val="auto"/>
          <w:kern w:val="0"/>
          <w:sz w:val="32"/>
          <w:szCs w:val="32"/>
          <w:highlight w:val="none"/>
          <w:shd w:val="clear" w:color="auto" w:fill="FFFFFF"/>
          <w:lang w:val="en-US" w:eastAsia="zh-CN"/>
        </w:rPr>
        <w:t>--0.9分。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根据部门所提供相关资料内容和现场座谈，部门通过财政云系统实现预算数字管理，各项费用支出和相关会计信息上传财政云系统，有效保障会计信息的完整。部门根据年度工作内容和项目实施情况，做好相关资料归档、整理，形成了完整、真实的基础数据。基础数据信息和会计信息的真实、完整有效地支撑了部门预算管理工作的开展。</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default"/>
          <w:lang w:val="en-US" w:eastAsia="zh-Hans"/>
        </w:rPr>
      </w:pPr>
      <w:r>
        <w:rPr>
          <w:rFonts w:hint="eastAsia" w:ascii="仿宋" w:hAnsi="仿宋" w:eastAsia="仿宋" w:cs="仿宋"/>
          <w:color w:val="auto"/>
          <w:kern w:val="0"/>
          <w:sz w:val="32"/>
          <w:szCs w:val="32"/>
          <w:highlight w:val="none"/>
          <w:shd w:val="clear" w:color="auto" w:fill="FFFFFF"/>
          <w:lang w:val="en-US" w:eastAsia="zh-CN"/>
        </w:rPr>
        <w:t>结合部门整体支出绩效评价指标体系内容和评分标准，经综合评价，该项指标得分为0.9分。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 w:hAnsi="仿宋" w:eastAsia="仿宋" w:cs="仿宋"/>
          <w:b/>
          <w:bCs/>
          <w:color w:val="auto"/>
          <w:kern w:val="0"/>
          <w:sz w:val="32"/>
          <w:szCs w:val="32"/>
          <w:highlight w:val="none"/>
          <w:shd w:val="clear" w:color="auto" w:fill="FFFFFF"/>
          <w:lang w:val="en-US" w:eastAsia="zh-CN"/>
        </w:rPr>
      </w:pPr>
      <w:r>
        <w:rPr>
          <w:rFonts w:hint="eastAsia" w:ascii="仿宋" w:hAnsi="仿宋" w:eastAsia="仿宋" w:cs="仿宋"/>
          <w:b/>
          <w:bCs/>
          <w:color w:val="auto"/>
          <w:kern w:val="0"/>
          <w:sz w:val="32"/>
          <w:szCs w:val="32"/>
          <w:highlight w:val="none"/>
          <w:shd w:val="clear" w:color="auto" w:fill="FFFFFF"/>
          <w:lang w:val="en-US" w:eastAsia="zh-Hans"/>
        </w:rPr>
        <w:t>3.资产管理</w:t>
      </w:r>
      <w:r>
        <w:rPr>
          <w:rFonts w:hint="eastAsia" w:ascii="仿宋" w:hAnsi="仿宋" w:eastAsia="仿宋" w:cs="仿宋"/>
          <w:b/>
          <w:bCs/>
          <w:color w:val="auto"/>
          <w:kern w:val="0"/>
          <w:sz w:val="32"/>
          <w:szCs w:val="32"/>
          <w:highlight w:val="none"/>
          <w:shd w:val="clear" w:color="auto" w:fill="FFFFFF"/>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Hans"/>
        </w:rPr>
        <w:t>（1）管理制度健全性</w:t>
      </w:r>
      <w:r>
        <w:rPr>
          <w:rFonts w:hint="eastAsia" w:ascii="仿宋" w:hAnsi="仿宋" w:eastAsia="仿宋" w:cs="仿宋"/>
          <w:color w:val="auto"/>
          <w:kern w:val="0"/>
          <w:sz w:val="32"/>
          <w:szCs w:val="32"/>
          <w:highlight w:val="none"/>
          <w:shd w:val="clear" w:color="auto" w:fill="FFFFFF"/>
          <w:lang w:val="en-US" w:eastAsia="zh-CN"/>
        </w:rPr>
        <w:t>--1.5分。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根据部门所提供相关资料内容，部门在财务管理制度中对固定资产的管理做了明确规定，建立了固定资产台账，由专人管理，对资产进行分项登记、编号，建立财产管理卡片。定期清查盘点，对资产的使用、购置和报废处置做出明确要求。资产管理制度合法合规、完整。相关资产管理制度得到有效执行。</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default"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Hans"/>
        </w:rPr>
        <w:t>结合部门整体支出绩效评价指标体系内容和评分标准，经综合评价，该项指标 得分为1.5分</w:t>
      </w:r>
      <w:r>
        <w:rPr>
          <w:rFonts w:hint="eastAsia" w:ascii="仿宋" w:hAnsi="仿宋" w:eastAsia="仿宋" w:cs="仿宋"/>
          <w:color w:val="auto"/>
          <w:kern w:val="0"/>
          <w:sz w:val="32"/>
          <w:szCs w:val="32"/>
          <w:highlight w:val="none"/>
          <w:shd w:val="clear" w:color="auto" w:fill="FFFFFF"/>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leftChars="0" w:firstLine="480" w:firstLineChars="15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bookmarkStart w:id="40" w:name="_GoBack"/>
      <w:bookmarkEnd w:id="40"/>
      <w:r>
        <w:rPr>
          <w:rFonts w:hint="eastAsia" w:ascii="仿宋" w:hAnsi="仿宋" w:eastAsia="仿宋" w:cs="仿宋"/>
          <w:color w:val="auto"/>
          <w:kern w:val="0"/>
          <w:sz w:val="32"/>
          <w:szCs w:val="32"/>
          <w:highlight w:val="none"/>
          <w:shd w:val="clear" w:color="auto" w:fill="FFFFFF"/>
          <w:lang w:val="en-US" w:eastAsia="zh-CN"/>
        </w:rPr>
        <w:t>（2）</w:t>
      </w:r>
      <w:r>
        <w:rPr>
          <w:rFonts w:hint="eastAsia" w:ascii="仿宋" w:hAnsi="仿宋" w:eastAsia="仿宋" w:cs="仿宋"/>
          <w:color w:val="auto"/>
          <w:kern w:val="0"/>
          <w:sz w:val="32"/>
          <w:szCs w:val="32"/>
          <w:highlight w:val="none"/>
          <w:shd w:val="clear" w:color="auto" w:fill="FFFFFF"/>
          <w:lang w:val="en-US" w:eastAsia="zh-Hans"/>
        </w:rPr>
        <w:t>资产管理</w:t>
      </w:r>
      <w:r>
        <w:rPr>
          <w:rFonts w:hint="eastAsia" w:ascii="仿宋" w:hAnsi="仿宋" w:eastAsia="仿宋" w:cs="仿宋"/>
          <w:color w:val="auto"/>
          <w:kern w:val="0"/>
          <w:sz w:val="32"/>
          <w:szCs w:val="32"/>
          <w:highlight w:val="none"/>
          <w:shd w:val="clear" w:color="auto" w:fill="FFFFFF"/>
          <w:lang w:val="en-US" w:eastAsia="zh-CN"/>
        </w:rPr>
        <w:t>安全</w:t>
      </w:r>
      <w:r>
        <w:rPr>
          <w:rFonts w:hint="eastAsia" w:ascii="仿宋" w:hAnsi="仿宋" w:eastAsia="仿宋" w:cs="仿宋"/>
          <w:color w:val="auto"/>
          <w:kern w:val="0"/>
          <w:sz w:val="32"/>
          <w:szCs w:val="32"/>
          <w:highlight w:val="none"/>
          <w:shd w:val="clear" w:color="auto" w:fill="FFFFFF"/>
          <w:lang w:val="en-US" w:eastAsia="zh-Hans"/>
        </w:rPr>
        <w:t>性</w:t>
      </w:r>
      <w:r>
        <w:rPr>
          <w:rFonts w:hint="eastAsia" w:ascii="仿宋" w:hAnsi="仿宋" w:eastAsia="仿宋" w:cs="仿宋"/>
          <w:color w:val="auto"/>
          <w:kern w:val="0"/>
          <w:sz w:val="32"/>
          <w:szCs w:val="32"/>
          <w:highlight w:val="none"/>
          <w:shd w:val="clear" w:color="auto" w:fill="FFFFFF"/>
          <w:lang w:val="en-US" w:eastAsia="zh-CN"/>
        </w:rPr>
        <w:t>--1.5分。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根据部门整体支出绩效评价自评报告和固定资产明细账内容，部门资产保存完整、相关资产多为办公用品、台式电脑、办公设备、对讲机等相关设备，资产配置合理 ，固定资产入账后定期折旧，资产管理合规，新增资产设备及时入账。资产有偿使用、处置按规定程序审批。资产收益及时、足额上缴财政。</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default"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结合部门整体支出绩效评价指标体系内容和评分标准，经综合评价，该项指标得分为1.5分</w:t>
      </w:r>
      <w:r>
        <w:rPr>
          <w:rFonts w:hint="eastAsia" w:ascii="仿宋" w:hAnsi="仿宋" w:eastAsia="仿宋" w:cs="仿宋"/>
          <w:color w:val="auto"/>
          <w:kern w:val="0"/>
          <w:sz w:val="32"/>
          <w:szCs w:val="32"/>
          <w:highlight w:val="none"/>
          <w:shd w:val="clear" w:color="auto" w:fill="FFFFFF"/>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（3）</w:t>
      </w:r>
      <w:r>
        <w:rPr>
          <w:rFonts w:hint="eastAsia" w:ascii="仿宋" w:hAnsi="仿宋" w:eastAsia="仿宋" w:cs="仿宋"/>
          <w:color w:val="auto"/>
          <w:kern w:val="0"/>
          <w:sz w:val="32"/>
          <w:szCs w:val="32"/>
          <w:highlight w:val="none"/>
          <w:shd w:val="clear" w:color="auto" w:fill="FFFFFF"/>
          <w:lang w:val="en-US" w:eastAsia="zh-Hans"/>
        </w:rPr>
        <w:t>固定资产利用率</w:t>
      </w:r>
      <w:r>
        <w:rPr>
          <w:rFonts w:hint="eastAsia" w:ascii="仿宋" w:hAnsi="仿宋" w:eastAsia="仿宋" w:cs="仿宋"/>
          <w:color w:val="auto"/>
          <w:kern w:val="0"/>
          <w:sz w:val="32"/>
          <w:szCs w:val="32"/>
          <w:highlight w:val="none"/>
          <w:shd w:val="clear" w:color="auto" w:fill="FFFFFF"/>
          <w:lang w:val="en-US" w:eastAsia="zh-CN"/>
        </w:rPr>
        <w:t>--2分。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根据部门提供的固定资产明细表，单位所拥有的通用设备、家具用具、办公设备、台式电脑等等相关资产目前使用状况皆为在用。固定资产利用率为100%。</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结合部门整体支出绩效评价指标体系内容和评分标准，经综合评价，该项指标得分为2分。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1"/>
        <w:rPr>
          <w:rFonts w:hint="eastAsia" w:ascii="楷体" w:hAnsi="楷体" w:eastAsia="楷体" w:cs="楷体"/>
          <w:b/>
          <w:bCs/>
          <w:color w:val="auto"/>
          <w:kern w:val="0"/>
          <w:sz w:val="32"/>
          <w:szCs w:val="32"/>
          <w:highlight w:val="none"/>
          <w:shd w:val="clear" w:color="auto" w:fill="FFFFFF"/>
          <w:lang w:val="en-US" w:eastAsia="zh-CN"/>
        </w:rPr>
      </w:pPr>
      <w:bookmarkStart w:id="18" w:name="_Toc21840"/>
      <w:r>
        <w:rPr>
          <w:rFonts w:hint="eastAsia" w:ascii="楷体" w:hAnsi="楷体" w:eastAsia="楷体" w:cs="楷体"/>
          <w:b/>
          <w:bCs/>
          <w:color w:val="auto"/>
          <w:kern w:val="0"/>
          <w:sz w:val="32"/>
          <w:szCs w:val="32"/>
          <w:highlight w:val="none"/>
          <w:shd w:val="clear" w:color="auto" w:fill="FFFFFF"/>
          <w:lang w:val="en-US" w:eastAsia="zh-CN"/>
        </w:rPr>
        <w:t>（三）产出方面</w:t>
      </w:r>
      <w:bookmarkEnd w:id="18"/>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该指标主要考核新区咸丰路街道办事处2021年度职责履行的内容，包括部门年度工作完成率、完成及时率、质量达标率和重点工作办结率等4个三级指标，指标权重35分，评价得分34.57分，得分率为100%。</w:t>
      </w:r>
    </w:p>
    <w:tbl>
      <w:tblPr>
        <w:tblStyle w:val="15"/>
        <w:tblW w:w="4975" w:type="pct"/>
        <w:tblInd w:w="0" w:type="dxa"/>
        <w:shd w:val="clear" w:color="auto" w:fill="auto"/>
        <w:tblLayout w:type="autofit"/>
        <w:tblCellMar>
          <w:top w:w="0" w:type="dxa"/>
          <w:left w:w="0" w:type="dxa"/>
          <w:bottom w:w="0" w:type="dxa"/>
          <w:right w:w="0" w:type="dxa"/>
        </w:tblCellMar>
      </w:tblPr>
      <w:tblGrid>
        <w:gridCol w:w="1383"/>
        <w:gridCol w:w="1384"/>
        <w:gridCol w:w="2611"/>
        <w:gridCol w:w="2023"/>
        <w:gridCol w:w="1385"/>
      </w:tblGrid>
      <w:tr>
        <w:tblPrEx>
          <w:shd w:val="clear" w:color="auto" w:fill="auto"/>
          <w:tblCellMar>
            <w:top w:w="0" w:type="dxa"/>
            <w:left w:w="0" w:type="dxa"/>
            <w:bottom w:w="0" w:type="dxa"/>
            <w:right w:w="0" w:type="dxa"/>
          </w:tblCellMar>
        </w:tblPrEx>
        <w:trPr>
          <w:trHeight w:val="520" w:hRule="atLeast"/>
        </w:trPr>
        <w:tc>
          <w:tcPr>
            <w:tcW w:w="78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b/>
                <w:i w:val="0"/>
                <w:color w:val="000000"/>
                <w:kern w:val="0"/>
                <w:sz w:val="24"/>
                <w:szCs w:val="24"/>
                <w:u w:val="none"/>
                <w:lang w:val="en-US" w:eastAsia="zh-CN" w:bidi="ar"/>
              </w:rPr>
            </w:pPr>
            <w:r>
              <w:rPr>
                <w:rFonts w:hint="eastAsia" w:ascii="仿宋" w:hAnsi="仿宋" w:eastAsia="仿宋" w:cs="仿宋"/>
                <w:b/>
                <w:i w:val="0"/>
                <w:color w:val="000000"/>
                <w:kern w:val="0"/>
                <w:sz w:val="24"/>
                <w:szCs w:val="24"/>
                <w:u w:val="none"/>
                <w:lang w:val="en-US" w:eastAsia="zh-CN" w:bidi="ar"/>
              </w:rPr>
              <w:t>一级</w:t>
            </w:r>
          </w:p>
          <w:p>
            <w:pPr>
              <w:keepNext w:val="0"/>
              <w:keepLines w:val="0"/>
              <w:widowControl/>
              <w:suppressLineNumbers w:val="0"/>
              <w:jc w:val="center"/>
              <w:textAlignment w:val="center"/>
              <w:rPr>
                <w:rFonts w:hint="eastAsia" w:ascii="仿宋" w:hAnsi="仿宋" w:eastAsia="仿宋" w:cs="仿宋"/>
                <w:b/>
                <w:i w:val="0"/>
                <w:color w:val="000000"/>
                <w:sz w:val="24"/>
                <w:szCs w:val="24"/>
                <w:u w:val="none"/>
              </w:rPr>
            </w:pPr>
            <w:r>
              <w:rPr>
                <w:rFonts w:hint="eastAsia" w:ascii="仿宋" w:hAnsi="仿宋" w:eastAsia="仿宋" w:cs="仿宋"/>
                <w:b/>
                <w:i w:val="0"/>
                <w:color w:val="000000"/>
                <w:kern w:val="0"/>
                <w:sz w:val="24"/>
                <w:szCs w:val="24"/>
                <w:u w:val="none"/>
                <w:lang w:val="en-US" w:eastAsia="zh-CN" w:bidi="ar"/>
              </w:rPr>
              <w:t>指标</w:t>
            </w:r>
          </w:p>
        </w:tc>
        <w:tc>
          <w:tcPr>
            <w:tcW w:w="78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b/>
                <w:i w:val="0"/>
                <w:color w:val="000000"/>
                <w:kern w:val="0"/>
                <w:sz w:val="24"/>
                <w:szCs w:val="24"/>
                <w:u w:val="none"/>
                <w:lang w:val="en-US" w:eastAsia="zh-CN" w:bidi="ar"/>
              </w:rPr>
            </w:pPr>
            <w:r>
              <w:rPr>
                <w:rFonts w:hint="eastAsia" w:ascii="仿宋" w:hAnsi="仿宋" w:eastAsia="仿宋" w:cs="仿宋"/>
                <w:b/>
                <w:i w:val="0"/>
                <w:color w:val="000000"/>
                <w:kern w:val="0"/>
                <w:sz w:val="24"/>
                <w:szCs w:val="24"/>
                <w:u w:val="none"/>
                <w:lang w:val="en-US" w:eastAsia="zh-CN" w:bidi="ar"/>
              </w:rPr>
              <w:t>二级</w:t>
            </w:r>
          </w:p>
          <w:p>
            <w:pPr>
              <w:keepNext w:val="0"/>
              <w:keepLines w:val="0"/>
              <w:widowControl/>
              <w:suppressLineNumbers w:val="0"/>
              <w:jc w:val="center"/>
              <w:textAlignment w:val="center"/>
              <w:rPr>
                <w:rFonts w:hint="eastAsia" w:ascii="仿宋" w:hAnsi="仿宋" w:eastAsia="仿宋" w:cs="仿宋"/>
                <w:b/>
                <w:i w:val="0"/>
                <w:color w:val="000000"/>
                <w:sz w:val="24"/>
                <w:szCs w:val="24"/>
                <w:u w:val="none"/>
              </w:rPr>
            </w:pPr>
            <w:r>
              <w:rPr>
                <w:rFonts w:hint="eastAsia" w:ascii="仿宋" w:hAnsi="仿宋" w:eastAsia="仿宋" w:cs="仿宋"/>
                <w:b/>
                <w:i w:val="0"/>
                <w:color w:val="000000"/>
                <w:kern w:val="0"/>
                <w:sz w:val="24"/>
                <w:szCs w:val="24"/>
                <w:u w:val="none"/>
                <w:lang w:val="en-US" w:eastAsia="zh-CN" w:bidi="ar"/>
              </w:rPr>
              <w:t>指标</w:t>
            </w:r>
          </w:p>
        </w:tc>
        <w:tc>
          <w:tcPr>
            <w:tcW w:w="1485"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4"/>
                <w:szCs w:val="24"/>
                <w:u w:val="none"/>
              </w:rPr>
            </w:pPr>
            <w:r>
              <w:rPr>
                <w:rFonts w:hint="eastAsia" w:ascii="仿宋" w:hAnsi="仿宋" w:eastAsia="仿宋" w:cs="仿宋"/>
                <w:b/>
                <w:i w:val="0"/>
                <w:color w:val="000000"/>
                <w:kern w:val="0"/>
                <w:sz w:val="24"/>
                <w:szCs w:val="24"/>
                <w:u w:val="none"/>
                <w:lang w:val="en-US" w:eastAsia="zh-CN" w:bidi="ar"/>
              </w:rPr>
              <w:t>三级指标</w:t>
            </w:r>
          </w:p>
        </w:tc>
        <w:tc>
          <w:tcPr>
            <w:tcW w:w="115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4"/>
                <w:szCs w:val="24"/>
                <w:u w:val="none"/>
              </w:rPr>
            </w:pPr>
            <w:r>
              <w:rPr>
                <w:rFonts w:hint="eastAsia" w:ascii="仿宋" w:hAnsi="仿宋" w:eastAsia="仿宋" w:cs="仿宋"/>
                <w:b/>
                <w:i w:val="0"/>
                <w:color w:val="000000"/>
                <w:kern w:val="0"/>
                <w:sz w:val="24"/>
                <w:szCs w:val="24"/>
                <w:u w:val="none"/>
                <w:lang w:val="en-US" w:eastAsia="zh-CN" w:bidi="ar"/>
              </w:rPr>
              <w:t>指标分值</w:t>
            </w:r>
          </w:p>
        </w:tc>
        <w:tc>
          <w:tcPr>
            <w:tcW w:w="788"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4"/>
                <w:szCs w:val="24"/>
                <w:u w:val="none"/>
              </w:rPr>
            </w:pPr>
            <w:r>
              <w:rPr>
                <w:rFonts w:hint="eastAsia" w:ascii="仿宋" w:hAnsi="仿宋" w:eastAsia="仿宋" w:cs="仿宋"/>
                <w:b/>
                <w:i w:val="0"/>
                <w:color w:val="000000"/>
                <w:kern w:val="0"/>
                <w:sz w:val="24"/>
                <w:szCs w:val="24"/>
                <w:u w:val="none"/>
                <w:lang w:val="en-US" w:eastAsia="zh-CN" w:bidi="ar"/>
              </w:rPr>
              <w:t>评价得分</w:t>
            </w:r>
          </w:p>
        </w:tc>
      </w:tr>
      <w:tr>
        <w:tblPrEx>
          <w:shd w:val="clear" w:color="auto" w:fill="auto"/>
          <w:tblCellMar>
            <w:top w:w="0" w:type="dxa"/>
            <w:left w:w="0" w:type="dxa"/>
            <w:bottom w:w="0" w:type="dxa"/>
            <w:right w:w="0" w:type="dxa"/>
          </w:tblCellMar>
        </w:tblPrEx>
        <w:trPr>
          <w:trHeight w:val="300" w:hRule="atLeast"/>
        </w:trPr>
        <w:tc>
          <w:tcPr>
            <w:tcW w:w="787" w:type="pct"/>
            <w:vMerge w:val="restar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p>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p>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产出</w:t>
            </w:r>
          </w:p>
        </w:tc>
        <w:tc>
          <w:tcPr>
            <w:tcW w:w="787" w:type="pct"/>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p>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职责</w:t>
            </w:r>
          </w:p>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履行</w:t>
            </w:r>
          </w:p>
        </w:tc>
        <w:tc>
          <w:tcPr>
            <w:tcW w:w="1485"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实际完成率</w:t>
            </w:r>
          </w:p>
        </w:tc>
        <w:tc>
          <w:tcPr>
            <w:tcW w:w="115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10</w:t>
            </w:r>
          </w:p>
        </w:tc>
        <w:tc>
          <w:tcPr>
            <w:tcW w:w="138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宋体" w:hAnsi="宋体" w:eastAsia="宋体" w:cs="宋体"/>
                <w:i w:val="0"/>
                <w:color w:val="000000"/>
                <w:kern w:val="0"/>
                <w:sz w:val="24"/>
                <w:szCs w:val="24"/>
                <w:u w:val="none"/>
                <w:lang w:val="en-US" w:eastAsia="zh-CN" w:bidi="ar"/>
              </w:rPr>
              <w:t>9.57</w:t>
            </w:r>
          </w:p>
        </w:tc>
      </w:tr>
      <w:tr>
        <w:tblPrEx>
          <w:shd w:val="clear" w:color="auto" w:fill="auto"/>
          <w:tblCellMar>
            <w:top w:w="0" w:type="dxa"/>
            <w:left w:w="0" w:type="dxa"/>
            <w:bottom w:w="0" w:type="dxa"/>
            <w:right w:w="0" w:type="dxa"/>
          </w:tblCellMar>
        </w:tblPrEx>
        <w:trPr>
          <w:trHeight w:val="300" w:hRule="atLeast"/>
        </w:trPr>
        <w:tc>
          <w:tcPr>
            <w:tcW w:w="787"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787"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485"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完成及时率</w:t>
            </w:r>
          </w:p>
        </w:tc>
        <w:tc>
          <w:tcPr>
            <w:tcW w:w="115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8</w:t>
            </w:r>
          </w:p>
        </w:tc>
        <w:tc>
          <w:tcPr>
            <w:tcW w:w="138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宋体" w:hAnsi="宋体" w:eastAsia="宋体" w:cs="宋体"/>
                <w:i w:val="0"/>
                <w:color w:val="000000"/>
                <w:kern w:val="0"/>
                <w:sz w:val="24"/>
                <w:szCs w:val="24"/>
                <w:u w:val="none"/>
                <w:lang w:val="en-US" w:eastAsia="zh-CN" w:bidi="ar"/>
              </w:rPr>
              <w:t>8</w:t>
            </w:r>
          </w:p>
        </w:tc>
      </w:tr>
      <w:tr>
        <w:tblPrEx>
          <w:shd w:val="clear" w:color="auto" w:fill="auto"/>
          <w:tblCellMar>
            <w:top w:w="0" w:type="dxa"/>
            <w:left w:w="0" w:type="dxa"/>
            <w:bottom w:w="0" w:type="dxa"/>
            <w:right w:w="0" w:type="dxa"/>
          </w:tblCellMar>
        </w:tblPrEx>
        <w:trPr>
          <w:trHeight w:val="300" w:hRule="atLeast"/>
        </w:trPr>
        <w:tc>
          <w:tcPr>
            <w:tcW w:w="787"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787"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485"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质量达标率</w:t>
            </w:r>
          </w:p>
        </w:tc>
        <w:tc>
          <w:tcPr>
            <w:tcW w:w="115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8</w:t>
            </w:r>
          </w:p>
        </w:tc>
        <w:tc>
          <w:tcPr>
            <w:tcW w:w="138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宋体" w:hAnsi="宋体" w:eastAsia="宋体" w:cs="宋体"/>
                <w:i w:val="0"/>
                <w:color w:val="000000"/>
                <w:kern w:val="0"/>
                <w:sz w:val="24"/>
                <w:szCs w:val="24"/>
                <w:u w:val="none"/>
                <w:lang w:val="en-US" w:eastAsia="zh-CN" w:bidi="ar"/>
              </w:rPr>
              <w:t>8</w:t>
            </w:r>
          </w:p>
        </w:tc>
      </w:tr>
      <w:tr>
        <w:tblPrEx>
          <w:tblCellMar>
            <w:top w:w="0" w:type="dxa"/>
            <w:left w:w="0" w:type="dxa"/>
            <w:bottom w:w="0" w:type="dxa"/>
            <w:right w:w="0" w:type="dxa"/>
          </w:tblCellMar>
        </w:tblPrEx>
        <w:trPr>
          <w:trHeight w:val="300" w:hRule="atLeast"/>
        </w:trPr>
        <w:tc>
          <w:tcPr>
            <w:tcW w:w="787"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787"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485"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重点工作办结率</w:t>
            </w:r>
          </w:p>
        </w:tc>
        <w:tc>
          <w:tcPr>
            <w:tcW w:w="115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9</w:t>
            </w:r>
          </w:p>
        </w:tc>
        <w:tc>
          <w:tcPr>
            <w:tcW w:w="138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宋体" w:hAnsi="宋体" w:eastAsia="宋体" w:cs="宋体"/>
                <w:i w:val="0"/>
                <w:color w:val="000000"/>
                <w:kern w:val="0"/>
                <w:sz w:val="24"/>
                <w:szCs w:val="24"/>
                <w:u w:val="none"/>
                <w:lang w:val="en-US" w:eastAsia="zh-CN" w:bidi="ar"/>
              </w:rPr>
              <w:t>9</w:t>
            </w:r>
          </w:p>
        </w:tc>
      </w:tr>
      <w:tr>
        <w:tblPrEx>
          <w:shd w:val="clear" w:color="auto" w:fill="auto"/>
          <w:tblCellMar>
            <w:top w:w="0" w:type="dxa"/>
            <w:left w:w="0" w:type="dxa"/>
            <w:bottom w:w="0" w:type="dxa"/>
            <w:right w:w="0" w:type="dxa"/>
          </w:tblCellMar>
        </w:tblPrEx>
        <w:trPr>
          <w:trHeight w:val="300" w:hRule="atLeast"/>
        </w:trPr>
        <w:tc>
          <w:tcPr>
            <w:tcW w:w="1574" w:type="pct"/>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仿宋" w:hAnsi="仿宋" w:eastAsia="仿宋" w:cs="仿宋"/>
                <w:i w:val="0"/>
                <w:color w:val="000000"/>
                <w:sz w:val="24"/>
                <w:szCs w:val="24"/>
                <w:u w:val="none"/>
                <w:lang w:val="en-US" w:eastAsia="zh-CN"/>
              </w:rPr>
            </w:pPr>
            <w:r>
              <w:rPr>
                <w:rFonts w:hint="eastAsia" w:ascii="仿宋" w:hAnsi="仿宋" w:eastAsia="仿宋" w:cs="仿宋"/>
                <w:i w:val="0"/>
                <w:color w:val="000000"/>
                <w:sz w:val="24"/>
                <w:szCs w:val="24"/>
                <w:u w:val="none"/>
                <w:lang w:val="en-US" w:eastAsia="zh-CN"/>
              </w:rPr>
              <w:t>合计</w:t>
            </w:r>
          </w:p>
        </w:tc>
        <w:tc>
          <w:tcPr>
            <w:tcW w:w="1485"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kern w:val="0"/>
                <w:sz w:val="24"/>
                <w:szCs w:val="24"/>
                <w:u w:val="none"/>
                <w:lang w:val="en-US" w:eastAsia="zh-CN" w:bidi="ar"/>
              </w:rPr>
            </w:pPr>
          </w:p>
        </w:tc>
        <w:tc>
          <w:tcPr>
            <w:tcW w:w="115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35</w:t>
            </w:r>
          </w:p>
        </w:tc>
        <w:tc>
          <w:tcPr>
            <w:tcW w:w="138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default"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34.57</w:t>
            </w:r>
          </w:p>
        </w:tc>
      </w:tr>
    </w:tbl>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1.实际完成</w:t>
      </w:r>
      <w:r>
        <w:rPr>
          <w:rFonts w:hint="eastAsia" w:ascii="仿宋" w:hAnsi="仿宋" w:eastAsia="仿宋" w:cs="仿宋"/>
          <w:color w:val="auto"/>
          <w:kern w:val="0"/>
          <w:sz w:val="32"/>
          <w:szCs w:val="32"/>
          <w:highlight w:val="none"/>
          <w:shd w:val="clear" w:color="auto" w:fill="FFFFFF"/>
          <w:lang w:val="en-US" w:eastAsia="zh-Hans"/>
        </w:rPr>
        <w:t>率</w:t>
      </w:r>
      <w:r>
        <w:rPr>
          <w:rFonts w:hint="eastAsia" w:ascii="仿宋" w:hAnsi="仿宋" w:eastAsia="仿宋" w:cs="仿宋"/>
          <w:color w:val="auto"/>
          <w:kern w:val="0"/>
          <w:sz w:val="32"/>
          <w:szCs w:val="32"/>
          <w:highlight w:val="none"/>
          <w:shd w:val="clear" w:color="auto" w:fill="FFFFFF"/>
          <w:lang w:val="en-US" w:eastAsia="zh-CN"/>
        </w:rPr>
        <w:t>--10分。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根据新区咸丰路街道办事处2021年部门综合预算公开内容、2021年度工作总结和项目绩效自评情况。2021年初办事处计划工作包括公厕管护、兵役征集、人居环境整治、疫情防治等各类工作合计23项内容，根据部门绩效自评情况，保障第一书记驻村工作期间正常办公、未完成年初目标值，计划保障行政村6个，实际完成3个。其余工作内容全部完成，工作实际完成率为95.65%。</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结合部门整体支出绩效评价指标体系内容和评分标准，经综合评价，该项指标得分为9.57分。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bookmarkStart w:id="19" w:name="_Toc1802972864_WPSOffice_Level2"/>
      <w:bookmarkStart w:id="20" w:name="_Toc1854215658_WPSOffice_Level2"/>
      <w:r>
        <w:rPr>
          <w:rFonts w:hint="eastAsia" w:ascii="仿宋" w:hAnsi="仿宋" w:eastAsia="仿宋" w:cs="仿宋"/>
          <w:color w:val="auto"/>
          <w:kern w:val="0"/>
          <w:sz w:val="32"/>
          <w:szCs w:val="32"/>
          <w:highlight w:val="none"/>
          <w:shd w:val="clear" w:color="auto" w:fill="FFFFFF"/>
          <w:lang w:val="en-US" w:eastAsia="zh-CN"/>
        </w:rPr>
        <w:t>2.</w:t>
      </w:r>
      <w:r>
        <w:rPr>
          <w:rFonts w:hint="eastAsia" w:ascii="仿宋" w:hAnsi="仿宋" w:eastAsia="仿宋" w:cs="仿宋"/>
          <w:color w:val="auto"/>
          <w:kern w:val="0"/>
          <w:sz w:val="32"/>
          <w:szCs w:val="32"/>
          <w:highlight w:val="none"/>
          <w:shd w:val="clear" w:color="auto" w:fill="FFFFFF"/>
          <w:lang w:val="en-US" w:eastAsia="zh-Hans"/>
        </w:rPr>
        <w:t>完成及时率</w:t>
      </w:r>
      <w:bookmarkEnd w:id="19"/>
      <w:bookmarkEnd w:id="20"/>
      <w:r>
        <w:rPr>
          <w:rFonts w:hint="eastAsia" w:ascii="仿宋" w:hAnsi="仿宋" w:eastAsia="仿宋" w:cs="仿宋"/>
          <w:color w:val="auto"/>
          <w:kern w:val="0"/>
          <w:sz w:val="32"/>
          <w:szCs w:val="32"/>
          <w:highlight w:val="none"/>
          <w:shd w:val="clear" w:color="auto" w:fill="FFFFFF"/>
          <w:lang w:val="en-US" w:eastAsia="zh-CN"/>
        </w:rPr>
        <w:t>--8分。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根据新区咸丰路街道办事处2021年部门综合预算公开内容、2021年度工作总结和项目绩效自评情况。部门年度工作多为经费保障，项目支出绩效目标所设定时效指标皆为资金及时支付。根据部门年度财政支出相关凭证和资料内容，各项专项业务经费年度内实现及时支付。</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结合部门整体支出绩效评价指标体系内容和评分标准，经综合评价，该项指标得分为8分。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bookmarkStart w:id="21" w:name="_Toc1570666078_WPSOffice_Level2"/>
      <w:bookmarkStart w:id="22" w:name="_Toc1667362389_WPSOffice_Level2"/>
      <w:r>
        <w:rPr>
          <w:rFonts w:hint="eastAsia" w:ascii="仿宋" w:hAnsi="仿宋" w:eastAsia="仿宋" w:cs="仿宋"/>
          <w:color w:val="auto"/>
          <w:kern w:val="0"/>
          <w:sz w:val="32"/>
          <w:szCs w:val="32"/>
          <w:highlight w:val="none"/>
          <w:shd w:val="clear" w:color="auto" w:fill="FFFFFF"/>
          <w:lang w:val="en-US" w:eastAsia="zh-CN"/>
        </w:rPr>
        <w:t>3.</w:t>
      </w:r>
      <w:r>
        <w:rPr>
          <w:rFonts w:hint="eastAsia" w:ascii="仿宋" w:hAnsi="仿宋" w:eastAsia="仿宋" w:cs="仿宋"/>
          <w:color w:val="auto"/>
          <w:kern w:val="0"/>
          <w:sz w:val="32"/>
          <w:szCs w:val="32"/>
          <w:highlight w:val="none"/>
          <w:shd w:val="clear" w:color="auto" w:fill="FFFFFF"/>
          <w:lang w:val="en-US" w:eastAsia="zh-Hans"/>
        </w:rPr>
        <w:t>质量达标率</w:t>
      </w:r>
      <w:bookmarkEnd w:id="21"/>
      <w:bookmarkEnd w:id="22"/>
      <w:r>
        <w:rPr>
          <w:rFonts w:hint="eastAsia" w:ascii="仿宋" w:hAnsi="仿宋" w:eastAsia="仿宋" w:cs="仿宋"/>
          <w:color w:val="auto"/>
          <w:kern w:val="0"/>
          <w:sz w:val="32"/>
          <w:szCs w:val="32"/>
          <w:highlight w:val="none"/>
          <w:shd w:val="clear" w:color="auto" w:fill="FFFFFF"/>
          <w:lang w:val="en-US" w:eastAsia="zh-CN"/>
        </w:rPr>
        <w:t>--8分。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根据新区咸丰路街道办事处2021年部门综合预算公开内容、2021年度工作总结和项目绩效自评情况。部门年度工作多为经费保障，项目支出绩效目标所设定时效指标皆为合规支付。根据部门年度财政支出相关凭证和资料内容，各项专项业务经费年度内实现及时支付。</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default"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结合部门整体支出绩效评价指标体系内容和评分标准，经综合评价，该项指标得分为8分。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bookmarkStart w:id="23" w:name="_Toc1742944595_WPSOffice_Level2"/>
      <w:bookmarkStart w:id="24" w:name="_Toc1464939341_WPSOffice_Level2"/>
      <w:r>
        <w:rPr>
          <w:rFonts w:hint="eastAsia" w:ascii="仿宋" w:hAnsi="仿宋" w:eastAsia="仿宋" w:cs="仿宋"/>
          <w:color w:val="auto"/>
          <w:kern w:val="0"/>
          <w:sz w:val="32"/>
          <w:szCs w:val="32"/>
          <w:highlight w:val="none"/>
          <w:shd w:val="clear" w:color="auto" w:fill="FFFFFF"/>
          <w:lang w:val="en-US" w:eastAsia="zh-CN"/>
        </w:rPr>
        <w:t>4.重点工作办结</w:t>
      </w:r>
      <w:r>
        <w:rPr>
          <w:rFonts w:hint="eastAsia" w:ascii="仿宋" w:hAnsi="仿宋" w:eastAsia="仿宋" w:cs="仿宋"/>
          <w:color w:val="auto"/>
          <w:kern w:val="0"/>
          <w:sz w:val="32"/>
          <w:szCs w:val="32"/>
          <w:highlight w:val="none"/>
          <w:shd w:val="clear" w:color="auto" w:fill="FFFFFF"/>
          <w:lang w:val="en-US" w:eastAsia="zh-Hans"/>
        </w:rPr>
        <w:t>率</w:t>
      </w:r>
      <w:bookmarkEnd w:id="23"/>
      <w:bookmarkEnd w:id="24"/>
      <w:r>
        <w:rPr>
          <w:rFonts w:hint="eastAsia" w:ascii="仿宋" w:hAnsi="仿宋" w:eastAsia="仿宋" w:cs="仿宋"/>
          <w:color w:val="auto"/>
          <w:kern w:val="0"/>
          <w:sz w:val="32"/>
          <w:szCs w:val="32"/>
          <w:highlight w:val="none"/>
          <w:shd w:val="clear" w:color="auto" w:fill="FFFFFF"/>
          <w:lang w:val="en-US" w:eastAsia="zh-CN"/>
        </w:rPr>
        <w:t>--9分。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根据新区咸丰路街道办事处2021年部门综合预算公开内容、2021年度工作总结、2021年度街道办目标任务考核对标报告内容，部门2021年度重点工作包括疫情防控常态化工作、项目征迁服务保障及环境保障、推进老旧小区改造、散煤治理用户补贴、涉农资金项目管理、改善乡村环境和面貌、生态保护、环保问题整改、加强武装部建设、完成兵役登记和民兵整组及各项相关培训和拉练、信访案件办理、重点区域环境卫生综合整治等17项重点工作。根据2021年度考核指标完成情况和自查表工作采取的主要措施及完成情况统计，各项工作全部完成。</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结合部门整体支出绩效评价指标体系内容和评分标准，经综合评价，该项指标得分为9分。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1"/>
        <w:rPr>
          <w:rFonts w:hint="eastAsia" w:ascii="楷体" w:hAnsi="楷体" w:eastAsia="楷体" w:cs="楷体"/>
          <w:b/>
          <w:bCs/>
          <w:color w:val="auto"/>
          <w:kern w:val="0"/>
          <w:sz w:val="32"/>
          <w:szCs w:val="32"/>
          <w:highlight w:val="none"/>
          <w:shd w:val="clear" w:color="auto" w:fill="FFFFFF"/>
          <w:lang w:val="en-US" w:eastAsia="zh-CN"/>
        </w:rPr>
      </w:pPr>
      <w:bookmarkStart w:id="25" w:name="_Toc23833"/>
      <w:r>
        <w:rPr>
          <w:rFonts w:hint="eastAsia" w:ascii="楷体" w:hAnsi="楷体" w:eastAsia="楷体" w:cs="楷体"/>
          <w:b/>
          <w:bCs/>
          <w:color w:val="auto"/>
          <w:kern w:val="0"/>
          <w:sz w:val="32"/>
          <w:szCs w:val="32"/>
          <w:highlight w:val="none"/>
          <w:shd w:val="clear" w:color="auto" w:fill="FFFFFF"/>
          <w:lang w:val="en-US" w:eastAsia="zh-CN"/>
        </w:rPr>
        <w:t>（四）效果方面</w:t>
      </w:r>
      <w:bookmarkEnd w:id="25"/>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该指标主要考核新区咸丰路街道办事处履职效益的内容，包括经济效益、社会</w:t>
      </w:r>
      <w:r>
        <w:rPr>
          <w:rFonts w:hint="eastAsia" w:ascii="仿宋" w:hAnsi="仿宋" w:eastAsia="仿宋" w:cs="仿宋"/>
          <w:color w:val="auto"/>
          <w:kern w:val="0"/>
          <w:sz w:val="32"/>
          <w:szCs w:val="32"/>
          <w:highlight w:val="none"/>
          <w:shd w:val="clear" w:color="auto" w:fill="FFFFFF"/>
          <w:lang w:val="en-US" w:eastAsia="zh-Hans"/>
        </w:rPr>
        <w:t>效益、</w:t>
      </w:r>
      <w:r>
        <w:rPr>
          <w:rFonts w:hint="eastAsia" w:ascii="仿宋" w:hAnsi="仿宋" w:eastAsia="仿宋" w:cs="仿宋"/>
          <w:color w:val="auto"/>
          <w:kern w:val="0"/>
          <w:sz w:val="32"/>
          <w:szCs w:val="32"/>
          <w:highlight w:val="none"/>
          <w:shd w:val="clear" w:color="auto" w:fill="FFFFFF"/>
          <w:lang w:val="en-US" w:eastAsia="zh-CN"/>
        </w:rPr>
        <w:t>可持续性影响</w:t>
      </w:r>
      <w:r>
        <w:rPr>
          <w:rFonts w:hint="eastAsia" w:ascii="仿宋" w:hAnsi="仿宋" w:eastAsia="仿宋" w:cs="仿宋"/>
          <w:color w:val="auto"/>
          <w:kern w:val="0"/>
          <w:sz w:val="32"/>
          <w:szCs w:val="32"/>
          <w:highlight w:val="none"/>
          <w:shd w:val="clear" w:color="auto" w:fill="FFFFFF"/>
          <w:lang w:val="en-US" w:eastAsia="zh-Hans"/>
        </w:rPr>
        <w:t>和社会公众满意度</w:t>
      </w:r>
      <w:r>
        <w:rPr>
          <w:rFonts w:hint="eastAsia" w:ascii="仿宋" w:hAnsi="仿宋" w:eastAsia="仿宋" w:cs="仿宋"/>
          <w:color w:val="auto"/>
          <w:kern w:val="0"/>
          <w:sz w:val="32"/>
          <w:szCs w:val="32"/>
          <w:highlight w:val="none"/>
          <w:shd w:val="clear" w:color="auto" w:fill="FFFFFF"/>
          <w:lang w:val="en-US" w:eastAsia="zh-CN"/>
        </w:rPr>
        <w:t>4个二级指标，进一步细化6个三级指标，指标权重25分，评价得分23分，得分率为100.00%。</w:t>
      </w:r>
    </w:p>
    <w:tbl>
      <w:tblPr>
        <w:tblStyle w:val="15"/>
        <w:tblW w:w="4953" w:type="pct"/>
        <w:tblInd w:w="0" w:type="dxa"/>
        <w:shd w:val="clear" w:color="auto" w:fill="auto"/>
        <w:tblLayout w:type="autofit"/>
        <w:tblCellMar>
          <w:top w:w="0" w:type="dxa"/>
          <w:left w:w="0" w:type="dxa"/>
          <w:bottom w:w="0" w:type="dxa"/>
          <w:right w:w="0" w:type="dxa"/>
        </w:tblCellMar>
      </w:tblPr>
      <w:tblGrid>
        <w:gridCol w:w="1739"/>
        <w:gridCol w:w="1739"/>
        <w:gridCol w:w="1790"/>
        <w:gridCol w:w="1739"/>
        <w:gridCol w:w="1740"/>
      </w:tblGrid>
      <w:tr>
        <w:tblPrEx>
          <w:shd w:val="clear" w:color="auto" w:fill="auto"/>
          <w:tblCellMar>
            <w:top w:w="0" w:type="dxa"/>
            <w:left w:w="0" w:type="dxa"/>
            <w:bottom w:w="0" w:type="dxa"/>
            <w:right w:w="0" w:type="dxa"/>
          </w:tblCellMar>
        </w:tblPrEx>
        <w:trPr>
          <w:trHeight w:val="520" w:hRule="atLeast"/>
        </w:trPr>
        <w:tc>
          <w:tcPr>
            <w:tcW w:w="994"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b/>
                <w:i w:val="0"/>
                <w:color w:val="000000"/>
                <w:kern w:val="0"/>
                <w:sz w:val="24"/>
                <w:szCs w:val="24"/>
                <w:u w:val="none"/>
                <w:lang w:val="en-US" w:eastAsia="zh-CN" w:bidi="ar"/>
              </w:rPr>
            </w:pPr>
            <w:r>
              <w:rPr>
                <w:rFonts w:hint="eastAsia" w:ascii="仿宋" w:hAnsi="仿宋" w:eastAsia="仿宋" w:cs="仿宋"/>
                <w:b/>
                <w:i w:val="0"/>
                <w:color w:val="000000"/>
                <w:kern w:val="0"/>
                <w:sz w:val="24"/>
                <w:szCs w:val="24"/>
                <w:u w:val="none"/>
                <w:lang w:val="en-US" w:eastAsia="zh-CN" w:bidi="ar"/>
              </w:rPr>
              <w:t>一级</w:t>
            </w:r>
          </w:p>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b/>
                <w:i w:val="0"/>
                <w:color w:val="000000"/>
                <w:sz w:val="24"/>
                <w:szCs w:val="24"/>
                <w:u w:val="none"/>
              </w:rPr>
            </w:pPr>
            <w:r>
              <w:rPr>
                <w:rFonts w:hint="eastAsia" w:ascii="仿宋" w:hAnsi="仿宋" w:eastAsia="仿宋" w:cs="仿宋"/>
                <w:b/>
                <w:i w:val="0"/>
                <w:color w:val="000000"/>
                <w:kern w:val="0"/>
                <w:sz w:val="24"/>
                <w:szCs w:val="24"/>
                <w:u w:val="none"/>
                <w:lang w:val="en-US" w:eastAsia="zh-CN" w:bidi="ar"/>
              </w:rPr>
              <w:t>指标</w:t>
            </w:r>
          </w:p>
        </w:tc>
        <w:tc>
          <w:tcPr>
            <w:tcW w:w="994"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b/>
                <w:i w:val="0"/>
                <w:color w:val="000000"/>
                <w:kern w:val="0"/>
                <w:sz w:val="24"/>
                <w:szCs w:val="24"/>
                <w:u w:val="none"/>
                <w:lang w:val="en-US" w:eastAsia="zh-CN" w:bidi="ar"/>
              </w:rPr>
            </w:pPr>
            <w:r>
              <w:rPr>
                <w:rFonts w:hint="eastAsia" w:ascii="仿宋" w:hAnsi="仿宋" w:eastAsia="仿宋" w:cs="仿宋"/>
                <w:b/>
                <w:i w:val="0"/>
                <w:color w:val="000000"/>
                <w:kern w:val="0"/>
                <w:sz w:val="24"/>
                <w:szCs w:val="24"/>
                <w:u w:val="none"/>
                <w:lang w:val="en-US" w:eastAsia="zh-CN" w:bidi="ar"/>
              </w:rPr>
              <w:t>二级</w:t>
            </w:r>
          </w:p>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b/>
                <w:i w:val="0"/>
                <w:color w:val="000000"/>
                <w:sz w:val="24"/>
                <w:szCs w:val="24"/>
                <w:u w:val="none"/>
              </w:rPr>
            </w:pPr>
            <w:r>
              <w:rPr>
                <w:rFonts w:hint="eastAsia" w:ascii="仿宋" w:hAnsi="仿宋" w:eastAsia="仿宋" w:cs="仿宋"/>
                <w:b/>
                <w:i w:val="0"/>
                <w:color w:val="000000"/>
                <w:kern w:val="0"/>
                <w:sz w:val="24"/>
                <w:szCs w:val="24"/>
                <w:u w:val="none"/>
                <w:lang w:val="en-US" w:eastAsia="zh-CN" w:bidi="ar"/>
              </w:rPr>
              <w:t>指标</w:t>
            </w:r>
          </w:p>
        </w:tc>
        <w:tc>
          <w:tcPr>
            <w:tcW w:w="1023"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b/>
                <w:i w:val="0"/>
                <w:color w:val="000000"/>
                <w:sz w:val="24"/>
                <w:szCs w:val="24"/>
                <w:u w:val="none"/>
              </w:rPr>
            </w:pPr>
            <w:r>
              <w:rPr>
                <w:rFonts w:hint="eastAsia" w:ascii="仿宋" w:hAnsi="仿宋" w:eastAsia="仿宋" w:cs="仿宋"/>
                <w:b/>
                <w:i w:val="0"/>
                <w:color w:val="000000"/>
                <w:kern w:val="0"/>
                <w:sz w:val="24"/>
                <w:szCs w:val="24"/>
                <w:u w:val="none"/>
                <w:lang w:val="en-US" w:eastAsia="zh-CN" w:bidi="ar"/>
              </w:rPr>
              <w:t>三级指标</w:t>
            </w:r>
          </w:p>
        </w:tc>
        <w:tc>
          <w:tcPr>
            <w:tcW w:w="994"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b/>
                <w:i w:val="0"/>
                <w:color w:val="000000"/>
                <w:sz w:val="24"/>
                <w:szCs w:val="24"/>
                <w:u w:val="none"/>
              </w:rPr>
            </w:pPr>
            <w:r>
              <w:rPr>
                <w:rFonts w:hint="eastAsia" w:ascii="仿宋" w:hAnsi="仿宋" w:eastAsia="仿宋" w:cs="仿宋"/>
                <w:b/>
                <w:i w:val="0"/>
                <w:color w:val="000000"/>
                <w:kern w:val="0"/>
                <w:sz w:val="24"/>
                <w:szCs w:val="24"/>
                <w:u w:val="none"/>
                <w:lang w:val="en-US" w:eastAsia="zh-CN" w:bidi="ar"/>
              </w:rPr>
              <w:t>指标分值</w:t>
            </w:r>
          </w:p>
        </w:tc>
        <w:tc>
          <w:tcPr>
            <w:tcW w:w="994"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b/>
                <w:i w:val="0"/>
                <w:color w:val="000000"/>
                <w:sz w:val="24"/>
                <w:szCs w:val="24"/>
                <w:u w:val="none"/>
              </w:rPr>
            </w:pPr>
            <w:r>
              <w:rPr>
                <w:rFonts w:hint="eastAsia" w:ascii="仿宋" w:hAnsi="仿宋" w:eastAsia="仿宋" w:cs="仿宋"/>
                <w:b/>
                <w:i w:val="0"/>
                <w:color w:val="000000"/>
                <w:kern w:val="0"/>
                <w:sz w:val="24"/>
                <w:szCs w:val="24"/>
                <w:u w:val="none"/>
                <w:lang w:val="en-US" w:eastAsia="zh-CN" w:bidi="ar"/>
              </w:rPr>
              <w:t>评价得分</w:t>
            </w:r>
          </w:p>
        </w:tc>
      </w:tr>
      <w:tr>
        <w:tblPrEx>
          <w:tblCellMar>
            <w:top w:w="0" w:type="dxa"/>
            <w:left w:w="0" w:type="dxa"/>
            <w:bottom w:w="0" w:type="dxa"/>
            <w:right w:w="0" w:type="dxa"/>
          </w:tblCellMar>
        </w:tblPrEx>
        <w:trPr>
          <w:trHeight w:val="520" w:hRule="atLeast"/>
        </w:trPr>
        <w:tc>
          <w:tcPr>
            <w:tcW w:w="994" w:type="pct"/>
            <w:vMerge w:val="restar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效果</w:t>
            </w:r>
          </w:p>
        </w:tc>
        <w:tc>
          <w:tcPr>
            <w:tcW w:w="994" w:type="pct"/>
            <w:vMerge w:val="restart"/>
            <w:tcBorders>
              <w:top w:val="single" w:color="000000" w:sz="4" w:space="0"/>
              <w:left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经济效益</w:t>
            </w:r>
          </w:p>
        </w:tc>
        <w:tc>
          <w:tcPr>
            <w:tcW w:w="1023" w:type="pct"/>
            <w:tcBorders>
              <w:top w:val="single" w:color="000000" w:sz="4" w:space="0"/>
              <w:left w:val="single" w:color="000000" w:sz="4" w:space="0"/>
              <w:bottom w:val="nil"/>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 w:hAnsi="仿宋" w:eastAsia="仿宋" w:cs="仿宋"/>
                <w:i w:val="0"/>
                <w:color w:val="000000"/>
                <w:kern w:val="0"/>
                <w:sz w:val="24"/>
                <w:szCs w:val="24"/>
                <w:u w:val="none"/>
                <w:lang w:val="en-US" w:eastAsia="zh-CN" w:bidi="ar"/>
              </w:rPr>
            </w:pPr>
            <w:r>
              <w:rPr>
                <w:rFonts w:hint="default" w:ascii="仿宋" w:hAnsi="仿宋" w:eastAsia="仿宋" w:cs="仿宋"/>
                <w:i w:val="0"/>
                <w:color w:val="000000"/>
                <w:kern w:val="0"/>
                <w:sz w:val="24"/>
                <w:szCs w:val="24"/>
                <w:u w:val="none"/>
                <w:lang w:val="en-US" w:eastAsia="zh-CN" w:bidi="ar"/>
              </w:rPr>
              <w:t>特色农业发展</w:t>
            </w:r>
          </w:p>
        </w:tc>
        <w:tc>
          <w:tcPr>
            <w:tcW w:w="994"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w:t>
            </w:r>
          </w:p>
        </w:tc>
        <w:tc>
          <w:tcPr>
            <w:tcW w:w="9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color w:val="000000"/>
                <w:sz w:val="24"/>
                <w:szCs w:val="24"/>
                <w:u w:val="none"/>
              </w:rPr>
            </w:pPr>
            <w:r>
              <w:rPr>
                <w:rFonts w:hint="eastAsia" w:ascii="宋体" w:hAnsi="宋体" w:eastAsia="宋体" w:cs="宋体"/>
                <w:i w:val="0"/>
                <w:color w:val="000000"/>
                <w:kern w:val="0"/>
                <w:sz w:val="24"/>
                <w:szCs w:val="24"/>
                <w:u w:val="none"/>
                <w:lang w:val="en-US" w:eastAsia="zh-CN" w:bidi="ar"/>
              </w:rPr>
              <w:t>2</w:t>
            </w:r>
          </w:p>
        </w:tc>
      </w:tr>
      <w:tr>
        <w:tblPrEx>
          <w:tblCellMar>
            <w:top w:w="0" w:type="dxa"/>
            <w:left w:w="0" w:type="dxa"/>
            <w:bottom w:w="0" w:type="dxa"/>
            <w:right w:w="0" w:type="dxa"/>
          </w:tblCellMar>
        </w:tblPrEx>
        <w:trPr>
          <w:trHeight w:val="420" w:hRule="atLeast"/>
        </w:trPr>
        <w:tc>
          <w:tcPr>
            <w:tcW w:w="994"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color w:val="000000"/>
                <w:sz w:val="24"/>
                <w:szCs w:val="24"/>
                <w:u w:val="none"/>
              </w:rPr>
            </w:pPr>
          </w:p>
        </w:tc>
        <w:tc>
          <w:tcPr>
            <w:tcW w:w="994" w:type="pct"/>
            <w:vMerge w:val="continue"/>
            <w:tcBorders>
              <w:left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color w:val="000000"/>
                <w:sz w:val="24"/>
                <w:szCs w:val="24"/>
                <w:u w:val="none"/>
              </w:rPr>
            </w:pPr>
          </w:p>
        </w:tc>
        <w:tc>
          <w:tcPr>
            <w:tcW w:w="1023"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 w:hAnsi="仿宋" w:eastAsia="仿宋" w:cs="仿宋"/>
                <w:i w:val="0"/>
                <w:color w:val="000000"/>
                <w:kern w:val="0"/>
                <w:sz w:val="24"/>
                <w:szCs w:val="24"/>
                <w:u w:val="none"/>
                <w:lang w:val="en-US" w:eastAsia="zh-CN" w:bidi="ar"/>
              </w:rPr>
            </w:pPr>
            <w:r>
              <w:rPr>
                <w:rFonts w:hint="default" w:ascii="仿宋" w:hAnsi="仿宋" w:eastAsia="仿宋" w:cs="仿宋"/>
                <w:i w:val="0"/>
                <w:color w:val="000000"/>
                <w:kern w:val="0"/>
                <w:sz w:val="24"/>
                <w:szCs w:val="24"/>
                <w:u w:val="none"/>
                <w:lang w:val="en-US" w:eastAsia="zh-CN" w:bidi="ar"/>
              </w:rPr>
              <w:t>辖区规上工业总产值</w:t>
            </w:r>
          </w:p>
        </w:tc>
        <w:tc>
          <w:tcPr>
            <w:tcW w:w="994"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3</w:t>
            </w:r>
          </w:p>
        </w:tc>
        <w:tc>
          <w:tcPr>
            <w:tcW w:w="9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color w:val="000000"/>
                <w:sz w:val="24"/>
                <w:szCs w:val="24"/>
                <w:u w:val="none"/>
              </w:rPr>
            </w:pPr>
            <w:r>
              <w:rPr>
                <w:rFonts w:hint="eastAsia" w:ascii="宋体" w:hAnsi="宋体" w:eastAsia="宋体" w:cs="宋体"/>
                <w:i w:val="0"/>
                <w:color w:val="000000"/>
                <w:kern w:val="0"/>
                <w:sz w:val="24"/>
                <w:szCs w:val="24"/>
                <w:u w:val="none"/>
                <w:lang w:val="en-US" w:eastAsia="zh-CN" w:bidi="ar"/>
              </w:rPr>
              <w:t>4</w:t>
            </w:r>
          </w:p>
        </w:tc>
      </w:tr>
      <w:tr>
        <w:tblPrEx>
          <w:tblCellMar>
            <w:top w:w="0" w:type="dxa"/>
            <w:left w:w="0" w:type="dxa"/>
            <w:bottom w:w="0" w:type="dxa"/>
            <w:right w:w="0" w:type="dxa"/>
          </w:tblCellMar>
        </w:tblPrEx>
        <w:trPr>
          <w:trHeight w:val="430" w:hRule="atLeast"/>
        </w:trPr>
        <w:tc>
          <w:tcPr>
            <w:tcW w:w="994"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color w:val="000000"/>
                <w:sz w:val="24"/>
                <w:szCs w:val="24"/>
                <w:u w:val="none"/>
              </w:rPr>
            </w:pPr>
          </w:p>
        </w:tc>
        <w:tc>
          <w:tcPr>
            <w:tcW w:w="994" w:type="pct"/>
            <w:vMerge w:val="continue"/>
            <w:tcBorders>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color w:val="000000"/>
                <w:sz w:val="24"/>
                <w:szCs w:val="24"/>
                <w:u w:val="none"/>
              </w:rPr>
            </w:pPr>
          </w:p>
        </w:tc>
        <w:tc>
          <w:tcPr>
            <w:tcW w:w="1023"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 w:hAnsi="仿宋" w:eastAsia="仿宋" w:cs="仿宋"/>
                <w:i w:val="0"/>
                <w:color w:val="000000"/>
                <w:kern w:val="0"/>
                <w:sz w:val="24"/>
                <w:szCs w:val="24"/>
                <w:u w:val="none"/>
                <w:lang w:val="en-US" w:eastAsia="zh-CN" w:bidi="ar"/>
              </w:rPr>
            </w:pPr>
            <w:r>
              <w:rPr>
                <w:rFonts w:hint="default" w:ascii="仿宋" w:hAnsi="仿宋" w:eastAsia="仿宋" w:cs="仿宋"/>
                <w:i w:val="0"/>
                <w:color w:val="000000"/>
                <w:kern w:val="0"/>
                <w:sz w:val="24"/>
                <w:szCs w:val="24"/>
                <w:u w:val="none"/>
                <w:lang w:val="en-US" w:eastAsia="zh-CN" w:bidi="ar"/>
              </w:rPr>
              <w:t>辖区固定资产投资</w:t>
            </w:r>
          </w:p>
        </w:tc>
        <w:tc>
          <w:tcPr>
            <w:tcW w:w="994"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5</w:t>
            </w:r>
          </w:p>
        </w:tc>
        <w:tc>
          <w:tcPr>
            <w:tcW w:w="9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color w:val="000000"/>
                <w:sz w:val="24"/>
                <w:szCs w:val="24"/>
                <w:u w:val="none"/>
              </w:rPr>
            </w:pPr>
            <w:r>
              <w:rPr>
                <w:rFonts w:hint="eastAsia" w:ascii="宋体" w:hAnsi="宋体" w:eastAsia="宋体" w:cs="宋体"/>
                <w:i w:val="0"/>
                <w:color w:val="000000"/>
                <w:kern w:val="0"/>
                <w:sz w:val="24"/>
                <w:szCs w:val="24"/>
                <w:u w:val="none"/>
                <w:lang w:val="en-US" w:eastAsia="zh-CN" w:bidi="ar"/>
              </w:rPr>
              <w:t>2</w:t>
            </w:r>
          </w:p>
        </w:tc>
      </w:tr>
      <w:tr>
        <w:tblPrEx>
          <w:tblCellMar>
            <w:top w:w="0" w:type="dxa"/>
            <w:left w:w="0" w:type="dxa"/>
            <w:bottom w:w="0" w:type="dxa"/>
            <w:right w:w="0" w:type="dxa"/>
          </w:tblCellMar>
        </w:tblPrEx>
        <w:trPr>
          <w:trHeight w:val="370" w:hRule="atLeast"/>
        </w:trPr>
        <w:tc>
          <w:tcPr>
            <w:tcW w:w="994"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color w:val="000000"/>
                <w:sz w:val="24"/>
                <w:szCs w:val="24"/>
                <w:u w:val="none"/>
              </w:rPr>
            </w:pPr>
          </w:p>
        </w:tc>
        <w:tc>
          <w:tcPr>
            <w:tcW w:w="994"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社会效益</w:t>
            </w:r>
          </w:p>
        </w:tc>
        <w:tc>
          <w:tcPr>
            <w:tcW w:w="1023"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获得荣誉</w:t>
            </w:r>
          </w:p>
        </w:tc>
        <w:tc>
          <w:tcPr>
            <w:tcW w:w="994"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5</w:t>
            </w:r>
          </w:p>
        </w:tc>
        <w:tc>
          <w:tcPr>
            <w:tcW w:w="9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color w:val="000000"/>
                <w:sz w:val="24"/>
                <w:szCs w:val="24"/>
                <w:u w:val="none"/>
              </w:rPr>
            </w:pPr>
            <w:r>
              <w:rPr>
                <w:rFonts w:hint="eastAsia" w:ascii="宋体" w:hAnsi="宋体" w:eastAsia="宋体" w:cs="宋体"/>
                <w:i w:val="0"/>
                <w:color w:val="000000"/>
                <w:kern w:val="0"/>
                <w:sz w:val="24"/>
                <w:szCs w:val="24"/>
                <w:u w:val="none"/>
                <w:lang w:val="en-US" w:eastAsia="zh-CN" w:bidi="ar"/>
              </w:rPr>
              <w:t>5</w:t>
            </w:r>
          </w:p>
        </w:tc>
      </w:tr>
      <w:tr>
        <w:tblPrEx>
          <w:tblCellMar>
            <w:top w:w="0" w:type="dxa"/>
            <w:left w:w="0" w:type="dxa"/>
            <w:bottom w:w="0" w:type="dxa"/>
            <w:right w:w="0" w:type="dxa"/>
          </w:tblCellMar>
        </w:tblPrEx>
        <w:trPr>
          <w:trHeight w:val="520" w:hRule="atLeast"/>
        </w:trPr>
        <w:tc>
          <w:tcPr>
            <w:tcW w:w="994"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color w:val="000000"/>
                <w:sz w:val="24"/>
                <w:szCs w:val="24"/>
                <w:u w:val="none"/>
              </w:rPr>
            </w:pPr>
          </w:p>
        </w:tc>
        <w:tc>
          <w:tcPr>
            <w:tcW w:w="994"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可持续影响</w:t>
            </w:r>
          </w:p>
        </w:tc>
        <w:tc>
          <w:tcPr>
            <w:tcW w:w="1023"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提升社会保障水平</w:t>
            </w:r>
          </w:p>
        </w:tc>
        <w:tc>
          <w:tcPr>
            <w:tcW w:w="994"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5</w:t>
            </w:r>
          </w:p>
        </w:tc>
        <w:tc>
          <w:tcPr>
            <w:tcW w:w="9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color w:val="000000"/>
                <w:sz w:val="24"/>
                <w:szCs w:val="24"/>
                <w:u w:val="none"/>
              </w:rPr>
            </w:pPr>
            <w:r>
              <w:rPr>
                <w:rFonts w:hint="eastAsia" w:ascii="宋体" w:hAnsi="宋体" w:eastAsia="宋体" w:cs="宋体"/>
                <w:i w:val="0"/>
                <w:color w:val="000000"/>
                <w:kern w:val="0"/>
                <w:sz w:val="24"/>
                <w:szCs w:val="24"/>
                <w:u w:val="none"/>
                <w:lang w:val="en-US" w:eastAsia="zh-CN" w:bidi="ar"/>
              </w:rPr>
              <w:t>5</w:t>
            </w:r>
          </w:p>
        </w:tc>
      </w:tr>
      <w:tr>
        <w:tblPrEx>
          <w:tblCellMar>
            <w:top w:w="0" w:type="dxa"/>
            <w:left w:w="0" w:type="dxa"/>
            <w:bottom w:w="0" w:type="dxa"/>
            <w:right w:w="0" w:type="dxa"/>
          </w:tblCellMar>
        </w:tblPrEx>
        <w:trPr>
          <w:trHeight w:val="630" w:hRule="atLeast"/>
        </w:trPr>
        <w:tc>
          <w:tcPr>
            <w:tcW w:w="994"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color w:val="000000"/>
                <w:sz w:val="24"/>
                <w:szCs w:val="24"/>
                <w:u w:val="none"/>
              </w:rPr>
            </w:pPr>
          </w:p>
        </w:tc>
        <w:tc>
          <w:tcPr>
            <w:tcW w:w="994"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满意度</w:t>
            </w:r>
          </w:p>
        </w:tc>
        <w:tc>
          <w:tcPr>
            <w:tcW w:w="1023"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社会公众或服务对象满意度</w:t>
            </w:r>
          </w:p>
        </w:tc>
        <w:tc>
          <w:tcPr>
            <w:tcW w:w="994"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5</w:t>
            </w:r>
          </w:p>
        </w:tc>
        <w:tc>
          <w:tcPr>
            <w:tcW w:w="9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color w:val="000000"/>
                <w:sz w:val="24"/>
                <w:szCs w:val="24"/>
                <w:u w:val="none"/>
              </w:rPr>
            </w:pPr>
            <w:r>
              <w:rPr>
                <w:rFonts w:hint="eastAsia" w:ascii="宋体" w:hAnsi="宋体" w:eastAsia="宋体" w:cs="宋体"/>
                <w:i w:val="0"/>
                <w:color w:val="000000"/>
                <w:kern w:val="0"/>
                <w:sz w:val="24"/>
                <w:szCs w:val="24"/>
                <w:u w:val="none"/>
                <w:lang w:val="en-US" w:eastAsia="zh-CN" w:bidi="ar"/>
              </w:rPr>
              <w:t>5</w:t>
            </w:r>
          </w:p>
        </w:tc>
      </w:tr>
      <w:tr>
        <w:tblPrEx>
          <w:tblCellMar>
            <w:top w:w="0" w:type="dxa"/>
            <w:left w:w="0" w:type="dxa"/>
            <w:bottom w:w="0" w:type="dxa"/>
            <w:right w:w="0" w:type="dxa"/>
          </w:tblCellMar>
        </w:tblPrEx>
        <w:trPr>
          <w:trHeight w:val="410" w:hRule="atLeast"/>
        </w:trPr>
        <w:tc>
          <w:tcPr>
            <w:tcW w:w="1988" w:type="pct"/>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合计</w:t>
            </w:r>
          </w:p>
        </w:tc>
        <w:tc>
          <w:tcPr>
            <w:tcW w:w="1023"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 w:hAnsi="仿宋" w:eastAsia="仿宋" w:cs="仿宋"/>
                <w:i w:val="0"/>
                <w:color w:val="000000"/>
                <w:kern w:val="0"/>
                <w:sz w:val="24"/>
                <w:szCs w:val="24"/>
                <w:u w:val="none"/>
                <w:lang w:val="en-US" w:eastAsia="zh-CN" w:bidi="ar"/>
              </w:rPr>
            </w:pPr>
          </w:p>
        </w:tc>
        <w:tc>
          <w:tcPr>
            <w:tcW w:w="994"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25</w:t>
            </w:r>
          </w:p>
        </w:tc>
        <w:tc>
          <w:tcPr>
            <w:tcW w:w="9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23</w:t>
            </w:r>
          </w:p>
        </w:tc>
      </w:tr>
    </w:tbl>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 w:hAnsi="仿宋" w:eastAsia="仿宋" w:cs="仿宋"/>
          <w:b/>
          <w:bCs/>
          <w:color w:val="auto"/>
          <w:kern w:val="0"/>
          <w:sz w:val="32"/>
          <w:szCs w:val="32"/>
          <w:highlight w:val="none"/>
          <w:shd w:val="clear" w:color="auto" w:fill="FFFFFF"/>
          <w:lang w:val="en-US" w:eastAsia="zh-CN"/>
        </w:rPr>
      </w:pPr>
      <w:r>
        <w:rPr>
          <w:rFonts w:hint="eastAsia" w:ascii="仿宋" w:hAnsi="仿宋" w:eastAsia="仿宋" w:cs="仿宋"/>
          <w:b/>
          <w:bCs/>
          <w:color w:val="auto"/>
          <w:kern w:val="0"/>
          <w:sz w:val="32"/>
          <w:szCs w:val="32"/>
          <w:highlight w:val="none"/>
          <w:shd w:val="clear" w:color="auto" w:fill="FFFFFF"/>
          <w:lang w:val="en-US" w:eastAsia="zh-CN"/>
        </w:rPr>
        <w:t>1.经济</w:t>
      </w:r>
      <w:r>
        <w:rPr>
          <w:rFonts w:hint="eastAsia" w:ascii="仿宋" w:hAnsi="仿宋" w:eastAsia="仿宋" w:cs="仿宋"/>
          <w:b/>
          <w:bCs/>
          <w:color w:val="auto"/>
          <w:kern w:val="0"/>
          <w:sz w:val="32"/>
          <w:szCs w:val="32"/>
          <w:highlight w:val="none"/>
          <w:shd w:val="clear" w:color="auto" w:fill="FFFFFF"/>
          <w:lang w:val="en-US" w:eastAsia="zh-Hans"/>
        </w:rPr>
        <w:t>效益</w:t>
      </w:r>
      <w:r>
        <w:rPr>
          <w:rFonts w:hint="eastAsia" w:ascii="仿宋" w:hAnsi="仿宋" w:eastAsia="仿宋" w:cs="仿宋"/>
          <w:b/>
          <w:bCs/>
          <w:color w:val="auto"/>
          <w:kern w:val="0"/>
          <w:sz w:val="32"/>
          <w:szCs w:val="32"/>
          <w:highlight w:val="none"/>
          <w:shd w:val="clear" w:color="auto" w:fill="FFFFFF"/>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CN"/>
        </w:rPr>
        <w:t>（1）特色农业发展--4分。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根据新区咸丰路街道办事处2020年度和2021年度部门工作总结内容，2020年辖区种植樱桃2700余亩，实现产值1700万元；2021年樱桃455吨产值为1800万元，有效增加100万元。2020年辖区种植苹果4900亩，产值达到6860万元；2021年苹果产值完成4320万元，出现大幅度下降。</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结合部门整体支出绩效评价指标体系内容和评分标准，经综合评价，该项指标得分为2分。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CN"/>
        </w:rPr>
        <w:t>（2）辖区规上工业总产值--4分</w:t>
      </w:r>
      <w:r>
        <w:rPr>
          <w:rFonts w:hint="eastAsia" w:ascii="仿宋" w:hAnsi="仿宋" w:eastAsia="仿宋" w:cs="仿宋"/>
          <w:color w:val="auto"/>
          <w:kern w:val="0"/>
          <w:sz w:val="32"/>
          <w:szCs w:val="32"/>
          <w:highlight w:val="none"/>
          <w:shd w:val="clear" w:color="auto" w:fill="FFFFFF"/>
          <w:lang w:val="en-US" w:eastAsia="zh-Hans"/>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根据新区咸丰路街道办事处2021年度工作总结及2022年工作</w:t>
      </w:r>
      <w:r>
        <w:rPr>
          <w:rFonts w:hint="eastAsia" w:ascii="仿宋" w:hAnsi="仿宋" w:eastAsia="仿宋" w:cs="仿宋"/>
          <w:color w:val="auto"/>
          <w:kern w:val="0"/>
          <w:sz w:val="32"/>
          <w:szCs w:val="32"/>
          <w:highlight w:val="none"/>
          <w:shd w:val="clear" w:color="auto" w:fill="FFFFFF"/>
          <w:lang w:val="en-US" w:eastAsia="zh-CN"/>
        </w:rPr>
        <w:t>计划的报告</w:t>
      </w:r>
      <w:r>
        <w:rPr>
          <w:rFonts w:hint="eastAsia" w:ascii="仿宋" w:hAnsi="仿宋" w:eastAsia="仿宋" w:cs="仿宋"/>
          <w:color w:val="auto"/>
          <w:kern w:val="0"/>
          <w:sz w:val="32"/>
          <w:szCs w:val="32"/>
          <w:highlight w:val="none"/>
          <w:shd w:val="clear" w:color="auto" w:fill="FFFFFF"/>
          <w:lang w:val="en-US" w:eastAsia="zh-Hans"/>
        </w:rPr>
        <w:t>内容，2021年10月，辖区规上工业总产值达到20.13亿元。</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结合部门整体支出绩效评价指标体系内容和评分标准，经综合评价，该项指标得分为4分。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（3）辖区固定资产投资--2分</w:t>
      </w:r>
    </w:p>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600" w:lineRule="exact"/>
        <w:ind w:firstLine="640" w:firstLineChars="200"/>
        <w:textAlignment w:val="auto"/>
        <w:rPr>
          <w:rFonts w:hint="default" w:ascii="仿宋" w:hAnsi="仿宋" w:eastAsia="仿宋" w:cs="仿宋"/>
          <w:color w:val="auto"/>
          <w:kern w:val="0"/>
          <w:sz w:val="32"/>
          <w:szCs w:val="32"/>
          <w:highlight w:val="none"/>
          <w:shd w:val="clear" w:color="auto" w:fill="FFFFFF"/>
          <w:lang w:val="en-US" w:eastAsia="zh-CN"/>
        </w:rPr>
      </w:pPr>
      <w:r>
        <w:rPr>
          <w:rFonts w:hint="default" w:ascii="仿宋" w:hAnsi="仿宋" w:eastAsia="仿宋" w:cs="仿宋"/>
          <w:color w:val="auto"/>
          <w:kern w:val="0"/>
          <w:sz w:val="32"/>
          <w:szCs w:val="32"/>
          <w:highlight w:val="none"/>
          <w:shd w:val="clear" w:color="auto" w:fill="FFFFFF"/>
          <w:lang w:val="en-US" w:eastAsia="zh-CN"/>
        </w:rPr>
        <w:t>根据新区咸丰路街道办事处2021年度工作总结及2022年工作</w:t>
      </w:r>
      <w:r>
        <w:rPr>
          <w:rFonts w:hint="eastAsia" w:ascii="仿宋" w:hAnsi="仿宋" w:eastAsia="仿宋" w:cs="仿宋"/>
          <w:color w:val="auto"/>
          <w:kern w:val="0"/>
          <w:sz w:val="32"/>
          <w:szCs w:val="32"/>
          <w:highlight w:val="none"/>
          <w:shd w:val="clear" w:color="auto" w:fill="FFFFFF"/>
          <w:lang w:val="en-US" w:eastAsia="zh-CN"/>
        </w:rPr>
        <w:t>计划的报告</w:t>
      </w:r>
      <w:r>
        <w:rPr>
          <w:rFonts w:hint="default" w:ascii="仿宋" w:hAnsi="仿宋" w:eastAsia="仿宋" w:cs="仿宋"/>
          <w:color w:val="auto"/>
          <w:kern w:val="0"/>
          <w:sz w:val="32"/>
          <w:szCs w:val="32"/>
          <w:highlight w:val="none"/>
          <w:shd w:val="clear" w:color="auto" w:fill="FFFFFF"/>
          <w:lang w:val="en-US" w:eastAsia="zh-CN"/>
        </w:rPr>
        <w:t>内容，2021年辖区实现固定资产投资26.95亿元，超过25亿元。</w:t>
      </w:r>
    </w:p>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600" w:lineRule="exact"/>
        <w:ind w:firstLine="640" w:firstLineChars="200"/>
        <w:textAlignment w:val="auto"/>
        <w:rPr>
          <w:rFonts w:hint="default" w:ascii="仿宋" w:hAnsi="仿宋" w:eastAsia="仿宋" w:cs="仿宋"/>
          <w:color w:val="auto"/>
          <w:kern w:val="0"/>
          <w:sz w:val="32"/>
          <w:szCs w:val="32"/>
          <w:highlight w:val="none"/>
          <w:shd w:val="clear" w:color="auto" w:fill="FFFFFF"/>
          <w:lang w:val="en-US" w:eastAsia="zh-CN"/>
        </w:rPr>
      </w:pPr>
      <w:r>
        <w:rPr>
          <w:rFonts w:hint="default" w:ascii="仿宋" w:hAnsi="仿宋" w:eastAsia="仿宋" w:cs="仿宋"/>
          <w:color w:val="auto"/>
          <w:kern w:val="0"/>
          <w:sz w:val="32"/>
          <w:szCs w:val="32"/>
          <w:highlight w:val="none"/>
          <w:shd w:val="clear" w:color="auto" w:fill="FFFFFF"/>
          <w:lang w:val="en-US" w:eastAsia="zh-CN"/>
        </w:rPr>
        <w:t>结合部门整体支出绩效评价指标体系内容和评分标准，经综合评价，该项指标得分为2分。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9"/>
        <w:rPr>
          <w:rFonts w:hint="default" w:ascii="仿宋" w:hAnsi="仿宋" w:eastAsia="仿宋" w:cs="仿宋"/>
          <w:b/>
          <w:bCs/>
          <w:color w:val="auto"/>
          <w:kern w:val="0"/>
          <w:sz w:val="32"/>
          <w:szCs w:val="32"/>
          <w:highlight w:val="none"/>
          <w:shd w:val="clear" w:color="auto" w:fill="FFFFFF"/>
          <w:lang w:val="en-US" w:eastAsia="zh-CN"/>
        </w:rPr>
      </w:pPr>
      <w:r>
        <w:rPr>
          <w:rFonts w:hint="eastAsia" w:ascii="仿宋" w:hAnsi="仿宋" w:eastAsia="仿宋" w:cs="仿宋"/>
          <w:b/>
          <w:bCs/>
          <w:color w:val="auto"/>
          <w:kern w:val="0"/>
          <w:sz w:val="32"/>
          <w:szCs w:val="32"/>
          <w:highlight w:val="none"/>
          <w:shd w:val="clear" w:color="auto" w:fill="FFFFFF"/>
          <w:lang w:val="en-US" w:eastAsia="zh-CN"/>
        </w:rPr>
        <w:t>2.社会效益</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（1）获得荣誉--5分。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根据新区咸丰路街道办事处2021年度工作总结及2022年工作</w:t>
      </w:r>
      <w:r>
        <w:rPr>
          <w:rFonts w:hint="eastAsia" w:ascii="仿宋" w:hAnsi="仿宋" w:eastAsia="仿宋" w:cs="仿宋"/>
          <w:color w:val="auto"/>
          <w:kern w:val="0"/>
          <w:sz w:val="32"/>
          <w:szCs w:val="32"/>
          <w:highlight w:val="none"/>
          <w:shd w:val="clear" w:color="auto" w:fill="FFFFFF"/>
          <w:lang w:val="en-US" w:eastAsia="zh-CN"/>
        </w:rPr>
        <w:t>计划的报告</w:t>
      </w:r>
      <w:r>
        <w:rPr>
          <w:rFonts w:hint="eastAsia" w:ascii="仿宋" w:hAnsi="仿宋" w:eastAsia="仿宋" w:cs="仿宋"/>
          <w:color w:val="auto"/>
          <w:kern w:val="0"/>
          <w:sz w:val="32"/>
          <w:szCs w:val="32"/>
          <w:highlight w:val="none"/>
          <w:shd w:val="clear" w:color="auto" w:fill="FFFFFF"/>
          <w:lang w:val="en-US" w:eastAsia="zh-Hans"/>
        </w:rPr>
        <w:t>内容，2021年6月，新区咸丰路街道办事处被市委、市政府授予2020年度全市镇域经济“五强街办”“三八红旗集体”等荣誉称号，被市政府、军分区评为征兵工作先进单位。</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bidi="ar-SA"/>
        </w:rPr>
      </w:pPr>
      <w:r>
        <w:rPr>
          <w:rFonts w:hint="eastAsia" w:ascii="仿宋" w:hAnsi="仿宋" w:eastAsia="仿宋" w:cs="仿宋"/>
          <w:color w:val="auto"/>
          <w:kern w:val="0"/>
          <w:sz w:val="32"/>
          <w:szCs w:val="32"/>
          <w:highlight w:val="none"/>
          <w:shd w:val="clear" w:color="auto" w:fill="FFFFFF"/>
          <w:lang w:val="en-US" w:eastAsia="zh-Hans"/>
        </w:rPr>
        <w:t>结合部门整体支出绩效评价指标体系内容和评分标准，经综合评价，该项指标得分为5分。</w:t>
      </w:r>
    </w:p>
    <w:p>
      <w:pPr>
        <w:pStyle w:val="2"/>
        <w:ind w:left="0" w:leftChars="0" w:firstLine="643" w:firstLineChars="200"/>
        <w:rPr>
          <w:rFonts w:hint="default" w:ascii="仿宋" w:hAnsi="仿宋" w:eastAsia="仿宋" w:cs="仿宋"/>
          <w:b/>
          <w:bCs/>
          <w:color w:val="auto"/>
          <w:kern w:val="0"/>
          <w:sz w:val="32"/>
          <w:szCs w:val="32"/>
          <w:highlight w:val="none"/>
          <w:shd w:val="clear" w:color="auto" w:fill="FFFFFF"/>
          <w:lang w:val="en-US" w:eastAsia="zh-CN" w:bidi="ar-SA"/>
        </w:rPr>
      </w:pPr>
      <w:r>
        <w:rPr>
          <w:rFonts w:hint="eastAsia" w:ascii="仿宋" w:hAnsi="仿宋" w:eastAsia="仿宋" w:cs="仿宋"/>
          <w:b/>
          <w:bCs/>
          <w:color w:val="auto"/>
          <w:kern w:val="0"/>
          <w:sz w:val="32"/>
          <w:szCs w:val="32"/>
          <w:highlight w:val="none"/>
          <w:shd w:val="clear" w:color="auto" w:fill="FFFFFF"/>
          <w:lang w:val="en-US" w:eastAsia="zh-CN" w:bidi="ar-SA"/>
        </w:rPr>
        <w:t>3.可持续影响</w:t>
      </w:r>
    </w:p>
    <w:p>
      <w:pPr>
        <w:pStyle w:val="2"/>
        <w:keepNext w:val="0"/>
        <w:keepLines w:val="0"/>
        <w:pageBreakBefore w:val="0"/>
        <w:widowControl w:val="0"/>
        <w:numPr>
          <w:ilvl w:val="0"/>
          <w:numId w:val="0"/>
        </w:numPr>
        <w:kinsoku/>
        <w:wordWrap/>
        <w:overflowPunct/>
        <w:topLinePunct w:val="0"/>
        <w:bidi w:val="0"/>
        <w:adjustRightInd/>
        <w:snapToGrid/>
        <w:spacing w:before="0" w:line="600" w:lineRule="exact"/>
        <w:ind w:firstLine="640" w:firstLineChars="200"/>
        <w:textAlignment w:val="auto"/>
        <w:rPr>
          <w:rFonts w:hint="eastAsia" w:ascii="仿宋" w:hAnsi="仿宋" w:eastAsia="仿宋" w:cs="仿宋"/>
          <w:color w:val="auto"/>
          <w:kern w:val="0"/>
          <w:sz w:val="32"/>
          <w:szCs w:val="32"/>
          <w:highlight w:val="none"/>
          <w:shd w:val="clear" w:color="auto" w:fill="FFFFFF"/>
          <w:lang w:val="en-US" w:eastAsia="zh-CN" w:bidi="ar-SA"/>
        </w:rPr>
      </w:pPr>
      <w:r>
        <w:rPr>
          <w:rFonts w:hint="eastAsia" w:ascii="仿宋" w:hAnsi="仿宋" w:eastAsia="仿宋" w:cs="仿宋"/>
          <w:color w:val="auto"/>
          <w:kern w:val="0"/>
          <w:sz w:val="32"/>
          <w:szCs w:val="32"/>
          <w:highlight w:val="none"/>
          <w:shd w:val="clear" w:color="auto" w:fill="FFFFFF"/>
          <w:lang w:val="en-US" w:eastAsia="zh-CN" w:bidi="ar-SA"/>
        </w:rPr>
        <w:t>（1）提升社会保障水平--5分。</w:t>
      </w:r>
    </w:p>
    <w:p>
      <w:pPr>
        <w:pStyle w:val="2"/>
        <w:keepNext w:val="0"/>
        <w:keepLines w:val="0"/>
        <w:pageBreakBefore w:val="0"/>
        <w:widowControl w:val="0"/>
        <w:numPr>
          <w:ilvl w:val="0"/>
          <w:numId w:val="0"/>
        </w:numPr>
        <w:kinsoku/>
        <w:wordWrap/>
        <w:overflowPunct/>
        <w:topLinePunct w:val="0"/>
        <w:bidi w:val="0"/>
        <w:adjustRightInd/>
        <w:snapToGrid/>
        <w:spacing w:before="0" w:line="600" w:lineRule="exact"/>
        <w:ind w:firstLine="640" w:firstLineChars="200"/>
        <w:textAlignment w:val="auto"/>
        <w:rPr>
          <w:rFonts w:hint="default" w:ascii="仿宋" w:hAnsi="仿宋" w:eastAsia="仿宋" w:cs="仿宋"/>
          <w:color w:val="auto"/>
          <w:kern w:val="0"/>
          <w:sz w:val="32"/>
          <w:szCs w:val="32"/>
          <w:highlight w:val="none"/>
          <w:shd w:val="clear" w:color="auto" w:fill="FFFFFF"/>
          <w:lang w:val="en-US" w:eastAsia="zh-CN" w:bidi="ar-SA"/>
        </w:rPr>
      </w:pPr>
      <w:r>
        <w:rPr>
          <w:rFonts w:hint="default" w:ascii="仿宋" w:hAnsi="仿宋" w:eastAsia="仿宋" w:cs="仿宋"/>
          <w:color w:val="auto"/>
          <w:kern w:val="0"/>
          <w:sz w:val="32"/>
          <w:szCs w:val="32"/>
          <w:highlight w:val="none"/>
          <w:shd w:val="clear" w:color="auto" w:fill="FFFFFF"/>
          <w:lang w:val="en-US" w:eastAsia="zh-CN" w:bidi="ar-SA"/>
        </w:rPr>
        <w:t>根据新区咸丰路街道办事处2021年度工作总结及2022年工作</w:t>
      </w:r>
      <w:r>
        <w:rPr>
          <w:rFonts w:hint="eastAsia" w:ascii="仿宋" w:hAnsi="仿宋" w:eastAsia="仿宋" w:cs="仿宋"/>
          <w:color w:val="auto"/>
          <w:kern w:val="0"/>
          <w:sz w:val="32"/>
          <w:szCs w:val="32"/>
          <w:highlight w:val="none"/>
          <w:shd w:val="clear" w:color="auto" w:fill="FFFFFF"/>
          <w:lang w:val="en-US" w:eastAsia="zh-CN" w:bidi="ar-SA"/>
        </w:rPr>
        <w:t>计划的报告</w:t>
      </w:r>
      <w:r>
        <w:rPr>
          <w:rFonts w:hint="default" w:ascii="仿宋" w:hAnsi="仿宋" w:eastAsia="仿宋" w:cs="仿宋"/>
          <w:color w:val="auto"/>
          <w:kern w:val="0"/>
          <w:sz w:val="32"/>
          <w:szCs w:val="32"/>
          <w:highlight w:val="none"/>
          <w:shd w:val="clear" w:color="auto" w:fill="FFFFFF"/>
          <w:lang w:val="en-US" w:eastAsia="zh-CN" w:bidi="ar-SA"/>
        </w:rPr>
        <w:t>和2021年度目标任务考核对标报告等资料内容。2021年，办理低保户30户79人，特困供养对象5户，发放临时救助76户242人25.64万元，采集残疾人信息1194人，结对包抓重点优抚对象和困难退役军人64名，走访慰问优抚对象55名。积极采取各种措施，有效提升社会保障水平。</w:t>
      </w:r>
    </w:p>
    <w:p>
      <w:pPr>
        <w:pStyle w:val="2"/>
        <w:keepNext w:val="0"/>
        <w:keepLines w:val="0"/>
        <w:pageBreakBefore w:val="0"/>
        <w:widowControl w:val="0"/>
        <w:numPr>
          <w:ilvl w:val="0"/>
          <w:numId w:val="0"/>
        </w:numPr>
        <w:kinsoku/>
        <w:wordWrap/>
        <w:overflowPunct/>
        <w:topLinePunct w:val="0"/>
        <w:bidi w:val="0"/>
        <w:adjustRightInd/>
        <w:snapToGrid/>
        <w:spacing w:before="0" w:line="600" w:lineRule="exact"/>
        <w:ind w:firstLine="640" w:firstLineChars="200"/>
        <w:textAlignment w:val="auto"/>
        <w:rPr>
          <w:rFonts w:hint="eastAsia" w:ascii="仿宋" w:hAnsi="仿宋" w:eastAsia="仿宋" w:cs="仿宋"/>
          <w:color w:val="auto"/>
          <w:kern w:val="0"/>
          <w:sz w:val="32"/>
          <w:szCs w:val="32"/>
          <w:highlight w:val="none"/>
          <w:shd w:val="clear" w:color="auto" w:fill="FFFFFF"/>
          <w:lang w:val="en-US" w:eastAsia="zh-CN"/>
        </w:rPr>
      </w:pPr>
      <w:r>
        <w:rPr>
          <w:rFonts w:hint="default" w:ascii="仿宋" w:hAnsi="仿宋" w:eastAsia="仿宋" w:cs="仿宋"/>
          <w:color w:val="auto"/>
          <w:kern w:val="0"/>
          <w:sz w:val="32"/>
          <w:szCs w:val="32"/>
          <w:highlight w:val="none"/>
          <w:shd w:val="clear" w:color="auto" w:fill="FFFFFF"/>
          <w:lang w:val="en-US" w:eastAsia="zh-CN" w:bidi="ar-SA"/>
        </w:rPr>
        <w:t>结合部门整体支出绩效评价指标体系内容和评分标准，经综合评价，该项指标得分为5分</w:t>
      </w:r>
      <w:r>
        <w:rPr>
          <w:rFonts w:hint="eastAsia" w:ascii="仿宋" w:hAnsi="仿宋" w:eastAsia="仿宋" w:cs="仿宋"/>
          <w:color w:val="auto"/>
          <w:kern w:val="0"/>
          <w:sz w:val="32"/>
          <w:szCs w:val="32"/>
          <w:highlight w:val="none"/>
          <w:shd w:val="clear" w:color="auto" w:fill="FFFFFF"/>
          <w:lang w:val="en-US" w:eastAsia="zh-CN" w:bidi="ar-SA"/>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 w:hAnsi="仿宋" w:eastAsia="仿宋" w:cs="仿宋"/>
          <w:b/>
          <w:bCs/>
          <w:color w:val="auto"/>
          <w:kern w:val="0"/>
          <w:sz w:val="32"/>
          <w:szCs w:val="32"/>
          <w:highlight w:val="none"/>
          <w:shd w:val="clear" w:color="auto" w:fill="FFFFFF"/>
          <w:lang w:val="en-US" w:eastAsia="zh-CN"/>
        </w:rPr>
      </w:pPr>
      <w:r>
        <w:rPr>
          <w:rFonts w:hint="eastAsia" w:ascii="仿宋" w:hAnsi="仿宋" w:eastAsia="仿宋" w:cs="仿宋"/>
          <w:b/>
          <w:bCs/>
          <w:color w:val="auto"/>
          <w:kern w:val="0"/>
          <w:sz w:val="32"/>
          <w:szCs w:val="32"/>
          <w:highlight w:val="none"/>
          <w:shd w:val="clear" w:color="auto" w:fill="FFFFFF"/>
          <w:lang w:val="en-US" w:eastAsia="zh-CN"/>
        </w:rPr>
        <w:t>5.服务对象</w:t>
      </w:r>
      <w:r>
        <w:rPr>
          <w:rFonts w:hint="eastAsia" w:ascii="仿宋" w:hAnsi="仿宋" w:eastAsia="仿宋" w:cs="仿宋"/>
          <w:b/>
          <w:bCs/>
          <w:color w:val="auto"/>
          <w:kern w:val="0"/>
          <w:sz w:val="32"/>
          <w:szCs w:val="32"/>
          <w:highlight w:val="none"/>
          <w:shd w:val="clear" w:color="auto" w:fill="FFFFFF"/>
          <w:lang w:val="en-US" w:eastAsia="zh-Hans"/>
        </w:rPr>
        <w:t>满意度</w:t>
      </w:r>
      <w:r>
        <w:rPr>
          <w:rFonts w:hint="eastAsia" w:ascii="仿宋" w:hAnsi="仿宋" w:eastAsia="仿宋" w:cs="仿宋"/>
          <w:b/>
          <w:bCs/>
          <w:color w:val="auto"/>
          <w:kern w:val="0"/>
          <w:sz w:val="32"/>
          <w:szCs w:val="32"/>
          <w:highlight w:val="none"/>
          <w:shd w:val="clear" w:color="auto" w:fill="FFFFFF"/>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对于服务对象满意度的评价，主要评价受益群众的满意度情况。针对社会群众发放20分调查问卷，回收20分，调查问卷有效率为100%，调查问卷经汇总统计后，按照如下方式计算分值：</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default"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①Ai=（Q1+Q2）/20</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Ai（i=1、2、3、…5）:调查问卷中的第i个题项满意度比例。</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Q1:同一对象问卷调查中的对应问题的满意份数。</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Q2:同一对象问卷调查中的对应问题的较满意分数。</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default"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②M=(A1+A2+A3+A4+A5)/5(i=1、2</w:t>
      </w:r>
      <w:r>
        <w:rPr>
          <w:rFonts w:hint="default" w:ascii="Arial" w:hAnsi="Arial" w:eastAsia="仿宋" w:cs="Arial"/>
          <w:color w:val="auto"/>
          <w:kern w:val="0"/>
          <w:sz w:val="32"/>
          <w:szCs w:val="32"/>
          <w:highlight w:val="none"/>
          <w:shd w:val="clear" w:color="auto" w:fill="FFFFFF"/>
          <w:lang w:val="en-US" w:eastAsia="zh-CN"/>
        </w:rPr>
        <w:t>…</w:t>
      </w:r>
      <w:r>
        <w:rPr>
          <w:rFonts w:hint="eastAsia" w:ascii="仿宋" w:hAnsi="仿宋" w:eastAsia="仿宋" w:cs="仿宋"/>
          <w:color w:val="auto"/>
          <w:kern w:val="0"/>
          <w:sz w:val="32"/>
          <w:szCs w:val="32"/>
          <w:highlight w:val="none"/>
          <w:shd w:val="clear" w:color="auto" w:fill="FFFFFF"/>
          <w:lang w:val="en-US" w:eastAsia="zh-CN"/>
        </w:rPr>
        <w:t>5)</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M:服务对象满意度比例。</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根据调查问卷收集情况相关数据和满意度调查分值计算公式统计如下：</w:t>
      </w:r>
    </w:p>
    <w:p>
      <w:pPr>
        <w:pStyle w:val="2"/>
        <w:rPr>
          <w:rFonts w:hint="eastAsia" w:ascii="仿宋" w:hAnsi="仿宋" w:eastAsia="仿宋" w:cs="仿宋"/>
          <w:color w:val="auto"/>
          <w:kern w:val="0"/>
          <w:sz w:val="32"/>
          <w:szCs w:val="32"/>
          <w:highlight w:val="none"/>
          <w:shd w:val="clear" w:color="auto" w:fill="FFFFFF"/>
          <w:lang w:val="en-US" w:eastAsia="zh-CN"/>
        </w:rPr>
      </w:pPr>
    </w:p>
    <w:p>
      <w:pPr>
        <w:pStyle w:val="2"/>
        <w:rPr>
          <w:rFonts w:hint="eastAsia" w:ascii="仿宋" w:hAnsi="仿宋" w:eastAsia="仿宋" w:cs="仿宋"/>
          <w:color w:val="auto"/>
          <w:kern w:val="0"/>
          <w:sz w:val="32"/>
          <w:szCs w:val="32"/>
          <w:highlight w:val="none"/>
          <w:shd w:val="clear" w:color="auto" w:fill="FFFFFF"/>
          <w:lang w:val="en-US" w:eastAsia="zh-CN"/>
        </w:rPr>
      </w:pPr>
    </w:p>
    <w:p>
      <w:pPr>
        <w:pStyle w:val="2"/>
        <w:rPr>
          <w:rFonts w:hint="eastAsia" w:ascii="仿宋" w:hAnsi="仿宋" w:eastAsia="仿宋" w:cs="仿宋"/>
          <w:color w:val="auto"/>
          <w:kern w:val="0"/>
          <w:sz w:val="32"/>
          <w:szCs w:val="32"/>
          <w:highlight w:val="none"/>
          <w:shd w:val="clear" w:color="auto" w:fill="FFFFFF"/>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jc w:val="center"/>
        <w:textAlignment w:val="auto"/>
        <w:rPr>
          <w:rFonts w:hint="eastAsia" w:ascii="仿宋" w:hAnsi="仿宋" w:eastAsia="仿宋" w:cs="仿宋"/>
          <w:b/>
          <w:bCs/>
          <w:color w:val="auto"/>
          <w:kern w:val="0"/>
          <w:sz w:val="28"/>
          <w:szCs w:val="28"/>
          <w:highlight w:val="none"/>
          <w:shd w:val="clear" w:color="auto" w:fill="FFFFFF"/>
          <w:lang w:val="en-US" w:eastAsia="zh-CN"/>
        </w:rPr>
      </w:pPr>
      <w:r>
        <w:rPr>
          <w:rFonts w:hint="eastAsia" w:ascii="仿宋" w:hAnsi="仿宋" w:eastAsia="仿宋" w:cs="仿宋"/>
          <w:b/>
          <w:bCs/>
          <w:color w:val="auto"/>
          <w:kern w:val="0"/>
          <w:sz w:val="28"/>
          <w:szCs w:val="28"/>
          <w:highlight w:val="none"/>
          <w:shd w:val="clear" w:color="auto" w:fill="FFFFFF"/>
          <w:lang w:val="en-US" w:eastAsia="zh-CN"/>
        </w:rPr>
        <w:t>表4-1  受益群众满意度调查问卷统计表</w:t>
      </w:r>
    </w:p>
    <w:tbl>
      <w:tblPr>
        <w:tblStyle w:val="15"/>
        <w:tblW w:w="4931" w:type="pct"/>
        <w:tblInd w:w="0" w:type="dxa"/>
        <w:shd w:val="clear" w:color="auto" w:fill="auto"/>
        <w:tblLayout w:type="autofit"/>
        <w:tblCellMar>
          <w:top w:w="0" w:type="dxa"/>
          <w:left w:w="0" w:type="dxa"/>
          <w:bottom w:w="0" w:type="dxa"/>
          <w:right w:w="0" w:type="dxa"/>
        </w:tblCellMar>
      </w:tblPr>
      <w:tblGrid>
        <w:gridCol w:w="3887"/>
        <w:gridCol w:w="1256"/>
        <w:gridCol w:w="850"/>
        <w:gridCol w:w="983"/>
        <w:gridCol w:w="866"/>
        <w:gridCol w:w="866"/>
      </w:tblGrid>
      <w:tr>
        <w:tblPrEx>
          <w:shd w:val="clear" w:color="auto" w:fill="auto"/>
          <w:tblCellMar>
            <w:top w:w="0" w:type="dxa"/>
            <w:left w:w="0" w:type="dxa"/>
            <w:bottom w:w="0" w:type="dxa"/>
            <w:right w:w="0" w:type="dxa"/>
          </w:tblCellMar>
        </w:tblPrEx>
        <w:trPr>
          <w:trHeight w:val="500" w:hRule="atLeast"/>
        </w:trPr>
        <w:tc>
          <w:tcPr>
            <w:tcW w:w="223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问题项</w:t>
            </w:r>
          </w:p>
        </w:tc>
        <w:tc>
          <w:tcPr>
            <w:tcW w:w="72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仿宋" w:hAnsi="仿宋" w:eastAsia="仿宋" w:cs="仿宋"/>
                <w:i w:val="0"/>
                <w:color w:val="000000"/>
                <w:sz w:val="24"/>
                <w:szCs w:val="24"/>
                <w:u w:val="none"/>
                <w:lang w:val="en-US"/>
              </w:rPr>
            </w:pPr>
            <w:r>
              <w:rPr>
                <w:rFonts w:hint="eastAsia" w:ascii="仿宋" w:hAnsi="仿宋" w:eastAsia="仿宋" w:cs="仿宋"/>
                <w:i w:val="0"/>
                <w:color w:val="000000"/>
                <w:kern w:val="0"/>
                <w:sz w:val="24"/>
                <w:szCs w:val="24"/>
                <w:u w:val="none"/>
                <w:lang w:val="en-US" w:eastAsia="zh-CN" w:bidi="ar"/>
              </w:rPr>
              <w:t>满意度比例</w:t>
            </w:r>
          </w:p>
        </w:tc>
        <w:tc>
          <w:tcPr>
            <w:tcW w:w="488"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满意</w:t>
            </w:r>
          </w:p>
        </w:tc>
        <w:tc>
          <w:tcPr>
            <w:tcW w:w="564"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比较满意</w:t>
            </w:r>
          </w:p>
        </w:tc>
        <w:tc>
          <w:tcPr>
            <w:tcW w:w="49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一般</w:t>
            </w:r>
          </w:p>
        </w:tc>
        <w:tc>
          <w:tcPr>
            <w:tcW w:w="49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不满意</w:t>
            </w:r>
          </w:p>
        </w:tc>
      </w:tr>
      <w:tr>
        <w:tblPrEx>
          <w:shd w:val="clear" w:color="auto" w:fill="auto"/>
          <w:tblCellMar>
            <w:top w:w="0" w:type="dxa"/>
            <w:left w:w="0" w:type="dxa"/>
            <w:bottom w:w="0" w:type="dxa"/>
            <w:right w:w="0" w:type="dxa"/>
          </w:tblCellMar>
        </w:tblPrEx>
        <w:trPr>
          <w:trHeight w:val="500" w:hRule="atLeast"/>
        </w:trPr>
        <w:tc>
          <w:tcPr>
            <w:tcW w:w="223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ind w:firstLine="480" w:firstLineChars="20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您对新区咸丰路街道办事处的工作整体效果感觉怎么样？</w:t>
            </w:r>
          </w:p>
        </w:tc>
        <w:tc>
          <w:tcPr>
            <w:tcW w:w="126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100.00%</w:t>
            </w:r>
          </w:p>
        </w:tc>
        <w:tc>
          <w:tcPr>
            <w:tcW w:w="85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19</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0</w:t>
            </w:r>
          </w:p>
        </w:tc>
        <w:tc>
          <w:tcPr>
            <w:tcW w:w="49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0</w:t>
            </w:r>
          </w:p>
        </w:tc>
      </w:tr>
      <w:tr>
        <w:tblPrEx>
          <w:shd w:val="clear" w:color="auto" w:fill="auto"/>
          <w:tblCellMar>
            <w:top w:w="0" w:type="dxa"/>
            <w:left w:w="0" w:type="dxa"/>
            <w:bottom w:w="0" w:type="dxa"/>
            <w:right w:w="0" w:type="dxa"/>
          </w:tblCellMar>
        </w:tblPrEx>
        <w:trPr>
          <w:trHeight w:val="500" w:hRule="atLeast"/>
        </w:trPr>
        <w:tc>
          <w:tcPr>
            <w:tcW w:w="223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ind w:firstLine="480" w:firstLineChars="20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您觉得辖区农村基础设施和公共服务设施的建设效果感觉怎么样？</w:t>
            </w:r>
          </w:p>
        </w:tc>
        <w:tc>
          <w:tcPr>
            <w:tcW w:w="126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95.00%</w:t>
            </w:r>
          </w:p>
        </w:tc>
        <w:tc>
          <w:tcPr>
            <w:tcW w:w="85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18</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w:t>
            </w:r>
          </w:p>
        </w:tc>
        <w:tc>
          <w:tcPr>
            <w:tcW w:w="49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0</w:t>
            </w:r>
          </w:p>
        </w:tc>
      </w:tr>
      <w:tr>
        <w:tblPrEx>
          <w:shd w:val="clear" w:color="auto" w:fill="auto"/>
          <w:tblCellMar>
            <w:top w:w="0" w:type="dxa"/>
            <w:left w:w="0" w:type="dxa"/>
            <w:bottom w:w="0" w:type="dxa"/>
            <w:right w:w="0" w:type="dxa"/>
          </w:tblCellMar>
        </w:tblPrEx>
        <w:trPr>
          <w:trHeight w:val="500" w:hRule="atLeast"/>
        </w:trPr>
        <w:tc>
          <w:tcPr>
            <w:tcW w:w="223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ind w:firstLine="480" w:firstLineChars="20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您觉得新区咸丰路街道办社会保障服务水平怎么样？</w:t>
            </w:r>
          </w:p>
        </w:tc>
        <w:tc>
          <w:tcPr>
            <w:tcW w:w="126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100.00%</w:t>
            </w:r>
          </w:p>
        </w:tc>
        <w:tc>
          <w:tcPr>
            <w:tcW w:w="85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19</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0</w:t>
            </w:r>
          </w:p>
        </w:tc>
        <w:tc>
          <w:tcPr>
            <w:tcW w:w="49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0</w:t>
            </w:r>
          </w:p>
        </w:tc>
      </w:tr>
      <w:tr>
        <w:tblPrEx>
          <w:shd w:val="clear" w:color="auto" w:fill="auto"/>
          <w:tblCellMar>
            <w:top w:w="0" w:type="dxa"/>
            <w:left w:w="0" w:type="dxa"/>
            <w:bottom w:w="0" w:type="dxa"/>
            <w:right w:w="0" w:type="dxa"/>
          </w:tblCellMar>
        </w:tblPrEx>
        <w:trPr>
          <w:trHeight w:val="500" w:hRule="atLeast"/>
        </w:trPr>
        <w:tc>
          <w:tcPr>
            <w:tcW w:w="223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ind w:firstLine="480" w:firstLineChars="20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您觉得新区咸丰路街道办疫情防控工作感觉怎么样？</w:t>
            </w:r>
          </w:p>
        </w:tc>
        <w:tc>
          <w:tcPr>
            <w:tcW w:w="126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100.00%</w:t>
            </w:r>
          </w:p>
        </w:tc>
        <w:tc>
          <w:tcPr>
            <w:tcW w:w="85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18</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0</w:t>
            </w:r>
          </w:p>
        </w:tc>
        <w:tc>
          <w:tcPr>
            <w:tcW w:w="49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0</w:t>
            </w:r>
          </w:p>
        </w:tc>
      </w:tr>
      <w:tr>
        <w:tblPrEx>
          <w:shd w:val="clear" w:color="auto" w:fill="auto"/>
          <w:tblCellMar>
            <w:top w:w="0" w:type="dxa"/>
            <w:left w:w="0" w:type="dxa"/>
            <w:bottom w:w="0" w:type="dxa"/>
            <w:right w:w="0" w:type="dxa"/>
          </w:tblCellMar>
        </w:tblPrEx>
        <w:trPr>
          <w:trHeight w:val="500" w:hRule="atLeast"/>
        </w:trPr>
        <w:tc>
          <w:tcPr>
            <w:tcW w:w="223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ind w:firstLine="480" w:firstLineChars="20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您觉得新区咸丰路街道生态环境保护感觉怎么样？</w:t>
            </w:r>
          </w:p>
        </w:tc>
        <w:tc>
          <w:tcPr>
            <w:tcW w:w="126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95.00%</w:t>
            </w:r>
          </w:p>
        </w:tc>
        <w:tc>
          <w:tcPr>
            <w:tcW w:w="85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19</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0</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w:t>
            </w:r>
          </w:p>
        </w:tc>
        <w:tc>
          <w:tcPr>
            <w:tcW w:w="49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0</w:t>
            </w:r>
          </w:p>
        </w:tc>
      </w:tr>
      <w:tr>
        <w:tblPrEx>
          <w:tblCellMar>
            <w:top w:w="0" w:type="dxa"/>
            <w:left w:w="0" w:type="dxa"/>
            <w:bottom w:w="0" w:type="dxa"/>
            <w:right w:w="0" w:type="dxa"/>
          </w:tblCellMar>
        </w:tblPrEx>
        <w:trPr>
          <w:trHeight w:val="500" w:hRule="atLeast"/>
        </w:trPr>
        <w:tc>
          <w:tcPr>
            <w:tcW w:w="223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default" w:ascii="仿宋" w:hAnsi="仿宋" w:eastAsia="仿宋" w:cs="仿宋"/>
                <w:i w:val="0"/>
                <w:color w:val="000000"/>
                <w:sz w:val="24"/>
                <w:szCs w:val="24"/>
                <w:u w:val="none"/>
                <w:lang w:val="en-US" w:eastAsia="zh-CN"/>
              </w:rPr>
            </w:pPr>
            <w:r>
              <w:rPr>
                <w:rFonts w:hint="eastAsia" w:ascii="仿宋" w:hAnsi="仿宋" w:eastAsia="仿宋" w:cs="仿宋"/>
                <w:i w:val="0"/>
                <w:color w:val="000000"/>
                <w:sz w:val="24"/>
                <w:szCs w:val="24"/>
                <w:u w:val="none"/>
                <w:lang w:val="en-US" w:eastAsia="zh-CN"/>
              </w:rPr>
              <w:t>满意度</w:t>
            </w:r>
          </w:p>
        </w:tc>
        <w:tc>
          <w:tcPr>
            <w:tcW w:w="126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98.00%</w:t>
            </w:r>
          </w:p>
        </w:tc>
        <w:tc>
          <w:tcPr>
            <w:tcW w:w="85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49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r>
    </w:tbl>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default"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根据绩效评价指标体系和满意度调查问卷数据统计情况和分值计算公式，新区咸丰路街道办事处受益群众满意度指标得分为5分。</w:t>
      </w:r>
    </w:p>
    <w:p>
      <w:pPr>
        <w:keepNext w:val="0"/>
        <w:keepLines w:val="0"/>
        <w:pageBreakBefore w:val="0"/>
        <w:widowControl w:val="0"/>
        <w:numPr>
          <w:ilvl w:val="0"/>
          <w:numId w:val="3"/>
        </w:numPr>
        <w:kinsoku/>
        <w:wordWrap/>
        <w:overflowPunct/>
        <w:topLinePunct w:val="0"/>
        <w:autoSpaceDE/>
        <w:autoSpaceDN/>
        <w:bidi w:val="0"/>
        <w:adjustRightInd/>
        <w:snapToGrid/>
        <w:spacing w:line="600" w:lineRule="exact"/>
        <w:ind w:firstLine="640" w:firstLineChars="200"/>
        <w:jc w:val="both"/>
        <w:textAlignment w:val="auto"/>
        <w:outlineLvl w:val="0"/>
        <w:rPr>
          <w:rFonts w:hint="eastAsia" w:ascii="黑体" w:hAnsi="黑体" w:eastAsia="黑体" w:cs="黑体"/>
          <w:b w:val="0"/>
          <w:bCs w:val="0"/>
          <w:color w:val="auto"/>
          <w:kern w:val="0"/>
          <w:sz w:val="32"/>
          <w:szCs w:val="32"/>
          <w:highlight w:val="none"/>
          <w:shd w:val="clear" w:color="auto" w:fill="FFFFFF"/>
          <w:lang w:val="en-US" w:eastAsia="zh-CN"/>
        </w:rPr>
      </w:pPr>
      <w:bookmarkStart w:id="26" w:name="_Toc16209"/>
      <w:r>
        <w:rPr>
          <w:rFonts w:hint="eastAsia" w:ascii="黑体" w:hAnsi="黑体" w:eastAsia="黑体" w:cs="黑体"/>
          <w:b w:val="0"/>
          <w:bCs w:val="0"/>
          <w:color w:val="auto"/>
          <w:kern w:val="0"/>
          <w:sz w:val="32"/>
          <w:szCs w:val="32"/>
          <w:highlight w:val="none"/>
          <w:shd w:val="clear" w:color="auto" w:fill="FFFFFF"/>
          <w:lang w:val="en-US" w:eastAsia="zh-CN"/>
        </w:rPr>
        <w:t>主要经验及做法</w:t>
      </w:r>
      <w:bookmarkEnd w:id="26"/>
    </w:p>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600" w:lineRule="exact"/>
        <w:ind w:firstLine="640" w:firstLineChars="200"/>
        <w:textAlignment w:val="auto"/>
        <w:rPr>
          <w:rFonts w:hint="default" w:ascii="仿宋" w:hAnsi="仿宋" w:eastAsia="仿宋" w:cs="仿宋"/>
          <w:color w:val="auto"/>
          <w:kern w:val="0"/>
          <w:sz w:val="32"/>
          <w:szCs w:val="32"/>
          <w:highlight w:val="none"/>
          <w:shd w:val="clear" w:color="auto" w:fill="FFFFFF"/>
          <w:lang w:val="en-US" w:eastAsia="zh-CN" w:bidi="ar-SA"/>
        </w:rPr>
      </w:pPr>
      <w:r>
        <w:rPr>
          <w:rFonts w:hint="eastAsia" w:ascii="仿宋" w:hAnsi="仿宋" w:eastAsia="仿宋" w:cs="仿宋"/>
          <w:color w:val="auto"/>
          <w:kern w:val="0"/>
          <w:sz w:val="32"/>
          <w:szCs w:val="32"/>
          <w:highlight w:val="none"/>
          <w:shd w:val="clear" w:color="auto" w:fill="FFFFFF"/>
          <w:lang w:val="en-US" w:eastAsia="zh-CN" w:bidi="ar-SA"/>
        </w:rPr>
        <w:t>通过对于2021年度新区咸丰路街道办事处部门整体支出从目标设定、预算配置、预算执行、预算管理、资产管理、职责履行和经济效益、社会效益、可持续影响、社会公众或服务对象满意度十个方面进行全面绩效评价，部门在如下方面有明显的突破和表现：</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default" w:ascii="仿宋" w:hAnsi="仿宋" w:eastAsia="仿宋" w:cs="仿宋"/>
          <w:color w:val="auto"/>
          <w:kern w:val="0"/>
          <w:sz w:val="32"/>
          <w:szCs w:val="32"/>
          <w:highlight w:val="none"/>
          <w:shd w:val="clear" w:color="auto" w:fill="FFFFFF"/>
          <w:lang w:val="en-US" w:eastAsia="zh-CN" w:bidi="ar-SA"/>
        </w:rPr>
      </w:pPr>
      <w:r>
        <w:rPr>
          <w:rFonts w:hint="eastAsia" w:ascii="仿宋" w:hAnsi="仿宋" w:eastAsia="仿宋" w:cs="仿宋"/>
          <w:color w:val="auto"/>
          <w:kern w:val="0"/>
          <w:sz w:val="32"/>
          <w:szCs w:val="32"/>
          <w:highlight w:val="none"/>
          <w:shd w:val="clear" w:color="auto" w:fill="FFFFFF"/>
          <w:lang w:val="en-US" w:eastAsia="zh-CN" w:bidi="ar-SA"/>
        </w:rPr>
        <w:t>1.预算执行监控工作开展良好。2021年度部门履职期间，根据财政相关要求，积极开展部门预算执行的监控和绩效自评管理工作，形成自评报告。有效保障部门预算全部执行完成，未出现结转结余资金。预算执行期间，部门制定了完善的财务管理制度，各项资金使用合规、审批程序规范完整。</w:t>
      </w:r>
    </w:p>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600" w:lineRule="exact"/>
        <w:ind w:firstLine="640" w:firstLineChars="200"/>
        <w:textAlignment w:val="auto"/>
        <w:rPr>
          <w:rFonts w:hint="default" w:ascii="仿宋" w:hAnsi="仿宋" w:eastAsia="仿宋" w:cs="仿宋"/>
          <w:color w:val="auto"/>
          <w:kern w:val="0"/>
          <w:sz w:val="32"/>
          <w:szCs w:val="32"/>
          <w:highlight w:val="none"/>
          <w:shd w:val="clear" w:color="auto" w:fill="FFFFFF"/>
          <w:lang w:val="en-US" w:eastAsia="zh-CN" w:bidi="ar-SA"/>
        </w:rPr>
      </w:pPr>
      <w:r>
        <w:rPr>
          <w:rFonts w:hint="eastAsia" w:ascii="仿宋" w:hAnsi="仿宋" w:eastAsia="仿宋" w:cs="仿宋"/>
          <w:color w:val="auto"/>
          <w:kern w:val="0"/>
          <w:sz w:val="32"/>
          <w:szCs w:val="32"/>
          <w:highlight w:val="none"/>
          <w:shd w:val="clear" w:color="auto" w:fill="FFFFFF"/>
          <w:lang w:val="en-US" w:eastAsia="zh-CN" w:bidi="ar-SA"/>
        </w:rPr>
        <w:t>2.履职效益显著。通过部门履职，不断壮大辖区内集体经济，实现辖区内规上工业总产值超过20亿元以上，有效增加固定资产投资25亿元以上，被市委市政府、军分区等不同相关部门授予“五强街办”“三八红旗集体”等多种荣誉称号，部门的履职，极大提升社会保障水平，推进公共服务水平提升，不断提高辖区居民生活幸福感和满足感，获得社会公众良好社会评价，辖区群众满意度较好。</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0"/>
        <w:rPr>
          <w:rFonts w:hint="eastAsia" w:ascii="黑体" w:hAnsi="黑体" w:eastAsia="黑体" w:cs="黑体"/>
          <w:b w:val="0"/>
          <w:bCs w:val="0"/>
          <w:color w:val="auto"/>
          <w:kern w:val="0"/>
          <w:sz w:val="32"/>
          <w:szCs w:val="32"/>
          <w:highlight w:val="none"/>
          <w:shd w:val="clear" w:color="auto" w:fill="FFFFFF"/>
          <w:lang w:val="en-US" w:eastAsia="zh-Hans"/>
        </w:rPr>
      </w:pPr>
      <w:bookmarkStart w:id="27" w:name="_Toc7003"/>
      <w:bookmarkStart w:id="28" w:name="_Toc1742944595_WPSOffice_Level3"/>
      <w:bookmarkStart w:id="29" w:name="_Toc1464939341_WPSOffice_Level3"/>
      <w:bookmarkStart w:id="30" w:name="_Toc315842793_WPSOffice_Level2"/>
      <w:r>
        <w:rPr>
          <w:rFonts w:hint="eastAsia" w:ascii="黑体" w:hAnsi="黑体" w:eastAsia="黑体" w:cs="黑体"/>
          <w:b w:val="0"/>
          <w:bCs w:val="0"/>
          <w:color w:val="auto"/>
          <w:kern w:val="0"/>
          <w:sz w:val="32"/>
          <w:szCs w:val="32"/>
          <w:highlight w:val="none"/>
          <w:shd w:val="clear" w:color="auto" w:fill="FFFFFF"/>
          <w:lang w:val="en-US" w:eastAsia="zh-CN"/>
        </w:rPr>
        <w:t>六、存在的问题</w:t>
      </w:r>
      <w:bookmarkEnd w:id="27"/>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9"/>
        <w:rPr>
          <w:rFonts w:hint="default" w:ascii="仿宋" w:hAnsi="仿宋" w:eastAsia="楷体" w:cs="仿宋"/>
          <w:color w:val="auto"/>
          <w:kern w:val="0"/>
          <w:sz w:val="32"/>
          <w:szCs w:val="32"/>
          <w:highlight w:val="none"/>
          <w:shd w:val="clear" w:color="auto" w:fill="FFFFFF"/>
          <w:lang w:val="en-US" w:eastAsia="zh-CN"/>
        </w:rPr>
      </w:pPr>
      <w:r>
        <w:rPr>
          <w:rFonts w:hint="eastAsia" w:ascii="楷体" w:hAnsi="楷体" w:eastAsia="楷体" w:cs="楷体"/>
          <w:b/>
          <w:bCs/>
          <w:color w:val="auto"/>
          <w:kern w:val="0"/>
          <w:sz w:val="32"/>
          <w:szCs w:val="32"/>
          <w:highlight w:val="none"/>
          <w:shd w:val="clear" w:color="auto" w:fill="FFFFFF"/>
          <w:lang w:val="en-US" w:eastAsia="zh-Hans"/>
        </w:rPr>
        <w:t>（</w:t>
      </w:r>
      <w:r>
        <w:rPr>
          <w:rFonts w:hint="eastAsia" w:ascii="楷体" w:hAnsi="楷体" w:eastAsia="楷体" w:cs="楷体"/>
          <w:b/>
          <w:bCs/>
          <w:color w:val="auto"/>
          <w:kern w:val="0"/>
          <w:sz w:val="32"/>
          <w:szCs w:val="32"/>
          <w:highlight w:val="none"/>
          <w:shd w:val="clear" w:color="auto" w:fill="FFFFFF"/>
          <w:lang w:val="en-US" w:eastAsia="zh-CN"/>
        </w:rPr>
        <w:t>一</w:t>
      </w:r>
      <w:r>
        <w:rPr>
          <w:rFonts w:hint="eastAsia" w:ascii="楷体" w:hAnsi="楷体" w:eastAsia="楷体" w:cs="楷体"/>
          <w:b/>
          <w:bCs/>
          <w:color w:val="auto"/>
          <w:kern w:val="0"/>
          <w:sz w:val="32"/>
          <w:szCs w:val="32"/>
          <w:highlight w:val="none"/>
          <w:shd w:val="clear" w:color="auto" w:fill="FFFFFF"/>
          <w:lang w:val="en-US" w:eastAsia="zh-Hans"/>
        </w:rPr>
        <w:t>）</w:t>
      </w:r>
      <w:r>
        <w:rPr>
          <w:rFonts w:hint="eastAsia" w:ascii="楷体" w:hAnsi="楷体" w:eastAsia="楷体" w:cs="楷体"/>
          <w:b/>
          <w:bCs/>
          <w:color w:val="auto"/>
          <w:kern w:val="0"/>
          <w:sz w:val="32"/>
          <w:szCs w:val="32"/>
          <w:highlight w:val="none"/>
          <w:shd w:val="clear" w:color="auto" w:fill="FFFFFF"/>
          <w:lang w:val="en-US" w:eastAsia="zh-CN"/>
        </w:rPr>
        <w:t>绩效目标管理工作有待加强</w:t>
      </w:r>
    </w:p>
    <w:bookmarkEnd w:id="28"/>
    <w:bookmarkEnd w:id="29"/>
    <w:bookmarkEnd w:id="30"/>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default"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根据2021年度部门整体绩效评价结果，部门年初编制部门综合预算内容和专项项目预算，同步编制和申报项目支出绩效目标。但未编制部门整体支出绩效目标体系，未根据部门中长期发展规划和部门职责，制定部门年度绩效目标。主要原因在于部门对绩效目标管理的重视程度和认知程度不足。随着预算绩效管理工作的不断完善，目前已完成项目绩效目标的全覆盖，但对于部门整体绩效目标的设定和管理有待加强。</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楷体" w:hAnsi="楷体" w:eastAsia="楷体" w:cs="楷体"/>
          <w:b/>
          <w:bCs/>
          <w:color w:val="auto"/>
          <w:kern w:val="0"/>
          <w:sz w:val="32"/>
          <w:szCs w:val="32"/>
          <w:highlight w:val="none"/>
          <w:shd w:val="clear" w:color="auto" w:fill="FFFFFF"/>
          <w:lang w:val="en-US" w:eastAsia="zh-CN"/>
        </w:rPr>
      </w:pPr>
      <w:r>
        <w:rPr>
          <w:rFonts w:hint="eastAsia" w:ascii="楷体" w:hAnsi="楷体" w:eastAsia="楷体" w:cs="楷体"/>
          <w:b/>
          <w:bCs/>
          <w:color w:val="auto"/>
          <w:kern w:val="0"/>
          <w:sz w:val="32"/>
          <w:szCs w:val="32"/>
          <w:highlight w:val="none"/>
          <w:shd w:val="clear" w:color="auto" w:fill="FFFFFF"/>
          <w:lang w:val="en-US" w:eastAsia="zh-CN"/>
        </w:rPr>
        <w:t>（二）需进一步努力控制重点行政成本</w:t>
      </w:r>
    </w:p>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600" w:lineRule="exact"/>
        <w:ind w:firstLine="640" w:firstLineChars="200"/>
        <w:textAlignment w:val="auto"/>
        <w:rPr>
          <w:rFonts w:hint="default"/>
          <w:lang w:val="en-US" w:eastAsia="zh-CN"/>
        </w:rPr>
      </w:pPr>
      <w:r>
        <w:rPr>
          <w:rFonts w:hint="eastAsia" w:ascii="仿宋" w:hAnsi="仿宋" w:eastAsia="仿宋" w:cs="仿宋"/>
          <w:color w:val="auto"/>
          <w:kern w:val="0"/>
          <w:sz w:val="32"/>
          <w:szCs w:val="32"/>
          <w:highlight w:val="none"/>
          <w:shd w:val="clear" w:color="auto" w:fill="FFFFFF"/>
          <w:lang w:val="en-US" w:eastAsia="zh-CN" w:bidi="ar-SA"/>
        </w:rPr>
        <w:t>2021年度部门“三公”经费预算安排相比2020年度未发生变动，部门对控制重点行政成本的努力程度需进一步加强。主要原因在于部门处于服务基层群众的第一线，与辖区群众直接接触，需要不断提升服务效率和工作效率，部门“三公”经费的预算安排主要用于公务用车运行维护费，为更好完成部门履职任务和上级部门下达的相关工作完成提供便利。</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9"/>
        <w:rPr>
          <w:rFonts w:hint="default" w:ascii="仿宋" w:hAnsi="仿宋" w:eastAsia="楷体" w:cs="仿宋"/>
          <w:color w:val="auto"/>
          <w:kern w:val="0"/>
          <w:sz w:val="32"/>
          <w:szCs w:val="32"/>
          <w:highlight w:val="none"/>
          <w:shd w:val="clear" w:color="auto" w:fill="FFFFFF"/>
          <w:lang w:val="en-US" w:eastAsia="zh-CN"/>
        </w:rPr>
      </w:pPr>
      <w:r>
        <w:rPr>
          <w:rFonts w:hint="eastAsia" w:ascii="楷体" w:hAnsi="楷体" w:eastAsia="楷体" w:cs="楷体"/>
          <w:b/>
          <w:bCs/>
          <w:color w:val="auto"/>
          <w:kern w:val="0"/>
          <w:sz w:val="32"/>
          <w:szCs w:val="32"/>
          <w:highlight w:val="none"/>
          <w:shd w:val="clear" w:color="auto" w:fill="FFFFFF"/>
          <w:lang w:val="en-US" w:eastAsia="zh-CN"/>
        </w:rPr>
        <w:t>（三）预算执行管理有待进一步强化</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default"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CN"/>
        </w:rPr>
        <w:t>部门在年度预算执行过程中，部门预算调整率达到50%。相关预算调整数据主要体现在部门年度决算数据和文件中，未发现预算调整的相关批复文件等资料。年度预算执行过程中，资金支付进度率有待提升，按照3月底、6月底、9月底和11月底四个时间节点序时支付进度为标准，时间段内的实际支付进度率全部低于100%，年末未出现资金结转结余，资金拨付主要集中在12月份。主要原因在于一是部门年初对于预算编制的合理性控制需进一步提升，相关预算编制多以历史标准为主，对年度工作计划所涉及的预算安排和资金测算重视度不足，预算执行过程中，发生的预算调整，多以临时性、突发性任务引起。二是在预算执行过程中缺乏合理的资金支付进度计划，对资金的合理进度支付缺乏系统的管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9"/>
        <w:rPr>
          <w:rFonts w:hint="default" w:ascii="楷体" w:hAnsi="楷体" w:eastAsia="楷体" w:cs="楷体"/>
          <w:b/>
          <w:bCs/>
          <w:color w:val="auto"/>
          <w:kern w:val="0"/>
          <w:sz w:val="32"/>
          <w:szCs w:val="32"/>
          <w:highlight w:val="none"/>
          <w:shd w:val="clear" w:color="auto" w:fill="FFFFFF"/>
          <w:lang w:val="en-US" w:eastAsia="zh-CN"/>
        </w:rPr>
      </w:pPr>
      <w:r>
        <w:rPr>
          <w:rFonts w:hint="eastAsia" w:ascii="楷体" w:hAnsi="楷体" w:eastAsia="楷体" w:cs="楷体"/>
          <w:b/>
          <w:bCs/>
          <w:color w:val="auto"/>
          <w:kern w:val="0"/>
          <w:sz w:val="32"/>
          <w:szCs w:val="32"/>
          <w:highlight w:val="none"/>
          <w:shd w:val="clear" w:color="auto" w:fill="FFFFFF"/>
          <w:lang w:val="en-US" w:eastAsia="zh-CN"/>
        </w:rPr>
        <w:t>（四</w:t>
      </w:r>
      <w:r>
        <w:rPr>
          <w:rFonts w:hint="eastAsia" w:ascii="楷体" w:hAnsi="楷体" w:eastAsia="楷体" w:cs="楷体"/>
          <w:b/>
          <w:bCs/>
          <w:color w:val="auto"/>
          <w:kern w:val="0"/>
          <w:sz w:val="32"/>
          <w:szCs w:val="32"/>
          <w:highlight w:val="none"/>
          <w:shd w:val="clear" w:color="auto" w:fill="FFFFFF"/>
          <w:lang w:val="en-US" w:eastAsia="zh-Hans"/>
        </w:rPr>
        <w:t>）</w:t>
      </w:r>
      <w:r>
        <w:rPr>
          <w:rFonts w:hint="eastAsia" w:ascii="楷体" w:hAnsi="楷体" w:eastAsia="楷体" w:cs="楷体"/>
          <w:b/>
          <w:bCs/>
          <w:color w:val="auto"/>
          <w:kern w:val="0"/>
          <w:sz w:val="32"/>
          <w:szCs w:val="32"/>
          <w:highlight w:val="none"/>
          <w:shd w:val="clear" w:color="auto" w:fill="FFFFFF"/>
          <w:lang w:val="en-US" w:eastAsia="zh-CN"/>
        </w:rPr>
        <w:t>部门公用经费控制需进一步提升</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default"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2021年度部门公用经费支出预算数为51.15万元，年终决算时，年度公用经费支出决算数据为118.46万元，公用经费相比年初预算安排，预算调整较大，实际支出较大幅度超出年初预算安排。主要原因在于部门对于运行成本控制的力度和措施有待提升，成本管理相关制度和体制机制有待完善。</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0"/>
        <w:rPr>
          <w:rFonts w:hint="eastAsia" w:ascii="黑体" w:hAnsi="黑体" w:eastAsia="黑体" w:cs="黑体"/>
          <w:b w:val="0"/>
          <w:bCs w:val="0"/>
          <w:color w:val="auto"/>
          <w:kern w:val="0"/>
          <w:sz w:val="32"/>
          <w:szCs w:val="32"/>
          <w:highlight w:val="none"/>
          <w:shd w:val="clear" w:color="auto" w:fill="FFFFFF"/>
          <w:lang w:val="en-US" w:eastAsia="zh-Hans"/>
        </w:rPr>
      </w:pPr>
      <w:bookmarkStart w:id="31" w:name="_Toc28892"/>
      <w:r>
        <w:rPr>
          <w:rFonts w:hint="eastAsia" w:ascii="黑体" w:hAnsi="黑体" w:eastAsia="黑体" w:cs="黑体"/>
          <w:b w:val="0"/>
          <w:bCs w:val="0"/>
          <w:color w:val="auto"/>
          <w:kern w:val="0"/>
          <w:sz w:val="32"/>
          <w:szCs w:val="32"/>
          <w:highlight w:val="none"/>
          <w:shd w:val="clear" w:color="auto" w:fill="FFFFFF"/>
          <w:lang w:val="en-US" w:eastAsia="zh-CN"/>
        </w:rPr>
        <w:t>七</w:t>
      </w:r>
      <w:r>
        <w:rPr>
          <w:rFonts w:hint="eastAsia" w:ascii="黑体" w:hAnsi="黑体" w:eastAsia="黑体" w:cs="黑体"/>
          <w:b w:val="0"/>
          <w:bCs w:val="0"/>
          <w:color w:val="auto"/>
          <w:kern w:val="0"/>
          <w:sz w:val="32"/>
          <w:szCs w:val="32"/>
          <w:highlight w:val="none"/>
          <w:shd w:val="clear" w:color="auto" w:fill="FFFFFF"/>
          <w:lang w:val="en-US" w:eastAsia="zh-Hans"/>
        </w:rPr>
        <w:t>、相关建议</w:t>
      </w:r>
      <w:bookmarkEnd w:id="31"/>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9"/>
        <w:rPr>
          <w:rFonts w:hint="default" w:ascii="仿宋" w:hAnsi="仿宋" w:eastAsia="楷体" w:cs="仿宋"/>
          <w:color w:val="auto"/>
          <w:kern w:val="0"/>
          <w:sz w:val="32"/>
          <w:szCs w:val="32"/>
          <w:highlight w:val="none"/>
          <w:shd w:val="clear" w:color="auto" w:fill="FFFFFF"/>
          <w:lang w:val="en-US" w:eastAsia="zh-CN"/>
        </w:rPr>
      </w:pPr>
      <w:bookmarkStart w:id="32" w:name="_Toc1462379935_WPSOffice_Level2"/>
      <w:bookmarkStart w:id="33" w:name="_Toc994383943_WPSOffice_Level2"/>
      <w:bookmarkStart w:id="34" w:name="_Toc842199943_WPSOffice_Level2"/>
      <w:r>
        <w:rPr>
          <w:rFonts w:hint="eastAsia" w:ascii="楷体" w:hAnsi="楷体" w:eastAsia="楷体" w:cs="楷体"/>
          <w:b/>
          <w:bCs/>
          <w:color w:val="auto"/>
          <w:kern w:val="0"/>
          <w:sz w:val="32"/>
          <w:szCs w:val="32"/>
          <w:highlight w:val="none"/>
          <w:shd w:val="clear" w:color="auto" w:fill="FFFFFF"/>
          <w:lang w:val="en-US" w:eastAsia="zh-Hans"/>
        </w:rPr>
        <w:t>（</w:t>
      </w:r>
      <w:r>
        <w:rPr>
          <w:rFonts w:hint="eastAsia" w:ascii="楷体" w:hAnsi="楷体" w:eastAsia="楷体" w:cs="楷体"/>
          <w:b/>
          <w:bCs/>
          <w:color w:val="auto"/>
          <w:kern w:val="0"/>
          <w:sz w:val="32"/>
          <w:szCs w:val="32"/>
          <w:highlight w:val="none"/>
          <w:shd w:val="clear" w:color="auto" w:fill="FFFFFF"/>
          <w:lang w:val="en-US" w:eastAsia="zh-CN"/>
        </w:rPr>
        <w:t>一</w:t>
      </w:r>
      <w:r>
        <w:rPr>
          <w:rFonts w:hint="eastAsia" w:ascii="楷体" w:hAnsi="楷体" w:eastAsia="楷体" w:cs="楷体"/>
          <w:b/>
          <w:bCs/>
          <w:color w:val="auto"/>
          <w:kern w:val="0"/>
          <w:sz w:val="32"/>
          <w:szCs w:val="32"/>
          <w:highlight w:val="none"/>
          <w:shd w:val="clear" w:color="auto" w:fill="FFFFFF"/>
          <w:lang w:val="en-US" w:eastAsia="zh-Hans"/>
        </w:rPr>
        <w:t>）</w:t>
      </w:r>
      <w:r>
        <w:rPr>
          <w:rFonts w:hint="eastAsia" w:ascii="楷体" w:hAnsi="楷体" w:eastAsia="楷体" w:cs="楷体"/>
          <w:b/>
          <w:bCs/>
          <w:color w:val="auto"/>
          <w:kern w:val="0"/>
          <w:sz w:val="32"/>
          <w:szCs w:val="32"/>
          <w:highlight w:val="none"/>
          <w:shd w:val="clear" w:color="auto" w:fill="FFFFFF"/>
          <w:lang w:val="en-US" w:eastAsia="zh-CN"/>
        </w:rPr>
        <w:t>完善部门预算绩效管理体制机制</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default"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建议预算部门加强绩效目标管理工作，成立部门预算绩效管理工作组，为实施全过程预算绩效管理做好组织保障和人员配置。做好部门相关人员预算绩效管理培训工作，重点加强绩效目标管理培训，掌握绩效目标设定原则和设定标准，充分考量绩效目标内容全面性、目标合理性、指标明确性、数据可得性等多方面，加强部门内部绩效目标自审核，提升绩效目标的科学性、完整性。强化预算部门融合预算绩效管理思想，不断提升预算绩效管理意识，建立“支出必问效”的财政支出理念，不断提升财政支出效率、优化财政支出结构。</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9"/>
        <w:rPr>
          <w:rFonts w:hint="default" w:ascii="楷体" w:hAnsi="楷体" w:eastAsia="楷体" w:cs="楷体"/>
          <w:b/>
          <w:bCs/>
          <w:color w:val="auto"/>
          <w:kern w:val="0"/>
          <w:sz w:val="32"/>
          <w:szCs w:val="32"/>
          <w:highlight w:val="none"/>
          <w:shd w:val="clear" w:color="auto" w:fill="FFFFFF"/>
          <w:lang w:val="en-US" w:eastAsia="zh-CN"/>
        </w:rPr>
      </w:pPr>
      <w:r>
        <w:rPr>
          <w:rFonts w:hint="eastAsia" w:ascii="楷体" w:hAnsi="楷体" w:eastAsia="楷体" w:cs="楷体"/>
          <w:b/>
          <w:bCs/>
          <w:color w:val="auto"/>
          <w:kern w:val="0"/>
          <w:sz w:val="32"/>
          <w:szCs w:val="32"/>
          <w:highlight w:val="none"/>
          <w:shd w:val="clear" w:color="auto" w:fill="FFFFFF"/>
          <w:lang w:val="en-US" w:eastAsia="zh-Hans"/>
        </w:rPr>
        <w:t>（二）</w:t>
      </w:r>
      <w:r>
        <w:rPr>
          <w:rFonts w:hint="eastAsia" w:ascii="楷体" w:hAnsi="楷体" w:eastAsia="楷体" w:cs="楷体"/>
          <w:b/>
          <w:bCs/>
          <w:color w:val="auto"/>
          <w:kern w:val="0"/>
          <w:sz w:val="32"/>
          <w:szCs w:val="32"/>
          <w:highlight w:val="none"/>
          <w:shd w:val="clear" w:color="auto" w:fill="FFFFFF"/>
          <w:lang w:val="en-US" w:eastAsia="zh-CN"/>
        </w:rPr>
        <w:t>深化预算执行监控，加强预算调整管理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default"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建议预算部门建立健全预算执行监控体制机制，针对预算执行进度和绩效目标实现程度开展监控，落实部门预算执行监控主体责任，加强部门“日常监控”+“重点监控”双监控机制，定期进行预算执行监控分析。主要从两个方面和维度进行监控，一是预算执行进度和绩效目标实现程度。二是对部门预算调整和年初预算偏离情况进行系统监控，根据预算调整内容，按照预算绩效管理相关政策文件、管理办法实行规范管理。建立部门预算调整管理制度，对于需要做资金调整的项目尽快及时调整，并同步调整预算和绩效目标内容。财政部门加强对预算部门重点监控，对出现预算执行偏差严重情况，重点监控，分析原因，督促整改，后续进行重点监控和定期汇报。通过预算执行监控机制，不断提升预算资金使用效率，优化财政支出结构。</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9"/>
        <w:rPr>
          <w:rFonts w:hint="default" w:ascii="楷体" w:hAnsi="楷体" w:eastAsia="楷体" w:cs="楷体"/>
          <w:b/>
          <w:bCs/>
          <w:color w:val="auto"/>
          <w:kern w:val="0"/>
          <w:sz w:val="32"/>
          <w:szCs w:val="32"/>
          <w:highlight w:val="none"/>
          <w:shd w:val="clear" w:color="auto" w:fill="FFFFFF"/>
          <w:lang w:val="en-US" w:eastAsia="zh-CN"/>
        </w:rPr>
      </w:pPr>
      <w:r>
        <w:rPr>
          <w:rFonts w:hint="eastAsia" w:ascii="楷体" w:hAnsi="楷体" w:eastAsia="楷体" w:cs="楷体"/>
          <w:b/>
          <w:bCs/>
          <w:color w:val="auto"/>
          <w:kern w:val="0"/>
          <w:sz w:val="32"/>
          <w:szCs w:val="32"/>
          <w:highlight w:val="none"/>
          <w:shd w:val="clear" w:color="auto" w:fill="FFFFFF"/>
          <w:lang w:val="en-US" w:eastAsia="zh-Hans"/>
        </w:rPr>
        <w:t>（三）</w:t>
      </w:r>
      <w:r>
        <w:rPr>
          <w:rFonts w:hint="eastAsia" w:ascii="楷体" w:hAnsi="楷体" w:eastAsia="楷体" w:cs="楷体"/>
          <w:b/>
          <w:bCs/>
          <w:color w:val="auto"/>
          <w:kern w:val="0"/>
          <w:sz w:val="32"/>
          <w:szCs w:val="32"/>
          <w:highlight w:val="none"/>
          <w:shd w:val="clear" w:color="auto" w:fill="FFFFFF"/>
          <w:lang w:val="en-US" w:eastAsia="zh-CN"/>
        </w:rPr>
        <w:t>加强部门成本控制，落实“过紧日子”思想</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default"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建议部门不断加强“公用经费”、“三公经费”等费用支出控制，在保障工作效率和服务效果的基础上，提升重点行政运行成本的努力程度。不断完善财务管理制度，建立部门成本管控制度和管理机制，提升部门成本管控力度，优化财政资源分配结构。避免出现超预算支出、过度支出等情况。</w:t>
      </w:r>
      <w:bookmarkEnd w:id="32"/>
      <w:bookmarkEnd w:id="33"/>
      <w:bookmarkEnd w:id="34"/>
      <w:r>
        <w:rPr>
          <w:rFonts w:hint="eastAsia" w:ascii="仿宋" w:hAnsi="仿宋" w:eastAsia="仿宋" w:cs="仿宋"/>
          <w:color w:val="auto"/>
          <w:kern w:val="0"/>
          <w:sz w:val="32"/>
          <w:szCs w:val="32"/>
          <w:highlight w:val="none"/>
          <w:shd w:val="clear" w:color="auto" w:fill="FFFFFF"/>
          <w:lang w:val="en-US" w:eastAsia="zh-CN"/>
        </w:rPr>
        <w:t>在保部门运转的基础上，合理控制运行成本支出，增加重点项目、重点工作支出安排，提升财政资金使用效益。</w:t>
      </w:r>
    </w:p>
    <w:p>
      <w:pPr>
        <w:widowControl w:val="0"/>
        <w:numPr>
          <w:ilvl w:val="0"/>
          <w:numId w:val="0"/>
        </w:numPr>
        <w:jc w:val="both"/>
        <w:outlineLvl w:val="0"/>
        <w:rPr>
          <w:rFonts w:hint="eastAsia" w:ascii="黑体" w:hAnsi="黑体" w:eastAsia="黑体" w:cs="黑体"/>
          <w:color w:val="auto"/>
          <w:kern w:val="0"/>
          <w:sz w:val="32"/>
          <w:szCs w:val="32"/>
          <w:highlight w:val="none"/>
          <w:shd w:val="clear" w:color="auto" w:fill="FFFFFF"/>
          <w:lang w:val="en-US" w:eastAsia="zh-CN"/>
        </w:rPr>
      </w:pPr>
      <w:bookmarkStart w:id="35" w:name="_Toc7790"/>
    </w:p>
    <w:p>
      <w:pPr>
        <w:widowControl w:val="0"/>
        <w:numPr>
          <w:ilvl w:val="0"/>
          <w:numId w:val="0"/>
        </w:numPr>
        <w:jc w:val="both"/>
        <w:outlineLvl w:val="0"/>
        <w:rPr>
          <w:rFonts w:hint="eastAsia" w:ascii="黑体" w:hAnsi="黑体" w:eastAsia="黑体" w:cs="黑体"/>
          <w:color w:val="auto"/>
          <w:kern w:val="0"/>
          <w:sz w:val="32"/>
          <w:szCs w:val="32"/>
          <w:highlight w:val="none"/>
          <w:shd w:val="clear" w:color="auto" w:fill="FFFFFF"/>
          <w:lang w:val="en-US" w:eastAsia="zh-CN"/>
        </w:rPr>
      </w:pPr>
    </w:p>
    <w:p>
      <w:pPr>
        <w:widowControl w:val="0"/>
        <w:numPr>
          <w:ilvl w:val="0"/>
          <w:numId w:val="0"/>
        </w:numPr>
        <w:jc w:val="both"/>
        <w:outlineLvl w:val="0"/>
        <w:rPr>
          <w:rFonts w:hint="eastAsia" w:ascii="黑体" w:hAnsi="黑体" w:eastAsia="黑体" w:cs="黑体"/>
          <w:color w:val="auto"/>
          <w:kern w:val="0"/>
          <w:sz w:val="32"/>
          <w:szCs w:val="32"/>
          <w:highlight w:val="none"/>
          <w:shd w:val="clear" w:color="auto" w:fill="FFFFFF"/>
          <w:lang w:val="en-US" w:eastAsia="zh-CN"/>
        </w:rPr>
      </w:pPr>
    </w:p>
    <w:p>
      <w:pPr>
        <w:widowControl w:val="0"/>
        <w:numPr>
          <w:ilvl w:val="0"/>
          <w:numId w:val="0"/>
        </w:numPr>
        <w:jc w:val="both"/>
        <w:outlineLvl w:val="0"/>
        <w:rPr>
          <w:rFonts w:hint="eastAsia" w:ascii="黑体" w:hAnsi="黑体" w:eastAsia="黑体" w:cs="黑体"/>
          <w:color w:val="auto"/>
          <w:kern w:val="0"/>
          <w:sz w:val="32"/>
          <w:szCs w:val="32"/>
          <w:highlight w:val="none"/>
          <w:shd w:val="clear" w:color="auto" w:fill="FFFFFF"/>
          <w:lang w:val="en-US" w:eastAsia="zh-CN"/>
        </w:rPr>
      </w:pPr>
    </w:p>
    <w:p>
      <w:pPr>
        <w:widowControl w:val="0"/>
        <w:numPr>
          <w:ilvl w:val="0"/>
          <w:numId w:val="0"/>
        </w:numPr>
        <w:jc w:val="both"/>
        <w:outlineLvl w:val="0"/>
        <w:rPr>
          <w:rFonts w:hint="eastAsia" w:ascii="黑体" w:hAnsi="黑体" w:eastAsia="黑体" w:cs="黑体"/>
          <w:color w:val="auto"/>
          <w:kern w:val="0"/>
          <w:sz w:val="32"/>
          <w:szCs w:val="32"/>
          <w:highlight w:val="none"/>
          <w:shd w:val="clear" w:color="auto" w:fill="FFFFFF"/>
          <w:lang w:val="en-US" w:eastAsia="zh-CN"/>
        </w:rPr>
      </w:pPr>
    </w:p>
    <w:p>
      <w:pPr>
        <w:widowControl w:val="0"/>
        <w:numPr>
          <w:ilvl w:val="0"/>
          <w:numId w:val="0"/>
        </w:numPr>
        <w:jc w:val="both"/>
        <w:outlineLvl w:val="0"/>
        <w:rPr>
          <w:rFonts w:hint="eastAsia" w:ascii="黑体" w:hAnsi="黑体" w:eastAsia="黑体" w:cs="黑体"/>
          <w:color w:val="auto"/>
          <w:kern w:val="0"/>
          <w:sz w:val="32"/>
          <w:szCs w:val="32"/>
          <w:highlight w:val="none"/>
          <w:shd w:val="clear" w:color="auto" w:fill="FFFFFF"/>
          <w:lang w:val="en-US" w:eastAsia="zh-CN"/>
        </w:rPr>
      </w:pPr>
    </w:p>
    <w:p>
      <w:pPr>
        <w:widowControl w:val="0"/>
        <w:numPr>
          <w:ilvl w:val="0"/>
          <w:numId w:val="0"/>
        </w:numPr>
        <w:jc w:val="both"/>
        <w:outlineLvl w:val="0"/>
        <w:rPr>
          <w:rFonts w:hint="eastAsia" w:ascii="黑体" w:hAnsi="黑体" w:eastAsia="黑体" w:cs="黑体"/>
          <w:color w:val="auto"/>
          <w:kern w:val="0"/>
          <w:sz w:val="32"/>
          <w:szCs w:val="32"/>
          <w:highlight w:val="none"/>
          <w:shd w:val="clear" w:color="auto" w:fill="FFFFFF"/>
          <w:lang w:val="en-US" w:eastAsia="zh-CN"/>
        </w:rPr>
      </w:pPr>
    </w:p>
    <w:p>
      <w:pPr>
        <w:widowControl w:val="0"/>
        <w:numPr>
          <w:ilvl w:val="0"/>
          <w:numId w:val="0"/>
        </w:numPr>
        <w:jc w:val="both"/>
        <w:outlineLvl w:val="0"/>
        <w:rPr>
          <w:rFonts w:hint="eastAsia" w:ascii="黑体" w:hAnsi="黑体" w:eastAsia="黑体" w:cs="黑体"/>
          <w:color w:val="auto"/>
          <w:kern w:val="0"/>
          <w:sz w:val="32"/>
          <w:szCs w:val="32"/>
          <w:highlight w:val="none"/>
          <w:shd w:val="clear" w:color="auto" w:fill="FFFFFF"/>
          <w:lang w:val="en-US" w:eastAsia="zh-CN"/>
        </w:rPr>
      </w:pPr>
    </w:p>
    <w:p>
      <w:pPr>
        <w:widowControl w:val="0"/>
        <w:numPr>
          <w:ilvl w:val="0"/>
          <w:numId w:val="0"/>
        </w:numPr>
        <w:jc w:val="both"/>
        <w:outlineLvl w:val="0"/>
        <w:rPr>
          <w:rFonts w:hint="eastAsia" w:ascii="黑体" w:hAnsi="黑体" w:eastAsia="黑体" w:cs="黑体"/>
          <w:color w:val="auto"/>
          <w:kern w:val="0"/>
          <w:sz w:val="32"/>
          <w:szCs w:val="32"/>
          <w:highlight w:val="none"/>
          <w:shd w:val="clear" w:color="auto" w:fill="FFFFFF"/>
          <w:lang w:val="en-US" w:eastAsia="zh-CN"/>
        </w:rPr>
      </w:pPr>
    </w:p>
    <w:p>
      <w:pPr>
        <w:widowControl w:val="0"/>
        <w:numPr>
          <w:ilvl w:val="0"/>
          <w:numId w:val="0"/>
        </w:numPr>
        <w:jc w:val="both"/>
        <w:outlineLvl w:val="0"/>
        <w:rPr>
          <w:rFonts w:hint="eastAsia" w:ascii="黑体" w:hAnsi="黑体" w:eastAsia="黑体" w:cs="黑体"/>
          <w:color w:val="auto"/>
          <w:kern w:val="0"/>
          <w:sz w:val="32"/>
          <w:szCs w:val="32"/>
          <w:highlight w:val="none"/>
          <w:shd w:val="clear" w:color="auto" w:fill="FFFFFF"/>
          <w:lang w:val="en-US" w:eastAsia="zh-CN"/>
        </w:rPr>
      </w:pPr>
    </w:p>
    <w:p>
      <w:pPr>
        <w:widowControl w:val="0"/>
        <w:numPr>
          <w:ilvl w:val="0"/>
          <w:numId w:val="0"/>
        </w:numPr>
        <w:jc w:val="both"/>
        <w:outlineLvl w:val="0"/>
        <w:rPr>
          <w:rFonts w:hint="eastAsia" w:ascii="黑体" w:hAnsi="黑体" w:eastAsia="黑体" w:cs="黑体"/>
          <w:color w:val="auto"/>
          <w:kern w:val="0"/>
          <w:sz w:val="32"/>
          <w:szCs w:val="32"/>
          <w:highlight w:val="none"/>
          <w:shd w:val="clear" w:color="auto" w:fill="FFFFFF"/>
          <w:lang w:val="en-US" w:eastAsia="zh-CN"/>
        </w:rPr>
      </w:pPr>
    </w:p>
    <w:p>
      <w:pPr>
        <w:widowControl w:val="0"/>
        <w:numPr>
          <w:ilvl w:val="0"/>
          <w:numId w:val="0"/>
        </w:numPr>
        <w:jc w:val="both"/>
        <w:outlineLvl w:val="0"/>
        <w:rPr>
          <w:rFonts w:hint="eastAsia" w:ascii="黑体" w:hAnsi="黑体" w:eastAsia="黑体" w:cs="黑体"/>
          <w:color w:val="auto"/>
          <w:kern w:val="0"/>
          <w:sz w:val="32"/>
          <w:szCs w:val="32"/>
          <w:highlight w:val="none"/>
          <w:shd w:val="clear" w:color="auto" w:fill="FFFFFF"/>
          <w:lang w:val="en-US" w:eastAsia="zh-CN"/>
        </w:rPr>
      </w:pPr>
    </w:p>
    <w:p>
      <w:pPr>
        <w:widowControl w:val="0"/>
        <w:numPr>
          <w:ilvl w:val="0"/>
          <w:numId w:val="0"/>
        </w:numPr>
        <w:jc w:val="both"/>
        <w:outlineLvl w:val="0"/>
        <w:rPr>
          <w:rFonts w:hint="eastAsia" w:ascii="黑体" w:hAnsi="黑体" w:eastAsia="黑体" w:cs="黑体"/>
          <w:color w:val="auto"/>
          <w:kern w:val="0"/>
          <w:sz w:val="32"/>
          <w:szCs w:val="32"/>
          <w:highlight w:val="none"/>
          <w:shd w:val="clear" w:color="auto" w:fill="FFFFFF"/>
          <w:lang w:val="en-US" w:eastAsia="zh-CN"/>
        </w:rPr>
        <w:sectPr>
          <w:footerReference r:id="rId5" w:type="default"/>
          <w:pgSz w:w="11910" w:h="16840"/>
          <w:pgMar w:top="2098" w:right="1474" w:bottom="1984" w:left="1587" w:header="1017" w:footer="1206" w:gutter="0"/>
          <w:pgNumType w:fmt="numberInDash"/>
          <w:cols w:equalWidth="0" w:num="1">
            <w:col w:w="8810"/>
          </w:cols>
          <w:docGrid w:linePitch="326" w:charSpace="0"/>
        </w:sectPr>
      </w:pPr>
    </w:p>
    <w:p>
      <w:pPr>
        <w:widowControl w:val="0"/>
        <w:numPr>
          <w:ilvl w:val="0"/>
          <w:numId w:val="0"/>
        </w:numPr>
        <w:jc w:val="both"/>
        <w:outlineLvl w:val="0"/>
        <w:rPr>
          <w:rFonts w:hint="eastAsia" w:ascii="黑体" w:hAnsi="黑体" w:eastAsia="黑体" w:cs="黑体"/>
          <w:color w:val="auto"/>
          <w:kern w:val="0"/>
          <w:sz w:val="32"/>
          <w:szCs w:val="32"/>
          <w:highlight w:val="none"/>
          <w:shd w:val="clear" w:color="auto" w:fill="FFFFFF"/>
          <w:lang w:val="en-US" w:eastAsia="zh-CN"/>
        </w:rPr>
      </w:pPr>
      <w:r>
        <w:rPr>
          <w:rFonts w:hint="eastAsia" w:ascii="黑体" w:hAnsi="黑体" w:eastAsia="黑体" w:cs="黑体"/>
          <w:color w:val="auto"/>
          <w:kern w:val="0"/>
          <w:sz w:val="32"/>
          <w:szCs w:val="32"/>
          <w:highlight w:val="none"/>
          <w:shd w:val="clear" w:color="auto" w:fill="FFFFFF"/>
          <w:lang w:val="en-US" w:eastAsia="zh-CN"/>
        </w:rPr>
        <w:t>附件1评价工作底稿</w:t>
      </w:r>
      <w:bookmarkEnd w:id="35"/>
    </w:p>
    <w:p>
      <w:pPr>
        <w:pStyle w:val="2"/>
        <w:rPr>
          <w:rFonts w:hint="eastAsia"/>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640" w:lineRule="exact"/>
        <w:jc w:val="center"/>
        <w:textAlignment w:val="auto"/>
        <w:rPr>
          <w:rFonts w:hint="eastAsia" w:ascii="宋体" w:hAnsi="宋体" w:eastAsia="宋体" w:cs="宋体"/>
          <w:b/>
          <w:bCs/>
          <w:color w:val="auto"/>
          <w:kern w:val="0"/>
          <w:sz w:val="36"/>
          <w:szCs w:val="36"/>
          <w:highlight w:val="none"/>
          <w:shd w:val="clear" w:color="auto" w:fill="FFFFFF"/>
          <w:lang w:val="en-US" w:eastAsia="zh-Hans"/>
        </w:rPr>
      </w:pPr>
      <w:r>
        <w:rPr>
          <w:rFonts w:hint="eastAsia" w:ascii="宋体" w:hAnsi="宋体" w:eastAsia="宋体" w:cs="宋体"/>
          <w:b/>
          <w:bCs/>
          <w:color w:val="auto"/>
          <w:kern w:val="0"/>
          <w:sz w:val="36"/>
          <w:szCs w:val="36"/>
          <w:highlight w:val="none"/>
          <w:shd w:val="clear" w:color="auto" w:fill="FFFFFF"/>
          <w:lang w:val="en-US" w:eastAsia="zh-Hans"/>
        </w:rPr>
        <w:t>202</w:t>
      </w:r>
      <w:r>
        <w:rPr>
          <w:rFonts w:hint="eastAsia" w:cs="宋体"/>
          <w:b/>
          <w:bCs/>
          <w:color w:val="auto"/>
          <w:kern w:val="0"/>
          <w:sz w:val="36"/>
          <w:szCs w:val="36"/>
          <w:highlight w:val="none"/>
          <w:shd w:val="clear" w:color="auto" w:fill="FFFFFF"/>
          <w:lang w:val="en-US" w:eastAsia="zh-CN"/>
        </w:rPr>
        <w:t>1</w:t>
      </w:r>
      <w:r>
        <w:rPr>
          <w:rFonts w:hint="eastAsia" w:ascii="宋体" w:hAnsi="宋体" w:eastAsia="宋体" w:cs="宋体"/>
          <w:b/>
          <w:bCs/>
          <w:color w:val="auto"/>
          <w:kern w:val="0"/>
          <w:sz w:val="36"/>
          <w:szCs w:val="36"/>
          <w:highlight w:val="none"/>
          <w:shd w:val="clear" w:color="auto" w:fill="FFFFFF"/>
          <w:lang w:val="en-US" w:eastAsia="zh-Hans"/>
        </w:rPr>
        <w:t>年度铜川市</w:t>
      </w:r>
      <w:r>
        <w:rPr>
          <w:rFonts w:hint="eastAsia" w:cs="宋体"/>
          <w:b/>
          <w:bCs/>
          <w:color w:val="auto"/>
          <w:kern w:val="0"/>
          <w:sz w:val="36"/>
          <w:szCs w:val="36"/>
          <w:highlight w:val="none"/>
          <w:shd w:val="clear" w:color="auto" w:fill="FFFFFF"/>
          <w:lang w:val="en-US" w:eastAsia="zh-CN"/>
        </w:rPr>
        <w:t>新区咸丰路街道办事处部门</w:t>
      </w:r>
      <w:r>
        <w:rPr>
          <w:rFonts w:hint="eastAsia" w:ascii="宋体" w:hAnsi="宋体" w:eastAsia="宋体" w:cs="宋体"/>
          <w:b/>
          <w:bCs/>
          <w:color w:val="auto"/>
          <w:kern w:val="0"/>
          <w:sz w:val="36"/>
          <w:szCs w:val="36"/>
          <w:highlight w:val="none"/>
          <w:shd w:val="clear" w:color="auto" w:fill="FFFFFF"/>
          <w:lang w:val="en-US" w:eastAsia="zh-Hans"/>
        </w:rPr>
        <w:t>整体支出</w:t>
      </w:r>
    </w:p>
    <w:p>
      <w:pPr>
        <w:keepNext w:val="0"/>
        <w:keepLines w:val="0"/>
        <w:pageBreakBefore w:val="0"/>
        <w:widowControl w:val="0"/>
        <w:numPr>
          <w:ilvl w:val="0"/>
          <w:numId w:val="0"/>
        </w:numPr>
        <w:kinsoku/>
        <w:wordWrap/>
        <w:overflowPunct/>
        <w:topLinePunct w:val="0"/>
        <w:autoSpaceDE/>
        <w:autoSpaceDN/>
        <w:bidi w:val="0"/>
        <w:adjustRightInd/>
        <w:snapToGrid/>
        <w:spacing w:line="640" w:lineRule="exact"/>
        <w:jc w:val="center"/>
        <w:textAlignment w:val="auto"/>
      </w:pPr>
      <w:r>
        <w:rPr>
          <w:rFonts w:hint="eastAsia" w:ascii="宋体" w:hAnsi="宋体" w:eastAsia="宋体" w:cs="宋体"/>
          <w:b/>
          <w:bCs/>
          <w:color w:val="auto"/>
          <w:kern w:val="0"/>
          <w:sz w:val="36"/>
          <w:szCs w:val="36"/>
          <w:highlight w:val="none"/>
          <w:shd w:val="clear" w:color="auto" w:fill="FFFFFF"/>
          <w:lang w:val="en-US" w:eastAsia="zh-Hans"/>
        </w:rPr>
        <w:t>绩效评价</w:t>
      </w:r>
      <w:r>
        <w:rPr>
          <w:rFonts w:hint="eastAsia" w:cs="宋体"/>
          <w:b/>
          <w:bCs/>
          <w:color w:val="auto"/>
          <w:kern w:val="0"/>
          <w:sz w:val="36"/>
          <w:szCs w:val="36"/>
          <w:highlight w:val="none"/>
          <w:shd w:val="clear" w:color="auto" w:fill="FFFFFF"/>
          <w:lang w:val="en-US" w:eastAsia="zh-CN"/>
        </w:rPr>
        <w:t>打</w:t>
      </w:r>
      <w:r>
        <w:rPr>
          <w:rFonts w:hint="eastAsia" w:ascii="宋体" w:hAnsi="宋体" w:eastAsia="宋体" w:cs="宋体"/>
          <w:b/>
          <w:bCs/>
          <w:color w:val="auto"/>
          <w:kern w:val="0"/>
          <w:sz w:val="36"/>
          <w:szCs w:val="36"/>
          <w:highlight w:val="none"/>
          <w:shd w:val="clear" w:color="auto" w:fill="FFFFFF"/>
          <w:lang w:val="en-US" w:eastAsia="zh-Hans"/>
        </w:rPr>
        <w:t>分表</w:t>
      </w:r>
    </w:p>
    <w:tbl>
      <w:tblPr>
        <w:tblStyle w:val="15"/>
        <w:tblW w:w="4998" w:type="pct"/>
        <w:tblInd w:w="0" w:type="dxa"/>
        <w:shd w:val="clear" w:color="auto" w:fill="auto"/>
        <w:tblLayout w:type="autofit"/>
        <w:tblCellMar>
          <w:top w:w="0" w:type="dxa"/>
          <w:left w:w="0" w:type="dxa"/>
          <w:bottom w:w="0" w:type="dxa"/>
          <w:right w:w="0" w:type="dxa"/>
        </w:tblCellMar>
      </w:tblPr>
      <w:tblGrid>
        <w:gridCol w:w="1718"/>
        <w:gridCol w:w="1718"/>
        <w:gridCol w:w="1953"/>
        <w:gridCol w:w="1718"/>
        <w:gridCol w:w="1719"/>
      </w:tblGrid>
      <w:tr>
        <w:tblPrEx>
          <w:tblCellMar>
            <w:top w:w="0" w:type="dxa"/>
            <w:left w:w="0" w:type="dxa"/>
            <w:bottom w:w="0" w:type="dxa"/>
            <w:right w:w="0" w:type="dxa"/>
          </w:tblCellMar>
        </w:tblPrEx>
        <w:trPr>
          <w:trHeight w:val="520" w:hRule="atLeast"/>
        </w:trPr>
        <w:tc>
          <w:tcPr>
            <w:tcW w:w="973"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b/>
                <w:i w:val="0"/>
                <w:color w:val="000000"/>
                <w:kern w:val="0"/>
                <w:sz w:val="24"/>
                <w:szCs w:val="24"/>
                <w:u w:val="none"/>
                <w:lang w:val="en-US" w:eastAsia="zh-CN" w:bidi="ar"/>
              </w:rPr>
            </w:pPr>
            <w:r>
              <w:rPr>
                <w:rFonts w:hint="eastAsia" w:ascii="仿宋" w:hAnsi="仿宋" w:eastAsia="仿宋" w:cs="仿宋"/>
                <w:b/>
                <w:i w:val="0"/>
                <w:color w:val="000000"/>
                <w:kern w:val="0"/>
                <w:sz w:val="24"/>
                <w:szCs w:val="24"/>
                <w:u w:val="none"/>
                <w:lang w:val="en-US" w:eastAsia="zh-CN" w:bidi="ar"/>
              </w:rPr>
              <w:t>一级</w:t>
            </w:r>
          </w:p>
          <w:p>
            <w:pPr>
              <w:keepNext w:val="0"/>
              <w:keepLines w:val="0"/>
              <w:widowControl/>
              <w:suppressLineNumbers w:val="0"/>
              <w:jc w:val="center"/>
              <w:textAlignment w:val="center"/>
              <w:rPr>
                <w:rFonts w:hint="eastAsia" w:ascii="仿宋" w:hAnsi="仿宋" w:eastAsia="仿宋" w:cs="仿宋"/>
                <w:b/>
                <w:i w:val="0"/>
                <w:color w:val="000000"/>
                <w:sz w:val="24"/>
                <w:szCs w:val="24"/>
                <w:u w:val="none"/>
              </w:rPr>
            </w:pPr>
            <w:r>
              <w:rPr>
                <w:rFonts w:hint="eastAsia" w:ascii="仿宋" w:hAnsi="仿宋" w:eastAsia="仿宋" w:cs="仿宋"/>
                <w:b/>
                <w:i w:val="0"/>
                <w:color w:val="000000"/>
                <w:kern w:val="0"/>
                <w:sz w:val="24"/>
                <w:szCs w:val="24"/>
                <w:u w:val="none"/>
                <w:lang w:val="en-US" w:eastAsia="zh-CN" w:bidi="ar"/>
              </w:rPr>
              <w:t>指标</w:t>
            </w:r>
          </w:p>
        </w:tc>
        <w:tc>
          <w:tcPr>
            <w:tcW w:w="973"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b/>
                <w:i w:val="0"/>
                <w:color w:val="000000"/>
                <w:kern w:val="0"/>
                <w:sz w:val="24"/>
                <w:szCs w:val="24"/>
                <w:u w:val="none"/>
                <w:lang w:val="en-US" w:eastAsia="zh-CN" w:bidi="ar"/>
              </w:rPr>
            </w:pPr>
            <w:r>
              <w:rPr>
                <w:rFonts w:hint="eastAsia" w:ascii="仿宋" w:hAnsi="仿宋" w:eastAsia="仿宋" w:cs="仿宋"/>
                <w:b/>
                <w:i w:val="0"/>
                <w:color w:val="000000"/>
                <w:kern w:val="0"/>
                <w:sz w:val="24"/>
                <w:szCs w:val="24"/>
                <w:u w:val="none"/>
                <w:lang w:val="en-US" w:eastAsia="zh-CN" w:bidi="ar"/>
              </w:rPr>
              <w:t>二级</w:t>
            </w:r>
          </w:p>
          <w:p>
            <w:pPr>
              <w:keepNext w:val="0"/>
              <w:keepLines w:val="0"/>
              <w:widowControl/>
              <w:suppressLineNumbers w:val="0"/>
              <w:jc w:val="center"/>
              <w:textAlignment w:val="center"/>
              <w:rPr>
                <w:rFonts w:hint="eastAsia" w:ascii="仿宋" w:hAnsi="仿宋" w:eastAsia="仿宋" w:cs="仿宋"/>
                <w:b/>
                <w:i w:val="0"/>
                <w:color w:val="000000"/>
                <w:sz w:val="24"/>
                <w:szCs w:val="24"/>
                <w:u w:val="none"/>
              </w:rPr>
            </w:pPr>
            <w:r>
              <w:rPr>
                <w:rFonts w:hint="eastAsia" w:ascii="仿宋" w:hAnsi="仿宋" w:eastAsia="仿宋" w:cs="仿宋"/>
                <w:b/>
                <w:i w:val="0"/>
                <w:color w:val="000000"/>
                <w:kern w:val="0"/>
                <w:sz w:val="24"/>
                <w:szCs w:val="24"/>
                <w:u w:val="none"/>
                <w:lang w:val="en-US" w:eastAsia="zh-CN" w:bidi="ar"/>
              </w:rPr>
              <w:t>指标</w:t>
            </w:r>
          </w:p>
        </w:tc>
        <w:tc>
          <w:tcPr>
            <w:tcW w:w="1104"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4"/>
                <w:szCs w:val="24"/>
                <w:u w:val="none"/>
              </w:rPr>
            </w:pPr>
            <w:r>
              <w:rPr>
                <w:rFonts w:hint="eastAsia" w:ascii="仿宋" w:hAnsi="仿宋" w:eastAsia="仿宋" w:cs="仿宋"/>
                <w:b/>
                <w:i w:val="0"/>
                <w:color w:val="000000"/>
                <w:kern w:val="0"/>
                <w:sz w:val="24"/>
                <w:szCs w:val="24"/>
                <w:u w:val="none"/>
                <w:lang w:val="en-US" w:eastAsia="zh-CN" w:bidi="ar"/>
              </w:rPr>
              <w:t>三级指标</w:t>
            </w:r>
          </w:p>
        </w:tc>
        <w:tc>
          <w:tcPr>
            <w:tcW w:w="973"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4"/>
                <w:szCs w:val="24"/>
                <w:u w:val="none"/>
              </w:rPr>
            </w:pPr>
            <w:r>
              <w:rPr>
                <w:rFonts w:hint="eastAsia" w:ascii="仿宋" w:hAnsi="仿宋" w:eastAsia="仿宋" w:cs="仿宋"/>
                <w:b/>
                <w:i w:val="0"/>
                <w:color w:val="000000"/>
                <w:kern w:val="0"/>
                <w:sz w:val="24"/>
                <w:szCs w:val="24"/>
                <w:u w:val="none"/>
                <w:lang w:val="en-US" w:eastAsia="zh-CN" w:bidi="ar"/>
              </w:rPr>
              <w:t>指标分值</w:t>
            </w:r>
          </w:p>
        </w:tc>
        <w:tc>
          <w:tcPr>
            <w:tcW w:w="973"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4"/>
                <w:szCs w:val="24"/>
                <w:u w:val="none"/>
              </w:rPr>
            </w:pPr>
            <w:r>
              <w:rPr>
                <w:rFonts w:hint="eastAsia" w:ascii="仿宋" w:hAnsi="仿宋" w:eastAsia="仿宋" w:cs="仿宋"/>
                <w:b/>
                <w:i w:val="0"/>
                <w:color w:val="000000"/>
                <w:kern w:val="0"/>
                <w:sz w:val="24"/>
                <w:szCs w:val="24"/>
                <w:u w:val="none"/>
                <w:lang w:val="en-US" w:eastAsia="zh-CN" w:bidi="ar"/>
              </w:rPr>
              <w:t>评价得分</w:t>
            </w:r>
          </w:p>
        </w:tc>
      </w:tr>
      <w:tr>
        <w:tblPrEx>
          <w:shd w:val="clear" w:color="auto" w:fill="auto"/>
          <w:tblCellMar>
            <w:top w:w="0" w:type="dxa"/>
            <w:left w:w="0" w:type="dxa"/>
            <w:bottom w:w="0" w:type="dxa"/>
            <w:right w:w="0" w:type="dxa"/>
          </w:tblCellMar>
        </w:tblPrEx>
        <w:trPr>
          <w:trHeight w:val="520" w:hRule="atLeast"/>
        </w:trPr>
        <w:tc>
          <w:tcPr>
            <w:tcW w:w="973" w:type="pct"/>
            <w:vMerge w:val="restar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投入</w:t>
            </w:r>
          </w:p>
        </w:tc>
        <w:tc>
          <w:tcPr>
            <w:tcW w:w="973" w:type="pct"/>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目标</w:t>
            </w:r>
          </w:p>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设定</w:t>
            </w:r>
          </w:p>
        </w:tc>
        <w:tc>
          <w:tcPr>
            <w:tcW w:w="1104"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绩效目标合理性</w:t>
            </w:r>
          </w:p>
        </w:tc>
        <w:tc>
          <w:tcPr>
            <w:tcW w:w="973"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3</w:t>
            </w:r>
          </w:p>
        </w:tc>
        <w:tc>
          <w:tcPr>
            <w:tcW w:w="97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0</w:t>
            </w:r>
          </w:p>
        </w:tc>
      </w:tr>
      <w:tr>
        <w:tblPrEx>
          <w:shd w:val="clear" w:color="auto" w:fill="auto"/>
          <w:tblCellMar>
            <w:top w:w="0" w:type="dxa"/>
            <w:left w:w="0" w:type="dxa"/>
            <w:bottom w:w="0" w:type="dxa"/>
            <w:right w:w="0" w:type="dxa"/>
          </w:tblCellMar>
        </w:tblPrEx>
        <w:trPr>
          <w:trHeight w:val="520" w:hRule="atLeast"/>
        </w:trPr>
        <w:tc>
          <w:tcPr>
            <w:tcW w:w="973"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973"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104"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绩效指标明确性</w:t>
            </w:r>
          </w:p>
        </w:tc>
        <w:tc>
          <w:tcPr>
            <w:tcW w:w="973"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4</w:t>
            </w:r>
          </w:p>
        </w:tc>
        <w:tc>
          <w:tcPr>
            <w:tcW w:w="97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0</w:t>
            </w:r>
          </w:p>
        </w:tc>
      </w:tr>
      <w:tr>
        <w:tblPrEx>
          <w:shd w:val="clear" w:color="auto" w:fill="auto"/>
          <w:tblCellMar>
            <w:top w:w="0" w:type="dxa"/>
            <w:left w:w="0" w:type="dxa"/>
            <w:bottom w:w="0" w:type="dxa"/>
            <w:right w:w="0" w:type="dxa"/>
          </w:tblCellMar>
        </w:tblPrEx>
        <w:trPr>
          <w:trHeight w:val="520" w:hRule="atLeast"/>
        </w:trPr>
        <w:tc>
          <w:tcPr>
            <w:tcW w:w="973"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973" w:type="pct"/>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预算</w:t>
            </w:r>
          </w:p>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配置</w:t>
            </w:r>
          </w:p>
        </w:tc>
        <w:tc>
          <w:tcPr>
            <w:tcW w:w="1104"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在职人员控制率</w:t>
            </w:r>
          </w:p>
        </w:tc>
        <w:tc>
          <w:tcPr>
            <w:tcW w:w="973"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w:t>
            </w:r>
          </w:p>
        </w:tc>
        <w:tc>
          <w:tcPr>
            <w:tcW w:w="97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1.81</w:t>
            </w:r>
          </w:p>
        </w:tc>
      </w:tr>
      <w:tr>
        <w:tblPrEx>
          <w:shd w:val="clear" w:color="auto" w:fill="auto"/>
          <w:tblCellMar>
            <w:top w:w="0" w:type="dxa"/>
            <w:left w:w="0" w:type="dxa"/>
            <w:bottom w:w="0" w:type="dxa"/>
            <w:right w:w="0" w:type="dxa"/>
          </w:tblCellMar>
        </w:tblPrEx>
        <w:trPr>
          <w:trHeight w:val="780" w:hRule="atLeast"/>
        </w:trPr>
        <w:tc>
          <w:tcPr>
            <w:tcW w:w="973"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973"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104"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“三公经费”变动率</w:t>
            </w:r>
          </w:p>
        </w:tc>
        <w:tc>
          <w:tcPr>
            <w:tcW w:w="973"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w:t>
            </w:r>
          </w:p>
        </w:tc>
        <w:tc>
          <w:tcPr>
            <w:tcW w:w="97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0</w:t>
            </w:r>
          </w:p>
        </w:tc>
      </w:tr>
      <w:tr>
        <w:tblPrEx>
          <w:shd w:val="clear" w:color="auto" w:fill="auto"/>
          <w:tblCellMar>
            <w:top w:w="0" w:type="dxa"/>
            <w:left w:w="0" w:type="dxa"/>
            <w:bottom w:w="0" w:type="dxa"/>
            <w:right w:w="0" w:type="dxa"/>
          </w:tblCellMar>
        </w:tblPrEx>
        <w:trPr>
          <w:trHeight w:val="520" w:hRule="atLeast"/>
        </w:trPr>
        <w:tc>
          <w:tcPr>
            <w:tcW w:w="973"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973"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104"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重点支出安排率</w:t>
            </w:r>
          </w:p>
        </w:tc>
        <w:tc>
          <w:tcPr>
            <w:tcW w:w="973"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4</w:t>
            </w:r>
          </w:p>
        </w:tc>
        <w:tc>
          <w:tcPr>
            <w:tcW w:w="97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0</w:t>
            </w:r>
          </w:p>
        </w:tc>
      </w:tr>
      <w:tr>
        <w:tblPrEx>
          <w:shd w:val="clear" w:color="auto" w:fill="auto"/>
          <w:tblCellMar>
            <w:top w:w="0" w:type="dxa"/>
            <w:left w:w="0" w:type="dxa"/>
            <w:bottom w:w="0" w:type="dxa"/>
            <w:right w:w="0" w:type="dxa"/>
          </w:tblCellMar>
        </w:tblPrEx>
        <w:trPr>
          <w:trHeight w:val="520" w:hRule="atLeast"/>
        </w:trPr>
        <w:tc>
          <w:tcPr>
            <w:tcW w:w="973" w:type="pct"/>
            <w:vMerge w:val="restar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过程</w:t>
            </w:r>
          </w:p>
        </w:tc>
        <w:tc>
          <w:tcPr>
            <w:tcW w:w="973" w:type="pct"/>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预算</w:t>
            </w:r>
          </w:p>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执行</w:t>
            </w:r>
          </w:p>
        </w:tc>
        <w:tc>
          <w:tcPr>
            <w:tcW w:w="1104"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预算完成率</w:t>
            </w:r>
          </w:p>
        </w:tc>
        <w:tc>
          <w:tcPr>
            <w:tcW w:w="973"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1.5</w:t>
            </w:r>
          </w:p>
        </w:tc>
        <w:tc>
          <w:tcPr>
            <w:tcW w:w="97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1.5</w:t>
            </w:r>
          </w:p>
        </w:tc>
      </w:tr>
      <w:tr>
        <w:tblPrEx>
          <w:shd w:val="clear" w:color="auto" w:fill="auto"/>
          <w:tblCellMar>
            <w:top w:w="0" w:type="dxa"/>
            <w:left w:w="0" w:type="dxa"/>
            <w:bottom w:w="0" w:type="dxa"/>
            <w:right w:w="0" w:type="dxa"/>
          </w:tblCellMar>
        </w:tblPrEx>
        <w:trPr>
          <w:trHeight w:val="520" w:hRule="atLeast"/>
        </w:trPr>
        <w:tc>
          <w:tcPr>
            <w:tcW w:w="973"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973"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104"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预算调整率</w:t>
            </w:r>
          </w:p>
        </w:tc>
        <w:tc>
          <w:tcPr>
            <w:tcW w:w="973"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w:t>
            </w:r>
          </w:p>
        </w:tc>
        <w:tc>
          <w:tcPr>
            <w:tcW w:w="97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0.5</w:t>
            </w:r>
          </w:p>
        </w:tc>
      </w:tr>
      <w:tr>
        <w:tblPrEx>
          <w:shd w:val="clear" w:color="auto" w:fill="auto"/>
          <w:tblCellMar>
            <w:top w:w="0" w:type="dxa"/>
            <w:left w:w="0" w:type="dxa"/>
            <w:bottom w:w="0" w:type="dxa"/>
            <w:right w:w="0" w:type="dxa"/>
          </w:tblCellMar>
        </w:tblPrEx>
        <w:trPr>
          <w:trHeight w:val="520" w:hRule="atLeast"/>
        </w:trPr>
        <w:tc>
          <w:tcPr>
            <w:tcW w:w="973"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973"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104"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支付进度率</w:t>
            </w:r>
          </w:p>
        </w:tc>
        <w:tc>
          <w:tcPr>
            <w:tcW w:w="973"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1.5</w:t>
            </w:r>
          </w:p>
        </w:tc>
        <w:tc>
          <w:tcPr>
            <w:tcW w:w="97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1.17</w:t>
            </w:r>
          </w:p>
        </w:tc>
      </w:tr>
      <w:tr>
        <w:tblPrEx>
          <w:shd w:val="clear" w:color="auto" w:fill="auto"/>
          <w:tblCellMar>
            <w:top w:w="0" w:type="dxa"/>
            <w:left w:w="0" w:type="dxa"/>
            <w:bottom w:w="0" w:type="dxa"/>
            <w:right w:w="0" w:type="dxa"/>
          </w:tblCellMar>
        </w:tblPrEx>
        <w:trPr>
          <w:trHeight w:val="520" w:hRule="atLeast"/>
        </w:trPr>
        <w:tc>
          <w:tcPr>
            <w:tcW w:w="973"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973"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104"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结转结余率</w:t>
            </w:r>
          </w:p>
        </w:tc>
        <w:tc>
          <w:tcPr>
            <w:tcW w:w="973"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w:t>
            </w:r>
          </w:p>
        </w:tc>
        <w:tc>
          <w:tcPr>
            <w:tcW w:w="97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w:t>
            </w:r>
          </w:p>
        </w:tc>
      </w:tr>
      <w:tr>
        <w:tblPrEx>
          <w:shd w:val="clear" w:color="auto" w:fill="auto"/>
          <w:tblCellMar>
            <w:top w:w="0" w:type="dxa"/>
            <w:left w:w="0" w:type="dxa"/>
            <w:bottom w:w="0" w:type="dxa"/>
            <w:right w:w="0" w:type="dxa"/>
          </w:tblCellMar>
        </w:tblPrEx>
        <w:trPr>
          <w:trHeight w:val="520" w:hRule="atLeast"/>
        </w:trPr>
        <w:tc>
          <w:tcPr>
            <w:tcW w:w="973"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973"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104"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结转结余变动率</w:t>
            </w:r>
          </w:p>
        </w:tc>
        <w:tc>
          <w:tcPr>
            <w:tcW w:w="973"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w:t>
            </w:r>
          </w:p>
        </w:tc>
        <w:tc>
          <w:tcPr>
            <w:tcW w:w="97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w:t>
            </w:r>
          </w:p>
        </w:tc>
      </w:tr>
      <w:tr>
        <w:tblPrEx>
          <w:shd w:val="clear" w:color="auto" w:fill="auto"/>
          <w:tblCellMar>
            <w:top w:w="0" w:type="dxa"/>
            <w:left w:w="0" w:type="dxa"/>
            <w:bottom w:w="0" w:type="dxa"/>
            <w:right w:w="0" w:type="dxa"/>
          </w:tblCellMar>
        </w:tblPrEx>
        <w:trPr>
          <w:trHeight w:val="520" w:hRule="atLeast"/>
        </w:trPr>
        <w:tc>
          <w:tcPr>
            <w:tcW w:w="973"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973"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104"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公用经费控制率</w:t>
            </w:r>
          </w:p>
        </w:tc>
        <w:tc>
          <w:tcPr>
            <w:tcW w:w="973"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w:t>
            </w:r>
          </w:p>
        </w:tc>
        <w:tc>
          <w:tcPr>
            <w:tcW w:w="97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0</w:t>
            </w:r>
          </w:p>
        </w:tc>
      </w:tr>
      <w:tr>
        <w:tblPrEx>
          <w:shd w:val="clear" w:color="auto" w:fill="auto"/>
          <w:tblCellMar>
            <w:top w:w="0" w:type="dxa"/>
            <w:left w:w="0" w:type="dxa"/>
            <w:bottom w:w="0" w:type="dxa"/>
            <w:right w:w="0" w:type="dxa"/>
          </w:tblCellMar>
        </w:tblPrEx>
        <w:trPr>
          <w:trHeight w:val="780" w:hRule="atLeast"/>
        </w:trPr>
        <w:tc>
          <w:tcPr>
            <w:tcW w:w="973"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973"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104"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“三公经费”控制率</w:t>
            </w:r>
          </w:p>
        </w:tc>
        <w:tc>
          <w:tcPr>
            <w:tcW w:w="973"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1.5</w:t>
            </w:r>
          </w:p>
        </w:tc>
        <w:tc>
          <w:tcPr>
            <w:tcW w:w="97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1.5</w:t>
            </w:r>
          </w:p>
        </w:tc>
      </w:tr>
      <w:tr>
        <w:tblPrEx>
          <w:shd w:val="clear" w:color="auto" w:fill="auto"/>
          <w:tblCellMar>
            <w:top w:w="0" w:type="dxa"/>
            <w:left w:w="0" w:type="dxa"/>
            <w:bottom w:w="0" w:type="dxa"/>
            <w:right w:w="0" w:type="dxa"/>
          </w:tblCellMar>
        </w:tblPrEx>
        <w:trPr>
          <w:trHeight w:val="520" w:hRule="atLeast"/>
        </w:trPr>
        <w:tc>
          <w:tcPr>
            <w:tcW w:w="973"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973"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104"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政府采购执行率</w:t>
            </w:r>
          </w:p>
        </w:tc>
        <w:tc>
          <w:tcPr>
            <w:tcW w:w="973"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1.5</w:t>
            </w:r>
          </w:p>
        </w:tc>
        <w:tc>
          <w:tcPr>
            <w:tcW w:w="97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1.5</w:t>
            </w:r>
          </w:p>
        </w:tc>
      </w:tr>
      <w:tr>
        <w:tblPrEx>
          <w:shd w:val="clear" w:color="auto" w:fill="auto"/>
          <w:tblCellMar>
            <w:top w:w="0" w:type="dxa"/>
            <w:left w:w="0" w:type="dxa"/>
            <w:bottom w:w="0" w:type="dxa"/>
            <w:right w:w="0" w:type="dxa"/>
          </w:tblCellMar>
        </w:tblPrEx>
        <w:trPr>
          <w:trHeight w:val="520" w:hRule="atLeast"/>
        </w:trPr>
        <w:tc>
          <w:tcPr>
            <w:tcW w:w="973"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973" w:type="pct"/>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预算</w:t>
            </w:r>
          </w:p>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管理</w:t>
            </w:r>
          </w:p>
        </w:tc>
        <w:tc>
          <w:tcPr>
            <w:tcW w:w="1104"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管理制度健全性</w:t>
            </w:r>
          </w:p>
        </w:tc>
        <w:tc>
          <w:tcPr>
            <w:tcW w:w="973"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3</w:t>
            </w:r>
          </w:p>
        </w:tc>
        <w:tc>
          <w:tcPr>
            <w:tcW w:w="97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w:t>
            </w:r>
          </w:p>
        </w:tc>
      </w:tr>
      <w:tr>
        <w:tblPrEx>
          <w:shd w:val="clear" w:color="auto" w:fill="auto"/>
          <w:tblCellMar>
            <w:top w:w="0" w:type="dxa"/>
            <w:left w:w="0" w:type="dxa"/>
            <w:bottom w:w="0" w:type="dxa"/>
            <w:right w:w="0" w:type="dxa"/>
          </w:tblCellMar>
        </w:tblPrEx>
        <w:trPr>
          <w:trHeight w:val="520" w:hRule="atLeast"/>
        </w:trPr>
        <w:tc>
          <w:tcPr>
            <w:tcW w:w="973"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973"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104"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资金使用合规性</w:t>
            </w:r>
          </w:p>
        </w:tc>
        <w:tc>
          <w:tcPr>
            <w:tcW w:w="973"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2.5</w:t>
            </w:r>
          </w:p>
        </w:tc>
        <w:tc>
          <w:tcPr>
            <w:tcW w:w="97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2.5</w:t>
            </w:r>
          </w:p>
        </w:tc>
      </w:tr>
      <w:tr>
        <w:tblPrEx>
          <w:shd w:val="clear" w:color="auto" w:fill="auto"/>
          <w:tblCellMar>
            <w:top w:w="0" w:type="dxa"/>
            <w:left w:w="0" w:type="dxa"/>
            <w:bottom w:w="0" w:type="dxa"/>
            <w:right w:w="0" w:type="dxa"/>
          </w:tblCellMar>
        </w:tblPrEx>
        <w:trPr>
          <w:trHeight w:val="520" w:hRule="atLeast"/>
        </w:trPr>
        <w:tc>
          <w:tcPr>
            <w:tcW w:w="973"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973"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104"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预决算信息公开性</w:t>
            </w:r>
          </w:p>
        </w:tc>
        <w:tc>
          <w:tcPr>
            <w:tcW w:w="973"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0.6</w:t>
            </w:r>
          </w:p>
        </w:tc>
        <w:tc>
          <w:tcPr>
            <w:tcW w:w="97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0.6</w:t>
            </w:r>
          </w:p>
        </w:tc>
      </w:tr>
      <w:tr>
        <w:tblPrEx>
          <w:shd w:val="clear" w:color="auto" w:fill="auto"/>
          <w:tblCellMar>
            <w:top w:w="0" w:type="dxa"/>
            <w:left w:w="0" w:type="dxa"/>
            <w:bottom w:w="0" w:type="dxa"/>
            <w:right w:w="0" w:type="dxa"/>
          </w:tblCellMar>
        </w:tblPrEx>
        <w:trPr>
          <w:trHeight w:val="780" w:hRule="atLeast"/>
        </w:trPr>
        <w:tc>
          <w:tcPr>
            <w:tcW w:w="973"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973"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104"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运行监控和自评有效性</w:t>
            </w:r>
          </w:p>
        </w:tc>
        <w:tc>
          <w:tcPr>
            <w:tcW w:w="973"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3</w:t>
            </w:r>
          </w:p>
        </w:tc>
        <w:tc>
          <w:tcPr>
            <w:tcW w:w="97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3</w:t>
            </w:r>
          </w:p>
        </w:tc>
      </w:tr>
      <w:tr>
        <w:tblPrEx>
          <w:shd w:val="clear" w:color="auto" w:fill="auto"/>
          <w:tblCellMar>
            <w:top w:w="0" w:type="dxa"/>
            <w:left w:w="0" w:type="dxa"/>
            <w:bottom w:w="0" w:type="dxa"/>
            <w:right w:w="0" w:type="dxa"/>
          </w:tblCellMar>
        </w:tblPrEx>
        <w:trPr>
          <w:trHeight w:val="520" w:hRule="atLeast"/>
        </w:trPr>
        <w:tc>
          <w:tcPr>
            <w:tcW w:w="973"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973"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104"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基础信息完善性</w:t>
            </w:r>
          </w:p>
        </w:tc>
        <w:tc>
          <w:tcPr>
            <w:tcW w:w="973"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0.9</w:t>
            </w:r>
          </w:p>
        </w:tc>
        <w:tc>
          <w:tcPr>
            <w:tcW w:w="97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0.9</w:t>
            </w:r>
          </w:p>
        </w:tc>
      </w:tr>
      <w:tr>
        <w:tblPrEx>
          <w:shd w:val="clear" w:color="auto" w:fill="auto"/>
          <w:tblCellMar>
            <w:top w:w="0" w:type="dxa"/>
            <w:left w:w="0" w:type="dxa"/>
            <w:bottom w:w="0" w:type="dxa"/>
            <w:right w:w="0" w:type="dxa"/>
          </w:tblCellMar>
        </w:tblPrEx>
        <w:trPr>
          <w:trHeight w:val="520" w:hRule="atLeast"/>
        </w:trPr>
        <w:tc>
          <w:tcPr>
            <w:tcW w:w="973"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973" w:type="pct"/>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资产</w:t>
            </w:r>
          </w:p>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管理</w:t>
            </w:r>
          </w:p>
        </w:tc>
        <w:tc>
          <w:tcPr>
            <w:tcW w:w="1104"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管理制度健全性</w:t>
            </w:r>
          </w:p>
        </w:tc>
        <w:tc>
          <w:tcPr>
            <w:tcW w:w="973"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1.5</w:t>
            </w:r>
          </w:p>
        </w:tc>
        <w:tc>
          <w:tcPr>
            <w:tcW w:w="97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1.5</w:t>
            </w:r>
          </w:p>
        </w:tc>
      </w:tr>
      <w:tr>
        <w:tblPrEx>
          <w:shd w:val="clear" w:color="auto" w:fill="auto"/>
          <w:tblCellMar>
            <w:top w:w="0" w:type="dxa"/>
            <w:left w:w="0" w:type="dxa"/>
            <w:bottom w:w="0" w:type="dxa"/>
            <w:right w:w="0" w:type="dxa"/>
          </w:tblCellMar>
        </w:tblPrEx>
        <w:trPr>
          <w:trHeight w:val="520" w:hRule="atLeast"/>
        </w:trPr>
        <w:tc>
          <w:tcPr>
            <w:tcW w:w="973"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973"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104"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资产管理安全性</w:t>
            </w:r>
          </w:p>
        </w:tc>
        <w:tc>
          <w:tcPr>
            <w:tcW w:w="973"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1.5</w:t>
            </w:r>
          </w:p>
        </w:tc>
        <w:tc>
          <w:tcPr>
            <w:tcW w:w="97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1.5</w:t>
            </w:r>
          </w:p>
        </w:tc>
      </w:tr>
      <w:tr>
        <w:tblPrEx>
          <w:shd w:val="clear" w:color="auto" w:fill="auto"/>
          <w:tblCellMar>
            <w:top w:w="0" w:type="dxa"/>
            <w:left w:w="0" w:type="dxa"/>
            <w:bottom w:w="0" w:type="dxa"/>
            <w:right w:w="0" w:type="dxa"/>
          </w:tblCellMar>
        </w:tblPrEx>
        <w:trPr>
          <w:trHeight w:val="520" w:hRule="atLeast"/>
        </w:trPr>
        <w:tc>
          <w:tcPr>
            <w:tcW w:w="973"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973"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104"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固定资产利用率</w:t>
            </w:r>
          </w:p>
        </w:tc>
        <w:tc>
          <w:tcPr>
            <w:tcW w:w="973"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w:t>
            </w:r>
          </w:p>
        </w:tc>
        <w:tc>
          <w:tcPr>
            <w:tcW w:w="97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w:t>
            </w:r>
          </w:p>
        </w:tc>
      </w:tr>
      <w:tr>
        <w:tblPrEx>
          <w:shd w:val="clear" w:color="auto" w:fill="auto"/>
          <w:tblCellMar>
            <w:top w:w="0" w:type="dxa"/>
            <w:left w:w="0" w:type="dxa"/>
            <w:bottom w:w="0" w:type="dxa"/>
            <w:right w:w="0" w:type="dxa"/>
          </w:tblCellMar>
        </w:tblPrEx>
        <w:trPr>
          <w:trHeight w:val="520" w:hRule="atLeast"/>
        </w:trPr>
        <w:tc>
          <w:tcPr>
            <w:tcW w:w="973" w:type="pct"/>
            <w:vMerge w:val="restar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产出</w:t>
            </w:r>
          </w:p>
        </w:tc>
        <w:tc>
          <w:tcPr>
            <w:tcW w:w="973" w:type="pct"/>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职责</w:t>
            </w:r>
          </w:p>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履行</w:t>
            </w:r>
          </w:p>
        </w:tc>
        <w:tc>
          <w:tcPr>
            <w:tcW w:w="1104"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实际完成率</w:t>
            </w:r>
          </w:p>
        </w:tc>
        <w:tc>
          <w:tcPr>
            <w:tcW w:w="973"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10</w:t>
            </w:r>
          </w:p>
        </w:tc>
        <w:tc>
          <w:tcPr>
            <w:tcW w:w="97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9.57</w:t>
            </w:r>
          </w:p>
        </w:tc>
      </w:tr>
      <w:tr>
        <w:tblPrEx>
          <w:shd w:val="clear" w:color="auto" w:fill="auto"/>
          <w:tblCellMar>
            <w:top w:w="0" w:type="dxa"/>
            <w:left w:w="0" w:type="dxa"/>
            <w:bottom w:w="0" w:type="dxa"/>
            <w:right w:w="0" w:type="dxa"/>
          </w:tblCellMar>
        </w:tblPrEx>
        <w:trPr>
          <w:trHeight w:val="520" w:hRule="atLeast"/>
        </w:trPr>
        <w:tc>
          <w:tcPr>
            <w:tcW w:w="973"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973"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104"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完成及时率</w:t>
            </w:r>
          </w:p>
        </w:tc>
        <w:tc>
          <w:tcPr>
            <w:tcW w:w="973"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8</w:t>
            </w:r>
          </w:p>
        </w:tc>
        <w:tc>
          <w:tcPr>
            <w:tcW w:w="97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8</w:t>
            </w:r>
          </w:p>
        </w:tc>
      </w:tr>
      <w:tr>
        <w:tblPrEx>
          <w:shd w:val="clear" w:color="auto" w:fill="auto"/>
          <w:tblCellMar>
            <w:top w:w="0" w:type="dxa"/>
            <w:left w:w="0" w:type="dxa"/>
            <w:bottom w:w="0" w:type="dxa"/>
            <w:right w:w="0" w:type="dxa"/>
          </w:tblCellMar>
        </w:tblPrEx>
        <w:trPr>
          <w:trHeight w:val="520" w:hRule="atLeast"/>
        </w:trPr>
        <w:tc>
          <w:tcPr>
            <w:tcW w:w="973"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973"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104"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质量达标率</w:t>
            </w:r>
          </w:p>
        </w:tc>
        <w:tc>
          <w:tcPr>
            <w:tcW w:w="973"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8</w:t>
            </w:r>
          </w:p>
        </w:tc>
        <w:tc>
          <w:tcPr>
            <w:tcW w:w="97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8</w:t>
            </w:r>
          </w:p>
        </w:tc>
      </w:tr>
      <w:tr>
        <w:tblPrEx>
          <w:shd w:val="clear" w:color="auto" w:fill="auto"/>
          <w:tblCellMar>
            <w:top w:w="0" w:type="dxa"/>
            <w:left w:w="0" w:type="dxa"/>
            <w:bottom w:w="0" w:type="dxa"/>
            <w:right w:w="0" w:type="dxa"/>
          </w:tblCellMar>
        </w:tblPrEx>
        <w:trPr>
          <w:trHeight w:val="520" w:hRule="atLeast"/>
        </w:trPr>
        <w:tc>
          <w:tcPr>
            <w:tcW w:w="973"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973"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104"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重点工作办结率</w:t>
            </w:r>
          </w:p>
        </w:tc>
        <w:tc>
          <w:tcPr>
            <w:tcW w:w="973"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9</w:t>
            </w:r>
          </w:p>
        </w:tc>
        <w:tc>
          <w:tcPr>
            <w:tcW w:w="97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9</w:t>
            </w:r>
          </w:p>
        </w:tc>
      </w:tr>
      <w:tr>
        <w:tblPrEx>
          <w:shd w:val="clear" w:color="auto" w:fill="auto"/>
          <w:tblCellMar>
            <w:top w:w="0" w:type="dxa"/>
            <w:left w:w="0" w:type="dxa"/>
            <w:bottom w:w="0" w:type="dxa"/>
            <w:right w:w="0" w:type="dxa"/>
          </w:tblCellMar>
        </w:tblPrEx>
        <w:trPr>
          <w:trHeight w:val="520" w:hRule="atLeast"/>
        </w:trPr>
        <w:tc>
          <w:tcPr>
            <w:tcW w:w="973" w:type="pct"/>
            <w:vMerge w:val="restar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效果</w:t>
            </w:r>
          </w:p>
        </w:tc>
        <w:tc>
          <w:tcPr>
            <w:tcW w:w="973" w:type="pct"/>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经济效益</w:t>
            </w:r>
          </w:p>
        </w:tc>
        <w:tc>
          <w:tcPr>
            <w:tcW w:w="1104"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特色农业发展</w:t>
            </w:r>
          </w:p>
        </w:tc>
        <w:tc>
          <w:tcPr>
            <w:tcW w:w="973"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4</w:t>
            </w:r>
          </w:p>
        </w:tc>
        <w:tc>
          <w:tcPr>
            <w:tcW w:w="97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w:t>
            </w:r>
          </w:p>
        </w:tc>
      </w:tr>
      <w:tr>
        <w:tblPrEx>
          <w:shd w:val="clear" w:color="auto" w:fill="auto"/>
          <w:tblCellMar>
            <w:top w:w="0" w:type="dxa"/>
            <w:left w:w="0" w:type="dxa"/>
            <w:bottom w:w="0" w:type="dxa"/>
            <w:right w:w="0" w:type="dxa"/>
          </w:tblCellMar>
        </w:tblPrEx>
        <w:trPr>
          <w:trHeight w:val="780" w:hRule="atLeast"/>
        </w:trPr>
        <w:tc>
          <w:tcPr>
            <w:tcW w:w="973"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973"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104"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辖区规上工业总产值</w:t>
            </w:r>
          </w:p>
        </w:tc>
        <w:tc>
          <w:tcPr>
            <w:tcW w:w="973"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4</w:t>
            </w:r>
          </w:p>
        </w:tc>
        <w:tc>
          <w:tcPr>
            <w:tcW w:w="97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4</w:t>
            </w:r>
          </w:p>
        </w:tc>
      </w:tr>
      <w:tr>
        <w:tblPrEx>
          <w:shd w:val="clear" w:color="auto" w:fill="auto"/>
          <w:tblCellMar>
            <w:top w:w="0" w:type="dxa"/>
            <w:left w:w="0" w:type="dxa"/>
            <w:bottom w:w="0" w:type="dxa"/>
            <w:right w:w="0" w:type="dxa"/>
          </w:tblCellMar>
        </w:tblPrEx>
        <w:trPr>
          <w:trHeight w:val="520" w:hRule="atLeast"/>
        </w:trPr>
        <w:tc>
          <w:tcPr>
            <w:tcW w:w="973"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973"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104"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辖区固定资产投资</w:t>
            </w:r>
          </w:p>
        </w:tc>
        <w:tc>
          <w:tcPr>
            <w:tcW w:w="973"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w:t>
            </w:r>
          </w:p>
        </w:tc>
        <w:tc>
          <w:tcPr>
            <w:tcW w:w="97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w:t>
            </w:r>
          </w:p>
        </w:tc>
      </w:tr>
      <w:tr>
        <w:tblPrEx>
          <w:shd w:val="clear" w:color="auto" w:fill="auto"/>
          <w:tblCellMar>
            <w:top w:w="0" w:type="dxa"/>
            <w:left w:w="0" w:type="dxa"/>
            <w:bottom w:w="0" w:type="dxa"/>
            <w:right w:w="0" w:type="dxa"/>
          </w:tblCellMar>
        </w:tblPrEx>
        <w:trPr>
          <w:trHeight w:val="300" w:hRule="atLeast"/>
        </w:trPr>
        <w:tc>
          <w:tcPr>
            <w:tcW w:w="973"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973"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社会效益</w:t>
            </w:r>
          </w:p>
        </w:tc>
        <w:tc>
          <w:tcPr>
            <w:tcW w:w="1104"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获得荣誉</w:t>
            </w:r>
          </w:p>
        </w:tc>
        <w:tc>
          <w:tcPr>
            <w:tcW w:w="973"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5</w:t>
            </w:r>
          </w:p>
        </w:tc>
        <w:tc>
          <w:tcPr>
            <w:tcW w:w="97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5</w:t>
            </w:r>
          </w:p>
        </w:tc>
      </w:tr>
      <w:tr>
        <w:tblPrEx>
          <w:shd w:val="clear" w:color="auto" w:fill="auto"/>
          <w:tblCellMar>
            <w:top w:w="0" w:type="dxa"/>
            <w:left w:w="0" w:type="dxa"/>
            <w:bottom w:w="0" w:type="dxa"/>
            <w:right w:w="0" w:type="dxa"/>
          </w:tblCellMar>
        </w:tblPrEx>
        <w:trPr>
          <w:trHeight w:val="520" w:hRule="atLeast"/>
        </w:trPr>
        <w:tc>
          <w:tcPr>
            <w:tcW w:w="973"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973"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可持续影响</w:t>
            </w:r>
          </w:p>
        </w:tc>
        <w:tc>
          <w:tcPr>
            <w:tcW w:w="1104"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提升社会保障水平</w:t>
            </w:r>
          </w:p>
        </w:tc>
        <w:tc>
          <w:tcPr>
            <w:tcW w:w="973"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5</w:t>
            </w:r>
          </w:p>
        </w:tc>
        <w:tc>
          <w:tcPr>
            <w:tcW w:w="97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5</w:t>
            </w:r>
          </w:p>
        </w:tc>
      </w:tr>
      <w:tr>
        <w:tblPrEx>
          <w:shd w:val="clear" w:color="auto" w:fill="auto"/>
          <w:tblCellMar>
            <w:top w:w="0" w:type="dxa"/>
            <w:left w:w="0" w:type="dxa"/>
            <w:bottom w:w="0" w:type="dxa"/>
            <w:right w:w="0" w:type="dxa"/>
          </w:tblCellMar>
        </w:tblPrEx>
        <w:trPr>
          <w:trHeight w:val="780" w:hRule="atLeast"/>
        </w:trPr>
        <w:tc>
          <w:tcPr>
            <w:tcW w:w="973"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973"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满意度</w:t>
            </w:r>
          </w:p>
        </w:tc>
        <w:tc>
          <w:tcPr>
            <w:tcW w:w="1104"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社会公众或服务对象满意度</w:t>
            </w:r>
          </w:p>
        </w:tc>
        <w:tc>
          <w:tcPr>
            <w:tcW w:w="973"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5</w:t>
            </w:r>
          </w:p>
        </w:tc>
        <w:tc>
          <w:tcPr>
            <w:tcW w:w="97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5</w:t>
            </w:r>
          </w:p>
        </w:tc>
      </w:tr>
      <w:tr>
        <w:tblPrEx>
          <w:shd w:val="clear" w:color="auto" w:fill="auto"/>
          <w:tblCellMar>
            <w:top w:w="0" w:type="dxa"/>
            <w:left w:w="0" w:type="dxa"/>
            <w:bottom w:w="0" w:type="dxa"/>
            <w:right w:w="0" w:type="dxa"/>
          </w:tblCellMar>
        </w:tblPrEx>
        <w:trPr>
          <w:trHeight w:val="300" w:hRule="atLeast"/>
        </w:trPr>
        <w:tc>
          <w:tcPr>
            <w:tcW w:w="3052" w:type="pct"/>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4"/>
                <w:szCs w:val="24"/>
                <w:u w:val="none"/>
              </w:rPr>
            </w:pPr>
            <w:r>
              <w:rPr>
                <w:rFonts w:hint="eastAsia" w:ascii="仿宋" w:hAnsi="仿宋" w:eastAsia="仿宋" w:cs="仿宋"/>
                <w:b/>
                <w:i w:val="0"/>
                <w:color w:val="000000"/>
                <w:kern w:val="0"/>
                <w:sz w:val="24"/>
                <w:szCs w:val="24"/>
                <w:u w:val="none"/>
                <w:lang w:val="en-US" w:eastAsia="zh-CN" w:bidi="ar"/>
              </w:rPr>
              <w:t>合计</w:t>
            </w:r>
          </w:p>
        </w:tc>
        <w:tc>
          <w:tcPr>
            <w:tcW w:w="973"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100</w:t>
            </w:r>
          </w:p>
        </w:tc>
        <w:tc>
          <w:tcPr>
            <w:tcW w:w="97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81.55</w:t>
            </w:r>
          </w:p>
        </w:tc>
      </w:tr>
    </w:tbl>
    <w:p>
      <w:pPr>
        <w:pStyle w:val="2"/>
        <w:ind w:left="0" w:leftChars="0" w:firstLine="0" w:firstLineChars="0"/>
        <w:sectPr>
          <w:pgSz w:w="11910" w:h="16840"/>
          <w:pgMar w:top="2098" w:right="1474" w:bottom="1984" w:left="1587" w:header="1017" w:footer="1206" w:gutter="0"/>
          <w:pgNumType w:fmt="numberInDash"/>
          <w:cols w:equalWidth="0" w:num="1">
            <w:col w:w="8810"/>
          </w:cols>
          <w:docGrid w:linePitch="326" w:charSpace="0"/>
        </w:sectPr>
      </w:pPr>
    </w:p>
    <w:p>
      <w:pPr>
        <w:widowControl w:val="0"/>
        <w:numPr>
          <w:ilvl w:val="0"/>
          <w:numId w:val="0"/>
        </w:numPr>
        <w:jc w:val="both"/>
        <w:outlineLvl w:val="0"/>
        <w:rPr>
          <w:rFonts w:hint="eastAsia" w:ascii="黑体" w:hAnsi="黑体" w:eastAsia="黑体" w:cs="黑体"/>
          <w:color w:val="auto"/>
          <w:kern w:val="0"/>
          <w:sz w:val="32"/>
          <w:szCs w:val="32"/>
          <w:highlight w:val="none"/>
          <w:shd w:val="clear" w:color="auto" w:fill="FFFFFF"/>
          <w:lang w:val="en-US" w:eastAsia="zh-CN"/>
        </w:rPr>
      </w:pPr>
      <w:bookmarkStart w:id="36" w:name="_Toc2728"/>
      <w:bookmarkStart w:id="37" w:name="_Toc1721938646_WPSOffice_Level2"/>
      <w:bookmarkStart w:id="38" w:name="_Toc13811"/>
      <w:bookmarkStart w:id="39" w:name="_Toc2079370722_WPSOffice_Level2"/>
      <w:r>
        <w:rPr>
          <w:rFonts w:hint="eastAsia" w:ascii="黑体" w:hAnsi="黑体" w:eastAsia="黑体" w:cs="黑体"/>
          <w:color w:val="auto"/>
          <w:kern w:val="0"/>
          <w:sz w:val="32"/>
          <w:szCs w:val="32"/>
          <w:highlight w:val="none"/>
          <w:shd w:val="clear" w:color="auto" w:fill="FFFFFF"/>
          <w:lang w:val="en-US" w:eastAsia="zh-CN"/>
        </w:rPr>
        <w:t>附件2 问题清单</w:t>
      </w:r>
      <w:bookmarkEnd w:id="36"/>
    </w:p>
    <w:p>
      <w:pPr>
        <w:pStyle w:val="2"/>
        <w:rPr>
          <w:rFonts w:hint="eastAsia"/>
          <w:lang w:val="en-US" w:eastAsia="zh-CN"/>
        </w:rPr>
      </w:pPr>
    </w:p>
    <w:p>
      <w:pPr>
        <w:pStyle w:val="2"/>
        <w:keepNext w:val="0"/>
        <w:keepLines w:val="0"/>
        <w:pageBreakBefore w:val="0"/>
        <w:widowControl w:val="0"/>
        <w:kinsoku/>
        <w:wordWrap/>
        <w:overflowPunct/>
        <w:topLinePunct w:val="0"/>
        <w:autoSpaceDE w:val="0"/>
        <w:autoSpaceDN w:val="0"/>
        <w:bidi w:val="0"/>
        <w:adjustRightInd/>
        <w:snapToGrid/>
        <w:spacing w:before="0" w:line="600" w:lineRule="exact"/>
        <w:ind w:left="221"/>
        <w:jc w:val="center"/>
        <w:textAlignment w:val="auto"/>
        <w:rPr>
          <w:rFonts w:hint="eastAsia" w:asciiTheme="minorEastAsia" w:hAnsiTheme="minorEastAsia" w:eastAsiaTheme="minorEastAsia" w:cstheme="minorEastAsia"/>
          <w:b/>
          <w:bCs/>
          <w:color w:val="auto"/>
          <w:kern w:val="0"/>
          <w:sz w:val="36"/>
          <w:szCs w:val="36"/>
          <w:highlight w:val="none"/>
          <w:shd w:val="clear" w:color="auto" w:fill="FFFFFF"/>
          <w:lang w:val="en-US" w:eastAsia="zh-CN"/>
        </w:rPr>
      </w:pPr>
      <w:r>
        <w:rPr>
          <w:rFonts w:hint="eastAsia" w:asciiTheme="minorEastAsia" w:hAnsiTheme="minorEastAsia" w:eastAsiaTheme="minorEastAsia" w:cstheme="minorEastAsia"/>
          <w:b/>
          <w:bCs/>
          <w:color w:val="auto"/>
          <w:kern w:val="0"/>
          <w:sz w:val="36"/>
          <w:szCs w:val="36"/>
          <w:highlight w:val="none"/>
          <w:shd w:val="clear" w:color="auto" w:fill="FFFFFF"/>
          <w:lang w:val="en-US" w:eastAsia="zh-CN"/>
        </w:rPr>
        <w:t>铜川市新区2021年度咸丰路街道办事处部门整体</w:t>
      </w:r>
    </w:p>
    <w:p>
      <w:pPr>
        <w:pStyle w:val="2"/>
        <w:keepNext w:val="0"/>
        <w:keepLines w:val="0"/>
        <w:pageBreakBefore w:val="0"/>
        <w:widowControl w:val="0"/>
        <w:kinsoku/>
        <w:wordWrap/>
        <w:overflowPunct/>
        <w:topLinePunct w:val="0"/>
        <w:autoSpaceDE w:val="0"/>
        <w:autoSpaceDN w:val="0"/>
        <w:bidi w:val="0"/>
        <w:adjustRightInd/>
        <w:snapToGrid/>
        <w:spacing w:before="0" w:line="600" w:lineRule="exact"/>
        <w:ind w:left="221"/>
        <w:jc w:val="center"/>
        <w:textAlignment w:val="auto"/>
        <w:rPr>
          <w:rFonts w:hint="default"/>
          <w:lang w:val="en-US" w:eastAsia="zh-CN"/>
        </w:rPr>
      </w:pPr>
      <w:r>
        <w:rPr>
          <w:rFonts w:hint="eastAsia" w:asciiTheme="minorEastAsia" w:hAnsiTheme="minorEastAsia" w:eastAsiaTheme="minorEastAsia" w:cstheme="minorEastAsia"/>
          <w:b/>
          <w:bCs/>
          <w:color w:val="auto"/>
          <w:kern w:val="0"/>
          <w:sz w:val="36"/>
          <w:szCs w:val="36"/>
          <w:highlight w:val="none"/>
          <w:shd w:val="clear" w:color="auto" w:fill="FFFFFF"/>
          <w:lang w:val="en-US" w:eastAsia="zh-CN"/>
        </w:rPr>
        <w:t>绩效评价</w:t>
      </w:r>
      <w:r>
        <w:rPr>
          <w:rFonts w:hint="eastAsia" w:ascii="宋体" w:hAnsi="宋体" w:eastAsia="宋体" w:cs="宋体"/>
          <w:b/>
          <w:bCs/>
          <w:color w:val="auto"/>
          <w:kern w:val="0"/>
          <w:sz w:val="36"/>
          <w:szCs w:val="36"/>
          <w:highlight w:val="none"/>
          <w:shd w:val="clear" w:color="auto" w:fill="FFFFFF"/>
          <w:lang w:val="en-US" w:eastAsia="zh-CN"/>
        </w:rPr>
        <w:t>问题清单</w:t>
      </w:r>
    </w:p>
    <w:tbl>
      <w:tblPr>
        <w:tblStyle w:val="15"/>
        <w:tblW w:w="4969" w:type="pct"/>
        <w:tblInd w:w="-25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78"/>
        <w:gridCol w:w="772"/>
        <w:gridCol w:w="55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1493" w:type="pct"/>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问题分类</w:t>
            </w:r>
          </w:p>
        </w:tc>
        <w:tc>
          <w:tcPr>
            <w:tcW w:w="430" w:type="pct"/>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序号</w:t>
            </w:r>
          </w:p>
        </w:tc>
        <w:tc>
          <w:tcPr>
            <w:tcW w:w="3076" w:type="pct"/>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问题描述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1493" w:type="pct"/>
            <w:vMerge w:val="restart"/>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投入存在的问题</w:t>
            </w:r>
          </w:p>
        </w:tc>
        <w:tc>
          <w:tcPr>
            <w:tcW w:w="430" w:type="pct"/>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1</w:t>
            </w:r>
          </w:p>
        </w:tc>
        <w:tc>
          <w:tcPr>
            <w:tcW w:w="3076" w:type="pct"/>
            <w:noWrap w:val="0"/>
            <w:vAlign w:val="center"/>
          </w:tcPr>
          <w:p>
            <w:pPr>
              <w:keepNext w:val="0"/>
              <w:keepLines w:val="0"/>
              <w:widowControl/>
              <w:suppressLineNumbers w:val="0"/>
              <w:jc w:val="center"/>
              <w:textAlignment w:val="center"/>
              <w:rPr>
                <w:rFonts w:hint="default" w:ascii="仿宋" w:hAnsi="仿宋" w:eastAsia="仿宋" w:cs="仿宋"/>
                <w:i w:val="0"/>
                <w:iCs w:val="0"/>
                <w:color w:val="000000"/>
                <w:sz w:val="24"/>
                <w:szCs w:val="24"/>
                <w:highlight w:val="none"/>
                <w:u w:val="none"/>
                <w:lang w:val="en-US" w:eastAsia="zh-CN"/>
              </w:rPr>
            </w:pPr>
            <w:r>
              <w:rPr>
                <w:rFonts w:hint="eastAsia" w:ascii="仿宋" w:hAnsi="仿宋" w:eastAsia="仿宋" w:cs="仿宋"/>
                <w:i w:val="0"/>
                <w:iCs w:val="0"/>
                <w:color w:val="000000"/>
                <w:kern w:val="0"/>
                <w:sz w:val="24"/>
                <w:szCs w:val="24"/>
                <w:highlight w:val="none"/>
                <w:u w:val="none"/>
                <w:lang w:val="en-US" w:eastAsia="zh-CN" w:bidi="ar"/>
              </w:rPr>
              <w:t>未设定部门整体支出绩效目标。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1493" w:type="pct"/>
            <w:vMerge w:val="continue"/>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p>
        </w:tc>
        <w:tc>
          <w:tcPr>
            <w:tcW w:w="430" w:type="pct"/>
            <w:noWrap w:val="0"/>
            <w:vAlign w:val="center"/>
          </w:tcPr>
          <w:p>
            <w:pPr>
              <w:keepNext w:val="0"/>
              <w:keepLines w:val="0"/>
              <w:widowControl/>
              <w:suppressLineNumbers w:val="0"/>
              <w:jc w:val="center"/>
              <w:textAlignment w:val="center"/>
              <w:rPr>
                <w:rFonts w:hint="default"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2</w:t>
            </w:r>
          </w:p>
        </w:tc>
        <w:tc>
          <w:tcPr>
            <w:tcW w:w="3076" w:type="pct"/>
            <w:noWrap w:val="0"/>
            <w:vAlign w:val="center"/>
          </w:tcPr>
          <w:p>
            <w:pPr>
              <w:keepNext w:val="0"/>
              <w:keepLines w:val="0"/>
              <w:widowControl/>
              <w:suppressLineNumbers w:val="0"/>
              <w:jc w:val="center"/>
              <w:textAlignment w:val="center"/>
              <w:rPr>
                <w:rFonts w:hint="default"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重点工作支出安排有待加强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1493" w:type="pct"/>
            <w:vMerge w:val="restart"/>
            <w:noWrap w:val="0"/>
            <w:vAlign w:val="center"/>
          </w:tcPr>
          <w:p>
            <w:pPr>
              <w:keepNext w:val="0"/>
              <w:keepLines w:val="0"/>
              <w:widowControl/>
              <w:suppressLineNumbers w:val="0"/>
              <w:jc w:val="center"/>
              <w:textAlignment w:val="center"/>
              <w:rPr>
                <w:rFonts w:hint="default"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过程存在的问题</w:t>
            </w:r>
          </w:p>
        </w:tc>
        <w:tc>
          <w:tcPr>
            <w:tcW w:w="430" w:type="pct"/>
            <w:noWrap w:val="0"/>
            <w:vAlign w:val="center"/>
          </w:tcPr>
          <w:p>
            <w:pPr>
              <w:keepNext w:val="0"/>
              <w:keepLines w:val="0"/>
              <w:widowControl/>
              <w:suppressLineNumbers w:val="0"/>
              <w:jc w:val="center"/>
              <w:textAlignment w:val="center"/>
              <w:rPr>
                <w:rFonts w:hint="default"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1</w:t>
            </w:r>
          </w:p>
        </w:tc>
        <w:tc>
          <w:tcPr>
            <w:tcW w:w="3076" w:type="pct"/>
            <w:noWrap w:val="0"/>
            <w:vAlign w:val="center"/>
          </w:tcPr>
          <w:p>
            <w:pPr>
              <w:keepNext w:val="0"/>
              <w:keepLines w:val="0"/>
              <w:widowControl/>
              <w:suppressLineNumbers w:val="0"/>
              <w:jc w:val="center"/>
              <w:textAlignment w:val="center"/>
              <w:rPr>
                <w:rFonts w:hint="default"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预算调整比例较高，支付进度较慢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1493" w:type="pct"/>
            <w:vMerge w:val="continue"/>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p>
        </w:tc>
        <w:tc>
          <w:tcPr>
            <w:tcW w:w="430" w:type="pct"/>
            <w:noWrap w:val="0"/>
            <w:vAlign w:val="center"/>
          </w:tcPr>
          <w:p>
            <w:pPr>
              <w:keepNext w:val="0"/>
              <w:keepLines w:val="0"/>
              <w:widowControl/>
              <w:suppressLineNumbers w:val="0"/>
              <w:jc w:val="center"/>
              <w:textAlignment w:val="center"/>
              <w:rPr>
                <w:rFonts w:hint="default"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2</w:t>
            </w:r>
          </w:p>
        </w:tc>
        <w:tc>
          <w:tcPr>
            <w:tcW w:w="3076" w:type="pct"/>
            <w:noWrap w:val="0"/>
            <w:vAlign w:val="center"/>
          </w:tcPr>
          <w:p>
            <w:pPr>
              <w:keepNext w:val="0"/>
              <w:keepLines w:val="0"/>
              <w:widowControl/>
              <w:suppressLineNumbers w:val="0"/>
              <w:jc w:val="center"/>
              <w:textAlignment w:val="center"/>
              <w:rPr>
                <w:rFonts w:hint="default"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公用经费支出控制力度不足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1493" w:type="pct"/>
            <w:noWrap w:val="0"/>
            <w:vAlign w:val="center"/>
          </w:tcPr>
          <w:p>
            <w:pPr>
              <w:keepNext w:val="0"/>
              <w:keepLines w:val="0"/>
              <w:widowControl/>
              <w:suppressLineNumbers w:val="0"/>
              <w:jc w:val="center"/>
              <w:textAlignment w:val="center"/>
              <w:rPr>
                <w:rFonts w:hint="default"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产出存在的问题</w:t>
            </w:r>
          </w:p>
        </w:tc>
        <w:tc>
          <w:tcPr>
            <w:tcW w:w="430" w:type="pct"/>
            <w:noWrap w:val="0"/>
            <w:vAlign w:val="center"/>
          </w:tcPr>
          <w:p>
            <w:pPr>
              <w:keepNext w:val="0"/>
              <w:keepLines w:val="0"/>
              <w:widowControl/>
              <w:suppressLineNumbers w:val="0"/>
              <w:jc w:val="center"/>
              <w:textAlignment w:val="center"/>
              <w:rPr>
                <w:rFonts w:hint="default"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1</w:t>
            </w:r>
          </w:p>
        </w:tc>
        <w:tc>
          <w:tcPr>
            <w:tcW w:w="3076" w:type="pct"/>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提升绩效目标项目指标值合理性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1493" w:type="pct"/>
            <w:noWrap w:val="0"/>
            <w:vAlign w:val="center"/>
          </w:tcPr>
          <w:p>
            <w:pPr>
              <w:keepNext w:val="0"/>
              <w:keepLines w:val="0"/>
              <w:widowControl/>
              <w:suppressLineNumbers w:val="0"/>
              <w:jc w:val="center"/>
              <w:textAlignment w:val="center"/>
              <w:rPr>
                <w:rFonts w:hint="default"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效益存在的问题</w:t>
            </w:r>
          </w:p>
        </w:tc>
        <w:tc>
          <w:tcPr>
            <w:tcW w:w="430" w:type="pct"/>
            <w:noWrap w:val="0"/>
            <w:vAlign w:val="center"/>
          </w:tcPr>
          <w:p>
            <w:pPr>
              <w:keepNext w:val="0"/>
              <w:keepLines w:val="0"/>
              <w:widowControl/>
              <w:suppressLineNumbers w:val="0"/>
              <w:jc w:val="center"/>
              <w:textAlignment w:val="center"/>
              <w:rPr>
                <w:rFonts w:hint="default"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1</w:t>
            </w:r>
          </w:p>
        </w:tc>
        <w:tc>
          <w:tcPr>
            <w:tcW w:w="3076" w:type="pct"/>
            <w:noWrap w:val="0"/>
            <w:vAlign w:val="center"/>
          </w:tcPr>
          <w:p>
            <w:pPr>
              <w:keepNext w:val="0"/>
              <w:keepLines w:val="0"/>
              <w:widowControl/>
              <w:suppressLineNumbers w:val="0"/>
              <w:jc w:val="center"/>
              <w:textAlignment w:val="center"/>
              <w:rPr>
                <w:rFonts w:hint="default" w:ascii="仿宋" w:hAnsi="仿宋" w:eastAsia="仿宋" w:cs="仿宋"/>
                <w:i w:val="0"/>
                <w:iCs w:val="0"/>
                <w:color w:val="000000"/>
                <w:kern w:val="0"/>
                <w:sz w:val="24"/>
                <w:szCs w:val="24"/>
                <w:highlight w:val="none"/>
                <w:u w:val="none"/>
                <w:lang w:val="en-US" w:eastAsia="zh-CN" w:bidi="ar"/>
              </w:rPr>
            </w:pPr>
            <w:r>
              <w:rPr>
                <w:rFonts w:hint="default" w:ascii="仿宋" w:hAnsi="仿宋" w:eastAsia="仿宋" w:cs="仿宋"/>
                <w:i w:val="0"/>
                <w:iCs w:val="0"/>
                <w:color w:val="000000"/>
                <w:kern w:val="0"/>
                <w:sz w:val="24"/>
                <w:szCs w:val="24"/>
                <w:highlight w:val="none"/>
                <w:u w:val="none"/>
                <w:lang w:val="en-US" w:eastAsia="zh-CN" w:bidi="ar"/>
              </w:rPr>
              <w:t>特色农业发展</w:t>
            </w:r>
            <w:r>
              <w:rPr>
                <w:rFonts w:hint="eastAsia" w:ascii="仿宋" w:hAnsi="仿宋" w:eastAsia="仿宋" w:cs="仿宋"/>
                <w:i w:val="0"/>
                <w:iCs w:val="0"/>
                <w:color w:val="000000"/>
                <w:kern w:val="0"/>
                <w:sz w:val="24"/>
                <w:szCs w:val="24"/>
                <w:highlight w:val="none"/>
                <w:u w:val="none"/>
                <w:lang w:val="en-US" w:eastAsia="zh-CN" w:bidi="ar"/>
              </w:rPr>
              <w:t>需进一步推动</w:t>
            </w:r>
          </w:p>
        </w:tc>
      </w:tr>
    </w:tbl>
    <w:p>
      <w:pPr>
        <w:widowControl w:val="0"/>
        <w:numPr>
          <w:ilvl w:val="0"/>
          <w:numId w:val="0"/>
        </w:numPr>
        <w:jc w:val="both"/>
        <w:outlineLvl w:val="0"/>
        <w:rPr>
          <w:rFonts w:hint="eastAsia" w:ascii="黑体" w:hAnsi="黑体" w:eastAsia="黑体" w:cs="黑体"/>
          <w:color w:val="auto"/>
          <w:kern w:val="0"/>
          <w:sz w:val="32"/>
          <w:szCs w:val="32"/>
          <w:highlight w:val="none"/>
          <w:shd w:val="clear" w:color="auto" w:fill="FFFFFF"/>
          <w:lang w:val="en-US" w:eastAsia="zh-CN"/>
        </w:rPr>
        <w:sectPr>
          <w:footerReference r:id="rId6" w:type="default"/>
          <w:pgSz w:w="11910" w:h="16840"/>
          <w:pgMar w:top="2098" w:right="1474" w:bottom="1984" w:left="1587" w:header="1017" w:footer="1206" w:gutter="0"/>
          <w:pgNumType w:fmt="numberInDash"/>
          <w:cols w:equalWidth="0" w:num="1">
            <w:col w:w="8810"/>
          </w:cols>
        </w:sectPr>
      </w:pPr>
    </w:p>
    <w:p>
      <w:pPr>
        <w:widowControl w:val="0"/>
        <w:numPr>
          <w:ilvl w:val="0"/>
          <w:numId w:val="0"/>
        </w:numPr>
        <w:jc w:val="both"/>
        <w:outlineLvl w:val="9"/>
        <w:rPr>
          <w:rFonts w:hint="eastAsia" w:cs="宋体"/>
          <w:b/>
          <w:bCs/>
          <w:color w:val="auto"/>
          <w:kern w:val="0"/>
          <w:sz w:val="36"/>
          <w:szCs w:val="36"/>
          <w:highlight w:val="none"/>
          <w:shd w:val="clear" w:color="auto" w:fill="FFFFFF"/>
          <w:lang w:val="en-US" w:eastAsia="zh-CN"/>
        </w:rPr>
      </w:pPr>
      <w:r>
        <w:rPr>
          <w:rFonts w:hint="eastAsia" w:cs="宋体"/>
          <w:b/>
          <w:bCs/>
          <w:color w:val="auto"/>
          <w:kern w:val="0"/>
          <w:sz w:val="36"/>
          <w:szCs w:val="36"/>
          <w:highlight w:val="none"/>
          <w:shd w:val="clear" w:color="auto" w:fill="FFFFFF"/>
          <w:lang w:val="en-US" w:eastAsia="zh-CN"/>
        </w:rPr>
        <w:t xml:space="preserve">附件3 </w:t>
      </w:r>
    </w:p>
    <w:p>
      <w:pPr>
        <w:widowControl w:val="0"/>
        <w:numPr>
          <w:ilvl w:val="0"/>
          <w:numId w:val="0"/>
        </w:numPr>
        <w:jc w:val="center"/>
        <w:outlineLvl w:val="9"/>
        <w:rPr>
          <w:rFonts w:hint="eastAsia" w:ascii="宋体" w:hAnsi="宋体" w:eastAsia="宋体" w:cs="宋体"/>
          <w:b/>
          <w:bCs/>
          <w:color w:val="auto"/>
          <w:kern w:val="0"/>
          <w:sz w:val="36"/>
          <w:szCs w:val="36"/>
          <w:highlight w:val="none"/>
          <w:shd w:val="clear" w:color="auto" w:fill="FFFFFF"/>
          <w:lang w:val="en-US" w:eastAsia="zh-Hans"/>
        </w:rPr>
      </w:pPr>
      <w:r>
        <w:rPr>
          <w:rFonts w:hint="eastAsia" w:ascii="宋体" w:hAnsi="宋体" w:eastAsia="宋体" w:cs="宋体"/>
          <w:b/>
          <w:bCs/>
          <w:color w:val="auto"/>
          <w:kern w:val="0"/>
          <w:sz w:val="36"/>
          <w:szCs w:val="36"/>
          <w:highlight w:val="none"/>
          <w:shd w:val="clear" w:color="auto" w:fill="FFFFFF"/>
          <w:lang w:val="en-US" w:eastAsia="zh-Hans"/>
        </w:rPr>
        <w:t>202</w:t>
      </w:r>
      <w:r>
        <w:rPr>
          <w:rFonts w:hint="eastAsia" w:cs="宋体"/>
          <w:b/>
          <w:bCs/>
          <w:color w:val="auto"/>
          <w:kern w:val="0"/>
          <w:sz w:val="36"/>
          <w:szCs w:val="36"/>
          <w:highlight w:val="none"/>
          <w:shd w:val="clear" w:color="auto" w:fill="FFFFFF"/>
          <w:lang w:val="en-US" w:eastAsia="zh-CN"/>
        </w:rPr>
        <w:t>1</w:t>
      </w:r>
      <w:r>
        <w:rPr>
          <w:rFonts w:hint="eastAsia" w:ascii="宋体" w:hAnsi="宋体" w:eastAsia="宋体" w:cs="宋体"/>
          <w:b/>
          <w:bCs/>
          <w:color w:val="auto"/>
          <w:kern w:val="0"/>
          <w:sz w:val="36"/>
          <w:szCs w:val="36"/>
          <w:highlight w:val="none"/>
          <w:shd w:val="clear" w:color="auto" w:fill="FFFFFF"/>
          <w:lang w:val="en-US" w:eastAsia="zh-Hans"/>
        </w:rPr>
        <w:t>年度</w:t>
      </w:r>
      <w:r>
        <w:rPr>
          <w:rFonts w:hint="eastAsia" w:ascii="宋体" w:hAnsi="宋体" w:eastAsia="宋体" w:cs="宋体"/>
          <w:b/>
          <w:bCs/>
          <w:color w:val="auto"/>
          <w:kern w:val="0"/>
          <w:sz w:val="36"/>
          <w:szCs w:val="36"/>
          <w:highlight w:val="none"/>
          <w:shd w:val="clear" w:color="auto" w:fill="FFFFFF"/>
          <w:lang w:val="en-US" w:eastAsia="zh-CN"/>
        </w:rPr>
        <w:t>铜川市新区</w:t>
      </w:r>
      <w:r>
        <w:rPr>
          <w:rFonts w:hint="eastAsia" w:cs="宋体"/>
          <w:b/>
          <w:bCs/>
          <w:color w:val="auto"/>
          <w:kern w:val="0"/>
          <w:sz w:val="36"/>
          <w:szCs w:val="36"/>
          <w:highlight w:val="none"/>
          <w:shd w:val="clear" w:color="auto" w:fill="FFFFFF"/>
          <w:lang w:val="en-US" w:eastAsia="zh-CN"/>
        </w:rPr>
        <w:t>咸丰路街道办事处</w:t>
      </w:r>
      <w:r>
        <w:rPr>
          <w:rFonts w:hint="eastAsia" w:ascii="宋体" w:hAnsi="宋体" w:eastAsia="宋体" w:cs="宋体"/>
          <w:b/>
          <w:bCs/>
          <w:color w:val="auto"/>
          <w:kern w:val="0"/>
          <w:sz w:val="36"/>
          <w:szCs w:val="36"/>
          <w:highlight w:val="none"/>
          <w:shd w:val="clear" w:color="auto" w:fill="FFFFFF"/>
          <w:lang w:val="en-US" w:eastAsia="zh-CN"/>
        </w:rPr>
        <w:t>部门</w:t>
      </w:r>
      <w:r>
        <w:rPr>
          <w:rFonts w:hint="eastAsia" w:ascii="宋体" w:hAnsi="宋体" w:eastAsia="宋体" w:cs="宋体"/>
          <w:b/>
          <w:bCs/>
          <w:color w:val="auto"/>
          <w:kern w:val="0"/>
          <w:sz w:val="36"/>
          <w:szCs w:val="36"/>
          <w:highlight w:val="none"/>
          <w:shd w:val="clear" w:color="auto" w:fill="FFFFFF"/>
          <w:lang w:val="en-US" w:eastAsia="zh-Hans"/>
        </w:rPr>
        <w:t>整体</w:t>
      </w:r>
    </w:p>
    <w:p>
      <w:pPr>
        <w:widowControl w:val="0"/>
        <w:numPr>
          <w:ilvl w:val="0"/>
          <w:numId w:val="0"/>
        </w:numPr>
        <w:jc w:val="center"/>
        <w:outlineLvl w:val="9"/>
        <w:rPr>
          <w:rFonts w:hint="eastAsia" w:cs="宋体"/>
          <w:b/>
          <w:bCs/>
          <w:color w:val="auto"/>
          <w:kern w:val="0"/>
          <w:sz w:val="36"/>
          <w:szCs w:val="36"/>
          <w:highlight w:val="none"/>
          <w:shd w:val="clear" w:color="auto" w:fill="FFFFFF"/>
          <w:lang w:val="en-US" w:eastAsia="zh-CN"/>
        </w:rPr>
      </w:pPr>
      <w:r>
        <w:rPr>
          <w:rFonts w:hint="eastAsia" w:ascii="宋体" w:hAnsi="宋体" w:eastAsia="宋体" w:cs="宋体"/>
          <w:b/>
          <w:bCs/>
          <w:color w:val="auto"/>
          <w:kern w:val="0"/>
          <w:sz w:val="36"/>
          <w:szCs w:val="36"/>
          <w:highlight w:val="none"/>
          <w:shd w:val="clear" w:color="auto" w:fill="FFFFFF"/>
          <w:lang w:val="en-US" w:eastAsia="zh-CN"/>
        </w:rPr>
        <w:t>绩效评价</w:t>
      </w:r>
      <w:r>
        <w:rPr>
          <w:rFonts w:hint="eastAsia" w:cs="宋体"/>
          <w:b/>
          <w:bCs/>
          <w:color w:val="auto"/>
          <w:kern w:val="0"/>
          <w:sz w:val="36"/>
          <w:szCs w:val="36"/>
          <w:highlight w:val="none"/>
          <w:shd w:val="clear" w:color="auto" w:fill="FFFFFF"/>
          <w:lang w:val="en-US" w:eastAsia="zh-CN"/>
        </w:rPr>
        <w:t>指标体系</w:t>
      </w:r>
    </w:p>
    <w:tbl>
      <w:tblPr>
        <w:tblStyle w:val="15"/>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0" w:type="dxa"/>
          <w:bottom w:w="0" w:type="dxa"/>
          <w:right w:w="0" w:type="dxa"/>
        </w:tblCellMar>
      </w:tblPr>
      <w:tblGrid>
        <w:gridCol w:w="905"/>
        <w:gridCol w:w="905"/>
        <w:gridCol w:w="906"/>
        <w:gridCol w:w="1909"/>
        <w:gridCol w:w="3295"/>
        <w:gridCol w:w="9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520" w:hRule="atLeast"/>
        </w:trPr>
        <w:tc>
          <w:tcPr>
            <w:tcW w:w="513" w:type="pct"/>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楷体_GB2312" w:hAnsi="宋体" w:eastAsia="楷体_GB2312" w:cs="楷体_GB2312"/>
                <w:b/>
                <w:i w:val="0"/>
                <w:color w:val="000000"/>
                <w:kern w:val="0"/>
                <w:sz w:val="20"/>
                <w:szCs w:val="20"/>
                <w:u w:val="none"/>
                <w:lang w:val="en-US" w:eastAsia="zh-CN" w:bidi="ar"/>
              </w:rPr>
            </w:pPr>
            <w:r>
              <w:rPr>
                <w:rFonts w:hint="default" w:ascii="楷体_GB2312" w:hAnsi="宋体" w:eastAsia="楷体_GB2312" w:cs="楷体_GB2312"/>
                <w:b/>
                <w:i w:val="0"/>
                <w:color w:val="000000"/>
                <w:kern w:val="0"/>
                <w:sz w:val="20"/>
                <w:szCs w:val="20"/>
                <w:u w:val="none"/>
                <w:lang w:val="en-US" w:eastAsia="zh-CN" w:bidi="ar"/>
              </w:rPr>
              <w:t>一级</w:t>
            </w:r>
          </w:p>
          <w:p>
            <w:pPr>
              <w:keepNext w:val="0"/>
              <w:keepLines w:val="0"/>
              <w:widowControl/>
              <w:suppressLineNumbers w:val="0"/>
              <w:jc w:val="center"/>
              <w:textAlignment w:val="center"/>
              <w:rPr>
                <w:rFonts w:ascii="楷体_GB2312" w:hAnsi="宋体" w:eastAsia="楷体_GB2312" w:cs="楷体_GB2312"/>
                <w:b/>
                <w:i w:val="0"/>
                <w:color w:val="000000"/>
                <w:sz w:val="20"/>
                <w:szCs w:val="20"/>
                <w:u w:val="none"/>
              </w:rPr>
            </w:pPr>
            <w:r>
              <w:rPr>
                <w:rFonts w:hint="default" w:ascii="楷体_GB2312" w:hAnsi="宋体" w:eastAsia="楷体_GB2312" w:cs="楷体_GB2312"/>
                <w:b/>
                <w:i w:val="0"/>
                <w:color w:val="000000"/>
                <w:kern w:val="0"/>
                <w:sz w:val="20"/>
                <w:szCs w:val="20"/>
                <w:u w:val="none"/>
                <w:lang w:val="en-US" w:eastAsia="zh-CN" w:bidi="ar"/>
              </w:rPr>
              <w:t>指标</w:t>
            </w:r>
          </w:p>
        </w:tc>
        <w:tc>
          <w:tcPr>
            <w:tcW w:w="513" w:type="pct"/>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楷体_GB2312" w:hAnsi="宋体" w:eastAsia="楷体_GB2312" w:cs="楷体_GB2312"/>
                <w:b/>
                <w:i w:val="0"/>
                <w:color w:val="000000"/>
                <w:kern w:val="0"/>
                <w:sz w:val="20"/>
                <w:szCs w:val="20"/>
                <w:u w:val="none"/>
                <w:lang w:val="en-US" w:eastAsia="zh-CN" w:bidi="ar"/>
              </w:rPr>
            </w:pPr>
            <w:r>
              <w:rPr>
                <w:rFonts w:hint="default" w:ascii="楷体_GB2312" w:hAnsi="宋体" w:eastAsia="楷体_GB2312" w:cs="楷体_GB2312"/>
                <w:b/>
                <w:i w:val="0"/>
                <w:color w:val="000000"/>
                <w:kern w:val="0"/>
                <w:sz w:val="20"/>
                <w:szCs w:val="20"/>
                <w:u w:val="none"/>
                <w:lang w:val="en-US" w:eastAsia="zh-CN" w:bidi="ar"/>
              </w:rPr>
              <w:t>二级</w:t>
            </w:r>
          </w:p>
          <w:p>
            <w:pPr>
              <w:keepNext w:val="0"/>
              <w:keepLines w:val="0"/>
              <w:widowControl/>
              <w:suppressLineNumbers w:val="0"/>
              <w:jc w:val="center"/>
              <w:textAlignment w:val="center"/>
              <w:rPr>
                <w:rFonts w:hint="default" w:ascii="楷体_GB2312" w:hAnsi="宋体" w:eastAsia="楷体_GB2312" w:cs="楷体_GB2312"/>
                <w:b/>
                <w:i w:val="0"/>
                <w:color w:val="000000"/>
                <w:sz w:val="20"/>
                <w:szCs w:val="20"/>
                <w:u w:val="none"/>
              </w:rPr>
            </w:pPr>
            <w:r>
              <w:rPr>
                <w:rFonts w:hint="default" w:ascii="楷体_GB2312" w:hAnsi="宋体" w:eastAsia="楷体_GB2312" w:cs="楷体_GB2312"/>
                <w:b/>
                <w:i w:val="0"/>
                <w:color w:val="000000"/>
                <w:kern w:val="0"/>
                <w:sz w:val="20"/>
                <w:szCs w:val="20"/>
                <w:u w:val="none"/>
                <w:lang w:val="en-US" w:eastAsia="zh-CN" w:bidi="ar"/>
              </w:rPr>
              <w:t>指标</w:t>
            </w:r>
          </w:p>
        </w:tc>
        <w:tc>
          <w:tcPr>
            <w:tcW w:w="513" w:type="pct"/>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楷体_GB2312" w:hAnsi="宋体" w:eastAsia="楷体_GB2312" w:cs="楷体_GB2312"/>
                <w:b/>
                <w:i w:val="0"/>
                <w:color w:val="000000"/>
                <w:sz w:val="20"/>
                <w:szCs w:val="20"/>
                <w:u w:val="none"/>
              </w:rPr>
            </w:pPr>
            <w:r>
              <w:rPr>
                <w:rFonts w:hint="default" w:ascii="楷体_GB2312" w:hAnsi="宋体" w:eastAsia="楷体_GB2312" w:cs="楷体_GB2312"/>
                <w:b/>
                <w:i w:val="0"/>
                <w:color w:val="000000"/>
                <w:kern w:val="0"/>
                <w:sz w:val="20"/>
                <w:szCs w:val="20"/>
                <w:u w:val="none"/>
                <w:lang w:val="en-US" w:eastAsia="zh-CN" w:bidi="ar"/>
              </w:rPr>
              <w:t>三级指标</w:t>
            </w:r>
          </w:p>
        </w:tc>
        <w:tc>
          <w:tcPr>
            <w:tcW w:w="1081" w:type="pct"/>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楷体_GB2312" w:hAnsi="宋体" w:eastAsia="楷体_GB2312" w:cs="楷体_GB2312"/>
                <w:b/>
                <w:i w:val="0"/>
                <w:color w:val="000000"/>
                <w:sz w:val="20"/>
                <w:szCs w:val="20"/>
                <w:u w:val="none"/>
              </w:rPr>
            </w:pPr>
            <w:r>
              <w:rPr>
                <w:rFonts w:hint="default" w:ascii="楷体_GB2312" w:hAnsi="宋体" w:eastAsia="楷体_GB2312" w:cs="楷体_GB2312"/>
                <w:b/>
                <w:i w:val="0"/>
                <w:color w:val="000000"/>
                <w:kern w:val="0"/>
                <w:sz w:val="20"/>
                <w:szCs w:val="20"/>
                <w:u w:val="none"/>
                <w:lang w:val="en-US" w:eastAsia="zh-CN" w:bidi="ar"/>
              </w:rPr>
              <w:t>指标解释</w:t>
            </w:r>
          </w:p>
        </w:tc>
        <w:tc>
          <w:tcPr>
            <w:tcW w:w="1866" w:type="pct"/>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楷体_GB2312" w:hAnsi="宋体" w:eastAsia="楷体_GB2312" w:cs="楷体_GB2312"/>
                <w:b/>
                <w:i w:val="0"/>
                <w:color w:val="000000"/>
                <w:sz w:val="20"/>
                <w:szCs w:val="20"/>
                <w:u w:val="none"/>
              </w:rPr>
            </w:pPr>
            <w:r>
              <w:rPr>
                <w:rFonts w:hint="default" w:ascii="楷体_GB2312" w:hAnsi="宋体" w:eastAsia="楷体_GB2312" w:cs="楷体_GB2312"/>
                <w:b/>
                <w:i w:val="0"/>
                <w:color w:val="000000"/>
                <w:kern w:val="0"/>
                <w:sz w:val="20"/>
                <w:szCs w:val="20"/>
                <w:u w:val="none"/>
                <w:lang w:val="en-US" w:eastAsia="zh-CN" w:bidi="ar"/>
              </w:rPr>
              <w:t>评分标准</w:t>
            </w:r>
          </w:p>
        </w:tc>
        <w:tc>
          <w:tcPr>
            <w:tcW w:w="513" w:type="pct"/>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楷体_GB2312" w:hAnsi="宋体" w:eastAsia="楷体_GB2312" w:cs="楷体_GB2312"/>
                <w:b/>
                <w:i w:val="0"/>
                <w:color w:val="000000"/>
                <w:sz w:val="20"/>
                <w:szCs w:val="20"/>
                <w:u w:val="none"/>
              </w:rPr>
            </w:pPr>
            <w:r>
              <w:rPr>
                <w:rFonts w:hint="default" w:ascii="楷体_GB2312" w:hAnsi="宋体" w:eastAsia="楷体_GB2312" w:cs="楷体_GB2312"/>
                <w:b/>
                <w:i w:val="0"/>
                <w:color w:val="000000"/>
                <w:kern w:val="0"/>
                <w:sz w:val="20"/>
                <w:szCs w:val="20"/>
                <w:u w:val="none"/>
                <w:lang w:val="en-US" w:eastAsia="zh-CN" w:bidi="ar"/>
              </w:rPr>
              <w:t>指标分值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1820" w:hRule="atLeast"/>
        </w:trPr>
        <w:tc>
          <w:tcPr>
            <w:tcW w:w="513" w:type="pct"/>
            <w:vMerge w:val="restart"/>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投入</w:t>
            </w:r>
          </w:p>
        </w:tc>
        <w:tc>
          <w:tcPr>
            <w:tcW w:w="513" w:type="pct"/>
            <w:vMerge w:val="restart"/>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楷体_GB2312" w:hAnsi="宋体" w:eastAsia="楷体_GB2312" w:cs="楷体_GB2312"/>
                <w:i w:val="0"/>
                <w:color w:val="000000"/>
                <w:kern w:val="0"/>
                <w:sz w:val="20"/>
                <w:szCs w:val="20"/>
                <w:u w:val="none"/>
                <w:lang w:val="en-US" w:eastAsia="zh-CN" w:bidi="ar"/>
              </w:rPr>
            </w:pPr>
            <w:r>
              <w:rPr>
                <w:rFonts w:hint="default" w:ascii="楷体_GB2312" w:hAnsi="宋体" w:eastAsia="楷体_GB2312" w:cs="楷体_GB2312"/>
                <w:i w:val="0"/>
                <w:color w:val="000000"/>
                <w:kern w:val="0"/>
                <w:sz w:val="20"/>
                <w:szCs w:val="20"/>
                <w:u w:val="none"/>
                <w:lang w:val="en-US" w:eastAsia="zh-CN" w:bidi="ar"/>
              </w:rPr>
              <w:t>目标</w:t>
            </w:r>
          </w:p>
          <w:p>
            <w:pPr>
              <w:keepNext w:val="0"/>
              <w:keepLines w:val="0"/>
              <w:widowControl/>
              <w:suppressLineNumbers w:val="0"/>
              <w:jc w:val="center"/>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设定</w:t>
            </w:r>
          </w:p>
        </w:tc>
        <w:tc>
          <w:tcPr>
            <w:tcW w:w="513" w:type="pct"/>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绩效目标合理性</w:t>
            </w:r>
          </w:p>
        </w:tc>
        <w:tc>
          <w:tcPr>
            <w:tcW w:w="1081" w:type="pct"/>
            <w:shd w:val="clear" w:color="auto" w:fill="auto"/>
            <w:tcMar>
              <w:top w:w="10" w:type="dxa"/>
              <w:left w:w="10" w:type="dxa"/>
              <w:right w:w="10" w:type="dxa"/>
            </w:tcMar>
            <w:vAlign w:val="center"/>
          </w:tcPr>
          <w:p>
            <w:pPr>
              <w:keepNext w:val="0"/>
              <w:keepLines w:val="0"/>
              <w:widowControl/>
              <w:suppressLineNumbers w:val="0"/>
              <w:jc w:val="left"/>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部门（单位）所设立的整体绩效目标依据充分，符合客观实际，用以反映和考核部门（单位）整体绩效目标与部门履职、年度工作任务的相符性情况。</w:t>
            </w:r>
          </w:p>
        </w:tc>
        <w:tc>
          <w:tcPr>
            <w:tcW w:w="1866" w:type="pct"/>
            <w:shd w:val="clear" w:color="auto" w:fill="auto"/>
            <w:tcMar>
              <w:top w:w="10" w:type="dxa"/>
              <w:left w:w="10" w:type="dxa"/>
              <w:right w:w="10" w:type="dxa"/>
            </w:tcMar>
            <w:vAlign w:val="center"/>
          </w:tcPr>
          <w:p>
            <w:pPr>
              <w:keepNext w:val="0"/>
              <w:keepLines w:val="0"/>
              <w:widowControl/>
              <w:suppressLineNumbers w:val="0"/>
              <w:jc w:val="left"/>
              <w:textAlignment w:val="center"/>
              <w:rPr>
                <w:rFonts w:hint="default" w:ascii="楷体_GB2312" w:hAnsi="宋体" w:eastAsia="楷体_GB2312" w:cs="楷体_GB2312"/>
                <w:i w:val="0"/>
                <w:color w:val="000000"/>
                <w:kern w:val="0"/>
                <w:sz w:val="20"/>
                <w:szCs w:val="20"/>
                <w:u w:val="none"/>
                <w:lang w:val="en-US" w:eastAsia="zh-CN" w:bidi="ar"/>
              </w:rPr>
            </w:pPr>
            <w:r>
              <w:rPr>
                <w:rFonts w:hint="default" w:ascii="楷体_GB2312" w:hAnsi="宋体" w:eastAsia="楷体_GB2312" w:cs="楷体_GB2312"/>
                <w:i w:val="0"/>
                <w:color w:val="000000"/>
                <w:kern w:val="0"/>
                <w:sz w:val="20"/>
                <w:szCs w:val="20"/>
                <w:u w:val="none"/>
                <w:lang w:val="en-US" w:eastAsia="zh-CN" w:bidi="ar"/>
              </w:rPr>
              <w:t>1.符合国家法律法规、国民经济和社会发展总体规划；（1分）</w:t>
            </w:r>
          </w:p>
          <w:p>
            <w:pPr>
              <w:keepNext w:val="0"/>
              <w:keepLines w:val="0"/>
              <w:widowControl/>
              <w:suppressLineNumbers w:val="0"/>
              <w:jc w:val="left"/>
              <w:textAlignment w:val="center"/>
              <w:rPr>
                <w:rFonts w:hint="default" w:ascii="楷体_GB2312" w:hAnsi="宋体" w:eastAsia="楷体_GB2312" w:cs="楷体_GB2312"/>
                <w:i w:val="0"/>
                <w:color w:val="000000"/>
                <w:kern w:val="0"/>
                <w:sz w:val="20"/>
                <w:szCs w:val="20"/>
                <w:u w:val="none"/>
                <w:lang w:val="en-US" w:eastAsia="zh-CN" w:bidi="ar"/>
              </w:rPr>
            </w:pPr>
            <w:r>
              <w:rPr>
                <w:rFonts w:hint="default" w:ascii="楷体_GB2312" w:hAnsi="宋体" w:eastAsia="楷体_GB2312" w:cs="楷体_GB2312"/>
                <w:i w:val="0"/>
                <w:color w:val="000000"/>
                <w:kern w:val="0"/>
                <w:sz w:val="20"/>
                <w:szCs w:val="20"/>
                <w:u w:val="none"/>
                <w:lang w:val="en-US" w:eastAsia="zh-CN" w:bidi="ar"/>
              </w:rPr>
              <w:t>2.符合部门“三定”方案确定的职责；（1分）</w:t>
            </w:r>
          </w:p>
          <w:p>
            <w:pPr>
              <w:keepNext w:val="0"/>
              <w:keepLines w:val="0"/>
              <w:widowControl/>
              <w:suppressLineNumbers w:val="0"/>
              <w:jc w:val="left"/>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3.符合部门制定的中长期实施规划。（1分）</w:t>
            </w:r>
          </w:p>
        </w:tc>
        <w:tc>
          <w:tcPr>
            <w:tcW w:w="513" w:type="pct"/>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2080" w:hRule="atLeast"/>
        </w:trPr>
        <w:tc>
          <w:tcPr>
            <w:tcW w:w="513" w:type="pct"/>
            <w:vMerge w:val="continue"/>
            <w:shd w:val="clear" w:color="auto" w:fill="auto"/>
            <w:noWrap/>
            <w:tcMar>
              <w:top w:w="10" w:type="dxa"/>
              <w:left w:w="10" w:type="dxa"/>
              <w:right w:w="10" w:type="dxa"/>
            </w:tcMar>
            <w:vAlign w:val="center"/>
          </w:tcPr>
          <w:p>
            <w:pPr>
              <w:rPr>
                <w:rFonts w:hint="default" w:ascii="楷体_GB2312" w:hAnsi="宋体" w:eastAsia="楷体_GB2312" w:cs="楷体_GB2312"/>
                <w:i w:val="0"/>
                <w:color w:val="000000"/>
                <w:sz w:val="20"/>
                <w:szCs w:val="20"/>
                <w:u w:val="none"/>
              </w:rPr>
            </w:pPr>
          </w:p>
        </w:tc>
        <w:tc>
          <w:tcPr>
            <w:tcW w:w="513" w:type="pct"/>
            <w:vMerge w:val="continue"/>
            <w:shd w:val="clear" w:color="auto" w:fill="auto"/>
            <w:tcMar>
              <w:top w:w="10" w:type="dxa"/>
              <w:left w:w="10" w:type="dxa"/>
              <w:right w:w="10" w:type="dxa"/>
            </w:tcMar>
            <w:vAlign w:val="center"/>
          </w:tcPr>
          <w:p>
            <w:pPr>
              <w:jc w:val="center"/>
              <w:rPr>
                <w:rFonts w:hint="default" w:ascii="楷体_GB2312" w:hAnsi="宋体" w:eastAsia="楷体_GB2312" w:cs="楷体_GB2312"/>
                <w:i w:val="0"/>
                <w:color w:val="000000"/>
                <w:sz w:val="20"/>
                <w:szCs w:val="20"/>
                <w:u w:val="none"/>
              </w:rPr>
            </w:pPr>
          </w:p>
        </w:tc>
        <w:tc>
          <w:tcPr>
            <w:tcW w:w="513" w:type="pct"/>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绩效指标明确性</w:t>
            </w:r>
          </w:p>
        </w:tc>
        <w:tc>
          <w:tcPr>
            <w:tcW w:w="1081" w:type="pct"/>
            <w:shd w:val="clear" w:color="auto" w:fill="auto"/>
            <w:tcMar>
              <w:top w:w="10" w:type="dxa"/>
              <w:left w:w="10" w:type="dxa"/>
              <w:right w:w="10" w:type="dxa"/>
            </w:tcMar>
            <w:vAlign w:val="center"/>
          </w:tcPr>
          <w:p>
            <w:pPr>
              <w:keepNext w:val="0"/>
              <w:keepLines w:val="0"/>
              <w:widowControl/>
              <w:suppressLineNumbers w:val="0"/>
              <w:jc w:val="left"/>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部门（单位）依据整体绩效目标所设定的绩效指标清晰、细化、可衡量，用以反映和考核部门（单位）整体绩效目标的明细化情况。</w:t>
            </w:r>
          </w:p>
        </w:tc>
        <w:tc>
          <w:tcPr>
            <w:tcW w:w="1866" w:type="pct"/>
            <w:shd w:val="clear" w:color="auto" w:fill="auto"/>
            <w:tcMar>
              <w:top w:w="10" w:type="dxa"/>
              <w:left w:w="10" w:type="dxa"/>
              <w:right w:w="10" w:type="dxa"/>
            </w:tcMar>
            <w:vAlign w:val="center"/>
          </w:tcPr>
          <w:p>
            <w:pPr>
              <w:keepNext w:val="0"/>
              <w:keepLines w:val="0"/>
              <w:widowControl/>
              <w:suppressLineNumbers w:val="0"/>
              <w:jc w:val="left"/>
              <w:textAlignment w:val="center"/>
              <w:rPr>
                <w:rFonts w:hint="default" w:ascii="楷体_GB2312" w:hAnsi="宋体" w:eastAsia="楷体_GB2312" w:cs="楷体_GB2312"/>
                <w:i w:val="0"/>
                <w:color w:val="000000"/>
                <w:kern w:val="0"/>
                <w:sz w:val="20"/>
                <w:szCs w:val="20"/>
                <w:u w:val="none"/>
                <w:lang w:val="en-US" w:eastAsia="zh-CN" w:bidi="ar"/>
              </w:rPr>
            </w:pPr>
          </w:p>
          <w:p>
            <w:pPr>
              <w:keepNext w:val="0"/>
              <w:keepLines w:val="0"/>
              <w:widowControl/>
              <w:suppressLineNumbers w:val="0"/>
              <w:jc w:val="left"/>
              <w:textAlignment w:val="center"/>
              <w:rPr>
                <w:rFonts w:hint="default" w:ascii="楷体_GB2312" w:hAnsi="宋体" w:eastAsia="楷体_GB2312" w:cs="楷体_GB2312"/>
                <w:i w:val="0"/>
                <w:color w:val="000000"/>
                <w:kern w:val="0"/>
                <w:sz w:val="20"/>
                <w:szCs w:val="20"/>
                <w:u w:val="none"/>
                <w:lang w:val="en-US" w:eastAsia="zh-CN" w:bidi="ar"/>
              </w:rPr>
            </w:pPr>
            <w:r>
              <w:rPr>
                <w:rFonts w:hint="default" w:ascii="楷体_GB2312" w:hAnsi="宋体" w:eastAsia="楷体_GB2312" w:cs="楷体_GB2312"/>
                <w:i w:val="0"/>
                <w:color w:val="000000"/>
                <w:kern w:val="0"/>
                <w:sz w:val="20"/>
                <w:szCs w:val="20"/>
                <w:u w:val="none"/>
                <w:lang w:val="en-US" w:eastAsia="zh-CN" w:bidi="ar"/>
              </w:rPr>
              <w:t>1.将部门整体的绩效目标细化分解为具体的工作任务；（1分）</w:t>
            </w:r>
          </w:p>
          <w:p>
            <w:pPr>
              <w:keepNext w:val="0"/>
              <w:keepLines w:val="0"/>
              <w:widowControl/>
              <w:suppressLineNumbers w:val="0"/>
              <w:jc w:val="left"/>
              <w:textAlignment w:val="center"/>
              <w:rPr>
                <w:rFonts w:hint="default" w:ascii="楷体_GB2312" w:hAnsi="宋体" w:eastAsia="楷体_GB2312" w:cs="楷体_GB2312"/>
                <w:i w:val="0"/>
                <w:color w:val="000000"/>
                <w:kern w:val="0"/>
                <w:sz w:val="20"/>
                <w:szCs w:val="20"/>
                <w:u w:val="none"/>
                <w:lang w:val="en-US" w:eastAsia="zh-CN" w:bidi="ar"/>
              </w:rPr>
            </w:pPr>
            <w:r>
              <w:rPr>
                <w:rFonts w:hint="default" w:ascii="楷体_GB2312" w:hAnsi="宋体" w:eastAsia="楷体_GB2312" w:cs="楷体_GB2312"/>
                <w:i w:val="0"/>
                <w:color w:val="000000"/>
                <w:kern w:val="0"/>
                <w:sz w:val="20"/>
                <w:szCs w:val="20"/>
                <w:u w:val="none"/>
                <w:lang w:val="en-US" w:eastAsia="zh-CN" w:bidi="ar"/>
              </w:rPr>
              <w:t>2.通过清晰、可衡量的指标值予以体现。（1分）                                   3.与部门年度的任务数或计划数相对应；（1分）</w:t>
            </w:r>
          </w:p>
          <w:p>
            <w:pPr>
              <w:keepNext w:val="0"/>
              <w:keepLines w:val="0"/>
              <w:widowControl/>
              <w:suppressLineNumbers w:val="0"/>
              <w:jc w:val="left"/>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4.与本年度部门预算资金相匹配。（1分）</w:t>
            </w:r>
          </w:p>
        </w:tc>
        <w:tc>
          <w:tcPr>
            <w:tcW w:w="513" w:type="pct"/>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2340" w:hRule="atLeast"/>
        </w:trPr>
        <w:tc>
          <w:tcPr>
            <w:tcW w:w="513" w:type="pct"/>
            <w:vMerge w:val="continue"/>
            <w:shd w:val="clear" w:color="auto" w:fill="auto"/>
            <w:noWrap/>
            <w:tcMar>
              <w:top w:w="10" w:type="dxa"/>
              <w:left w:w="10" w:type="dxa"/>
              <w:right w:w="10" w:type="dxa"/>
            </w:tcMar>
            <w:vAlign w:val="center"/>
          </w:tcPr>
          <w:p>
            <w:pPr>
              <w:rPr>
                <w:rFonts w:hint="default" w:ascii="楷体_GB2312" w:hAnsi="宋体" w:eastAsia="楷体_GB2312" w:cs="楷体_GB2312"/>
                <w:i w:val="0"/>
                <w:color w:val="000000"/>
                <w:sz w:val="20"/>
                <w:szCs w:val="20"/>
                <w:u w:val="none"/>
              </w:rPr>
            </w:pPr>
          </w:p>
        </w:tc>
        <w:tc>
          <w:tcPr>
            <w:tcW w:w="513" w:type="pct"/>
            <w:vMerge w:val="restart"/>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楷体_GB2312" w:hAnsi="宋体" w:eastAsia="楷体_GB2312" w:cs="楷体_GB2312"/>
                <w:i w:val="0"/>
                <w:color w:val="000000"/>
                <w:kern w:val="0"/>
                <w:sz w:val="20"/>
                <w:szCs w:val="20"/>
                <w:u w:val="none"/>
                <w:lang w:val="en-US" w:eastAsia="zh-CN" w:bidi="ar"/>
              </w:rPr>
            </w:pPr>
            <w:r>
              <w:rPr>
                <w:rFonts w:hint="default" w:ascii="楷体_GB2312" w:hAnsi="宋体" w:eastAsia="楷体_GB2312" w:cs="楷体_GB2312"/>
                <w:i w:val="0"/>
                <w:color w:val="000000"/>
                <w:kern w:val="0"/>
                <w:sz w:val="20"/>
                <w:szCs w:val="20"/>
                <w:u w:val="none"/>
                <w:lang w:val="en-US" w:eastAsia="zh-CN" w:bidi="ar"/>
              </w:rPr>
              <w:t>预算</w:t>
            </w:r>
          </w:p>
          <w:p>
            <w:pPr>
              <w:keepNext w:val="0"/>
              <w:keepLines w:val="0"/>
              <w:widowControl/>
              <w:suppressLineNumbers w:val="0"/>
              <w:jc w:val="center"/>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配置</w:t>
            </w:r>
          </w:p>
        </w:tc>
        <w:tc>
          <w:tcPr>
            <w:tcW w:w="513" w:type="pct"/>
            <w:shd w:val="clear" w:color="auto" w:fill="auto"/>
            <w:tcMar>
              <w:top w:w="10" w:type="dxa"/>
              <w:left w:w="10" w:type="dxa"/>
              <w:right w:w="10" w:type="dxa"/>
            </w:tcMar>
            <w:vAlign w:val="center"/>
          </w:tcPr>
          <w:p>
            <w:pPr>
              <w:keepNext w:val="0"/>
              <w:keepLines w:val="0"/>
              <w:widowControl/>
              <w:suppressLineNumbers w:val="0"/>
              <w:jc w:val="left"/>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在职人员控制率</w:t>
            </w:r>
          </w:p>
        </w:tc>
        <w:tc>
          <w:tcPr>
            <w:tcW w:w="1081" w:type="pct"/>
            <w:shd w:val="clear" w:color="auto" w:fill="auto"/>
            <w:tcMar>
              <w:top w:w="10" w:type="dxa"/>
              <w:left w:w="10" w:type="dxa"/>
              <w:right w:w="10" w:type="dxa"/>
            </w:tcMar>
            <w:vAlign w:val="center"/>
          </w:tcPr>
          <w:p>
            <w:pPr>
              <w:keepNext w:val="0"/>
              <w:keepLines w:val="0"/>
              <w:widowControl/>
              <w:suppressLineNumbers w:val="0"/>
              <w:jc w:val="left"/>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部门（单位）本年度实际在职人员数与编制数的比率，用以反映和考核部门（单位）对人员成本的控制程度。</w:t>
            </w:r>
          </w:p>
        </w:tc>
        <w:tc>
          <w:tcPr>
            <w:tcW w:w="1866" w:type="pct"/>
            <w:shd w:val="clear" w:color="auto" w:fill="auto"/>
            <w:tcMar>
              <w:top w:w="10" w:type="dxa"/>
              <w:left w:w="10" w:type="dxa"/>
              <w:right w:w="10" w:type="dxa"/>
            </w:tcMar>
            <w:vAlign w:val="center"/>
          </w:tcPr>
          <w:p>
            <w:pPr>
              <w:keepNext w:val="0"/>
              <w:keepLines w:val="0"/>
              <w:widowControl/>
              <w:suppressLineNumbers w:val="0"/>
              <w:jc w:val="left"/>
              <w:textAlignment w:val="center"/>
              <w:rPr>
                <w:rFonts w:hint="default" w:ascii="楷体_GB2312" w:hAnsi="宋体" w:eastAsia="楷体_GB2312" w:cs="楷体_GB2312"/>
                <w:i w:val="0"/>
                <w:color w:val="000000"/>
                <w:kern w:val="0"/>
                <w:sz w:val="20"/>
                <w:szCs w:val="20"/>
                <w:u w:val="none"/>
                <w:lang w:val="en-US" w:eastAsia="zh-CN" w:bidi="ar"/>
              </w:rPr>
            </w:pPr>
            <w:r>
              <w:rPr>
                <w:rFonts w:hint="default" w:ascii="楷体_GB2312" w:hAnsi="宋体" w:eastAsia="楷体_GB2312" w:cs="楷体_GB2312"/>
                <w:i w:val="0"/>
                <w:color w:val="000000"/>
                <w:kern w:val="0"/>
                <w:sz w:val="20"/>
                <w:szCs w:val="20"/>
                <w:u w:val="none"/>
                <w:lang w:val="en-US" w:eastAsia="zh-CN" w:bidi="ar"/>
              </w:rPr>
              <w:t>在职人员控制率=（在职人员数/编制数）×100%。</w:t>
            </w:r>
          </w:p>
          <w:p>
            <w:pPr>
              <w:keepNext w:val="0"/>
              <w:keepLines w:val="0"/>
              <w:widowControl/>
              <w:suppressLineNumbers w:val="0"/>
              <w:jc w:val="left"/>
              <w:textAlignment w:val="center"/>
              <w:rPr>
                <w:rFonts w:hint="default" w:ascii="楷体_GB2312" w:hAnsi="宋体" w:eastAsia="楷体_GB2312" w:cs="楷体_GB2312"/>
                <w:i w:val="0"/>
                <w:color w:val="000000"/>
                <w:kern w:val="0"/>
                <w:sz w:val="20"/>
                <w:szCs w:val="20"/>
                <w:u w:val="none"/>
                <w:lang w:val="en-US" w:eastAsia="zh-CN" w:bidi="ar"/>
              </w:rPr>
            </w:pPr>
            <w:r>
              <w:rPr>
                <w:rFonts w:hint="default" w:ascii="楷体_GB2312" w:hAnsi="宋体" w:eastAsia="楷体_GB2312" w:cs="楷体_GB2312"/>
                <w:i w:val="0"/>
                <w:color w:val="000000"/>
                <w:kern w:val="0"/>
                <w:sz w:val="20"/>
                <w:szCs w:val="20"/>
                <w:u w:val="none"/>
                <w:lang w:val="en-US" w:eastAsia="zh-CN" w:bidi="ar"/>
              </w:rPr>
              <w:t>在职人员数：部门（单位）实际在职人数，以财政部确定的部门决算编制口径为准。</w:t>
            </w:r>
          </w:p>
          <w:p>
            <w:pPr>
              <w:keepNext w:val="0"/>
              <w:keepLines w:val="0"/>
              <w:widowControl/>
              <w:suppressLineNumbers w:val="0"/>
              <w:jc w:val="left"/>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编制数：机构编制部门核定批复的部门（单位）的人员编制数。                                                                                                                                                                       得分=在职人员控制率*2分，此项最高得2分。</w:t>
            </w:r>
          </w:p>
        </w:tc>
        <w:tc>
          <w:tcPr>
            <w:tcW w:w="513" w:type="pct"/>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1820" w:hRule="atLeast"/>
        </w:trPr>
        <w:tc>
          <w:tcPr>
            <w:tcW w:w="513" w:type="pct"/>
            <w:vMerge w:val="continue"/>
            <w:shd w:val="clear" w:color="auto" w:fill="auto"/>
            <w:noWrap/>
            <w:tcMar>
              <w:top w:w="10" w:type="dxa"/>
              <w:left w:w="10" w:type="dxa"/>
              <w:right w:w="10" w:type="dxa"/>
            </w:tcMar>
            <w:vAlign w:val="center"/>
          </w:tcPr>
          <w:p>
            <w:pPr>
              <w:rPr>
                <w:rFonts w:hint="default" w:ascii="楷体_GB2312" w:hAnsi="宋体" w:eastAsia="楷体_GB2312" w:cs="楷体_GB2312"/>
                <w:i w:val="0"/>
                <w:color w:val="000000"/>
                <w:sz w:val="20"/>
                <w:szCs w:val="20"/>
                <w:u w:val="none"/>
              </w:rPr>
            </w:pPr>
          </w:p>
        </w:tc>
        <w:tc>
          <w:tcPr>
            <w:tcW w:w="513" w:type="pct"/>
            <w:vMerge w:val="continue"/>
            <w:shd w:val="clear" w:color="auto" w:fill="auto"/>
            <w:tcMar>
              <w:top w:w="10" w:type="dxa"/>
              <w:left w:w="10" w:type="dxa"/>
              <w:right w:w="10" w:type="dxa"/>
            </w:tcMar>
            <w:vAlign w:val="center"/>
          </w:tcPr>
          <w:p>
            <w:pPr>
              <w:jc w:val="center"/>
              <w:rPr>
                <w:rFonts w:hint="default" w:ascii="楷体_GB2312" w:hAnsi="宋体" w:eastAsia="楷体_GB2312" w:cs="楷体_GB2312"/>
                <w:i w:val="0"/>
                <w:color w:val="000000"/>
                <w:sz w:val="20"/>
                <w:szCs w:val="20"/>
                <w:u w:val="none"/>
              </w:rPr>
            </w:pPr>
          </w:p>
        </w:tc>
        <w:tc>
          <w:tcPr>
            <w:tcW w:w="513" w:type="pct"/>
            <w:shd w:val="clear" w:color="auto" w:fill="auto"/>
            <w:tcMar>
              <w:top w:w="10" w:type="dxa"/>
              <w:left w:w="10" w:type="dxa"/>
              <w:right w:w="10" w:type="dxa"/>
            </w:tcMar>
            <w:vAlign w:val="center"/>
          </w:tcPr>
          <w:p>
            <w:pPr>
              <w:keepNext w:val="0"/>
              <w:keepLines w:val="0"/>
              <w:widowControl/>
              <w:suppressLineNumbers w:val="0"/>
              <w:jc w:val="left"/>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“三公经费”变动率</w:t>
            </w:r>
          </w:p>
        </w:tc>
        <w:tc>
          <w:tcPr>
            <w:tcW w:w="1081" w:type="pct"/>
            <w:shd w:val="clear" w:color="auto" w:fill="auto"/>
            <w:tcMar>
              <w:top w:w="10" w:type="dxa"/>
              <w:left w:w="10" w:type="dxa"/>
              <w:right w:w="10" w:type="dxa"/>
            </w:tcMar>
            <w:vAlign w:val="center"/>
          </w:tcPr>
          <w:p>
            <w:pPr>
              <w:keepNext w:val="0"/>
              <w:keepLines w:val="0"/>
              <w:widowControl/>
              <w:suppressLineNumbers w:val="0"/>
              <w:jc w:val="left"/>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部门（单位）本年度“三公经费”预算数与上年度“三公经费”预算数的变动比率，用以反映和考核部门（单位）对控制重点行政成本的努力程度。</w:t>
            </w:r>
          </w:p>
        </w:tc>
        <w:tc>
          <w:tcPr>
            <w:tcW w:w="1866" w:type="pct"/>
            <w:shd w:val="clear" w:color="auto" w:fill="auto"/>
            <w:tcMar>
              <w:top w:w="10" w:type="dxa"/>
              <w:left w:w="10" w:type="dxa"/>
              <w:right w:w="10" w:type="dxa"/>
            </w:tcMar>
            <w:vAlign w:val="center"/>
          </w:tcPr>
          <w:p>
            <w:pPr>
              <w:keepNext w:val="0"/>
              <w:keepLines w:val="0"/>
              <w:widowControl/>
              <w:suppressLineNumbers w:val="0"/>
              <w:jc w:val="left"/>
              <w:textAlignment w:val="center"/>
              <w:rPr>
                <w:rFonts w:hint="default" w:ascii="楷体_GB2312" w:hAnsi="宋体" w:eastAsia="楷体_GB2312" w:cs="楷体_GB2312"/>
                <w:i w:val="0"/>
                <w:color w:val="000000"/>
                <w:kern w:val="0"/>
                <w:sz w:val="20"/>
                <w:szCs w:val="20"/>
                <w:u w:val="none"/>
                <w:lang w:val="en-US" w:eastAsia="zh-CN" w:bidi="ar"/>
              </w:rPr>
            </w:pPr>
            <w:r>
              <w:rPr>
                <w:rFonts w:hint="default" w:ascii="楷体_GB2312" w:hAnsi="宋体" w:eastAsia="楷体_GB2312" w:cs="楷体_GB2312"/>
                <w:i w:val="0"/>
                <w:color w:val="000000"/>
                <w:kern w:val="0"/>
                <w:sz w:val="20"/>
                <w:szCs w:val="20"/>
                <w:u w:val="none"/>
                <w:lang w:val="en-US" w:eastAsia="zh-CN" w:bidi="ar"/>
              </w:rPr>
              <w:t>“三公经费”变动率=[（本年度“三公经费”总额</w:t>
            </w:r>
            <w:r>
              <w:rPr>
                <w:rFonts w:hint="default" w:ascii="楷体_GB2312" w:hAnsi="宋体" w:eastAsia="楷体_GB2312" w:cs="楷体_GB2312"/>
                <w:i w:val="0"/>
                <w:color w:val="000000"/>
                <w:kern w:val="0"/>
                <w:sz w:val="20"/>
                <w:szCs w:val="20"/>
                <w:highlight w:val="none"/>
                <w:u w:val="none"/>
                <w:lang w:val="en-US" w:eastAsia="zh-CN" w:bidi="ar"/>
              </w:rPr>
              <w:t>-</w:t>
            </w:r>
            <w:r>
              <w:rPr>
                <w:rFonts w:hint="default" w:ascii="楷体_GB2312" w:hAnsi="宋体" w:eastAsia="楷体_GB2312" w:cs="楷体_GB2312"/>
                <w:i w:val="0"/>
                <w:color w:val="000000"/>
                <w:kern w:val="0"/>
                <w:sz w:val="20"/>
                <w:szCs w:val="20"/>
                <w:u w:val="none"/>
                <w:lang w:val="en-US" w:eastAsia="zh-CN" w:bidi="ar"/>
              </w:rPr>
              <w:t>上年度“三公经费”总额）/上年度“三公经费”总额]×100%。</w:t>
            </w:r>
          </w:p>
          <w:p>
            <w:pPr>
              <w:keepNext w:val="0"/>
              <w:keepLines w:val="0"/>
              <w:widowControl/>
              <w:suppressLineNumbers w:val="0"/>
              <w:jc w:val="left"/>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“三公经费”：年度预算安排的因公出国（境）费、公务车辆购置及运行费和公务招待费。                                                                                                                                                       得分=“三公经费”变动率*2分。</w:t>
            </w:r>
          </w:p>
        </w:tc>
        <w:tc>
          <w:tcPr>
            <w:tcW w:w="513" w:type="pct"/>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3120" w:hRule="atLeast"/>
        </w:trPr>
        <w:tc>
          <w:tcPr>
            <w:tcW w:w="513" w:type="pct"/>
            <w:vMerge w:val="continue"/>
            <w:shd w:val="clear" w:color="auto" w:fill="auto"/>
            <w:noWrap/>
            <w:tcMar>
              <w:top w:w="10" w:type="dxa"/>
              <w:left w:w="10" w:type="dxa"/>
              <w:right w:w="10" w:type="dxa"/>
            </w:tcMar>
            <w:vAlign w:val="center"/>
          </w:tcPr>
          <w:p>
            <w:pPr>
              <w:rPr>
                <w:rFonts w:hint="default" w:ascii="楷体_GB2312" w:hAnsi="宋体" w:eastAsia="楷体_GB2312" w:cs="楷体_GB2312"/>
                <w:i w:val="0"/>
                <w:color w:val="000000"/>
                <w:sz w:val="20"/>
                <w:szCs w:val="20"/>
                <w:u w:val="none"/>
              </w:rPr>
            </w:pPr>
          </w:p>
        </w:tc>
        <w:tc>
          <w:tcPr>
            <w:tcW w:w="513" w:type="pct"/>
            <w:vMerge w:val="continue"/>
            <w:shd w:val="clear" w:color="auto" w:fill="auto"/>
            <w:tcMar>
              <w:top w:w="10" w:type="dxa"/>
              <w:left w:w="10" w:type="dxa"/>
              <w:right w:w="10" w:type="dxa"/>
            </w:tcMar>
            <w:vAlign w:val="center"/>
          </w:tcPr>
          <w:p>
            <w:pPr>
              <w:jc w:val="center"/>
              <w:rPr>
                <w:rFonts w:hint="default" w:ascii="楷体_GB2312" w:hAnsi="宋体" w:eastAsia="楷体_GB2312" w:cs="楷体_GB2312"/>
                <w:i w:val="0"/>
                <w:color w:val="000000"/>
                <w:sz w:val="20"/>
                <w:szCs w:val="20"/>
                <w:u w:val="none"/>
              </w:rPr>
            </w:pPr>
          </w:p>
        </w:tc>
        <w:tc>
          <w:tcPr>
            <w:tcW w:w="513" w:type="pct"/>
            <w:shd w:val="clear" w:color="auto" w:fill="auto"/>
            <w:tcMar>
              <w:top w:w="10" w:type="dxa"/>
              <w:left w:w="10" w:type="dxa"/>
              <w:right w:w="10" w:type="dxa"/>
            </w:tcMar>
            <w:vAlign w:val="center"/>
          </w:tcPr>
          <w:p>
            <w:pPr>
              <w:keepNext w:val="0"/>
              <w:keepLines w:val="0"/>
              <w:widowControl/>
              <w:suppressLineNumbers w:val="0"/>
              <w:jc w:val="left"/>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重点支出安排率</w:t>
            </w:r>
          </w:p>
        </w:tc>
        <w:tc>
          <w:tcPr>
            <w:tcW w:w="1081" w:type="pct"/>
            <w:shd w:val="clear" w:color="auto" w:fill="auto"/>
            <w:tcMar>
              <w:top w:w="10" w:type="dxa"/>
              <w:left w:w="10" w:type="dxa"/>
              <w:right w:w="10" w:type="dxa"/>
            </w:tcMar>
            <w:vAlign w:val="center"/>
          </w:tcPr>
          <w:p>
            <w:pPr>
              <w:keepNext w:val="0"/>
              <w:keepLines w:val="0"/>
              <w:widowControl/>
              <w:suppressLineNumbers w:val="0"/>
              <w:jc w:val="left"/>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部门（单位）本年度预算安排的重点项目支出与部门项目总支出的比率，用以反映和考核部门（单位）对履行主要职责或完成重点任务的保障程度。</w:t>
            </w:r>
          </w:p>
        </w:tc>
        <w:tc>
          <w:tcPr>
            <w:tcW w:w="1866" w:type="pct"/>
            <w:shd w:val="clear" w:color="auto" w:fill="auto"/>
            <w:tcMar>
              <w:top w:w="10" w:type="dxa"/>
              <w:left w:w="10" w:type="dxa"/>
              <w:right w:w="10" w:type="dxa"/>
            </w:tcMar>
            <w:vAlign w:val="center"/>
          </w:tcPr>
          <w:p>
            <w:pPr>
              <w:keepNext w:val="0"/>
              <w:keepLines w:val="0"/>
              <w:widowControl/>
              <w:suppressLineNumbers w:val="0"/>
              <w:jc w:val="left"/>
              <w:textAlignment w:val="center"/>
              <w:rPr>
                <w:rFonts w:hint="default" w:ascii="楷体_GB2312" w:hAnsi="宋体" w:eastAsia="楷体_GB2312" w:cs="楷体_GB2312"/>
                <w:i w:val="0"/>
                <w:color w:val="000000"/>
                <w:kern w:val="0"/>
                <w:sz w:val="20"/>
                <w:szCs w:val="20"/>
                <w:u w:val="none"/>
                <w:lang w:val="en-US" w:eastAsia="zh-CN" w:bidi="ar"/>
              </w:rPr>
            </w:pPr>
            <w:r>
              <w:rPr>
                <w:rFonts w:hint="default" w:ascii="楷体_GB2312" w:hAnsi="宋体" w:eastAsia="楷体_GB2312" w:cs="楷体_GB2312"/>
                <w:i w:val="0"/>
                <w:color w:val="000000"/>
                <w:kern w:val="0"/>
                <w:sz w:val="20"/>
                <w:szCs w:val="20"/>
                <w:u w:val="none"/>
                <w:lang w:val="en-US" w:eastAsia="zh-CN" w:bidi="ar"/>
              </w:rPr>
              <w:t>重点支出安排率=（重点项目支出/项目总支出）×100%。</w:t>
            </w:r>
          </w:p>
          <w:p>
            <w:pPr>
              <w:keepNext w:val="0"/>
              <w:keepLines w:val="0"/>
              <w:widowControl/>
              <w:suppressLineNumbers w:val="0"/>
              <w:jc w:val="left"/>
              <w:textAlignment w:val="center"/>
              <w:rPr>
                <w:rFonts w:hint="default" w:ascii="楷体_GB2312" w:hAnsi="宋体" w:eastAsia="楷体_GB2312" w:cs="楷体_GB2312"/>
                <w:i w:val="0"/>
                <w:color w:val="000000"/>
                <w:kern w:val="0"/>
                <w:sz w:val="20"/>
                <w:szCs w:val="20"/>
                <w:u w:val="none"/>
                <w:lang w:val="en-US" w:eastAsia="zh-CN" w:bidi="ar"/>
              </w:rPr>
            </w:pPr>
            <w:r>
              <w:rPr>
                <w:rFonts w:hint="default" w:ascii="楷体_GB2312" w:hAnsi="宋体" w:eastAsia="楷体_GB2312" w:cs="楷体_GB2312"/>
                <w:i w:val="0"/>
                <w:color w:val="000000"/>
                <w:kern w:val="0"/>
                <w:sz w:val="20"/>
                <w:szCs w:val="20"/>
                <w:u w:val="none"/>
                <w:lang w:val="en-US" w:eastAsia="zh-CN" w:bidi="ar"/>
              </w:rPr>
              <w:t>重点项目支出：部门（单位）年度预算安排的，与本部门履职和发展密切相关、具有明显社会和经济影响、党委政府关心或社会比较关注的项目支出总额。</w:t>
            </w:r>
          </w:p>
          <w:p>
            <w:pPr>
              <w:keepNext w:val="0"/>
              <w:keepLines w:val="0"/>
              <w:widowControl/>
              <w:suppressLineNumbers w:val="0"/>
              <w:jc w:val="left"/>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项目总支出：部门（单位）年度预算安排的项目支出总额。                                                          重点支出安排率大于等于95%的，得满分；完成率小于等于85%的，得0分；完成率在95%-85%之间的，按公式计算得分，得分=重点支出安排率*4分。</w:t>
            </w:r>
          </w:p>
        </w:tc>
        <w:tc>
          <w:tcPr>
            <w:tcW w:w="513" w:type="pct"/>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2600" w:hRule="atLeast"/>
        </w:trPr>
        <w:tc>
          <w:tcPr>
            <w:tcW w:w="513" w:type="pct"/>
            <w:vMerge w:val="restart"/>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过程</w:t>
            </w:r>
          </w:p>
        </w:tc>
        <w:tc>
          <w:tcPr>
            <w:tcW w:w="513" w:type="pct"/>
            <w:vMerge w:val="restart"/>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楷体_GB2312" w:hAnsi="宋体" w:eastAsia="楷体_GB2312" w:cs="楷体_GB2312"/>
                <w:i w:val="0"/>
                <w:color w:val="000000"/>
                <w:kern w:val="0"/>
                <w:sz w:val="20"/>
                <w:szCs w:val="20"/>
                <w:u w:val="none"/>
                <w:lang w:val="en-US" w:eastAsia="zh-CN" w:bidi="ar"/>
              </w:rPr>
            </w:pPr>
            <w:r>
              <w:rPr>
                <w:rFonts w:hint="default" w:ascii="楷体_GB2312" w:hAnsi="宋体" w:eastAsia="楷体_GB2312" w:cs="楷体_GB2312"/>
                <w:i w:val="0"/>
                <w:color w:val="000000"/>
                <w:kern w:val="0"/>
                <w:sz w:val="20"/>
                <w:szCs w:val="20"/>
                <w:u w:val="none"/>
                <w:lang w:val="en-US" w:eastAsia="zh-CN" w:bidi="ar"/>
              </w:rPr>
              <w:t>预算</w:t>
            </w:r>
          </w:p>
          <w:p>
            <w:pPr>
              <w:keepNext w:val="0"/>
              <w:keepLines w:val="0"/>
              <w:widowControl/>
              <w:suppressLineNumbers w:val="0"/>
              <w:jc w:val="center"/>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执行</w:t>
            </w:r>
          </w:p>
        </w:tc>
        <w:tc>
          <w:tcPr>
            <w:tcW w:w="513" w:type="pct"/>
            <w:shd w:val="clear" w:color="auto" w:fill="auto"/>
            <w:tcMar>
              <w:top w:w="10" w:type="dxa"/>
              <w:left w:w="10" w:type="dxa"/>
              <w:right w:w="10" w:type="dxa"/>
            </w:tcMar>
            <w:vAlign w:val="center"/>
          </w:tcPr>
          <w:p>
            <w:pPr>
              <w:keepNext w:val="0"/>
              <w:keepLines w:val="0"/>
              <w:widowControl/>
              <w:suppressLineNumbers w:val="0"/>
              <w:jc w:val="left"/>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预算完成率</w:t>
            </w:r>
          </w:p>
        </w:tc>
        <w:tc>
          <w:tcPr>
            <w:tcW w:w="1081" w:type="pct"/>
            <w:shd w:val="clear" w:color="auto" w:fill="auto"/>
            <w:tcMar>
              <w:top w:w="10" w:type="dxa"/>
              <w:left w:w="10" w:type="dxa"/>
              <w:right w:w="10" w:type="dxa"/>
            </w:tcMar>
            <w:vAlign w:val="center"/>
          </w:tcPr>
          <w:p>
            <w:pPr>
              <w:keepNext w:val="0"/>
              <w:keepLines w:val="0"/>
              <w:widowControl/>
              <w:suppressLineNumbers w:val="0"/>
              <w:jc w:val="left"/>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 xml:space="preserve"> </w:t>
            </w:r>
          </w:p>
        </w:tc>
        <w:tc>
          <w:tcPr>
            <w:tcW w:w="1866" w:type="pct"/>
            <w:shd w:val="clear" w:color="auto" w:fill="auto"/>
            <w:tcMar>
              <w:top w:w="10" w:type="dxa"/>
              <w:left w:w="10" w:type="dxa"/>
              <w:right w:w="10" w:type="dxa"/>
            </w:tcMar>
            <w:vAlign w:val="center"/>
          </w:tcPr>
          <w:p>
            <w:pPr>
              <w:keepNext w:val="0"/>
              <w:keepLines w:val="0"/>
              <w:widowControl/>
              <w:suppressLineNumbers w:val="0"/>
              <w:jc w:val="left"/>
              <w:textAlignment w:val="center"/>
              <w:rPr>
                <w:rFonts w:hint="default" w:ascii="楷体_GB2312" w:hAnsi="宋体" w:eastAsia="楷体_GB2312" w:cs="楷体_GB2312"/>
                <w:i w:val="0"/>
                <w:color w:val="000000"/>
                <w:kern w:val="0"/>
                <w:sz w:val="20"/>
                <w:szCs w:val="20"/>
                <w:u w:val="none"/>
                <w:lang w:val="en-US" w:eastAsia="zh-CN" w:bidi="ar"/>
              </w:rPr>
            </w:pPr>
            <w:r>
              <w:rPr>
                <w:rFonts w:hint="default" w:ascii="楷体_GB2312" w:hAnsi="宋体" w:eastAsia="楷体_GB2312" w:cs="楷体_GB2312"/>
                <w:i w:val="0"/>
                <w:color w:val="000000"/>
                <w:kern w:val="0"/>
                <w:sz w:val="20"/>
                <w:szCs w:val="20"/>
                <w:u w:val="none"/>
                <w:lang w:val="en-US" w:eastAsia="zh-CN" w:bidi="ar"/>
              </w:rPr>
              <w:t>预算完成率=（决算完成数/预算数）×100%。</w:t>
            </w:r>
          </w:p>
          <w:p>
            <w:pPr>
              <w:keepNext w:val="0"/>
              <w:keepLines w:val="0"/>
              <w:widowControl/>
              <w:suppressLineNumbers w:val="0"/>
              <w:jc w:val="left"/>
              <w:textAlignment w:val="center"/>
              <w:rPr>
                <w:rFonts w:hint="default" w:ascii="楷体_GB2312" w:hAnsi="宋体" w:eastAsia="楷体_GB2312" w:cs="楷体_GB2312"/>
                <w:i w:val="0"/>
                <w:color w:val="000000"/>
                <w:kern w:val="0"/>
                <w:sz w:val="20"/>
                <w:szCs w:val="20"/>
                <w:u w:val="none"/>
                <w:lang w:val="en-US" w:eastAsia="zh-CN" w:bidi="ar"/>
              </w:rPr>
            </w:pPr>
            <w:r>
              <w:rPr>
                <w:rFonts w:hint="default" w:ascii="楷体_GB2312" w:hAnsi="宋体" w:eastAsia="楷体_GB2312" w:cs="楷体_GB2312"/>
                <w:i w:val="0"/>
                <w:color w:val="000000"/>
                <w:kern w:val="0"/>
                <w:sz w:val="20"/>
                <w:szCs w:val="20"/>
                <w:u w:val="none"/>
                <w:lang w:val="en-US" w:eastAsia="zh-CN" w:bidi="ar"/>
              </w:rPr>
              <w:t>决算完成数：部门（单位）本年度实际完成的支出数。</w:t>
            </w:r>
          </w:p>
          <w:p>
            <w:pPr>
              <w:keepNext w:val="0"/>
              <w:keepLines w:val="0"/>
              <w:widowControl/>
              <w:suppressLineNumbers w:val="0"/>
              <w:jc w:val="left"/>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预算数：财政部门批复的本年度部门（单位）预算数。                                                                                 预算完成率大于等于95%的，得满分；完成率小于等于85%的，得0分；完成率在95%-85%之间的，按公式计算得分，得分=预算完成率*1.5分，此项最高得1.5分。</w:t>
            </w:r>
          </w:p>
        </w:tc>
        <w:tc>
          <w:tcPr>
            <w:tcW w:w="513" w:type="pct"/>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2080" w:hRule="atLeast"/>
        </w:trPr>
        <w:tc>
          <w:tcPr>
            <w:tcW w:w="513" w:type="pct"/>
            <w:vMerge w:val="continue"/>
            <w:shd w:val="clear" w:color="auto" w:fill="auto"/>
            <w:noWrap/>
            <w:tcMar>
              <w:top w:w="10" w:type="dxa"/>
              <w:left w:w="10" w:type="dxa"/>
              <w:right w:w="10" w:type="dxa"/>
            </w:tcMar>
            <w:vAlign w:val="center"/>
          </w:tcPr>
          <w:p>
            <w:pPr>
              <w:jc w:val="center"/>
              <w:rPr>
                <w:rFonts w:hint="default" w:ascii="楷体_GB2312" w:hAnsi="宋体" w:eastAsia="楷体_GB2312" w:cs="楷体_GB2312"/>
                <w:i w:val="0"/>
                <w:color w:val="000000"/>
                <w:sz w:val="20"/>
                <w:szCs w:val="20"/>
                <w:u w:val="none"/>
              </w:rPr>
            </w:pPr>
          </w:p>
        </w:tc>
        <w:tc>
          <w:tcPr>
            <w:tcW w:w="513" w:type="pct"/>
            <w:vMerge w:val="continue"/>
            <w:shd w:val="clear" w:color="auto" w:fill="auto"/>
            <w:tcMar>
              <w:top w:w="10" w:type="dxa"/>
              <w:left w:w="10" w:type="dxa"/>
              <w:right w:w="10" w:type="dxa"/>
            </w:tcMar>
            <w:vAlign w:val="center"/>
          </w:tcPr>
          <w:p>
            <w:pPr>
              <w:jc w:val="center"/>
              <w:rPr>
                <w:rFonts w:hint="default" w:ascii="楷体_GB2312" w:hAnsi="宋体" w:eastAsia="楷体_GB2312" w:cs="楷体_GB2312"/>
                <w:i w:val="0"/>
                <w:color w:val="000000"/>
                <w:sz w:val="20"/>
                <w:szCs w:val="20"/>
                <w:u w:val="none"/>
              </w:rPr>
            </w:pPr>
          </w:p>
        </w:tc>
        <w:tc>
          <w:tcPr>
            <w:tcW w:w="513" w:type="pct"/>
            <w:shd w:val="clear" w:color="auto" w:fill="auto"/>
            <w:tcMar>
              <w:top w:w="10" w:type="dxa"/>
              <w:left w:w="10" w:type="dxa"/>
              <w:right w:w="10" w:type="dxa"/>
            </w:tcMar>
            <w:vAlign w:val="center"/>
          </w:tcPr>
          <w:p>
            <w:pPr>
              <w:keepNext w:val="0"/>
              <w:keepLines w:val="0"/>
              <w:widowControl/>
              <w:suppressLineNumbers w:val="0"/>
              <w:jc w:val="left"/>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预算调整率</w:t>
            </w:r>
          </w:p>
        </w:tc>
        <w:tc>
          <w:tcPr>
            <w:tcW w:w="1081" w:type="pct"/>
            <w:shd w:val="clear" w:color="auto" w:fill="auto"/>
            <w:tcMar>
              <w:top w:w="10" w:type="dxa"/>
              <w:left w:w="10" w:type="dxa"/>
              <w:right w:w="10" w:type="dxa"/>
            </w:tcMar>
            <w:vAlign w:val="center"/>
          </w:tcPr>
          <w:p>
            <w:pPr>
              <w:keepNext w:val="0"/>
              <w:keepLines w:val="0"/>
              <w:widowControl/>
              <w:suppressLineNumbers w:val="0"/>
              <w:jc w:val="left"/>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部门（单位）本年度预算调整数与预算数的比率，用以反映和考核部门（单位）预算的调整程度。</w:t>
            </w:r>
          </w:p>
        </w:tc>
        <w:tc>
          <w:tcPr>
            <w:tcW w:w="1866" w:type="pct"/>
            <w:shd w:val="clear" w:color="auto" w:fill="auto"/>
            <w:tcMar>
              <w:top w:w="10" w:type="dxa"/>
              <w:left w:w="10" w:type="dxa"/>
              <w:right w:w="10" w:type="dxa"/>
            </w:tcMar>
            <w:vAlign w:val="center"/>
          </w:tcPr>
          <w:p>
            <w:pPr>
              <w:keepNext w:val="0"/>
              <w:keepLines w:val="0"/>
              <w:widowControl/>
              <w:suppressLineNumbers w:val="0"/>
              <w:jc w:val="left"/>
              <w:textAlignment w:val="center"/>
              <w:rPr>
                <w:rFonts w:hint="default" w:ascii="楷体_GB2312" w:hAnsi="宋体" w:eastAsia="楷体_GB2312" w:cs="楷体_GB2312"/>
                <w:i w:val="0"/>
                <w:color w:val="000000"/>
                <w:kern w:val="0"/>
                <w:sz w:val="20"/>
                <w:szCs w:val="20"/>
                <w:u w:val="none"/>
                <w:lang w:val="en-US" w:eastAsia="zh-CN" w:bidi="ar"/>
              </w:rPr>
            </w:pPr>
            <w:r>
              <w:rPr>
                <w:rFonts w:hint="default" w:ascii="楷体_GB2312" w:hAnsi="宋体" w:eastAsia="楷体_GB2312" w:cs="楷体_GB2312"/>
                <w:i w:val="0"/>
                <w:color w:val="000000"/>
                <w:kern w:val="0"/>
                <w:sz w:val="20"/>
                <w:szCs w:val="20"/>
                <w:u w:val="none"/>
                <w:lang w:val="en-US" w:eastAsia="zh-CN" w:bidi="ar"/>
              </w:rPr>
              <w:t>预算调整率=（预算调整数/预算数）×100%。</w:t>
            </w:r>
          </w:p>
          <w:p>
            <w:pPr>
              <w:keepNext w:val="0"/>
              <w:keepLines w:val="0"/>
              <w:widowControl/>
              <w:suppressLineNumbers w:val="0"/>
              <w:jc w:val="left"/>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预算调整数：部门（单位）在本年度内涉及预算的追加、追减或结构调整的资金总和（因落实国家政策、发生不可抗力、上级部门或本级党委政府临时交办而产生的调整除外）。                                                               得分=（1</w:t>
            </w:r>
            <w:r>
              <w:rPr>
                <w:rFonts w:hint="default" w:ascii="楷体_GB2312" w:hAnsi="宋体" w:eastAsia="楷体_GB2312" w:cs="楷体_GB2312"/>
                <w:i w:val="0"/>
                <w:color w:val="000000"/>
                <w:kern w:val="0"/>
                <w:sz w:val="20"/>
                <w:szCs w:val="20"/>
                <w:highlight w:val="none"/>
                <w:u w:val="none"/>
                <w:lang w:val="en-US" w:eastAsia="zh-CN" w:bidi="ar"/>
              </w:rPr>
              <w:t>-</w:t>
            </w:r>
            <w:r>
              <w:rPr>
                <w:rFonts w:hint="default" w:ascii="楷体_GB2312" w:hAnsi="宋体" w:eastAsia="楷体_GB2312" w:cs="楷体_GB2312"/>
                <w:i w:val="0"/>
                <w:color w:val="000000"/>
                <w:kern w:val="0"/>
                <w:sz w:val="20"/>
                <w:szCs w:val="20"/>
                <w:u w:val="none"/>
                <w:lang w:val="en-US" w:eastAsia="zh-CN" w:bidi="ar"/>
              </w:rPr>
              <w:t>预算调整率）×1分</w:t>
            </w:r>
          </w:p>
        </w:tc>
        <w:tc>
          <w:tcPr>
            <w:tcW w:w="513" w:type="pct"/>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2340" w:hRule="atLeast"/>
        </w:trPr>
        <w:tc>
          <w:tcPr>
            <w:tcW w:w="513" w:type="pct"/>
            <w:vMerge w:val="continue"/>
            <w:shd w:val="clear" w:color="auto" w:fill="auto"/>
            <w:noWrap/>
            <w:tcMar>
              <w:top w:w="10" w:type="dxa"/>
              <w:left w:w="10" w:type="dxa"/>
              <w:right w:w="10" w:type="dxa"/>
            </w:tcMar>
            <w:vAlign w:val="center"/>
          </w:tcPr>
          <w:p>
            <w:pPr>
              <w:jc w:val="center"/>
              <w:rPr>
                <w:rFonts w:hint="default" w:ascii="楷体_GB2312" w:hAnsi="宋体" w:eastAsia="楷体_GB2312" w:cs="楷体_GB2312"/>
                <w:i w:val="0"/>
                <w:color w:val="000000"/>
                <w:sz w:val="20"/>
                <w:szCs w:val="20"/>
                <w:u w:val="none"/>
              </w:rPr>
            </w:pPr>
          </w:p>
        </w:tc>
        <w:tc>
          <w:tcPr>
            <w:tcW w:w="513" w:type="pct"/>
            <w:vMerge w:val="continue"/>
            <w:shd w:val="clear" w:color="auto" w:fill="auto"/>
            <w:tcMar>
              <w:top w:w="10" w:type="dxa"/>
              <w:left w:w="10" w:type="dxa"/>
              <w:right w:w="10" w:type="dxa"/>
            </w:tcMar>
            <w:vAlign w:val="center"/>
          </w:tcPr>
          <w:p>
            <w:pPr>
              <w:jc w:val="center"/>
              <w:rPr>
                <w:rFonts w:hint="default" w:ascii="楷体_GB2312" w:hAnsi="宋体" w:eastAsia="楷体_GB2312" w:cs="楷体_GB2312"/>
                <w:i w:val="0"/>
                <w:color w:val="000000"/>
                <w:sz w:val="20"/>
                <w:szCs w:val="20"/>
                <w:u w:val="none"/>
              </w:rPr>
            </w:pPr>
          </w:p>
        </w:tc>
        <w:tc>
          <w:tcPr>
            <w:tcW w:w="513" w:type="pct"/>
            <w:shd w:val="clear" w:color="auto" w:fill="auto"/>
            <w:tcMar>
              <w:top w:w="10" w:type="dxa"/>
              <w:left w:w="10" w:type="dxa"/>
              <w:right w:w="10" w:type="dxa"/>
            </w:tcMar>
            <w:vAlign w:val="center"/>
          </w:tcPr>
          <w:p>
            <w:pPr>
              <w:keepNext w:val="0"/>
              <w:keepLines w:val="0"/>
              <w:widowControl/>
              <w:suppressLineNumbers w:val="0"/>
              <w:jc w:val="left"/>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支付进度率</w:t>
            </w:r>
          </w:p>
        </w:tc>
        <w:tc>
          <w:tcPr>
            <w:tcW w:w="1081" w:type="pct"/>
            <w:shd w:val="clear" w:color="auto" w:fill="auto"/>
            <w:tcMar>
              <w:top w:w="10" w:type="dxa"/>
              <w:left w:w="10" w:type="dxa"/>
              <w:right w:w="10" w:type="dxa"/>
            </w:tcMar>
            <w:vAlign w:val="center"/>
          </w:tcPr>
          <w:p>
            <w:pPr>
              <w:keepNext w:val="0"/>
              <w:keepLines w:val="0"/>
              <w:widowControl/>
              <w:suppressLineNumbers w:val="0"/>
              <w:jc w:val="left"/>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部门（单位）实际支付进度与既定支付进度的比率，用以反映和考核部门（单位）预算执行的及时性和均衡性程度。</w:t>
            </w:r>
          </w:p>
        </w:tc>
        <w:tc>
          <w:tcPr>
            <w:tcW w:w="1866" w:type="pct"/>
            <w:shd w:val="clear" w:color="auto" w:fill="auto"/>
            <w:tcMar>
              <w:top w:w="10" w:type="dxa"/>
              <w:left w:w="10" w:type="dxa"/>
              <w:right w:w="10" w:type="dxa"/>
            </w:tcMar>
            <w:vAlign w:val="center"/>
          </w:tcPr>
          <w:p>
            <w:pPr>
              <w:keepNext w:val="0"/>
              <w:keepLines w:val="0"/>
              <w:widowControl/>
              <w:suppressLineNumbers w:val="0"/>
              <w:jc w:val="left"/>
              <w:textAlignment w:val="center"/>
              <w:rPr>
                <w:rFonts w:hint="default" w:ascii="楷体_GB2312" w:hAnsi="宋体" w:eastAsia="楷体_GB2312" w:cs="楷体_GB2312"/>
                <w:i w:val="0"/>
                <w:color w:val="000000"/>
                <w:kern w:val="0"/>
                <w:sz w:val="20"/>
                <w:szCs w:val="20"/>
                <w:u w:val="none"/>
                <w:lang w:val="en-US" w:eastAsia="zh-CN" w:bidi="ar"/>
              </w:rPr>
            </w:pPr>
            <w:r>
              <w:rPr>
                <w:rFonts w:hint="default" w:ascii="楷体_GB2312" w:hAnsi="宋体" w:eastAsia="楷体_GB2312" w:cs="楷体_GB2312"/>
                <w:i w:val="0"/>
                <w:color w:val="000000"/>
                <w:kern w:val="0"/>
                <w:sz w:val="20"/>
                <w:szCs w:val="20"/>
                <w:u w:val="none"/>
                <w:lang w:val="en-US" w:eastAsia="zh-CN" w:bidi="ar"/>
              </w:rPr>
              <w:t>支付进度率=（公共财政支出进度/序时支出进度）×100%。</w:t>
            </w:r>
          </w:p>
          <w:p>
            <w:pPr>
              <w:keepNext w:val="0"/>
              <w:keepLines w:val="0"/>
              <w:widowControl/>
              <w:suppressLineNumbers w:val="0"/>
              <w:jc w:val="left"/>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 xml:space="preserve">                                                         以3月、6月、9月、11月为时点，用每个时点月底的公共财政支出进度与其序时支出进度的比率。部门实际支出进度大于序时支出进度时，得满分；小于序时支出进度时，按公式计算得分，得分=支付进度率×1.5分。以四个时点平均分为最终得分。</w:t>
            </w:r>
          </w:p>
        </w:tc>
        <w:tc>
          <w:tcPr>
            <w:tcW w:w="513" w:type="pct"/>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2600" w:hRule="atLeast"/>
        </w:trPr>
        <w:tc>
          <w:tcPr>
            <w:tcW w:w="513" w:type="pct"/>
            <w:vMerge w:val="continue"/>
            <w:shd w:val="clear" w:color="auto" w:fill="auto"/>
            <w:noWrap/>
            <w:tcMar>
              <w:top w:w="10" w:type="dxa"/>
              <w:left w:w="10" w:type="dxa"/>
              <w:right w:w="10" w:type="dxa"/>
            </w:tcMar>
            <w:vAlign w:val="center"/>
          </w:tcPr>
          <w:p>
            <w:pPr>
              <w:jc w:val="center"/>
              <w:rPr>
                <w:rFonts w:hint="default" w:ascii="楷体_GB2312" w:hAnsi="宋体" w:eastAsia="楷体_GB2312" w:cs="楷体_GB2312"/>
                <w:i w:val="0"/>
                <w:color w:val="000000"/>
                <w:sz w:val="20"/>
                <w:szCs w:val="20"/>
                <w:u w:val="none"/>
              </w:rPr>
            </w:pPr>
          </w:p>
        </w:tc>
        <w:tc>
          <w:tcPr>
            <w:tcW w:w="513" w:type="pct"/>
            <w:vMerge w:val="restart"/>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预算执行</w:t>
            </w:r>
          </w:p>
        </w:tc>
        <w:tc>
          <w:tcPr>
            <w:tcW w:w="513" w:type="pct"/>
            <w:shd w:val="clear" w:color="auto" w:fill="auto"/>
            <w:tcMar>
              <w:top w:w="10" w:type="dxa"/>
              <w:left w:w="10" w:type="dxa"/>
              <w:right w:w="10" w:type="dxa"/>
            </w:tcMar>
            <w:vAlign w:val="center"/>
          </w:tcPr>
          <w:p>
            <w:pPr>
              <w:keepNext w:val="0"/>
              <w:keepLines w:val="0"/>
              <w:widowControl/>
              <w:suppressLineNumbers w:val="0"/>
              <w:jc w:val="left"/>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结转结余率</w:t>
            </w:r>
          </w:p>
        </w:tc>
        <w:tc>
          <w:tcPr>
            <w:tcW w:w="1081" w:type="pct"/>
            <w:shd w:val="clear" w:color="auto" w:fill="auto"/>
            <w:tcMar>
              <w:top w:w="10" w:type="dxa"/>
              <w:left w:w="10" w:type="dxa"/>
              <w:right w:w="10" w:type="dxa"/>
            </w:tcMar>
            <w:vAlign w:val="center"/>
          </w:tcPr>
          <w:p>
            <w:pPr>
              <w:keepNext w:val="0"/>
              <w:keepLines w:val="0"/>
              <w:widowControl/>
              <w:suppressLineNumbers w:val="0"/>
              <w:jc w:val="left"/>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部门（单位）本年度结转结余总额与支出预算数的比率，用以反映和考核部门（单位）对本年度结转结余资金的实际控制程度。</w:t>
            </w:r>
          </w:p>
        </w:tc>
        <w:tc>
          <w:tcPr>
            <w:tcW w:w="1866" w:type="pct"/>
            <w:shd w:val="clear" w:color="auto" w:fill="auto"/>
            <w:tcMar>
              <w:top w:w="10" w:type="dxa"/>
              <w:left w:w="10" w:type="dxa"/>
              <w:right w:w="10" w:type="dxa"/>
            </w:tcMar>
            <w:vAlign w:val="center"/>
          </w:tcPr>
          <w:p>
            <w:pPr>
              <w:keepNext w:val="0"/>
              <w:keepLines w:val="0"/>
              <w:widowControl/>
              <w:suppressLineNumbers w:val="0"/>
              <w:jc w:val="left"/>
              <w:textAlignment w:val="center"/>
              <w:rPr>
                <w:rFonts w:hint="default" w:ascii="楷体_GB2312" w:hAnsi="宋体" w:eastAsia="楷体_GB2312" w:cs="楷体_GB2312"/>
                <w:i w:val="0"/>
                <w:color w:val="000000"/>
                <w:kern w:val="0"/>
                <w:sz w:val="20"/>
                <w:szCs w:val="20"/>
                <w:u w:val="none"/>
                <w:lang w:val="en-US" w:eastAsia="zh-CN" w:bidi="ar"/>
              </w:rPr>
            </w:pPr>
            <w:r>
              <w:rPr>
                <w:rFonts w:hint="default" w:ascii="楷体_GB2312" w:hAnsi="宋体" w:eastAsia="楷体_GB2312" w:cs="楷体_GB2312"/>
                <w:i w:val="0"/>
                <w:color w:val="000000"/>
                <w:kern w:val="0"/>
                <w:sz w:val="20"/>
                <w:szCs w:val="20"/>
                <w:u w:val="none"/>
                <w:lang w:val="en-US" w:eastAsia="zh-CN" w:bidi="ar"/>
              </w:rPr>
              <w:t>结转结余率=结转结余总额/决算收入数×100%。</w:t>
            </w:r>
          </w:p>
          <w:p>
            <w:pPr>
              <w:keepNext w:val="0"/>
              <w:keepLines w:val="0"/>
              <w:widowControl/>
              <w:suppressLineNumbers w:val="0"/>
              <w:jc w:val="left"/>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结转结余总额：部门（单位）本年度的结转资金与结余资金之和（以决算数为准）。                                                      结转结余率小于或等于5%的，得满分；结转结余率大于或等于15%的，得0分；结转结余率在5%-15%之间的，按公式计算得分，得分=（15%</w:t>
            </w:r>
            <w:r>
              <w:rPr>
                <w:rFonts w:hint="default" w:ascii="楷体_GB2312" w:hAnsi="宋体" w:eastAsia="楷体_GB2312" w:cs="楷体_GB2312"/>
                <w:i w:val="0"/>
                <w:color w:val="000000"/>
                <w:kern w:val="0"/>
                <w:sz w:val="20"/>
                <w:szCs w:val="20"/>
                <w:highlight w:val="none"/>
                <w:u w:val="none"/>
                <w:lang w:val="en-US" w:eastAsia="zh-CN" w:bidi="ar"/>
              </w:rPr>
              <w:t>-</w:t>
            </w:r>
            <w:r>
              <w:rPr>
                <w:rFonts w:hint="default" w:ascii="楷体_GB2312" w:hAnsi="宋体" w:eastAsia="楷体_GB2312" w:cs="楷体_GB2312"/>
                <w:i w:val="0"/>
                <w:color w:val="000000"/>
                <w:kern w:val="0"/>
                <w:sz w:val="20"/>
                <w:szCs w:val="20"/>
                <w:u w:val="none"/>
                <w:lang w:val="en-US" w:eastAsia="zh-CN" w:bidi="ar"/>
              </w:rPr>
              <w:t>结转结余率</w:t>
            </w:r>
            <w:r>
              <w:rPr>
                <w:rFonts w:hint="default" w:ascii="楷体_GB2312" w:hAnsi="宋体" w:eastAsia="楷体_GB2312" w:cs="楷体_GB2312"/>
                <w:i w:val="0"/>
                <w:color w:val="000000"/>
                <w:kern w:val="0"/>
                <w:sz w:val="20"/>
                <w:szCs w:val="20"/>
                <w:highlight w:val="none"/>
                <w:u w:val="none"/>
                <w:lang w:val="en-US" w:eastAsia="zh-CN" w:bidi="ar"/>
              </w:rPr>
              <w:t>)</w:t>
            </w:r>
            <w:r>
              <w:rPr>
                <w:rFonts w:hint="default" w:ascii="楷体_GB2312" w:hAnsi="宋体" w:eastAsia="楷体_GB2312" w:cs="楷体_GB2312"/>
                <w:i w:val="0"/>
                <w:color w:val="000000"/>
                <w:kern w:val="0"/>
                <w:sz w:val="20"/>
                <w:szCs w:val="20"/>
                <w:u w:val="none"/>
                <w:lang w:val="en-US" w:eastAsia="zh-CN" w:bidi="ar"/>
              </w:rPr>
              <w:t>÷（15%-5%）×1分。</w:t>
            </w:r>
          </w:p>
        </w:tc>
        <w:tc>
          <w:tcPr>
            <w:tcW w:w="513" w:type="pct"/>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1820" w:hRule="atLeast"/>
        </w:trPr>
        <w:tc>
          <w:tcPr>
            <w:tcW w:w="513" w:type="pct"/>
            <w:vMerge w:val="continue"/>
            <w:shd w:val="clear" w:color="auto" w:fill="auto"/>
            <w:noWrap/>
            <w:tcMar>
              <w:top w:w="10" w:type="dxa"/>
              <w:left w:w="10" w:type="dxa"/>
              <w:right w:w="10" w:type="dxa"/>
            </w:tcMar>
            <w:vAlign w:val="center"/>
          </w:tcPr>
          <w:p>
            <w:pPr>
              <w:jc w:val="center"/>
              <w:rPr>
                <w:rFonts w:hint="default" w:ascii="楷体_GB2312" w:hAnsi="宋体" w:eastAsia="楷体_GB2312" w:cs="楷体_GB2312"/>
                <w:i w:val="0"/>
                <w:color w:val="000000"/>
                <w:sz w:val="20"/>
                <w:szCs w:val="20"/>
                <w:u w:val="none"/>
              </w:rPr>
            </w:pPr>
          </w:p>
        </w:tc>
        <w:tc>
          <w:tcPr>
            <w:tcW w:w="513" w:type="pct"/>
            <w:vMerge w:val="continue"/>
            <w:shd w:val="clear" w:color="auto" w:fill="auto"/>
            <w:tcMar>
              <w:top w:w="10" w:type="dxa"/>
              <w:left w:w="10" w:type="dxa"/>
              <w:right w:w="10" w:type="dxa"/>
            </w:tcMar>
            <w:vAlign w:val="center"/>
          </w:tcPr>
          <w:p>
            <w:pPr>
              <w:jc w:val="center"/>
              <w:rPr>
                <w:rFonts w:hint="default" w:ascii="楷体_GB2312" w:hAnsi="宋体" w:eastAsia="楷体_GB2312" w:cs="楷体_GB2312"/>
                <w:i w:val="0"/>
                <w:color w:val="000000"/>
                <w:sz w:val="20"/>
                <w:szCs w:val="20"/>
                <w:u w:val="none"/>
              </w:rPr>
            </w:pPr>
          </w:p>
        </w:tc>
        <w:tc>
          <w:tcPr>
            <w:tcW w:w="513" w:type="pct"/>
            <w:shd w:val="clear" w:color="auto" w:fill="auto"/>
            <w:tcMar>
              <w:top w:w="10" w:type="dxa"/>
              <w:left w:w="10" w:type="dxa"/>
              <w:right w:w="10" w:type="dxa"/>
            </w:tcMar>
            <w:vAlign w:val="center"/>
          </w:tcPr>
          <w:p>
            <w:pPr>
              <w:keepNext w:val="0"/>
              <w:keepLines w:val="0"/>
              <w:widowControl/>
              <w:suppressLineNumbers w:val="0"/>
              <w:jc w:val="left"/>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结转结余变动率</w:t>
            </w:r>
          </w:p>
        </w:tc>
        <w:tc>
          <w:tcPr>
            <w:tcW w:w="1081" w:type="pct"/>
            <w:shd w:val="clear" w:color="auto" w:fill="auto"/>
            <w:tcMar>
              <w:top w:w="10" w:type="dxa"/>
              <w:left w:w="10" w:type="dxa"/>
              <w:right w:w="10" w:type="dxa"/>
            </w:tcMar>
            <w:vAlign w:val="center"/>
          </w:tcPr>
          <w:p>
            <w:pPr>
              <w:keepNext w:val="0"/>
              <w:keepLines w:val="0"/>
              <w:widowControl/>
              <w:suppressLineNumbers w:val="0"/>
              <w:jc w:val="left"/>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部门（单位）本年度结转结余资金总额与上年度结转结余资金总额的变动比率，用以反映和考核部门（单位）对控制结转结余资金的努力程度。</w:t>
            </w:r>
          </w:p>
        </w:tc>
        <w:tc>
          <w:tcPr>
            <w:tcW w:w="1866" w:type="pct"/>
            <w:shd w:val="clear" w:color="auto" w:fill="auto"/>
            <w:tcMar>
              <w:top w:w="10" w:type="dxa"/>
              <w:left w:w="10" w:type="dxa"/>
              <w:right w:w="10" w:type="dxa"/>
            </w:tcMar>
            <w:vAlign w:val="center"/>
          </w:tcPr>
          <w:p>
            <w:pPr>
              <w:keepNext w:val="0"/>
              <w:keepLines w:val="0"/>
              <w:widowControl/>
              <w:suppressLineNumbers w:val="0"/>
              <w:jc w:val="left"/>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结转结余变动率=[（本年度累计结转结余资金总额</w:t>
            </w:r>
            <w:r>
              <w:rPr>
                <w:rFonts w:hint="default" w:ascii="楷体_GB2312" w:hAnsi="宋体" w:eastAsia="楷体_GB2312" w:cs="楷体_GB2312"/>
                <w:i w:val="0"/>
                <w:color w:val="000000"/>
                <w:kern w:val="0"/>
                <w:sz w:val="20"/>
                <w:szCs w:val="20"/>
                <w:highlight w:val="none"/>
                <w:u w:val="none"/>
                <w:lang w:val="en-US" w:eastAsia="zh-CN" w:bidi="ar"/>
              </w:rPr>
              <w:t>-</w:t>
            </w:r>
            <w:r>
              <w:rPr>
                <w:rFonts w:hint="default" w:ascii="楷体_GB2312" w:hAnsi="宋体" w:eastAsia="楷体_GB2312" w:cs="楷体_GB2312"/>
                <w:i w:val="0"/>
                <w:color w:val="000000"/>
                <w:kern w:val="0"/>
                <w:sz w:val="20"/>
                <w:szCs w:val="20"/>
                <w:u w:val="none"/>
                <w:lang w:val="en-US" w:eastAsia="zh-CN" w:bidi="ar"/>
              </w:rPr>
              <w:t>上年度累计结转结余资金总额）/上年度累计结转结余资金总额]×100%。                                                                                                              结转结余变动率小于或等于5%的，得满分；大于或等于15%的，得0分；在5%-15%之间的，按公式计算得分，得分=（15%</w:t>
            </w:r>
            <w:r>
              <w:rPr>
                <w:rFonts w:hint="default" w:ascii="楷体_GB2312" w:hAnsi="宋体" w:eastAsia="楷体_GB2312" w:cs="楷体_GB2312"/>
                <w:i w:val="0"/>
                <w:color w:val="000000"/>
                <w:kern w:val="0"/>
                <w:sz w:val="20"/>
                <w:szCs w:val="20"/>
                <w:highlight w:val="none"/>
                <w:u w:val="none"/>
                <w:lang w:val="en-US" w:eastAsia="zh-CN" w:bidi="ar"/>
              </w:rPr>
              <w:t>-</w:t>
            </w:r>
            <w:r>
              <w:rPr>
                <w:rFonts w:hint="default" w:ascii="楷体_GB2312" w:hAnsi="宋体" w:eastAsia="楷体_GB2312" w:cs="楷体_GB2312"/>
                <w:i w:val="0"/>
                <w:color w:val="000000"/>
                <w:kern w:val="0"/>
                <w:sz w:val="20"/>
                <w:szCs w:val="20"/>
                <w:u w:val="none"/>
                <w:lang w:val="en-US" w:eastAsia="zh-CN" w:bidi="ar"/>
              </w:rPr>
              <w:t>结转结余变动率</w:t>
            </w:r>
            <w:r>
              <w:rPr>
                <w:rFonts w:hint="default" w:ascii="楷体_GB2312" w:hAnsi="宋体" w:eastAsia="楷体_GB2312" w:cs="楷体_GB2312"/>
                <w:i w:val="0"/>
                <w:color w:val="000000"/>
                <w:kern w:val="0"/>
                <w:sz w:val="20"/>
                <w:szCs w:val="20"/>
                <w:highlight w:val="none"/>
                <w:u w:val="none"/>
                <w:lang w:val="en-US" w:eastAsia="zh-CN" w:bidi="ar"/>
              </w:rPr>
              <w:t>)</w:t>
            </w:r>
            <w:r>
              <w:rPr>
                <w:rFonts w:hint="default" w:ascii="楷体_GB2312" w:hAnsi="宋体" w:eastAsia="楷体_GB2312" w:cs="楷体_GB2312"/>
                <w:i w:val="0"/>
                <w:color w:val="000000"/>
                <w:kern w:val="0"/>
                <w:sz w:val="20"/>
                <w:szCs w:val="20"/>
                <w:u w:val="none"/>
                <w:lang w:val="en-US" w:eastAsia="zh-CN" w:bidi="ar"/>
              </w:rPr>
              <w:t>÷（15%-5%）×1分。</w:t>
            </w:r>
          </w:p>
        </w:tc>
        <w:tc>
          <w:tcPr>
            <w:tcW w:w="513" w:type="pct"/>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1820" w:hRule="atLeast"/>
        </w:trPr>
        <w:tc>
          <w:tcPr>
            <w:tcW w:w="513" w:type="pct"/>
            <w:vMerge w:val="continue"/>
            <w:shd w:val="clear" w:color="auto" w:fill="auto"/>
            <w:noWrap/>
            <w:tcMar>
              <w:top w:w="10" w:type="dxa"/>
              <w:left w:w="10" w:type="dxa"/>
              <w:right w:w="10" w:type="dxa"/>
            </w:tcMar>
            <w:vAlign w:val="center"/>
          </w:tcPr>
          <w:p>
            <w:pPr>
              <w:jc w:val="center"/>
              <w:rPr>
                <w:rFonts w:hint="default" w:ascii="楷体_GB2312" w:hAnsi="宋体" w:eastAsia="楷体_GB2312" w:cs="楷体_GB2312"/>
                <w:i w:val="0"/>
                <w:color w:val="000000"/>
                <w:sz w:val="20"/>
                <w:szCs w:val="20"/>
                <w:u w:val="none"/>
              </w:rPr>
            </w:pPr>
          </w:p>
        </w:tc>
        <w:tc>
          <w:tcPr>
            <w:tcW w:w="513" w:type="pct"/>
            <w:vMerge w:val="continue"/>
            <w:shd w:val="clear" w:color="auto" w:fill="auto"/>
            <w:tcMar>
              <w:top w:w="10" w:type="dxa"/>
              <w:left w:w="10" w:type="dxa"/>
              <w:right w:w="10" w:type="dxa"/>
            </w:tcMar>
            <w:vAlign w:val="center"/>
          </w:tcPr>
          <w:p>
            <w:pPr>
              <w:jc w:val="center"/>
              <w:rPr>
                <w:rFonts w:hint="default" w:ascii="楷体_GB2312" w:hAnsi="宋体" w:eastAsia="楷体_GB2312" w:cs="楷体_GB2312"/>
                <w:i w:val="0"/>
                <w:color w:val="000000"/>
                <w:sz w:val="20"/>
                <w:szCs w:val="20"/>
                <w:u w:val="none"/>
              </w:rPr>
            </w:pPr>
          </w:p>
        </w:tc>
        <w:tc>
          <w:tcPr>
            <w:tcW w:w="513" w:type="pct"/>
            <w:shd w:val="clear" w:color="auto" w:fill="auto"/>
            <w:tcMar>
              <w:top w:w="10" w:type="dxa"/>
              <w:left w:w="10" w:type="dxa"/>
              <w:right w:w="10" w:type="dxa"/>
            </w:tcMar>
            <w:vAlign w:val="center"/>
          </w:tcPr>
          <w:p>
            <w:pPr>
              <w:keepNext w:val="0"/>
              <w:keepLines w:val="0"/>
              <w:widowControl/>
              <w:suppressLineNumbers w:val="0"/>
              <w:jc w:val="left"/>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公用经费控制率</w:t>
            </w:r>
          </w:p>
        </w:tc>
        <w:tc>
          <w:tcPr>
            <w:tcW w:w="1081" w:type="pct"/>
            <w:shd w:val="clear" w:color="auto" w:fill="auto"/>
            <w:tcMar>
              <w:top w:w="10" w:type="dxa"/>
              <w:left w:w="10" w:type="dxa"/>
              <w:right w:w="10" w:type="dxa"/>
            </w:tcMar>
            <w:vAlign w:val="center"/>
          </w:tcPr>
          <w:p>
            <w:pPr>
              <w:keepNext w:val="0"/>
              <w:keepLines w:val="0"/>
              <w:widowControl/>
              <w:suppressLineNumbers w:val="0"/>
              <w:jc w:val="left"/>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部门（单位）本年度实际支出的公用经费总额与预算安排的公用经费总额的比率，用以反映和考核部门（单位）对机构运转成本的实际控制程度。</w:t>
            </w:r>
          </w:p>
        </w:tc>
        <w:tc>
          <w:tcPr>
            <w:tcW w:w="1866" w:type="pct"/>
            <w:shd w:val="clear" w:color="auto" w:fill="auto"/>
            <w:tcMar>
              <w:top w:w="10" w:type="dxa"/>
              <w:left w:w="10" w:type="dxa"/>
              <w:right w:w="10" w:type="dxa"/>
            </w:tcMar>
            <w:vAlign w:val="center"/>
          </w:tcPr>
          <w:p>
            <w:pPr>
              <w:keepNext w:val="0"/>
              <w:keepLines w:val="0"/>
              <w:widowControl/>
              <w:suppressLineNumbers w:val="0"/>
              <w:jc w:val="left"/>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公用经费控制率=（实际支出公用经费总额/预算安排公用经费总额）×100%。                                                       公用经费控制率小于或等于100%的得满分，否则得0分。</w:t>
            </w:r>
          </w:p>
        </w:tc>
        <w:tc>
          <w:tcPr>
            <w:tcW w:w="513" w:type="pct"/>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1560" w:hRule="atLeast"/>
        </w:trPr>
        <w:tc>
          <w:tcPr>
            <w:tcW w:w="513" w:type="pct"/>
            <w:vMerge w:val="continue"/>
            <w:shd w:val="clear" w:color="auto" w:fill="auto"/>
            <w:noWrap/>
            <w:tcMar>
              <w:top w:w="10" w:type="dxa"/>
              <w:left w:w="10" w:type="dxa"/>
              <w:right w:w="10" w:type="dxa"/>
            </w:tcMar>
            <w:vAlign w:val="center"/>
          </w:tcPr>
          <w:p>
            <w:pPr>
              <w:jc w:val="center"/>
              <w:rPr>
                <w:rFonts w:hint="default" w:ascii="楷体_GB2312" w:hAnsi="宋体" w:eastAsia="楷体_GB2312" w:cs="楷体_GB2312"/>
                <w:i w:val="0"/>
                <w:color w:val="000000"/>
                <w:sz w:val="20"/>
                <w:szCs w:val="20"/>
                <w:u w:val="none"/>
              </w:rPr>
            </w:pPr>
          </w:p>
        </w:tc>
        <w:tc>
          <w:tcPr>
            <w:tcW w:w="513" w:type="pct"/>
            <w:vMerge w:val="continue"/>
            <w:shd w:val="clear" w:color="auto" w:fill="auto"/>
            <w:tcMar>
              <w:top w:w="10" w:type="dxa"/>
              <w:left w:w="10" w:type="dxa"/>
              <w:right w:w="10" w:type="dxa"/>
            </w:tcMar>
            <w:vAlign w:val="center"/>
          </w:tcPr>
          <w:p>
            <w:pPr>
              <w:jc w:val="center"/>
              <w:rPr>
                <w:rFonts w:hint="default" w:ascii="楷体_GB2312" w:hAnsi="宋体" w:eastAsia="楷体_GB2312" w:cs="楷体_GB2312"/>
                <w:i w:val="0"/>
                <w:color w:val="000000"/>
                <w:sz w:val="20"/>
                <w:szCs w:val="20"/>
                <w:u w:val="none"/>
              </w:rPr>
            </w:pPr>
          </w:p>
        </w:tc>
        <w:tc>
          <w:tcPr>
            <w:tcW w:w="513" w:type="pct"/>
            <w:shd w:val="clear" w:color="auto" w:fill="auto"/>
            <w:tcMar>
              <w:top w:w="10" w:type="dxa"/>
              <w:left w:w="10" w:type="dxa"/>
              <w:right w:w="10" w:type="dxa"/>
            </w:tcMar>
            <w:vAlign w:val="center"/>
          </w:tcPr>
          <w:p>
            <w:pPr>
              <w:keepNext w:val="0"/>
              <w:keepLines w:val="0"/>
              <w:widowControl/>
              <w:suppressLineNumbers w:val="0"/>
              <w:jc w:val="left"/>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“三公经费”控制率</w:t>
            </w:r>
          </w:p>
        </w:tc>
        <w:tc>
          <w:tcPr>
            <w:tcW w:w="1081" w:type="pct"/>
            <w:shd w:val="clear" w:color="auto" w:fill="auto"/>
            <w:tcMar>
              <w:top w:w="10" w:type="dxa"/>
              <w:left w:w="10" w:type="dxa"/>
              <w:right w:w="10" w:type="dxa"/>
            </w:tcMar>
            <w:vAlign w:val="center"/>
          </w:tcPr>
          <w:p>
            <w:pPr>
              <w:keepNext w:val="0"/>
              <w:keepLines w:val="0"/>
              <w:widowControl/>
              <w:suppressLineNumbers w:val="0"/>
              <w:jc w:val="left"/>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部门（单位）本年度“三公经费”实际支出数与预算安排数的比率，用以反映和考核部门（单位）对“三公经费”的实际控制程度。</w:t>
            </w:r>
          </w:p>
        </w:tc>
        <w:tc>
          <w:tcPr>
            <w:tcW w:w="1866" w:type="pct"/>
            <w:shd w:val="clear" w:color="auto" w:fill="auto"/>
            <w:tcMar>
              <w:top w:w="10" w:type="dxa"/>
              <w:left w:w="10" w:type="dxa"/>
              <w:right w:w="10" w:type="dxa"/>
            </w:tcMar>
            <w:vAlign w:val="center"/>
          </w:tcPr>
          <w:p>
            <w:pPr>
              <w:keepNext w:val="0"/>
              <w:keepLines w:val="0"/>
              <w:widowControl/>
              <w:suppressLineNumbers w:val="0"/>
              <w:jc w:val="left"/>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“三公经费”控制率=（“三公经费”实际支出数/“三公经费”预算安排数）×100%。                                                     部门三公经费控制率小于或等于100%时，得满分，控制率大于100%的，得0分。</w:t>
            </w:r>
          </w:p>
        </w:tc>
        <w:tc>
          <w:tcPr>
            <w:tcW w:w="513" w:type="pct"/>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2340" w:hRule="atLeast"/>
        </w:trPr>
        <w:tc>
          <w:tcPr>
            <w:tcW w:w="513" w:type="pct"/>
            <w:vMerge w:val="continue"/>
            <w:shd w:val="clear" w:color="auto" w:fill="auto"/>
            <w:noWrap/>
            <w:tcMar>
              <w:top w:w="10" w:type="dxa"/>
              <w:left w:w="10" w:type="dxa"/>
              <w:right w:w="10" w:type="dxa"/>
            </w:tcMar>
            <w:vAlign w:val="center"/>
          </w:tcPr>
          <w:p>
            <w:pPr>
              <w:jc w:val="center"/>
              <w:rPr>
                <w:rFonts w:hint="default" w:ascii="楷体_GB2312" w:hAnsi="宋体" w:eastAsia="楷体_GB2312" w:cs="楷体_GB2312"/>
                <w:i w:val="0"/>
                <w:color w:val="000000"/>
                <w:sz w:val="20"/>
                <w:szCs w:val="20"/>
                <w:u w:val="none"/>
              </w:rPr>
            </w:pPr>
          </w:p>
        </w:tc>
        <w:tc>
          <w:tcPr>
            <w:tcW w:w="513" w:type="pct"/>
            <w:vMerge w:val="continue"/>
            <w:shd w:val="clear" w:color="auto" w:fill="auto"/>
            <w:tcMar>
              <w:top w:w="10" w:type="dxa"/>
              <w:left w:w="10" w:type="dxa"/>
              <w:right w:w="10" w:type="dxa"/>
            </w:tcMar>
            <w:vAlign w:val="center"/>
          </w:tcPr>
          <w:p>
            <w:pPr>
              <w:jc w:val="center"/>
              <w:rPr>
                <w:rFonts w:hint="default" w:ascii="楷体_GB2312" w:hAnsi="宋体" w:eastAsia="楷体_GB2312" w:cs="楷体_GB2312"/>
                <w:i w:val="0"/>
                <w:color w:val="000000"/>
                <w:sz w:val="20"/>
                <w:szCs w:val="20"/>
                <w:u w:val="none"/>
              </w:rPr>
            </w:pPr>
          </w:p>
        </w:tc>
        <w:tc>
          <w:tcPr>
            <w:tcW w:w="513" w:type="pct"/>
            <w:shd w:val="clear" w:color="auto" w:fill="auto"/>
            <w:tcMar>
              <w:top w:w="10" w:type="dxa"/>
              <w:left w:w="10" w:type="dxa"/>
              <w:right w:w="10" w:type="dxa"/>
            </w:tcMar>
            <w:vAlign w:val="center"/>
          </w:tcPr>
          <w:p>
            <w:pPr>
              <w:keepNext w:val="0"/>
              <w:keepLines w:val="0"/>
              <w:widowControl/>
              <w:suppressLineNumbers w:val="0"/>
              <w:jc w:val="left"/>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政府采购执行率</w:t>
            </w:r>
          </w:p>
        </w:tc>
        <w:tc>
          <w:tcPr>
            <w:tcW w:w="1081" w:type="pct"/>
            <w:shd w:val="clear" w:color="auto" w:fill="auto"/>
            <w:tcMar>
              <w:top w:w="10" w:type="dxa"/>
              <w:left w:w="10" w:type="dxa"/>
              <w:right w:w="10" w:type="dxa"/>
            </w:tcMar>
            <w:vAlign w:val="center"/>
          </w:tcPr>
          <w:p>
            <w:pPr>
              <w:keepNext w:val="0"/>
              <w:keepLines w:val="0"/>
              <w:widowControl/>
              <w:suppressLineNumbers w:val="0"/>
              <w:jc w:val="left"/>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部门（单位）本年度实际政府采购金额与年初政府采购预算的比率，用以反映和考核部门（单位）政府采购预算执行情况。</w:t>
            </w:r>
          </w:p>
        </w:tc>
        <w:tc>
          <w:tcPr>
            <w:tcW w:w="1866" w:type="pct"/>
            <w:shd w:val="clear" w:color="auto" w:fill="auto"/>
            <w:tcMar>
              <w:top w:w="10" w:type="dxa"/>
              <w:left w:w="10" w:type="dxa"/>
              <w:right w:w="10" w:type="dxa"/>
            </w:tcMar>
            <w:vAlign w:val="center"/>
          </w:tcPr>
          <w:p>
            <w:pPr>
              <w:keepNext w:val="0"/>
              <w:keepLines w:val="0"/>
              <w:widowControl/>
              <w:suppressLineNumbers w:val="0"/>
              <w:jc w:val="left"/>
              <w:textAlignment w:val="center"/>
              <w:rPr>
                <w:rFonts w:hint="default" w:ascii="楷体_GB2312" w:hAnsi="宋体" w:eastAsia="楷体_GB2312" w:cs="楷体_GB2312"/>
                <w:i w:val="0"/>
                <w:color w:val="000000"/>
                <w:kern w:val="0"/>
                <w:sz w:val="20"/>
                <w:szCs w:val="20"/>
                <w:u w:val="none"/>
                <w:lang w:val="en-US" w:eastAsia="zh-CN" w:bidi="ar"/>
              </w:rPr>
            </w:pPr>
            <w:r>
              <w:rPr>
                <w:rFonts w:hint="default" w:ascii="楷体_GB2312" w:hAnsi="宋体" w:eastAsia="楷体_GB2312" w:cs="楷体_GB2312"/>
                <w:i w:val="0"/>
                <w:color w:val="000000"/>
                <w:kern w:val="0"/>
                <w:sz w:val="20"/>
                <w:szCs w:val="20"/>
                <w:u w:val="none"/>
                <w:lang w:val="en-US" w:eastAsia="zh-CN" w:bidi="ar"/>
              </w:rPr>
              <w:t>政府采购执行率=（实际政府采购金额/政府采购预算数）×100%；</w:t>
            </w:r>
          </w:p>
          <w:p>
            <w:pPr>
              <w:keepNext w:val="0"/>
              <w:keepLines w:val="0"/>
              <w:widowControl/>
              <w:suppressLineNumbers w:val="0"/>
              <w:jc w:val="left"/>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政府采购预算：采购机关根据事业发展计划和行政任务编制的、并经过规定程序批准的年度政府采购计划。                                                 政府采购执行率大于等于95%的，得满分；执行率在70%-95%的，按公式计算</w:t>
            </w:r>
            <w:r>
              <w:rPr>
                <w:rFonts w:hint="eastAsia" w:ascii="楷体_GB2312" w:eastAsia="楷体_GB2312" w:cs="楷体_GB2312"/>
                <w:i w:val="0"/>
                <w:color w:val="000000"/>
                <w:kern w:val="0"/>
                <w:sz w:val="20"/>
                <w:szCs w:val="20"/>
                <w:highlight w:val="none"/>
                <w:u w:val="none"/>
                <w:lang w:val="en-US" w:eastAsia="zh-CN" w:bidi="ar"/>
              </w:rPr>
              <w:t>得分</w:t>
            </w:r>
            <w:r>
              <w:rPr>
                <w:rFonts w:hint="default" w:ascii="楷体_GB2312" w:hAnsi="宋体" w:eastAsia="楷体_GB2312" w:cs="楷体_GB2312"/>
                <w:i w:val="0"/>
                <w:color w:val="000000"/>
                <w:kern w:val="0"/>
                <w:sz w:val="20"/>
                <w:szCs w:val="20"/>
                <w:u w:val="none"/>
                <w:lang w:val="en-US" w:eastAsia="zh-CN" w:bidi="ar"/>
              </w:rPr>
              <w:t>=</w:t>
            </w:r>
            <w:r>
              <w:rPr>
                <w:rFonts w:hint="default" w:ascii="楷体_GB2312" w:hAnsi="宋体" w:eastAsia="楷体_GB2312" w:cs="楷体_GB2312"/>
                <w:i w:val="0"/>
                <w:color w:val="000000"/>
                <w:kern w:val="0"/>
                <w:sz w:val="20"/>
                <w:szCs w:val="20"/>
                <w:highlight w:val="none"/>
                <w:u w:val="none"/>
                <w:lang w:val="en-US" w:eastAsia="zh-CN" w:bidi="ar"/>
              </w:rPr>
              <w:t>（</w:t>
            </w:r>
            <w:r>
              <w:rPr>
                <w:rFonts w:hint="default" w:ascii="楷体_GB2312" w:hAnsi="宋体" w:eastAsia="楷体_GB2312" w:cs="楷体_GB2312"/>
                <w:i w:val="0"/>
                <w:color w:val="000000"/>
                <w:kern w:val="0"/>
                <w:sz w:val="20"/>
                <w:szCs w:val="20"/>
                <w:u w:val="none"/>
                <w:lang w:val="en-US" w:eastAsia="zh-CN" w:bidi="ar"/>
              </w:rPr>
              <w:t>[政府采购预算完成率-70%]÷（95%-70%）×分值；小于等于70%的，得0分。</w:t>
            </w:r>
          </w:p>
        </w:tc>
        <w:tc>
          <w:tcPr>
            <w:tcW w:w="513" w:type="pct"/>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2080" w:hRule="atLeast"/>
        </w:trPr>
        <w:tc>
          <w:tcPr>
            <w:tcW w:w="513" w:type="pct"/>
            <w:vMerge w:val="continue"/>
            <w:shd w:val="clear" w:color="auto" w:fill="auto"/>
            <w:noWrap/>
            <w:tcMar>
              <w:top w:w="10" w:type="dxa"/>
              <w:left w:w="10" w:type="dxa"/>
              <w:right w:w="10" w:type="dxa"/>
            </w:tcMar>
            <w:vAlign w:val="center"/>
          </w:tcPr>
          <w:p>
            <w:pPr>
              <w:jc w:val="center"/>
              <w:rPr>
                <w:rFonts w:hint="default" w:ascii="楷体_GB2312" w:hAnsi="宋体" w:eastAsia="楷体_GB2312" w:cs="楷体_GB2312"/>
                <w:i w:val="0"/>
                <w:color w:val="000000"/>
                <w:sz w:val="20"/>
                <w:szCs w:val="20"/>
                <w:u w:val="none"/>
              </w:rPr>
            </w:pPr>
          </w:p>
        </w:tc>
        <w:tc>
          <w:tcPr>
            <w:tcW w:w="513" w:type="pct"/>
            <w:vMerge w:val="restart"/>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楷体_GB2312" w:hAnsi="宋体" w:eastAsia="楷体_GB2312" w:cs="楷体_GB2312"/>
                <w:i w:val="0"/>
                <w:color w:val="000000"/>
                <w:kern w:val="0"/>
                <w:sz w:val="20"/>
                <w:szCs w:val="20"/>
                <w:u w:val="none"/>
                <w:lang w:val="en-US" w:eastAsia="zh-CN" w:bidi="ar"/>
              </w:rPr>
            </w:pPr>
            <w:r>
              <w:rPr>
                <w:rFonts w:hint="default" w:ascii="楷体_GB2312" w:hAnsi="宋体" w:eastAsia="楷体_GB2312" w:cs="楷体_GB2312"/>
                <w:i w:val="0"/>
                <w:color w:val="000000"/>
                <w:kern w:val="0"/>
                <w:sz w:val="20"/>
                <w:szCs w:val="20"/>
                <w:u w:val="none"/>
                <w:lang w:val="en-US" w:eastAsia="zh-CN" w:bidi="ar"/>
              </w:rPr>
              <w:t>预算</w:t>
            </w:r>
          </w:p>
          <w:p>
            <w:pPr>
              <w:keepNext w:val="0"/>
              <w:keepLines w:val="0"/>
              <w:widowControl/>
              <w:suppressLineNumbers w:val="0"/>
              <w:jc w:val="center"/>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管理</w:t>
            </w:r>
          </w:p>
        </w:tc>
        <w:tc>
          <w:tcPr>
            <w:tcW w:w="513" w:type="pct"/>
            <w:shd w:val="clear" w:color="auto" w:fill="auto"/>
            <w:tcMar>
              <w:top w:w="10" w:type="dxa"/>
              <w:left w:w="10" w:type="dxa"/>
              <w:right w:w="10" w:type="dxa"/>
            </w:tcMar>
            <w:vAlign w:val="center"/>
          </w:tcPr>
          <w:p>
            <w:pPr>
              <w:keepNext w:val="0"/>
              <w:keepLines w:val="0"/>
              <w:widowControl/>
              <w:suppressLineNumbers w:val="0"/>
              <w:jc w:val="left"/>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管理制度健全性</w:t>
            </w:r>
          </w:p>
        </w:tc>
        <w:tc>
          <w:tcPr>
            <w:tcW w:w="1081" w:type="pct"/>
            <w:shd w:val="clear" w:color="auto" w:fill="auto"/>
            <w:tcMar>
              <w:top w:w="10" w:type="dxa"/>
              <w:left w:w="10" w:type="dxa"/>
              <w:right w:w="10" w:type="dxa"/>
            </w:tcMar>
            <w:vAlign w:val="center"/>
          </w:tcPr>
          <w:p>
            <w:pPr>
              <w:keepNext w:val="0"/>
              <w:keepLines w:val="0"/>
              <w:widowControl/>
              <w:suppressLineNumbers w:val="0"/>
              <w:jc w:val="left"/>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部门（单位）为加强预算管理、规范财务行为而制定的管理制度健全完整，用以反映和考核部门（单位）预算管理制度对完成主要职责或促进事业发展的保障情况。</w:t>
            </w:r>
          </w:p>
        </w:tc>
        <w:tc>
          <w:tcPr>
            <w:tcW w:w="1866" w:type="pct"/>
            <w:shd w:val="clear" w:color="auto" w:fill="auto"/>
            <w:tcMar>
              <w:top w:w="10" w:type="dxa"/>
              <w:left w:w="10" w:type="dxa"/>
              <w:right w:w="10" w:type="dxa"/>
            </w:tcMar>
            <w:vAlign w:val="center"/>
          </w:tcPr>
          <w:p>
            <w:pPr>
              <w:keepNext w:val="0"/>
              <w:keepLines w:val="0"/>
              <w:widowControl/>
              <w:suppressLineNumbers w:val="0"/>
              <w:jc w:val="left"/>
              <w:textAlignment w:val="center"/>
              <w:rPr>
                <w:rFonts w:hint="default" w:ascii="楷体_GB2312" w:hAnsi="宋体" w:eastAsia="楷体_GB2312" w:cs="楷体_GB2312"/>
                <w:i w:val="0"/>
                <w:color w:val="000000"/>
                <w:kern w:val="0"/>
                <w:sz w:val="20"/>
                <w:szCs w:val="20"/>
                <w:u w:val="none"/>
                <w:lang w:val="en-US" w:eastAsia="zh-CN" w:bidi="ar"/>
              </w:rPr>
            </w:pPr>
          </w:p>
          <w:p>
            <w:pPr>
              <w:keepNext w:val="0"/>
              <w:keepLines w:val="0"/>
              <w:widowControl/>
              <w:suppressLineNumbers w:val="0"/>
              <w:jc w:val="left"/>
              <w:textAlignment w:val="center"/>
              <w:rPr>
                <w:rFonts w:hint="default" w:ascii="楷体_GB2312" w:hAnsi="宋体" w:eastAsia="楷体_GB2312" w:cs="楷体_GB2312"/>
                <w:i w:val="0"/>
                <w:color w:val="000000"/>
                <w:kern w:val="0"/>
                <w:sz w:val="20"/>
                <w:szCs w:val="20"/>
                <w:u w:val="none"/>
                <w:lang w:val="en-US" w:eastAsia="zh-CN" w:bidi="ar"/>
              </w:rPr>
            </w:pPr>
            <w:r>
              <w:rPr>
                <w:rFonts w:hint="default" w:ascii="楷体_GB2312" w:hAnsi="宋体" w:eastAsia="楷体_GB2312" w:cs="楷体_GB2312"/>
                <w:i w:val="0"/>
                <w:color w:val="000000"/>
                <w:kern w:val="0"/>
                <w:sz w:val="20"/>
                <w:szCs w:val="20"/>
                <w:u w:val="none"/>
                <w:lang w:val="en-US" w:eastAsia="zh-CN" w:bidi="ar"/>
              </w:rPr>
              <w:t>1.已制定或具有预算资金管理办法、内部财务管理制度、会计核算制度等管理制度；（1分）</w:t>
            </w:r>
          </w:p>
          <w:p>
            <w:pPr>
              <w:keepNext w:val="0"/>
              <w:keepLines w:val="0"/>
              <w:widowControl/>
              <w:suppressLineNumbers w:val="0"/>
              <w:jc w:val="left"/>
              <w:textAlignment w:val="center"/>
              <w:rPr>
                <w:rFonts w:hint="default" w:ascii="楷体_GB2312" w:hAnsi="宋体" w:eastAsia="楷体_GB2312" w:cs="楷体_GB2312"/>
                <w:i w:val="0"/>
                <w:color w:val="000000"/>
                <w:kern w:val="0"/>
                <w:sz w:val="20"/>
                <w:szCs w:val="20"/>
                <w:u w:val="none"/>
                <w:lang w:val="en-US" w:eastAsia="zh-CN" w:bidi="ar"/>
              </w:rPr>
            </w:pPr>
            <w:r>
              <w:rPr>
                <w:rFonts w:hint="default" w:ascii="楷体_GB2312" w:hAnsi="宋体" w:eastAsia="楷体_GB2312" w:cs="楷体_GB2312"/>
                <w:i w:val="0"/>
                <w:color w:val="000000"/>
                <w:kern w:val="0"/>
                <w:sz w:val="20"/>
                <w:szCs w:val="20"/>
                <w:u w:val="none"/>
                <w:lang w:val="en-US" w:eastAsia="zh-CN" w:bidi="ar"/>
              </w:rPr>
              <w:t>2.相关管理制度合法、合规、完整；（1分）</w:t>
            </w:r>
          </w:p>
          <w:p>
            <w:pPr>
              <w:keepNext w:val="0"/>
              <w:keepLines w:val="0"/>
              <w:widowControl/>
              <w:suppressLineNumbers w:val="0"/>
              <w:jc w:val="left"/>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3.相关管理制度得到有效执行。（1分）</w:t>
            </w:r>
          </w:p>
        </w:tc>
        <w:tc>
          <w:tcPr>
            <w:tcW w:w="513" w:type="pct"/>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2860" w:hRule="atLeast"/>
        </w:trPr>
        <w:tc>
          <w:tcPr>
            <w:tcW w:w="513" w:type="pct"/>
            <w:vMerge w:val="continue"/>
            <w:shd w:val="clear" w:color="auto" w:fill="auto"/>
            <w:noWrap/>
            <w:tcMar>
              <w:top w:w="10" w:type="dxa"/>
              <w:left w:w="10" w:type="dxa"/>
              <w:right w:w="10" w:type="dxa"/>
            </w:tcMar>
            <w:vAlign w:val="center"/>
          </w:tcPr>
          <w:p>
            <w:pPr>
              <w:jc w:val="center"/>
              <w:rPr>
                <w:rFonts w:hint="default" w:ascii="楷体_GB2312" w:hAnsi="宋体" w:eastAsia="楷体_GB2312" w:cs="楷体_GB2312"/>
                <w:i w:val="0"/>
                <w:color w:val="000000"/>
                <w:sz w:val="20"/>
                <w:szCs w:val="20"/>
                <w:u w:val="none"/>
              </w:rPr>
            </w:pPr>
          </w:p>
        </w:tc>
        <w:tc>
          <w:tcPr>
            <w:tcW w:w="513" w:type="pct"/>
            <w:vMerge w:val="continue"/>
            <w:shd w:val="clear" w:color="auto" w:fill="auto"/>
            <w:tcMar>
              <w:top w:w="10" w:type="dxa"/>
              <w:left w:w="10" w:type="dxa"/>
              <w:right w:w="10" w:type="dxa"/>
            </w:tcMar>
            <w:vAlign w:val="center"/>
          </w:tcPr>
          <w:p>
            <w:pPr>
              <w:jc w:val="center"/>
              <w:rPr>
                <w:rFonts w:hint="default" w:ascii="楷体_GB2312" w:hAnsi="宋体" w:eastAsia="楷体_GB2312" w:cs="楷体_GB2312"/>
                <w:i w:val="0"/>
                <w:color w:val="000000"/>
                <w:sz w:val="20"/>
                <w:szCs w:val="20"/>
                <w:u w:val="none"/>
              </w:rPr>
            </w:pPr>
          </w:p>
        </w:tc>
        <w:tc>
          <w:tcPr>
            <w:tcW w:w="513" w:type="pct"/>
            <w:shd w:val="clear" w:color="auto" w:fill="auto"/>
            <w:tcMar>
              <w:top w:w="10" w:type="dxa"/>
              <w:left w:w="10" w:type="dxa"/>
              <w:right w:w="10" w:type="dxa"/>
            </w:tcMar>
            <w:vAlign w:val="center"/>
          </w:tcPr>
          <w:p>
            <w:pPr>
              <w:keepNext w:val="0"/>
              <w:keepLines w:val="0"/>
              <w:widowControl/>
              <w:suppressLineNumbers w:val="0"/>
              <w:jc w:val="left"/>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资金使用合规性</w:t>
            </w:r>
          </w:p>
        </w:tc>
        <w:tc>
          <w:tcPr>
            <w:tcW w:w="1081" w:type="pct"/>
            <w:shd w:val="clear" w:color="auto" w:fill="auto"/>
            <w:tcMar>
              <w:top w:w="10" w:type="dxa"/>
              <w:left w:w="10" w:type="dxa"/>
              <w:right w:w="10" w:type="dxa"/>
            </w:tcMar>
            <w:vAlign w:val="center"/>
          </w:tcPr>
          <w:p>
            <w:pPr>
              <w:keepNext w:val="0"/>
              <w:keepLines w:val="0"/>
              <w:widowControl/>
              <w:suppressLineNumbers w:val="0"/>
              <w:jc w:val="left"/>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部门（单位）使用预算资金符合相关的预算财务管理制度的规定，用以反映和考核部门（单位）预算资金的规范运行情况。</w:t>
            </w:r>
          </w:p>
        </w:tc>
        <w:tc>
          <w:tcPr>
            <w:tcW w:w="1866" w:type="pct"/>
            <w:shd w:val="clear" w:color="auto" w:fill="auto"/>
            <w:tcMar>
              <w:top w:w="10" w:type="dxa"/>
              <w:left w:w="10" w:type="dxa"/>
              <w:right w:w="10" w:type="dxa"/>
            </w:tcMar>
            <w:vAlign w:val="center"/>
          </w:tcPr>
          <w:p>
            <w:pPr>
              <w:keepNext w:val="0"/>
              <w:keepLines w:val="0"/>
              <w:widowControl/>
              <w:suppressLineNumbers w:val="0"/>
              <w:jc w:val="left"/>
              <w:textAlignment w:val="center"/>
              <w:rPr>
                <w:rFonts w:hint="default" w:ascii="楷体_GB2312" w:hAnsi="宋体" w:eastAsia="楷体_GB2312" w:cs="楷体_GB2312"/>
                <w:i w:val="0"/>
                <w:color w:val="000000"/>
                <w:kern w:val="0"/>
                <w:sz w:val="20"/>
                <w:szCs w:val="20"/>
                <w:u w:val="none"/>
                <w:lang w:val="en-US" w:eastAsia="zh-CN" w:bidi="ar"/>
              </w:rPr>
            </w:pPr>
          </w:p>
          <w:p>
            <w:pPr>
              <w:keepNext w:val="0"/>
              <w:keepLines w:val="0"/>
              <w:widowControl/>
              <w:suppressLineNumbers w:val="0"/>
              <w:jc w:val="left"/>
              <w:textAlignment w:val="center"/>
              <w:rPr>
                <w:rFonts w:hint="default" w:ascii="楷体_GB2312" w:hAnsi="宋体" w:eastAsia="楷体_GB2312" w:cs="楷体_GB2312"/>
                <w:i w:val="0"/>
                <w:color w:val="000000"/>
                <w:kern w:val="0"/>
                <w:sz w:val="20"/>
                <w:szCs w:val="20"/>
                <w:u w:val="none"/>
                <w:lang w:val="en-US" w:eastAsia="zh-CN" w:bidi="ar"/>
              </w:rPr>
            </w:pPr>
            <w:r>
              <w:rPr>
                <w:rFonts w:hint="default" w:ascii="楷体_GB2312" w:hAnsi="宋体" w:eastAsia="楷体_GB2312" w:cs="楷体_GB2312"/>
                <w:i w:val="0"/>
                <w:color w:val="000000"/>
                <w:kern w:val="0"/>
                <w:sz w:val="20"/>
                <w:szCs w:val="20"/>
                <w:u w:val="none"/>
                <w:lang w:val="en-US" w:eastAsia="zh-CN" w:bidi="ar"/>
              </w:rPr>
              <w:t>1.符合国家财经法规和财务管理制度规定以及有关专项资金管理办法的规定；（0.5分）</w:t>
            </w:r>
          </w:p>
          <w:p>
            <w:pPr>
              <w:keepNext w:val="0"/>
              <w:keepLines w:val="0"/>
              <w:widowControl/>
              <w:suppressLineNumbers w:val="0"/>
              <w:jc w:val="left"/>
              <w:textAlignment w:val="center"/>
              <w:rPr>
                <w:rFonts w:hint="default" w:ascii="楷体_GB2312" w:hAnsi="宋体" w:eastAsia="楷体_GB2312" w:cs="楷体_GB2312"/>
                <w:i w:val="0"/>
                <w:color w:val="000000"/>
                <w:kern w:val="0"/>
                <w:sz w:val="20"/>
                <w:szCs w:val="20"/>
                <w:u w:val="none"/>
                <w:lang w:val="en-US" w:eastAsia="zh-CN" w:bidi="ar"/>
              </w:rPr>
            </w:pPr>
            <w:r>
              <w:rPr>
                <w:rFonts w:hint="default" w:ascii="楷体_GB2312" w:hAnsi="宋体" w:eastAsia="楷体_GB2312" w:cs="楷体_GB2312"/>
                <w:i w:val="0"/>
                <w:color w:val="000000"/>
                <w:kern w:val="0"/>
                <w:sz w:val="20"/>
                <w:szCs w:val="20"/>
                <w:u w:val="none"/>
                <w:lang w:val="en-US" w:eastAsia="zh-CN" w:bidi="ar"/>
              </w:rPr>
              <w:t>2.资金的拨付有完整的审批程序和手续；（0.5分）</w:t>
            </w:r>
          </w:p>
          <w:p>
            <w:pPr>
              <w:keepNext w:val="0"/>
              <w:keepLines w:val="0"/>
              <w:widowControl/>
              <w:suppressLineNumbers w:val="0"/>
              <w:jc w:val="left"/>
              <w:textAlignment w:val="center"/>
              <w:rPr>
                <w:rFonts w:hint="default" w:ascii="楷体_GB2312" w:hAnsi="宋体" w:eastAsia="楷体_GB2312" w:cs="楷体_GB2312"/>
                <w:i w:val="0"/>
                <w:color w:val="000000"/>
                <w:kern w:val="0"/>
                <w:sz w:val="20"/>
                <w:szCs w:val="20"/>
                <w:u w:val="none"/>
                <w:lang w:val="en-US" w:eastAsia="zh-CN" w:bidi="ar"/>
              </w:rPr>
            </w:pPr>
            <w:r>
              <w:rPr>
                <w:rFonts w:hint="default" w:ascii="楷体_GB2312" w:hAnsi="宋体" w:eastAsia="楷体_GB2312" w:cs="楷体_GB2312"/>
                <w:i w:val="0"/>
                <w:color w:val="000000"/>
                <w:kern w:val="0"/>
                <w:sz w:val="20"/>
                <w:szCs w:val="20"/>
                <w:u w:val="none"/>
                <w:lang w:val="en-US" w:eastAsia="zh-CN" w:bidi="ar"/>
              </w:rPr>
              <w:t>3.项目的重大开支经过评估论证；（0.5分）</w:t>
            </w:r>
          </w:p>
          <w:p>
            <w:pPr>
              <w:keepNext w:val="0"/>
              <w:keepLines w:val="0"/>
              <w:widowControl/>
              <w:suppressLineNumbers w:val="0"/>
              <w:jc w:val="left"/>
              <w:textAlignment w:val="center"/>
              <w:rPr>
                <w:rFonts w:hint="default" w:ascii="楷体_GB2312" w:hAnsi="宋体" w:eastAsia="楷体_GB2312" w:cs="楷体_GB2312"/>
                <w:i w:val="0"/>
                <w:color w:val="000000"/>
                <w:kern w:val="0"/>
                <w:sz w:val="20"/>
                <w:szCs w:val="20"/>
                <w:u w:val="none"/>
                <w:lang w:val="en-US" w:eastAsia="zh-CN" w:bidi="ar"/>
              </w:rPr>
            </w:pPr>
            <w:r>
              <w:rPr>
                <w:rFonts w:hint="default" w:ascii="楷体_GB2312" w:hAnsi="宋体" w:eastAsia="楷体_GB2312" w:cs="楷体_GB2312"/>
                <w:i w:val="0"/>
                <w:color w:val="000000"/>
                <w:kern w:val="0"/>
                <w:sz w:val="20"/>
                <w:szCs w:val="20"/>
                <w:u w:val="none"/>
                <w:lang w:val="en-US" w:eastAsia="zh-CN" w:bidi="ar"/>
              </w:rPr>
              <w:t>4.符合部门预算批复的用途；（0.5分）</w:t>
            </w:r>
          </w:p>
          <w:p>
            <w:pPr>
              <w:keepNext w:val="0"/>
              <w:keepLines w:val="0"/>
              <w:widowControl/>
              <w:suppressLineNumbers w:val="0"/>
              <w:jc w:val="left"/>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5.不存在截留、挤占、挪用、虚列支出等情况。（0.5分）</w:t>
            </w:r>
          </w:p>
        </w:tc>
        <w:tc>
          <w:tcPr>
            <w:tcW w:w="513" w:type="pct"/>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1820" w:hRule="atLeast"/>
        </w:trPr>
        <w:tc>
          <w:tcPr>
            <w:tcW w:w="513" w:type="pct"/>
            <w:vMerge w:val="continue"/>
            <w:shd w:val="clear" w:color="auto" w:fill="auto"/>
            <w:noWrap/>
            <w:tcMar>
              <w:top w:w="10" w:type="dxa"/>
              <w:left w:w="10" w:type="dxa"/>
              <w:right w:w="10" w:type="dxa"/>
            </w:tcMar>
            <w:vAlign w:val="center"/>
          </w:tcPr>
          <w:p>
            <w:pPr>
              <w:jc w:val="center"/>
              <w:rPr>
                <w:rFonts w:hint="default" w:ascii="楷体_GB2312" w:hAnsi="宋体" w:eastAsia="楷体_GB2312" w:cs="楷体_GB2312"/>
                <w:i w:val="0"/>
                <w:color w:val="000000"/>
                <w:sz w:val="20"/>
                <w:szCs w:val="20"/>
                <w:u w:val="none"/>
              </w:rPr>
            </w:pPr>
          </w:p>
        </w:tc>
        <w:tc>
          <w:tcPr>
            <w:tcW w:w="513" w:type="pct"/>
            <w:vMerge w:val="continue"/>
            <w:shd w:val="clear" w:color="auto" w:fill="auto"/>
            <w:tcMar>
              <w:top w:w="10" w:type="dxa"/>
              <w:left w:w="10" w:type="dxa"/>
              <w:right w:w="10" w:type="dxa"/>
            </w:tcMar>
            <w:vAlign w:val="center"/>
          </w:tcPr>
          <w:p>
            <w:pPr>
              <w:jc w:val="center"/>
              <w:rPr>
                <w:rFonts w:hint="default" w:ascii="楷体_GB2312" w:hAnsi="宋体" w:eastAsia="楷体_GB2312" w:cs="楷体_GB2312"/>
                <w:i w:val="0"/>
                <w:color w:val="000000"/>
                <w:sz w:val="20"/>
                <w:szCs w:val="20"/>
                <w:u w:val="none"/>
              </w:rPr>
            </w:pPr>
          </w:p>
        </w:tc>
        <w:tc>
          <w:tcPr>
            <w:tcW w:w="513" w:type="pct"/>
            <w:shd w:val="clear" w:color="auto" w:fill="auto"/>
            <w:tcMar>
              <w:top w:w="10" w:type="dxa"/>
              <w:left w:w="10" w:type="dxa"/>
              <w:right w:w="10" w:type="dxa"/>
            </w:tcMar>
            <w:vAlign w:val="center"/>
          </w:tcPr>
          <w:p>
            <w:pPr>
              <w:keepNext w:val="0"/>
              <w:keepLines w:val="0"/>
              <w:widowControl/>
              <w:suppressLineNumbers w:val="0"/>
              <w:jc w:val="left"/>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预决算信息公开性</w:t>
            </w:r>
          </w:p>
        </w:tc>
        <w:tc>
          <w:tcPr>
            <w:tcW w:w="1081" w:type="pct"/>
            <w:shd w:val="clear" w:color="auto" w:fill="auto"/>
            <w:tcMar>
              <w:top w:w="10" w:type="dxa"/>
              <w:left w:w="10" w:type="dxa"/>
              <w:right w:w="10" w:type="dxa"/>
            </w:tcMar>
            <w:vAlign w:val="center"/>
          </w:tcPr>
          <w:p>
            <w:pPr>
              <w:keepNext w:val="0"/>
              <w:keepLines w:val="0"/>
              <w:widowControl/>
              <w:suppressLineNumbers w:val="0"/>
              <w:jc w:val="left"/>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部门（单位）是否按照政府信息公开有关规定公开相关预决算信息，用以反映和考核部门（单位）预决算管理的公开透明情况。</w:t>
            </w:r>
          </w:p>
        </w:tc>
        <w:tc>
          <w:tcPr>
            <w:tcW w:w="1866" w:type="pct"/>
            <w:shd w:val="clear" w:color="auto" w:fill="auto"/>
            <w:tcMar>
              <w:top w:w="10" w:type="dxa"/>
              <w:left w:w="10" w:type="dxa"/>
              <w:right w:w="10" w:type="dxa"/>
            </w:tcMar>
            <w:vAlign w:val="center"/>
          </w:tcPr>
          <w:p>
            <w:pPr>
              <w:keepNext w:val="0"/>
              <w:keepLines w:val="0"/>
              <w:widowControl/>
              <w:suppressLineNumbers w:val="0"/>
              <w:jc w:val="left"/>
              <w:textAlignment w:val="center"/>
              <w:rPr>
                <w:rFonts w:hint="default" w:ascii="楷体_GB2312" w:hAnsi="宋体" w:eastAsia="楷体_GB2312" w:cs="楷体_GB2312"/>
                <w:i w:val="0"/>
                <w:color w:val="000000"/>
                <w:kern w:val="0"/>
                <w:sz w:val="20"/>
                <w:szCs w:val="20"/>
                <w:u w:val="none"/>
                <w:lang w:val="en-US" w:eastAsia="zh-CN" w:bidi="ar"/>
              </w:rPr>
            </w:pPr>
          </w:p>
          <w:p>
            <w:pPr>
              <w:keepNext w:val="0"/>
              <w:keepLines w:val="0"/>
              <w:widowControl/>
              <w:suppressLineNumbers w:val="0"/>
              <w:jc w:val="left"/>
              <w:textAlignment w:val="center"/>
              <w:rPr>
                <w:rFonts w:hint="default" w:ascii="楷体_GB2312" w:hAnsi="宋体" w:eastAsia="楷体_GB2312" w:cs="楷体_GB2312"/>
                <w:i w:val="0"/>
                <w:color w:val="000000"/>
                <w:kern w:val="0"/>
                <w:sz w:val="20"/>
                <w:szCs w:val="20"/>
                <w:u w:val="none"/>
                <w:lang w:val="en-US" w:eastAsia="zh-CN" w:bidi="ar"/>
              </w:rPr>
            </w:pPr>
            <w:r>
              <w:rPr>
                <w:rFonts w:hint="default" w:ascii="楷体_GB2312" w:hAnsi="宋体" w:eastAsia="楷体_GB2312" w:cs="楷体_GB2312"/>
                <w:i w:val="0"/>
                <w:color w:val="000000"/>
                <w:kern w:val="0"/>
                <w:sz w:val="20"/>
                <w:szCs w:val="20"/>
                <w:u w:val="none"/>
                <w:lang w:val="en-US" w:eastAsia="zh-CN" w:bidi="ar"/>
              </w:rPr>
              <w:t>1.是否按规定内容公开预决算信息；（0.3分）</w:t>
            </w:r>
          </w:p>
          <w:p>
            <w:pPr>
              <w:keepNext w:val="0"/>
              <w:keepLines w:val="0"/>
              <w:widowControl/>
              <w:suppressLineNumbers w:val="0"/>
              <w:jc w:val="left"/>
              <w:textAlignment w:val="center"/>
              <w:rPr>
                <w:rFonts w:hint="default" w:ascii="楷体_GB2312" w:hAnsi="宋体" w:eastAsia="楷体_GB2312" w:cs="楷体_GB2312"/>
                <w:i w:val="0"/>
                <w:color w:val="000000"/>
                <w:kern w:val="0"/>
                <w:sz w:val="20"/>
                <w:szCs w:val="20"/>
                <w:u w:val="none"/>
                <w:lang w:val="en-US" w:eastAsia="zh-CN" w:bidi="ar"/>
              </w:rPr>
            </w:pPr>
            <w:r>
              <w:rPr>
                <w:rFonts w:hint="default" w:ascii="楷体_GB2312" w:hAnsi="宋体" w:eastAsia="楷体_GB2312" w:cs="楷体_GB2312"/>
                <w:i w:val="0"/>
                <w:color w:val="000000"/>
                <w:kern w:val="0"/>
                <w:sz w:val="20"/>
                <w:szCs w:val="20"/>
                <w:u w:val="none"/>
                <w:lang w:val="en-US" w:eastAsia="zh-CN" w:bidi="ar"/>
              </w:rPr>
              <w:t>2.是否按规定时限公开预决算信息。（0.3）</w:t>
            </w:r>
          </w:p>
          <w:p>
            <w:pPr>
              <w:keepNext w:val="0"/>
              <w:keepLines w:val="0"/>
              <w:widowControl/>
              <w:suppressLineNumbers w:val="0"/>
              <w:jc w:val="left"/>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预决算信息是指与部门预算、执行、决算、监督、绩效等管理相关的信息。</w:t>
            </w:r>
          </w:p>
        </w:tc>
        <w:tc>
          <w:tcPr>
            <w:tcW w:w="513" w:type="pct"/>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1040" w:hRule="atLeast"/>
        </w:trPr>
        <w:tc>
          <w:tcPr>
            <w:tcW w:w="513" w:type="pct"/>
            <w:vMerge w:val="continue"/>
            <w:shd w:val="clear" w:color="auto" w:fill="auto"/>
            <w:noWrap/>
            <w:tcMar>
              <w:top w:w="10" w:type="dxa"/>
              <w:left w:w="10" w:type="dxa"/>
              <w:right w:w="10" w:type="dxa"/>
            </w:tcMar>
            <w:vAlign w:val="center"/>
          </w:tcPr>
          <w:p>
            <w:pPr>
              <w:jc w:val="center"/>
              <w:rPr>
                <w:rFonts w:hint="default" w:ascii="楷体_GB2312" w:hAnsi="宋体" w:eastAsia="楷体_GB2312" w:cs="楷体_GB2312"/>
                <w:i w:val="0"/>
                <w:color w:val="000000"/>
                <w:sz w:val="20"/>
                <w:szCs w:val="20"/>
                <w:u w:val="none"/>
              </w:rPr>
            </w:pPr>
          </w:p>
        </w:tc>
        <w:tc>
          <w:tcPr>
            <w:tcW w:w="513" w:type="pct"/>
            <w:vMerge w:val="continue"/>
            <w:shd w:val="clear" w:color="auto" w:fill="auto"/>
            <w:tcMar>
              <w:top w:w="10" w:type="dxa"/>
              <w:left w:w="10" w:type="dxa"/>
              <w:right w:w="10" w:type="dxa"/>
            </w:tcMar>
            <w:vAlign w:val="center"/>
          </w:tcPr>
          <w:p>
            <w:pPr>
              <w:jc w:val="center"/>
              <w:rPr>
                <w:rFonts w:hint="default" w:ascii="楷体_GB2312" w:hAnsi="宋体" w:eastAsia="楷体_GB2312" w:cs="楷体_GB2312"/>
                <w:i w:val="0"/>
                <w:color w:val="000000"/>
                <w:sz w:val="20"/>
                <w:szCs w:val="20"/>
                <w:u w:val="none"/>
              </w:rPr>
            </w:pPr>
          </w:p>
        </w:tc>
        <w:tc>
          <w:tcPr>
            <w:tcW w:w="513" w:type="pct"/>
            <w:shd w:val="clear" w:color="auto" w:fill="auto"/>
            <w:tcMar>
              <w:top w:w="10" w:type="dxa"/>
              <w:left w:w="10" w:type="dxa"/>
              <w:right w:w="10" w:type="dxa"/>
            </w:tcMar>
            <w:vAlign w:val="center"/>
          </w:tcPr>
          <w:p>
            <w:pPr>
              <w:keepNext w:val="0"/>
              <w:keepLines w:val="0"/>
              <w:widowControl/>
              <w:suppressLineNumbers w:val="0"/>
              <w:jc w:val="left"/>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运行监控和自评有效性</w:t>
            </w:r>
          </w:p>
        </w:tc>
        <w:tc>
          <w:tcPr>
            <w:tcW w:w="1081" w:type="pct"/>
            <w:shd w:val="clear" w:color="auto" w:fill="auto"/>
            <w:tcMar>
              <w:top w:w="10" w:type="dxa"/>
              <w:left w:w="10" w:type="dxa"/>
              <w:right w:w="10" w:type="dxa"/>
            </w:tcMar>
            <w:vAlign w:val="center"/>
          </w:tcPr>
          <w:p>
            <w:pPr>
              <w:keepNext w:val="0"/>
              <w:keepLines w:val="0"/>
              <w:widowControl/>
              <w:suppressLineNumbers w:val="0"/>
              <w:jc w:val="left"/>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项目主管单位按照绩效运行监控和绩效自评管理要求开展相关工作。</w:t>
            </w:r>
          </w:p>
        </w:tc>
        <w:tc>
          <w:tcPr>
            <w:tcW w:w="1866" w:type="pct"/>
            <w:shd w:val="clear" w:color="auto" w:fill="auto"/>
            <w:tcMar>
              <w:top w:w="10" w:type="dxa"/>
              <w:left w:w="10" w:type="dxa"/>
              <w:right w:w="10" w:type="dxa"/>
            </w:tcMar>
            <w:vAlign w:val="center"/>
          </w:tcPr>
          <w:p>
            <w:pPr>
              <w:keepNext w:val="0"/>
              <w:keepLines w:val="0"/>
              <w:widowControl/>
              <w:suppressLineNumbers w:val="0"/>
              <w:jc w:val="left"/>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1.项目主管单位开展绩效运行监控工作，按时完整报送资料；（1.5分）                                                                                                                                                                           2.项目主管单位开展绩效自评管理工作，按时完整报送资料。（1.5分）</w:t>
            </w:r>
          </w:p>
        </w:tc>
        <w:tc>
          <w:tcPr>
            <w:tcW w:w="513" w:type="pct"/>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1820" w:hRule="atLeast"/>
        </w:trPr>
        <w:tc>
          <w:tcPr>
            <w:tcW w:w="513" w:type="pct"/>
            <w:vMerge w:val="continue"/>
            <w:shd w:val="clear" w:color="auto" w:fill="auto"/>
            <w:noWrap/>
            <w:tcMar>
              <w:top w:w="10" w:type="dxa"/>
              <w:left w:w="10" w:type="dxa"/>
              <w:right w:w="10" w:type="dxa"/>
            </w:tcMar>
            <w:vAlign w:val="center"/>
          </w:tcPr>
          <w:p>
            <w:pPr>
              <w:jc w:val="center"/>
              <w:rPr>
                <w:rFonts w:hint="default" w:ascii="楷体_GB2312" w:hAnsi="宋体" w:eastAsia="楷体_GB2312" w:cs="楷体_GB2312"/>
                <w:i w:val="0"/>
                <w:color w:val="000000"/>
                <w:sz w:val="20"/>
                <w:szCs w:val="20"/>
                <w:u w:val="none"/>
              </w:rPr>
            </w:pPr>
          </w:p>
        </w:tc>
        <w:tc>
          <w:tcPr>
            <w:tcW w:w="513" w:type="pct"/>
            <w:vMerge w:val="continue"/>
            <w:shd w:val="clear" w:color="auto" w:fill="auto"/>
            <w:tcMar>
              <w:top w:w="10" w:type="dxa"/>
              <w:left w:w="10" w:type="dxa"/>
              <w:right w:w="10" w:type="dxa"/>
            </w:tcMar>
            <w:vAlign w:val="center"/>
          </w:tcPr>
          <w:p>
            <w:pPr>
              <w:jc w:val="center"/>
              <w:rPr>
                <w:rFonts w:hint="default" w:ascii="楷体_GB2312" w:hAnsi="宋体" w:eastAsia="楷体_GB2312" w:cs="楷体_GB2312"/>
                <w:i w:val="0"/>
                <w:color w:val="000000"/>
                <w:sz w:val="20"/>
                <w:szCs w:val="20"/>
                <w:u w:val="none"/>
              </w:rPr>
            </w:pPr>
          </w:p>
        </w:tc>
        <w:tc>
          <w:tcPr>
            <w:tcW w:w="513" w:type="pct"/>
            <w:shd w:val="clear" w:color="auto" w:fill="auto"/>
            <w:tcMar>
              <w:top w:w="10" w:type="dxa"/>
              <w:left w:w="10" w:type="dxa"/>
              <w:right w:w="10" w:type="dxa"/>
            </w:tcMar>
            <w:vAlign w:val="center"/>
          </w:tcPr>
          <w:p>
            <w:pPr>
              <w:keepNext w:val="0"/>
              <w:keepLines w:val="0"/>
              <w:widowControl/>
              <w:suppressLineNumbers w:val="0"/>
              <w:jc w:val="left"/>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基础信息完善性</w:t>
            </w:r>
          </w:p>
        </w:tc>
        <w:tc>
          <w:tcPr>
            <w:tcW w:w="1081" w:type="pct"/>
            <w:shd w:val="clear" w:color="auto" w:fill="auto"/>
            <w:tcMar>
              <w:top w:w="10" w:type="dxa"/>
              <w:left w:w="10" w:type="dxa"/>
              <w:right w:w="10" w:type="dxa"/>
            </w:tcMar>
            <w:vAlign w:val="center"/>
          </w:tcPr>
          <w:p>
            <w:pPr>
              <w:keepNext w:val="0"/>
              <w:keepLines w:val="0"/>
              <w:widowControl/>
              <w:suppressLineNumbers w:val="0"/>
              <w:jc w:val="left"/>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部门（单位）基础信息完善，用以反映和考核基础信息对预算管理工作的支撑情况。</w:t>
            </w:r>
          </w:p>
        </w:tc>
        <w:tc>
          <w:tcPr>
            <w:tcW w:w="1866" w:type="pct"/>
            <w:shd w:val="clear" w:color="auto" w:fill="auto"/>
            <w:tcMar>
              <w:top w:w="10" w:type="dxa"/>
              <w:left w:w="10" w:type="dxa"/>
              <w:right w:w="10" w:type="dxa"/>
            </w:tcMar>
            <w:vAlign w:val="center"/>
          </w:tcPr>
          <w:p>
            <w:pPr>
              <w:keepNext w:val="0"/>
              <w:keepLines w:val="0"/>
              <w:widowControl/>
              <w:suppressLineNumbers w:val="0"/>
              <w:jc w:val="left"/>
              <w:textAlignment w:val="center"/>
              <w:rPr>
                <w:rFonts w:hint="default" w:ascii="楷体_GB2312" w:hAnsi="宋体" w:eastAsia="楷体_GB2312" w:cs="楷体_GB2312"/>
                <w:i w:val="0"/>
                <w:color w:val="000000"/>
                <w:kern w:val="0"/>
                <w:sz w:val="20"/>
                <w:szCs w:val="20"/>
                <w:u w:val="none"/>
                <w:lang w:val="en-US" w:eastAsia="zh-CN" w:bidi="ar"/>
              </w:rPr>
            </w:pPr>
          </w:p>
          <w:p>
            <w:pPr>
              <w:keepNext w:val="0"/>
              <w:keepLines w:val="0"/>
              <w:widowControl/>
              <w:suppressLineNumbers w:val="0"/>
              <w:jc w:val="left"/>
              <w:textAlignment w:val="center"/>
              <w:rPr>
                <w:rFonts w:hint="default" w:ascii="楷体_GB2312" w:hAnsi="宋体" w:eastAsia="楷体_GB2312" w:cs="楷体_GB2312"/>
                <w:i w:val="0"/>
                <w:color w:val="000000"/>
                <w:kern w:val="0"/>
                <w:sz w:val="20"/>
                <w:szCs w:val="20"/>
                <w:u w:val="none"/>
                <w:lang w:val="en-US" w:eastAsia="zh-CN" w:bidi="ar"/>
              </w:rPr>
            </w:pPr>
            <w:r>
              <w:rPr>
                <w:rFonts w:hint="default" w:ascii="楷体_GB2312" w:hAnsi="宋体" w:eastAsia="楷体_GB2312" w:cs="楷体_GB2312"/>
                <w:i w:val="0"/>
                <w:color w:val="000000"/>
                <w:kern w:val="0"/>
                <w:sz w:val="20"/>
                <w:szCs w:val="20"/>
                <w:u w:val="none"/>
                <w:lang w:val="en-US" w:eastAsia="zh-CN" w:bidi="ar"/>
              </w:rPr>
              <w:t>1.基础数据信息和会计信息资料真实；（0.3分）</w:t>
            </w:r>
          </w:p>
          <w:p>
            <w:pPr>
              <w:keepNext w:val="0"/>
              <w:keepLines w:val="0"/>
              <w:widowControl/>
              <w:suppressLineNumbers w:val="0"/>
              <w:jc w:val="left"/>
              <w:textAlignment w:val="center"/>
              <w:rPr>
                <w:rFonts w:hint="default" w:ascii="楷体_GB2312" w:hAnsi="宋体" w:eastAsia="楷体_GB2312" w:cs="楷体_GB2312"/>
                <w:i w:val="0"/>
                <w:color w:val="000000"/>
                <w:kern w:val="0"/>
                <w:sz w:val="20"/>
                <w:szCs w:val="20"/>
                <w:u w:val="none"/>
                <w:lang w:val="en-US" w:eastAsia="zh-CN" w:bidi="ar"/>
              </w:rPr>
            </w:pPr>
            <w:r>
              <w:rPr>
                <w:rFonts w:hint="default" w:ascii="楷体_GB2312" w:hAnsi="宋体" w:eastAsia="楷体_GB2312" w:cs="楷体_GB2312"/>
                <w:i w:val="0"/>
                <w:color w:val="000000"/>
                <w:kern w:val="0"/>
                <w:sz w:val="20"/>
                <w:szCs w:val="20"/>
                <w:u w:val="none"/>
                <w:lang w:val="en-US" w:eastAsia="zh-CN" w:bidi="ar"/>
              </w:rPr>
              <w:t>2.基础数据信息和会计信息资料完整；（0.3分）</w:t>
            </w:r>
          </w:p>
          <w:p>
            <w:pPr>
              <w:keepNext w:val="0"/>
              <w:keepLines w:val="0"/>
              <w:widowControl/>
              <w:suppressLineNumbers w:val="0"/>
              <w:jc w:val="left"/>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3.基础数据信息和会计信息资料准确。（0.3分）</w:t>
            </w:r>
          </w:p>
        </w:tc>
        <w:tc>
          <w:tcPr>
            <w:tcW w:w="513" w:type="pct"/>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2080" w:hRule="atLeast"/>
        </w:trPr>
        <w:tc>
          <w:tcPr>
            <w:tcW w:w="513" w:type="pct"/>
            <w:vMerge w:val="continue"/>
            <w:shd w:val="clear" w:color="auto" w:fill="auto"/>
            <w:noWrap/>
            <w:tcMar>
              <w:top w:w="10" w:type="dxa"/>
              <w:left w:w="10" w:type="dxa"/>
              <w:right w:w="10" w:type="dxa"/>
            </w:tcMar>
            <w:vAlign w:val="center"/>
          </w:tcPr>
          <w:p>
            <w:pPr>
              <w:jc w:val="center"/>
              <w:rPr>
                <w:rFonts w:hint="default" w:ascii="楷体_GB2312" w:hAnsi="宋体" w:eastAsia="楷体_GB2312" w:cs="楷体_GB2312"/>
                <w:i w:val="0"/>
                <w:color w:val="000000"/>
                <w:sz w:val="20"/>
                <w:szCs w:val="20"/>
                <w:u w:val="none"/>
              </w:rPr>
            </w:pPr>
          </w:p>
        </w:tc>
        <w:tc>
          <w:tcPr>
            <w:tcW w:w="513" w:type="pct"/>
            <w:vMerge w:val="restart"/>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楷体_GB2312" w:hAnsi="宋体" w:eastAsia="楷体_GB2312" w:cs="楷体_GB2312"/>
                <w:i w:val="0"/>
                <w:color w:val="000000"/>
                <w:kern w:val="0"/>
                <w:sz w:val="20"/>
                <w:szCs w:val="20"/>
                <w:u w:val="none"/>
                <w:lang w:val="en-US" w:eastAsia="zh-CN" w:bidi="ar"/>
              </w:rPr>
            </w:pPr>
            <w:r>
              <w:rPr>
                <w:rFonts w:hint="default" w:ascii="楷体_GB2312" w:hAnsi="宋体" w:eastAsia="楷体_GB2312" w:cs="楷体_GB2312"/>
                <w:i w:val="0"/>
                <w:color w:val="000000"/>
                <w:kern w:val="0"/>
                <w:sz w:val="20"/>
                <w:szCs w:val="20"/>
                <w:u w:val="none"/>
                <w:lang w:val="en-US" w:eastAsia="zh-CN" w:bidi="ar"/>
              </w:rPr>
              <w:t>资产</w:t>
            </w:r>
          </w:p>
          <w:p>
            <w:pPr>
              <w:keepNext w:val="0"/>
              <w:keepLines w:val="0"/>
              <w:widowControl/>
              <w:suppressLineNumbers w:val="0"/>
              <w:jc w:val="center"/>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管理</w:t>
            </w:r>
          </w:p>
        </w:tc>
        <w:tc>
          <w:tcPr>
            <w:tcW w:w="513" w:type="pct"/>
            <w:shd w:val="clear" w:color="auto" w:fill="auto"/>
            <w:tcMar>
              <w:top w:w="10" w:type="dxa"/>
              <w:left w:w="10" w:type="dxa"/>
              <w:right w:w="10" w:type="dxa"/>
            </w:tcMar>
            <w:vAlign w:val="center"/>
          </w:tcPr>
          <w:p>
            <w:pPr>
              <w:keepNext w:val="0"/>
              <w:keepLines w:val="0"/>
              <w:widowControl/>
              <w:suppressLineNumbers w:val="0"/>
              <w:jc w:val="left"/>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管理制度健全性</w:t>
            </w:r>
          </w:p>
        </w:tc>
        <w:tc>
          <w:tcPr>
            <w:tcW w:w="1081" w:type="pct"/>
            <w:shd w:val="clear" w:color="auto" w:fill="auto"/>
            <w:tcMar>
              <w:top w:w="10" w:type="dxa"/>
              <w:left w:w="10" w:type="dxa"/>
              <w:right w:w="10" w:type="dxa"/>
            </w:tcMar>
            <w:vAlign w:val="center"/>
          </w:tcPr>
          <w:p>
            <w:pPr>
              <w:keepNext w:val="0"/>
              <w:keepLines w:val="0"/>
              <w:widowControl/>
              <w:suppressLineNumbers w:val="0"/>
              <w:jc w:val="left"/>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部门（单位）为加强资产管理、规范资产管理行为而制定的管理制度健全完整，用以反映和考核部门（单位）资产管理制度对完成主要职责或促进社会发展的保障情况。</w:t>
            </w:r>
          </w:p>
        </w:tc>
        <w:tc>
          <w:tcPr>
            <w:tcW w:w="1866" w:type="pct"/>
            <w:shd w:val="clear" w:color="auto" w:fill="auto"/>
            <w:tcMar>
              <w:top w:w="10" w:type="dxa"/>
              <w:left w:w="10" w:type="dxa"/>
              <w:right w:w="10" w:type="dxa"/>
            </w:tcMar>
            <w:vAlign w:val="center"/>
          </w:tcPr>
          <w:p>
            <w:pPr>
              <w:keepNext w:val="0"/>
              <w:keepLines w:val="0"/>
              <w:widowControl/>
              <w:suppressLineNumbers w:val="0"/>
              <w:jc w:val="left"/>
              <w:textAlignment w:val="center"/>
              <w:rPr>
                <w:rFonts w:hint="default" w:ascii="楷体_GB2312" w:hAnsi="宋体" w:eastAsia="楷体_GB2312" w:cs="楷体_GB2312"/>
                <w:i w:val="0"/>
                <w:color w:val="000000"/>
                <w:kern w:val="0"/>
                <w:sz w:val="20"/>
                <w:szCs w:val="20"/>
                <w:u w:val="none"/>
                <w:lang w:val="en-US" w:eastAsia="zh-CN" w:bidi="ar"/>
              </w:rPr>
            </w:pPr>
          </w:p>
          <w:p>
            <w:pPr>
              <w:keepNext w:val="0"/>
              <w:keepLines w:val="0"/>
              <w:widowControl/>
              <w:suppressLineNumbers w:val="0"/>
              <w:jc w:val="left"/>
              <w:textAlignment w:val="center"/>
              <w:rPr>
                <w:rFonts w:hint="default" w:ascii="楷体_GB2312" w:hAnsi="宋体" w:eastAsia="楷体_GB2312" w:cs="楷体_GB2312"/>
                <w:i w:val="0"/>
                <w:color w:val="000000"/>
                <w:kern w:val="0"/>
                <w:sz w:val="20"/>
                <w:szCs w:val="20"/>
                <w:u w:val="none"/>
                <w:lang w:val="en-US" w:eastAsia="zh-CN" w:bidi="ar"/>
              </w:rPr>
            </w:pPr>
            <w:r>
              <w:rPr>
                <w:rFonts w:hint="default" w:ascii="楷体_GB2312" w:hAnsi="宋体" w:eastAsia="楷体_GB2312" w:cs="楷体_GB2312"/>
                <w:i w:val="0"/>
                <w:color w:val="000000"/>
                <w:kern w:val="0"/>
                <w:sz w:val="20"/>
                <w:szCs w:val="20"/>
                <w:u w:val="none"/>
                <w:lang w:val="en-US" w:eastAsia="zh-CN" w:bidi="ar"/>
              </w:rPr>
              <w:t>1.已制定或具有资产管理制度；（0.5分）                                                                                                                                                                                                2.相关资金管理制度合法、合规、完整；（0.5分）</w:t>
            </w:r>
          </w:p>
          <w:p>
            <w:pPr>
              <w:keepNext w:val="0"/>
              <w:keepLines w:val="0"/>
              <w:widowControl/>
              <w:suppressLineNumbers w:val="0"/>
              <w:jc w:val="left"/>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3.相关资产管理制度得到有效执行。（0.5分）</w:t>
            </w:r>
          </w:p>
        </w:tc>
        <w:tc>
          <w:tcPr>
            <w:tcW w:w="513" w:type="pct"/>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2080" w:hRule="atLeast"/>
        </w:trPr>
        <w:tc>
          <w:tcPr>
            <w:tcW w:w="513" w:type="pct"/>
            <w:vMerge w:val="continue"/>
            <w:shd w:val="clear" w:color="auto" w:fill="auto"/>
            <w:noWrap/>
            <w:tcMar>
              <w:top w:w="10" w:type="dxa"/>
              <w:left w:w="10" w:type="dxa"/>
              <w:right w:w="10" w:type="dxa"/>
            </w:tcMar>
            <w:vAlign w:val="center"/>
          </w:tcPr>
          <w:p>
            <w:pPr>
              <w:jc w:val="center"/>
              <w:rPr>
                <w:rFonts w:hint="default" w:ascii="楷体_GB2312" w:hAnsi="宋体" w:eastAsia="楷体_GB2312" w:cs="楷体_GB2312"/>
                <w:i w:val="0"/>
                <w:color w:val="000000"/>
                <w:sz w:val="20"/>
                <w:szCs w:val="20"/>
                <w:u w:val="none"/>
              </w:rPr>
            </w:pPr>
          </w:p>
        </w:tc>
        <w:tc>
          <w:tcPr>
            <w:tcW w:w="513" w:type="pct"/>
            <w:vMerge w:val="continue"/>
            <w:shd w:val="clear" w:color="auto" w:fill="auto"/>
            <w:tcMar>
              <w:top w:w="10" w:type="dxa"/>
              <w:left w:w="10" w:type="dxa"/>
              <w:right w:w="10" w:type="dxa"/>
            </w:tcMar>
            <w:vAlign w:val="center"/>
          </w:tcPr>
          <w:p>
            <w:pPr>
              <w:jc w:val="center"/>
              <w:rPr>
                <w:rFonts w:hint="default" w:ascii="楷体_GB2312" w:hAnsi="宋体" w:eastAsia="楷体_GB2312" w:cs="楷体_GB2312"/>
                <w:i w:val="0"/>
                <w:color w:val="000000"/>
                <w:sz w:val="20"/>
                <w:szCs w:val="20"/>
                <w:u w:val="none"/>
              </w:rPr>
            </w:pPr>
          </w:p>
        </w:tc>
        <w:tc>
          <w:tcPr>
            <w:tcW w:w="513" w:type="pct"/>
            <w:shd w:val="clear" w:color="auto" w:fill="auto"/>
            <w:tcMar>
              <w:top w:w="10" w:type="dxa"/>
              <w:left w:w="10" w:type="dxa"/>
              <w:right w:w="10" w:type="dxa"/>
            </w:tcMar>
            <w:vAlign w:val="center"/>
          </w:tcPr>
          <w:p>
            <w:pPr>
              <w:keepNext w:val="0"/>
              <w:keepLines w:val="0"/>
              <w:widowControl/>
              <w:suppressLineNumbers w:val="0"/>
              <w:jc w:val="left"/>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资产管理安全性</w:t>
            </w:r>
          </w:p>
        </w:tc>
        <w:tc>
          <w:tcPr>
            <w:tcW w:w="1081" w:type="pct"/>
            <w:shd w:val="clear" w:color="auto" w:fill="auto"/>
            <w:tcMar>
              <w:top w:w="10" w:type="dxa"/>
              <w:left w:w="10" w:type="dxa"/>
              <w:right w:w="10" w:type="dxa"/>
            </w:tcMar>
            <w:vAlign w:val="center"/>
          </w:tcPr>
          <w:p>
            <w:pPr>
              <w:keepNext w:val="0"/>
              <w:keepLines w:val="0"/>
              <w:widowControl/>
              <w:suppressLineNumbers w:val="0"/>
              <w:jc w:val="left"/>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部门（单位）的资产保存完整、使用合规、配置合理、处置规范、收入及时足额上缴，用以反映和考核部门（单位）资产安全运行情况。</w:t>
            </w:r>
          </w:p>
        </w:tc>
        <w:tc>
          <w:tcPr>
            <w:tcW w:w="1866" w:type="pct"/>
            <w:shd w:val="clear" w:color="auto" w:fill="auto"/>
            <w:tcMar>
              <w:top w:w="10" w:type="dxa"/>
              <w:left w:w="10" w:type="dxa"/>
              <w:right w:w="10" w:type="dxa"/>
            </w:tcMar>
            <w:vAlign w:val="center"/>
          </w:tcPr>
          <w:p>
            <w:pPr>
              <w:keepNext w:val="0"/>
              <w:keepLines w:val="0"/>
              <w:widowControl/>
              <w:suppressLineNumbers w:val="0"/>
              <w:jc w:val="left"/>
              <w:textAlignment w:val="center"/>
              <w:rPr>
                <w:rFonts w:hint="default" w:ascii="楷体_GB2312" w:hAnsi="宋体" w:eastAsia="楷体_GB2312" w:cs="楷体_GB2312"/>
                <w:i w:val="0"/>
                <w:color w:val="000000"/>
                <w:kern w:val="0"/>
                <w:sz w:val="20"/>
                <w:szCs w:val="20"/>
                <w:u w:val="none"/>
                <w:lang w:val="en-US" w:eastAsia="zh-CN" w:bidi="ar"/>
              </w:rPr>
            </w:pPr>
          </w:p>
          <w:p>
            <w:pPr>
              <w:keepNext w:val="0"/>
              <w:keepLines w:val="0"/>
              <w:widowControl/>
              <w:suppressLineNumbers w:val="0"/>
              <w:jc w:val="left"/>
              <w:textAlignment w:val="center"/>
              <w:rPr>
                <w:rFonts w:hint="default" w:ascii="楷体_GB2312" w:hAnsi="宋体" w:eastAsia="楷体_GB2312" w:cs="楷体_GB2312"/>
                <w:i w:val="0"/>
                <w:color w:val="000000"/>
                <w:kern w:val="0"/>
                <w:sz w:val="20"/>
                <w:szCs w:val="20"/>
                <w:u w:val="none"/>
                <w:lang w:val="en-US" w:eastAsia="zh-CN" w:bidi="ar"/>
              </w:rPr>
            </w:pPr>
            <w:r>
              <w:rPr>
                <w:rFonts w:hint="default" w:ascii="楷体_GB2312" w:hAnsi="宋体" w:eastAsia="楷体_GB2312" w:cs="楷体_GB2312"/>
                <w:i w:val="0"/>
                <w:color w:val="000000"/>
                <w:kern w:val="0"/>
                <w:sz w:val="20"/>
                <w:szCs w:val="20"/>
                <w:u w:val="none"/>
                <w:lang w:val="en-US" w:eastAsia="zh-CN" w:bidi="ar"/>
              </w:rPr>
              <w:t>1.资产保存完整；（0.3分）</w:t>
            </w:r>
          </w:p>
          <w:p>
            <w:pPr>
              <w:keepNext w:val="0"/>
              <w:keepLines w:val="0"/>
              <w:widowControl/>
              <w:suppressLineNumbers w:val="0"/>
              <w:jc w:val="left"/>
              <w:textAlignment w:val="center"/>
              <w:rPr>
                <w:rFonts w:hint="default" w:ascii="楷体_GB2312" w:hAnsi="宋体" w:eastAsia="楷体_GB2312" w:cs="楷体_GB2312"/>
                <w:i w:val="0"/>
                <w:color w:val="000000"/>
                <w:kern w:val="0"/>
                <w:sz w:val="20"/>
                <w:szCs w:val="20"/>
                <w:u w:val="none"/>
                <w:lang w:val="en-US" w:eastAsia="zh-CN" w:bidi="ar"/>
              </w:rPr>
            </w:pPr>
            <w:r>
              <w:rPr>
                <w:rFonts w:hint="default" w:ascii="楷体_GB2312" w:hAnsi="宋体" w:eastAsia="楷体_GB2312" w:cs="楷体_GB2312"/>
                <w:i w:val="0"/>
                <w:color w:val="000000"/>
                <w:kern w:val="0"/>
                <w:sz w:val="20"/>
                <w:szCs w:val="20"/>
                <w:u w:val="none"/>
                <w:lang w:val="en-US" w:eastAsia="zh-CN" w:bidi="ar"/>
              </w:rPr>
              <w:t>2.资产配置合理；（0.3分）</w:t>
            </w:r>
          </w:p>
          <w:p>
            <w:pPr>
              <w:keepNext w:val="0"/>
              <w:keepLines w:val="0"/>
              <w:widowControl/>
              <w:suppressLineNumbers w:val="0"/>
              <w:jc w:val="left"/>
              <w:textAlignment w:val="center"/>
              <w:rPr>
                <w:rFonts w:hint="default" w:ascii="楷体_GB2312" w:hAnsi="宋体" w:eastAsia="楷体_GB2312" w:cs="楷体_GB2312"/>
                <w:i w:val="0"/>
                <w:color w:val="000000"/>
                <w:kern w:val="0"/>
                <w:sz w:val="20"/>
                <w:szCs w:val="20"/>
                <w:u w:val="none"/>
                <w:lang w:val="en-US" w:eastAsia="zh-CN" w:bidi="ar"/>
              </w:rPr>
            </w:pPr>
            <w:r>
              <w:rPr>
                <w:rFonts w:hint="default" w:ascii="楷体_GB2312" w:hAnsi="宋体" w:eastAsia="楷体_GB2312" w:cs="楷体_GB2312"/>
                <w:i w:val="0"/>
                <w:color w:val="000000"/>
                <w:kern w:val="0"/>
                <w:sz w:val="20"/>
                <w:szCs w:val="20"/>
                <w:u w:val="none"/>
                <w:lang w:val="en-US" w:eastAsia="zh-CN" w:bidi="ar"/>
              </w:rPr>
              <w:t>3.资产处置规范；（0.3分）</w:t>
            </w:r>
          </w:p>
          <w:p>
            <w:pPr>
              <w:keepNext w:val="0"/>
              <w:keepLines w:val="0"/>
              <w:widowControl/>
              <w:suppressLineNumbers w:val="0"/>
              <w:jc w:val="left"/>
              <w:textAlignment w:val="center"/>
              <w:rPr>
                <w:rFonts w:hint="default" w:ascii="楷体_GB2312" w:hAnsi="宋体" w:eastAsia="楷体_GB2312" w:cs="楷体_GB2312"/>
                <w:i w:val="0"/>
                <w:color w:val="000000"/>
                <w:kern w:val="0"/>
                <w:sz w:val="20"/>
                <w:szCs w:val="20"/>
                <w:u w:val="none"/>
                <w:lang w:val="en-US" w:eastAsia="zh-CN" w:bidi="ar"/>
              </w:rPr>
            </w:pPr>
            <w:r>
              <w:rPr>
                <w:rFonts w:hint="default" w:ascii="楷体_GB2312" w:hAnsi="宋体" w:eastAsia="楷体_GB2312" w:cs="楷体_GB2312"/>
                <w:i w:val="0"/>
                <w:color w:val="000000"/>
                <w:kern w:val="0"/>
                <w:sz w:val="20"/>
                <w:szCs w:val="20"/>
                <w:u w:val="none"/>
                <w:lang w:val="en-US" w:eastAsia="zh-CN" w:bidi="ar"/>
              </w:rPr>
              <w:t>4.资产账务管理合规，</w:t>
            </w:r>
            <w:r>
              <w:rPr>
                <w:rFonts w:hint="eastAsia" w:ascii="楷体_GB2312" w:eastAsia="楷体_GB2312" w:cs="楷体_GB2312"/>
                <w:i w:val="0"/>
                <w:color w:val="000000"/>
                <w:kern w:val="0"/>
                <w:sz w:val="20"/>
                <w:szCs w:val="20"/>
                <w:highlight w:val="none"/>
                <w:u w:val="none"/>
                <w:lang w:val="en-US" w:eastAsia="zh-CN" w:bidi="ar"/>
              </w:rPr>
              <w:t>账实相符</w:t>
            </w:r>
            <w:r>
              <w:rPr>
                <w:rFonts w:hint="default" w:ascii="楷体_GB2312" w:hAnsi="宋体" w:eastAsia="楷体_GB2312" w:cs="楷体_GB2312"/>
                <w:i w:val="0"/>
                <w:color w:val="000000"/>
                <w:kern w:val="0"/>
                <w:sz w:val="20"/>
                <w:szCs w:val="20"/>
                <w:u w:val="none"/>
                <w:lang w:val="en-US" w:eastAsia="zh-CN" w:bidi="ar"/>
              </w:rPr>
              <w:t>；（0.3分）</w:t>
            </w:r>
          </w:p>
          <w:p>
            <w:pPr>
              <w:keepNext w:val="0"/>
              <w:keepLines w:val="0"/>
              <w:widowControl/>
              <w:suppressLineNumbers w:val="0"/>
              <w:jc w:val="left"/>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5.资产有偿使用及处置收入及时足额上缴。（0.3分）</w:t>
            </w:r>
          </w:p>
        </w:tc>
        <w:tc>
          <w:tcPr>
            <w:tcW w:w="513" w:type="pct"/>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1560" w:hRule="atLeast"/>
        </w:trPr>
        <w:tc>
          <w:tcPr>
            <w:tcW w:w="513" w:type="pct"/>
            <w:vMerge w:val="continue"/>
            <w:shd w:val="clear" w:color="auto" w:fill="auto"/>
            <w:noWrap/>
            <w:tcMar>
              <w:top w:w="10" w:type="dxa"/>
              <w:left w:w="10" w:type="dxa"/>
              <w:right w:w="10" w:type="dxa"/>
            </w:tcMar>
            <w:vAlign w:val="center"/>
          </w:tcPr>
          <w:p>
            <w:pPr>
              <w:jc w:val="center"/>
              <w:rPr>
                <w:rFonts w:hint="default" w:ascii="楷体_GB2312" w:hAnsi="宋体" w:eastAsia="楷体_GB2312" w:cs="楷体_GB2312"/>
                <w:i w:val="0"/>
                <w:color w:val="000000"/>
                <w:sz w:val="20"/>
                <w:szCs w:val="20"/>
                <w:u w:val="none"/>
              </w:rPr>
            </w:pPr>
          </w:p>
        </w:tc>
        <w:tc>
          <w:tcPr>
            <w:tcW w:w="513" w:type="pct"/>
            <w:vMerge w:val="continue"/>
            <w:shd w:val="clear" w:color="auto" w:fill="auto"/>
            <w:tcMar>
              <w:top w:w="10" w:type="dxa"/>
              <w:left w:w="10" w:type="dxa"/>
              <w:right w:w="10" w:type="dxa"/>
            </w:tcMar>
            <w:vAlign w:val="center"/>
          </w:tcPr>
          <w:p>
            <w:pPr>
              <w:jc w:val="center"/>
              <w:rPr>
                <w:rFonts w:hint="default" w:ascii="楷体_GB2312" w:hAnsi="宋体" w:eastAsia="楷体_GB2312" w:cs="楷体_GB2312"/>
                <w:i w:val="0"/>
                <w:color w:val="000000"/>
                <w:sz w:val="20"/>
                <w:szCs w:val="20"/>
                <w:u w:val="none"/>
              </w:rPr>
            </w:pPr>
          </w:p>
        </w:tc>
        <w:tc>
          <w:tcPr>
            <w:tcW w:w="513" w:type="pct"/>
            <w:shd w:val="clear" w:color="auto" w:fill="auto"/>
            <w:tcMar>
              <w:top w:w="10" w:type="dxa"/>
              <w:left w:w="10" w:type="dxa"/>
              <w:right w:w="10" w:type="dxa"/>
            </w:tcMar>
            <w:vAlign w:val="center"/>
          </w:tcPr>
          <w:p>
            <w:pPr>
              <w:keepNext w:val="0"/>
              <w:keepLines w:val="0"/>
              <w:widowControl/>
              <w:suppressLineNumbers w:val="0"/>
              <w:jc w:val="left"/>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固定资产利用率</w:t>
            </w:r>
          </w:p>
        </w:tc>
        <w:tc>
          <w:tcPr>
            <w:tcW w:w="1081" w:type="pct"/>
            <w:shd w:val="clear" w:color="auto" w:fill="auto"/>
            <w:tcMar>
              <w:top w:w="10" w:type="dxa"/>
              <w:left w:w="10" w:type="dxa"/>
              <w:right w:w="10" w:type="dxa"/>
            </w:tcMar>
            <w:vAlign w:val="center"/>
          </w:tcPr>
          <w:p>
            <w:pPr>
              <w:keepNext w:val="0"/>
              <w:keepLines w:val="0"/>
              <w:widowControl/>
              <w:suppressLineNumbers w:val="0"/>
              <w:jc w:val="left"/>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部门（单位）实际在用固定资产总额与所有固定资产总额的比率，用以反映和考核部门（单位）固定资产使用效率程度。</w:t>
            </w:r>
          </w:p>
        </w:tc>
        <w:tc>
          <w:tcPr>
            <w:tcW w:w="1866" w:type="pct"/>
            <w:shd w:val="clear" w:color="auto" w:fill="auto"/>
            <w:tcMar>
              <w:top w:w="10" w:type="dxa"/>
              <w:left w:w="10" w:type="dxa"/>
              <w:right w:w="10" w:type="dxa"/>
            </w:tcMar>
            <w:vAlign w:val="center"/>
          </w:tcPr>
          <w:p>
            <w:pPr>
              <w:keepNext w:val="0"/>
              <w:keepLines w:val="0"/>
              <w:widowControl/>
              <w:suppressLineNumbers w:val="0"/>
              <w:jc w:val="left"/>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固定资产利用率=（实际在用固定资产总额/所有固定资产总额）×100%。                                                                                                                                                                    得分=固定资产利用率×2分</w:t>
            </w:r>
          </w:p>
        </w:tc>
        <w:tc>
          <w:tcPr>
            <w:tcW w:w="513" w:type="pct"/>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2340" w:hRule="atLeast"/>
        </w:trPr>
        <w:tc>
          <w:tcPr>
            <w:tcW w:w="513" w:type="pct"/>
            <w:vMerge w:val="restart"/>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产出</w:t>
            </w:r>
          </w:p>
        </w:tc>
        <w:tc>
          <w:tcPr>
            <w:tcW w:w="513" w:type="pct"/>
            <w:vMerge w:val="restart"/>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楷体_GB2312" w:hAnsi="宋体" w:eastAsia="楷体_GB2312" w:cs="楷体_GB2312"/>
                <w:i w:val="0"/>
                <w:color w:val="000000"/>
                <w:kern w:val="0"/>
                <w:sz w:val="20"/>
                <w:szCs w:val="20"/>
                <w:u w:val="none"/>
                <w:lang w:val="en-US" w:eastAsia="zh-CN" w:bidi="ar"/>
              </w:rPr>
            </w:pPr>
            <w:r>
              <w:rPr>
                <w:rFonts w:hint="default" w:ascii="楷体_GB2312" w:hAnsi="宋体" w:eastAsia="楷体_GB2312" w:cs="楷体_GB2312"/>
                <w:i w:val="0"/>
                <w:color w:val="000000"/>
                <w:kern w:val="0"/>
                <w:sz w:val="20"/>
                <w:szCs w:val="20"/>
                <w:u w:val="none"/>
                <w:lang w:val="en-US" w:eastAsia="zh-CN" w:bidi="ar"/>
              </w:rPr>
              <w:t>职责</w:t>
            </w:r>
          </w:p>
          <w:p>
            <w:pPr>
              <w:keepNext w:val="0"/>
              <w:keepLines w:val="0"/>
              <w:widowControl/>
              <w:suppressLineNumbers w:val="0"/>
              <w:jc w:val="center"/>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履行</w:t>
            </w:r>
          </w:p>
        </w:tc>
        <w:tc>
          <w:tcPr>
            <w:tcW w:w="513" w:type="pct"/>
            <w:shd w:val="clear" w:color="auto" w:fill="auto"/>
            <w:tcMar>
              <w:top w:w="10" w:type="dxa"/>
              <w:left w:w="10" w:type="dxa"/>
              <w:right w:w="10" w:type="dxa"/>
            </w:tcMar>
            <w:vAlign w:val="center"/>
          </w:tcPr>
          <w:p>
            <w:pPr>
              <w:keepNext w:val="0"/>
              <w:keepLines w:val="0"/>
              <w:widowControl/>
              <w:suppressLineNumbers w:val="0"/>
              <w:jc w:val="left"/>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实际完成率</w:t>
            </w:r>
          </w:p>
        </w:tc>
        <w:tc>
          <w:tcPr>
            <w:tcW w:w="1081" w:type="pct"/>
            <w:shd w:val="clear" w:color="auto" w:fill="auto"/>
            <w:tcMar>
              <w:top w:w="10" w:type="dxa"/>
              <w:left w:w="10" w:type="dxa"/>
              <w:right w:w="10" w:type="dxa"/>
            </w:tcMar>
            <w:vAlign w:val="center"/>
          </w:tcPr>
          <w:p>
            <w:pPr>
              <w:keepNext w:val="0"/>
              <w:keepLines w:val="0"/>
              <w:widowControl/>
              <w:suppressLineNumbers w:val="0"/>
              <w:jc w:val="left"/>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部门（单位）履行职责而实际完成工作数与计划工作数的比率，用以反映和考核部门（单位）履职工作任务目标的实现程度。</w:t>
            </w:r>
          </w:p>
        </w:tc>
        <w:tc>
          <w:tcPr>
            <w:tcW w:w="1866" w:type="pct"/>
            <w:shd w:val="clear" w:color="auto" w:fill="auto"/>
            <w:tcMar>
              <w:top w:w="10" w:type="dxa"/>
              <w:left w:w="10" w:type="dxa"/>
              <w:right w:w="10" w:type="dxa"/>
            </w:tcMar>
            <w:vAlign w:val="center"/>
          </w:tcPr>
          <w:p>
            <w:pPr>
              <w:keepNext w:val="0"/>
              <w:keepLines w:val="0"/>
              <w:widowControl/>
              <w:suppressLineNumbers w:val="0"/>
              <w:jc w:val="left"/>
              <w:textAlignment w:val="center"/>
              <w:rPr>
                <w:rFonts w:hint="default" w:ascii="楷体_GB2312" w:hAnsi="宋体" w:eastAsia="楷体_GB2312" w:cs="楷体_GB2312"/>
                <w:i w:val="0"/>
                <w:color w:val="000000"/>
                <w:kern w:val="0"/>
                <w:sz w:val="20"/>
                <w:szCs w:val="20"/>
                <w:u w:val="none"/>
                <w:lang w:val="en-US" w:eastAsia="zh-CN" w:bidi="ar"/>
              </w:rPr>
            </w:pPr>
            <w:r>
              <w:rPr>
                <w:rFonts w:hint="default" w:ascii="楷体_GB2312" w:hAnsi="宋体" w:eastAsia="楷体_GB2312" w:cs="楷体_GB2312"/>
                <w:i w:val="0"/>
                <w:color w:val="000000"/>
                <w:kern w:val="0"/>
                <w:sz w:val="20"/>
                <w:szCs w:val="20"/>
                <w:u w:val="none"/>
                <w:lang w:val="en-US" w:eastAsia="zh-CN" w:bidi="ar"/>
              </w:rPr>
              <w:t>实际完成率=（实际完成工作数/计划工作数）×100%。</w:t>
            </w:r>
          </w:p>
          <w:p>
            <w:pPr>
              <w:keepNext w:val="0"/>
              <w:keepLines w:val="0"/>
              <w:widowControl/>
              <w:suppressLineNumbers w:val="0"/>
              <w:jc w:val="left"/>
              <w:textAlignment w:val="center"/>
              <w:rPr>
                <w:rFonts w:hint="default" w:ascii="楷体_GB2312" w:hAnsi="宋体" w:eastAsia="楷体_GB2312" w:cs="楷体_GB2312"/>
                <w:i w:val="0"/>
                <w:color w:val="000000"/>
                <w:kern w:val="0"/>
                <w:sz w:val="20"/>
                <w:szCs w:val="20"/>
                <w:u w:val="none"/>
                <w:lang w:val="en-US" w:eastAsia="zh-CN" w:bidi="ar"/>
              </w:rPr>
            </w:pPr>
            <w:r>
              <w:rPr>
                <w:rFonts w:hint="default" w:ascii="楷体_GB2312" w:hAnsi="宋体" w:eastAsia="楷体_GB2312" w:cs="楷体_GB2312"/>
                <w:i w:val="0"/>
                <w:color w:val="000000"/>
                <w:kern w:val="0"/>
                <w:sz w:val="20"/>
                <w:szCs w:val="20"/>
                <w:u w:val="none"/>
                <w:lang w:val="en-US" w:eastAsia="zh-CN" w:bidi="ar"/>
              </w:rPr>
              <w:t>实际完成工作数：一定时期（年度或规划期）内部门（单位）实际完成工作任务的数量。</w:t>
            </w:r>
          </w:p>
          <w:p>
            <w:pPr>
              <w:keepNext w:val="0"/>
              <w:keepLines w:val="0"/>
              <w:widowControl/>
              <w:suppressLineNumbers w:val="0"/>
              <w:jc w:val="left"/>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计划工作数：部门（单位）整体绩效目标确定的一定时期（年度或规划期）内预计完成工作任务的数量。                                                                                                                                         得分=实际完成率×10分</w:t>
            </w:r>
          </w:p>
        </w:tc>
        <w:tc>
          <w:tcPr>
            <w:tcW w:w="513" w:type="pct"/>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1560" w:hRule="atLeast"/>
        </w:trPr>
        <w:tc>
          <w:tcPr>
            <w:tcW w:w="513" w:type="pct"/>
            <w:vMerge w:val="continue"/>
            <w:shd w:val="clear" w:color="auto" w:fill="auto"/>
            <w:noWrap/>
            <w:tcMar>
              <w:top w:w="10" w:type="dxa"/>
              <w:left w:w="10" w:type="dxa"/>
              <w:right w:w="10" w:type="dxa"/>
            </w:tcMar>
            <w:vAlign w:val="center"/>
          </w:tcPr>
          <w:p>
            <w:pPr>
              <w:jc w:val="center"/>
              <w:rPr>
                <w:rFonts w:hint="default" w:ascii="楷体_GB2312" w:hAnsi="宋体" w:eastAsia="楷体_GB2312" w:cs="楷体_GB2312"/>
                <w:i w:val="0"/>
                <w:color w:val="000000"/>
                <w:sz w:val="20"/>
                <w:szCs w:val="20"/>
                <w:u w:val="none"/>
              </w:rPr>
            </w:pPr>
          </w:p>
        </w:tc>
        <w:tc>
          <w:tcPr>
            <w:tcW w:w="513" w:type="pct"/>
            <w:vMerge w:val="continue"/>
            <w:shd w:val="clear" w:color="auto" w:fill="auto"/>
            <w:tcMar>
              <w:top w:w="10" w:type="dxa"/>
              <w:left w:w="10" w:type="dxa"/>
              <w:right w:w="10" w:type="dxa"/>
            </w:tcMar>
            <w:vAlign w:val="center"/>
          </w:tcPr>
          <w:p>
            <w:pPr>
              <w:jc w:val="center"/>
              <w:rPr>
                <w:rFonts w:hint="default" w:ascii="楷体_GB2312" w:hAnsi="宋体" w:eastAsia="楷体_GB2312" w:cs="楷体_GB2312"/>
                <w:i w:val="0"/>
                <w:color w:val="000000"/>
                <w:sz w:val="20"/>
                <w:szCs w:val="20"/>
                <w:u w:val="none"/>
              </w:rPr>
            </w:pPr>
          </w:p>
        </w:tc>
        <w:tc>
          <w:tcPr>
            <w:tcW w:w="513" w:type="pct"/>
            <w:shd w:val="clear" w:color="auto" w:fill="auto"/>
            <w:tcMar>
              <w:top w:w="10" w:type="dxa"/>
              <w:left w:w="10" w:type="dxa"/>
              <w:right w:w="10" w:type="dxa"/>
            </w:tcMar>
            <w:vAlign w:val="center"/>
          </w:tcPr>
          <w:p>
            <w:pPr>
              <w:keepNext w:val="0"/>
              <w:keepLines w:val="0"/>
              <w:widowControl/>
              <w:suppressLineNumbers w:val="0"/>
              <w:jc w:val="left"/>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完成及时率</w:t>
            </w:r>
          </w:p>
        </w:tc>
        <w:tc>
          <w:tcPr>
            <w:tcW w:w="1081" w:type="pct"/>
            <w:shd w:val="clear" w:color="auto" w:fill="auto"/>
            <w:tcMar>
              <w:top w:w="10" w:type="dxa"/>
              <w:left w:w="10" w:type="dxa"/>
              <w:right w:w="10" w:type="dxa"/>
            </w:tcMar>
            <w:vAlign w:val="center"/>
          </w:tcPr>
          <w:p>
            <w:pPr>
              <w:keepNext w:val="0"/>
              <w:keepLines w:val="0"/>
              <w:widowControl/>
              <w:suppressLineNumbers w:val="0"/>
              <w:jc w:val="left"/>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部门（单位）在规定时限内及时完成的实际工作数与计划工作数的比率</w:t>
            </w:r>
            <w:r>
              <w:rPr>
                <w:rFonts w:hint="default" w:ascii="楷体_GB2312" w:hAnsi="宋体" w:eastAsia="楷体_GB2312" w:cs="楷体_GB2312"/>
                <w:i w:val="0"/>
                <w:color w:val="000000"/>
                <w:kern w:val="0"/>
                <w:sz w:val="20"/>
                <w:szCs w:val="20"/>
                <w:highlight w:val="none"/>
                <w:u w:val="none"/>
                <w:lang w:val="en-US" w:eastAsia="zh-CN" w:bidi="ar"/>
              </w:rPr>
              <w:t>,</w:t>
            </w:r>
            <w:r>
              <w:rPr>
                <w:rFonts w:hint="default" w:ascii="楷体_GB2312" w:hAnsi="宋体" w:eastAsia="楷体_GB2312" w:cs="楷体_GB2312"/>
                <w:i w:val="0"/>
                <w:color w:val="000000"/>
                <w:kern w:val="0"/>
                <w:sz w:val="20"/>
                <w:szCs w:val="20"/>
                <w:u w:val="none"/>
                <w:lang w:val="en-US" w:eastAsia="zh-CN" w:bidi="ar"/>
              </w:rPr>
              <w:t>用以反映和考核部门履职时效目标的实现程度。</w:t>
            </w:r>
          </w:p>
        </w:tc>
        <w:tc>
          <w:tcPr>
            <w:tcW w:w="1866" w:type="pct"/>
            <w:shd w:val="clear" w:color="auto" w:fill="auto"/>
            <w:tcMar>
              <w:top w:w="10" w:type="dxa"/>
              <w:left w:w="10" w:type="dxa"/>
              <w:right w:w="10" w:type="dxa"/>
            </w:tcMar>
            <w:vAlign w:val="center"/>
          </w:tcPr>
          <w:p>
            <w:pPr>
              <w:keepNext w:val="0"/>
              <w:keepLines w:val="0"/>
              <w:widowControl/>
              <w:suppressLineNumbers w:val="0"/>
              <w:jc w:val="left"/>
              <w:textAlignment w:val="center"/>
              <w:rPr>
                <w:rFonts w:hint="default" w:ascii="楷体_GB2312" w:hAnsi="宋体" w:eastAsia="楷体_GB2312" w:cs="楷体_GB2312"/>
                <w:i w:val="0"/>
                <w:color w:val="000000"/>
                <w:kern w:val="0"/>
                <w:sz w:val="20"/>
                <w:szCs w:val="20"/>
                <w:u w:val="none"/>
                <w:lang w:val="en-US" w:eastAsia="zh-CN" w:bidi="ar"/>
              </w:rPr>
            </w:pPr>
            <w:r>
              <w:rPr>
                <w:rFonts w:hint="default" w:ascii="楷体_GB2312" w:hAnsi="宋体" w:eastAsia="楷体_GB2312" w:cs="楷体_GB2312"/>
                <w:i w:val="0"/>
                <w:color w:val="000000"/>
                <w:kern w:val="0"/>
                <w:sz w:val="20"/>
                <w:szCs w:val="20"/>
                <w:u w:val="none"/>
                <w:lang w:val="en-US" w:eastAsia="zh-CN" w:bidi="ar"/>
              </w:rPr>
              <w:t>完成及时率=（及时完成实际工作数/计划工作数）×100%。</w:t>
            </w:r>
          </w:p>
          <w:p>
            <w:pPr>
              <w:keepNext w:val="0"/>
              <w:keepLines w:val="0"/>
              <w:widowControl/>
              <w:suppressLineNumbers w:val="0"/>
              <w:jc w:val="left"/>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及时完成实际工作数：部门（单位）按照整体绩效目标确定的时限实际完成的工作任务数量。                                                                                                                                                    得分=完成及时率×8分</w:t>
            </w:r>
          </w:p>
        </w:tc>
        <w:tc>
          <w:tcPr>
            <w:tcW w:w="513" w:type="pct"/>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1560" w:hRule="atLeast"/>
        </w:trPr>
        <w:tc>
          <w:tcPr>
            <w:tcW w:w="513" w:type="pct"/>
            <w:vMerge w:val="continue"/>
            <w:shd w:val="clear" w:color="auto" w:fill="auto"/>
            <w:noWrap/>
            <w:tcMar>
              <w:top w:w="10" w:type="dxa"/>
              <w:left w:w="10" w:type="dxa"/>
              <w:right w:w="10" w:type="dxa"/>
            </w:tcMar>
            <w:vAlign w:val="center"/>
          </w:tcPr>
          <w:p>
            <w:pPr>
              <w:jc w:val="center"/>
              <w:rPr>
                <w:rFonts w:hint="default" w:ascii="楷体_GB2312" w:hAnsi="宋体" w:eastAsia="楷体_GB2312" w:cs="楷体_GB2312"/>
                <w:i w:val="0"/>
                <w:color w:val="000000"/>
                <w:sz w:val="20"/>
                <w:szCs w:val="20"/>
                <w:u w:val="none"/>
              </w:rPr>
            </w:pPr>
          </w:p>
        </w:tc>
        <w:tc>
          <w:tcPr>
            <w:tcW w:w="513" w:type="pct"/>
            <w:vMerge w:val="continue"/>
            <w:shd w:val="clear" w:color="auto" w:fill="auto"/>
            <w:tcMar>
              <w:top w:w="10" w:type="dxa"/>
              <w:left w:w="10" w:type="dxa"/>
              <w:right w:w="10" w:type="dxa"/>
            </w:tcMar>
            <w:vAlign w:val="center"/>
          </w:tcPr>
          <w:p>
            <w:pPr>
              <w:jc w:val="center"/>
              <w:rPr>
                <w:rFonts w:hint="default" w:ascii="楷体_GB2312" w:hAnsi="宋体" w:eastAsia="楷体_GB2312" w:cs="楷体_GB2312"/>
                <w:i w:val="0"/>
                <w:color w:val="000000"/>
                <w:sz w:val="20"/>
                <w:szCs w:val="20"/>
                <w:u w:val="none"/>
              </w:rPr>
            </w:pPr>
          </w:p>
        </w:tc>
        <w:tc>
          <w:tcPr>
            <w:tcW w:w="513" w:type="pct"/>
            <w:shd w:val="clear" w:color="auto" w:fill="auto"/>
            <w:tcMar>
              <w:top w:w="10" w:type="dxa"/>
              <w:left w:w="10" w:type="dxa"/>
              <w:right w:w="10" w:type="dxa"/>
            </w:tcMar>
            <w:vAlign w:val="center"/>
          </w:tcPr>
          <w:p>
            <w:pPr>
              <w:keepNext w:val="0"/>
              <w:keepLines w:val="0"/>
              <w:widowControl/>
              <w:suppressLineNumbers w:val="0"/>
              <w:jc w:val="left"/>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质量达标率</w:t>
            </w:r>
          </w:p>
        </w:tc>
        <w:tc>
          <w:tcPr>
            <w:tcW w:w="1081" w:type="pct"/>
            <w:shd w:val="clear" w:color="auto" w:fill="auto"/>
            <w:tcMar>
              <w:top w:w="10" w:type="dxa"/>
              <w:left w:w="10" w:type="dxa"/>
              <w:right w:w="10" w:type="dxa"/>
            </w:tcMar>
            <w:vAlign w:val="center"/>
          </w:tcPr>
          <w:p>
            <w:pPr>
              <w:keepNext w:val="0"/>
              <w:keepLines w:val="0"/>
              <w:widowControl/>
              <w:suppressLineNumbers w:val="0"/>
              <w:jc w:val="left"/>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达到质量标准（绩效标准值）的实际工作数与计划工作数的比率</w:t>
            </w:r>
            <w:r>
              <w:rPr>
                <w:rFonts w:hint="default" w:ascii="楷体_GB2312" w:hAnsi="宋体" w:eastAsia="楷体_GB2312" w:cs="楷体_GB2312"/>
                <w:i w:val="0"/>
                <w:color w:val="000000"/>
                <w:kern w:val="0"/>
                <w:sz w:val="20"/>
                <w:szCs w:val="20"/>
                <w:highlight w:val="none"/>
                <w:u w:val="none"/>
                <w:lang w:val="en-US" w:eastAsia="zh-CN" w:bidi="ar"/>
              </w:rPr>
              <w:t>,</w:t>
            </w:r>
            <w:r>
              <w:rPr>
                <w:rFonts w:hint="default" w:ascii="楷体_GB2312" w:hAnsi="宋体" w:eastAsia="楷体_GB2312" w:cs="楷体_GB2312"/>
                <w:i w:val="0"/>
                <w:color w:val="000000"/>
                <w:kern w:val="0"/>
                <w:sz w:val="20"/>
                <w:szCs w:val="20"/>
                <w:u w:val="none"/>
                <w:lang w:val="en-US" w:eastAsia="zh-CN" w:bidi="ar"/>
              </w:rPr>
              <w:t>用以反映和考核部门履职质量目标的实现程度。</w:t>
            </w:r>
          </w:p>
        </w:tc>
        <w:tc>
          <w:tcPr>
            <w:tcW w:w="1866" w:type="pct"/>
            <w:shd w:val="clear" w:color="auto" w:fill="auto"/>
            <w:tcMar>
              <w:top w:w="10" w:type="dxa"/>
              <w:left w:w="10" w:type="dxa"/>
              <w:right w:w="10" w:type="dxa"/>
            </w:tcMar>
            <w:vAlign w:val="center"/>
          </w:tcPr>
          <w:p>
            <w:pPr>
              <w:keepNext w:val="0"/>
              <w:keepLines w:val="0"/>
              <w:widowControl/>
              <w:suppressLineNumbers w:val="0"/>
              <w:jc w:val="left"/>
              <w:textAlignment w:val="center"/>
              <w:rPr>
                <w:rFonts w:hint="default" w:ascii="楷体_GB2312" w:hAnsi="宋体" w:eastAsia="楷体_GB2312" w:cs="楷体_GB2312"/>
                <w:i w:val="0"/>
                <w:color w:val="000000"/>
                <w:kern w:val="0"/>
                <w:sz w:val="20"/>
                <w:szCs w:val="20"/>
                <w:u w:val="none"/>
                <w:lang w:val="en-US" w:eastAsia="zh-CN" w:bidi="ar"/>
              </w:rPr>
            </w:pPr>
            <w:r>
              <w:rPr>
                <w:rFonts w:hint="default" w:ascii="楷体_GB2312" w:hAnsi="宋体" w:eastAsia="楷体_GB2312" w:cs="楷体_GB2312"/>
                <w:i w:val="0"/>
                <w:color w:val="000000"/>
                <w:kern w:val="0"/>
                <w:sz w:val="20"/>
                <w:szCs w:val="20"/>
                <w:u w:val="none"/>
                <w:lang w:val="en-US" w:eastAsia="zh-CN" w:bidi="ar"/>
              </w:rPr>
              <w:t>质量达标率=（质量达标实际工作数/计划工作数）×100%。</w:t>
            </w:r>
          </w:p>
          <w:p>
            <w:pPr>
              <w:keepNext w:val="0"/>
              <w:keepLines w:val="0"/>
              <w:widowControl/>
              <w:suppressLineNumbers w:val="0"/>
              <w:jc w:val="left"/>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质量达标实际工作数：一定时期（年度或规划期）内部门（单位）实际完成工作数中达到部门绩效目标要求（绩效标准值）的工作任务数量。</w:t>
            </w:r>
          </w:p>
        </w:tc>
        <w:tc>
          <w:tcPr>
            <w:tcW w:w="513" w:type="pct"/>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1560" w:hRule="atLeast"/>
        </w:trPr>
        <w:tc>
          <w:tcPr>
            <w:tcW w:w="513" w:type="pct"/>
            <w:vMerge w:val="continue"/>
            <w:shd w:val="clear" w:color="auto" w:fill="auto"/>
            <w:noWrap/>
            <w:tcMar>
              <w:top w:w="10" w:type="dxa"/>
              <w:left w:w="10" w:type="dxa"/>
              <w:right w:w="10" w:type="dxa"/>
            </w:tcMar>
            <w:vAlign w:val="center"/>
          </w:tcPr>
          <w:p>
            <w:pPr>
              <w:jc w:val="center"/>
              <w:rPr>
                <w:rFonts w:hint="default" w:ascii="楷体_GB2312" w:hAnsi="宋体" w:eastAsia="楷体_GB2312" w:cs="楷体_GB2312"/>
                <w:i w:val="0"/>
                <w:color w:val="000000"/>
                <w:sz w:val="20"/>
                <w:szCs w:val="20"/>
                <w:u w:val="none"/>
              </w:rPr>
            </w:pPr>
          </w:p>
        </w:tc>
        <w:tc>
          <w:tcPr>
            <w:tcW w:w="513" w:type="pct"/>
            <w:vMerge w:val="continue"/>
            <w:shd w:val="clear" w:color="auto" w:fill="auto"/>
            <w:tcMar>
              <w:top w:w="10" w:type="dxa"/>
              <w:left w:w="10" w:type="dxa"/>
              <w:right w:w="10" w:type="dxa"/>
            </w:tcMar>
            <w:vAlign w:val="center"/>
          </w:tcPr>
          <w:p>
            <w:pPr>
              <w:jc w:val="center"/>
              <w:rPr>
                <w:rFonts w:hint="default" w:ascii="楷体_GB2312" w:hAnsi="宋体" w:eastAsia="楷体_GB2312" w:cs="楷体_GB2312"/>
                <w:i w:val="0"/>
                <w:color w:val="000000"/>
                <w:sz w:val="20"/>
                <w:szCs w:val="20"/>
                <w:u w:val="none"/>
              </w:rPr>
            </w:pPr>
          </w:p>
        </w:tc>
        <w:tc>
          <w:tcPr>
            <w:tcW w:w="513" w:type="pct"/>
            <w:shd w:val="clear" w:color="auto" w:fill="auto"/>
            <w:tcMar>
              <w:top w:w="10" w:type="dxa"/>
              <w:left w:w="10" w:type="dxa"/>
              <w:right w:w="10" w:type="dxa"/>
            </w:tcMar>
            <w:vAlign w:val="center"/>
          </w:tcPr>
          <w:p>
            <w:pPr>
              <w:keepNext w:val="0"/>
              <w:keepLines w:val="0"/>
              <w:widowControl/>
              <w:suppressLineNumbers w:val="0"/>
              <w:jc w:val="left"/>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重点工作办结率</w:t>
            </w:r>
          </w:p>
        </w:tc>
        <w:tc>
          <w:tcPr>
            <w:tcW w:w="1081" w:type="pct"/>
            <w:shd w:val="clear" w:color="auto" w:fill="auto"/>
            <w:tcMar>
              <w:top w:w="10" w:type="dxa"/>
              <w:left w:w="10" w:type="dxa"/>
              <w:right w:w="10" w:type="dxa"/>
            </w:tcMar>
            <w:vAlign w:val="center"/>
          </w:tcPr>
          <w:p>
            <w:pPr>
              <w:keepNext w:val="0"/>
              <w:keepLines w:val="0"/>
              <w:widowControl/>
              <w:suppressLineNumbers w:val="0"/>
              <w:jc w:val="left"/>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部门（单位）年度重点工作实际完成数与交办或下达数的比率，用以反映部门（单位）对重点工作的办理落实程度。</w:t>
            </w:r>
          </w:p>
        </w:tc>
        <w:tc>
          <w:tcPr>
            <w:tcW w:w="1866" w:type="pct"/>
            <w:shd w:val="clear" w:color="auto" w:fill="auto"/>
            <w:tcMar>
              <w:top w:w="10" w:type="dxa"/>
              <w:left w:w="10" w:type="dxa"/>
              <w:right w:w="10" w:type="dxa"/>
            </w:tcMar>
            <w:vAlign w:val="center"/>
          </w:tcPr>
          <w:p>
            <w:pPr>
              <w:keepNext w:val="0"/>
              <w:keepLines w:val="0"/>
              <w:widowControl/>
              <w:suppressLineNumbers w:val="0"/>
              <w:jc w:val="left"/>
              <w:textAlignment w:val="center"/>
              <w:rPr>
                <w:rFonts w:hint="default" w:ascii="楷体_GB2312" w:hAnsi="宋体" w:eastAsia="楷体_GB2312" w:cs="楷体_GB2312"/>
                <w:i w:val="0"/>
                <w:color w:val="000000"/>
                <w:kern w:val="0"/>
                <w:sz w:val="20"/>
                <w:szCs w:val="20"/>
                <w:u w:val="none"/>
                <w:lang w:val="en-US" w:eastAsia="zh-CN" w:bidi="ar"/>
              </w:rPr>
            </w:pPr>
            <w:r>
              <w:rPr>
                <w:rFonts w:hint="default" w:ascii="楷体_GB2312" w:hAnsi="宋体" w:eastAsia="楷体_GB2312" w:cs="楷体_GB2312"/>
                <w:i w:val="0"/>
                <w:color w:val="000000"/>
                <w:kern w:val="0"/>
                <w:sz w:val="20"/>
                <w:szCs w:val="20"/>
                <w:u w:val="none"/>
                <w:lang w:val="en-US" w:eastAsia="zh-CN" w:bidi="ar"/>
              </w:rPr>
              <w:t>重点工作办结率=（重点工作实际完成数/交办或下达数）×100%。</w:t>
            </w:r>
          </w:p>
          <w:p>
            <w:pPr>
              <w:keepNext w:val="0"/>
              <w:keepLines w:val="0"/>
              <w:widowControl/>
              <w:suppressLineNumbers w:val="0"/>
              <w:jc w:val="left"/>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重点工作是指党委、政府、人大、相关部门交办或下达的工作任务。</w:t>
            </w:r>
          </w:p>
        </w:tc>
        <w:tc>
          <w:tcPr>
            <w:tcW w:w="513" w:type="pct"/>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1040" w:hRule="atLeast"/>
        </w:trPr>
        <w:tc>
          <w:tcPr>
            <w:tcW w:w="513" w:type="pct"/>
            <w:vMerge w:val="restart"/>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效果</w:t>
            </w:r>
          </w:p>
        </w:tc>
        <w:tc>
          <w:tcPr>
            <w:tcW w:w="513" w:type="pct"/>
            <w:vMerge w:val="restart"/>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经济效益</w:t>
            </w:r>
          </w:p>
        </w:tc>
        <w:tc>
          <w:tcPr>
            <w:tcW w:w="513" w:type="pct"/>
            <w:shd w:val="clear" w:color="auto" w:fill="auto"/>
            <w:tcMar>
              <w:top w:w="10" w:type="dxa"/>
              <w:left w:w="10" w:type="dxa"/>
              <w:right w:w="10" w:type="dxa"/>
            </w:tcMar>
            <w:vAlign w:val="center"/>
          </w:tcPr>
          <w:p>
            <w:pPr>
              <w:keepNext w:val="0"/>
              <w:keepLines w:val="0"/>
              <w:widowControl/>
              <w:suppressLineNumbers w:val="0"/>
              <w:jc w:val="left"/>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特色农业发展</w:t>
            </w:r>
          </w:p>
        </w:tc>
        <w:tc>
          <w:tcPr>
            <w:tcW w:w="1081" w:type="pct"/>
            <w:shd w:val="clear" w:color="auto" w:fill="auto"/>
            <w:tcMar>
              <w:top w:w="10" w:type="dxa"/>
              <w:left w:w="10" w:type="dxa"/>
              <w:right w:w="10" w:type="dxa"/>
            </w:tcMar>
            <w:vAlign w:val="center"/>
          </w:tcPr>
          <w:p>
            <w:pPr>
              <w:keepNext w:val="0"/>
              <w:keepLines w:val="0"/>
              <w:widowControl/>
              <w:suppressLineNumbers w:val="0"/>
              <w:jc w:val="left"/>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部门履职对辖区特色农业发展的推动。用以反映和考核部门履职所产生的经济效益。</w:t>
            </w:r>
          </w:p>
        </w:tc>
        <w:tc>
          <w:tcPr>
            <w:tcW w:w="1866" w:type="pct"/>
            <w:shd w:val="clear" w:color="auto" w:fill="auto"/>
            <w:tcMar>
              <w:top w:w="10" w:type="dxa"/>
              <w:left w:w="10" w:type="dxa"/>
              <w:right w:w="10" w:type="dxa"/>
            </w:tcMar>
            <w:vAlign w:val="center"/>
          </w:tcPr>
          <w:p>
            <w:pPr>
              <w:keepNext w:val="0"/>
              <w:keepLines w:val="0"/>
              <w:widowControl/>
              <w:suppressLineNumbers w:val="0"/>
              <w:jc w:val="left"/>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新区咸丰路街道办事处2021年度和2020年樱桃和苹果特色产品产值变动情况，对应产品产值增加，得2分，否则不得分。</w:t>
            </w:r>
          </w:p>
        </w:tc>
        <w:tc>
          <w:tcPr>
            <w:tcW w:w="513" w:type="pct"/>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1040" w:hRule="atLeast"/>
        </w:trPr>
        <w:tc>
          <w:tcPr>
            <w:tcW w:w="513" w:type="pct"/>
            <w:vMerge w:val="continue"/>
            <w:shd w:val="clear" w:color="auto" w:fill="auto"/>
            <w:noWrap/>
            <w:tcMar>
              <w:top w:w="10" w:type="dxa"/>
              <w:left w:w="10" w:type="dxa"/>
              <w:right w:w="10" w:type="dxa"/>
            </w:tcMar>
            <w:vAlign w:val="center"/>
          </w:tcPr>
          <w:p>
            <w:pPr>
              <w:jc w:val="center"/>
              <w:rPr>
                <w:rFonts w:hint="default" w:ascii="楷体_GB2312" w:hAnsi="宋体" w:eastAsia="楷体_GB2312" w:cs="楷体_GB2312"/>
                <w:i w:val="0"/>
                <w:color w:val="000000"/>
                <w:sz w:val="20"/>
                <w:szCs w:val="20"/>
                <w:u w:val="none"/>
              </w:rPr>
            </w:pPr>
          </w:p>
        </w:tc>
        <w:tc>
          <w:tcPr>
            <w:tcW w:w="513" w:type="pct"/>
            <w:vMerge w:val="continue"/>
            <w:shd w:val="clear" w:color="auto" w:fill="auto"/>
            <w:tcMar>
              <w:top w:w="10" w:type="dxa"/>
              <w:left w:w="10" w:type="dxa"/>
              <w:right w:w="10" w:type="dxa"/>
            </w:tcMar>
            <w:vAlign w:val="center"/>
          </w:tcPr>
          <w:p>
            <w:pPr>
              <w:jc w:val="center"/>
              <w:rPr>
                <w:rFonts w:hint="default" w:ascii="楷体_GB2312" w:hAnsi="宋体" w:eastAsia="楷体_GB2312" w:cs="楷体_GB2312"/>
                <w:i w:val="0"/>
                <w:color w:val="000000"/>
                <w:sz w:val="20"/>
                <w:szCs w:val="20"/>
                <w:u w:val="none"/>
              </w:rPr>
            </w:pPr>
          </w:p>
        </w:tc>
        <w:tc>
          <w:tcPr>
            <w:tcW w:w="513" w:type="pct"/>
            <w:shd w:val="clear" w:color="auto" w:fill="auto"/>
            <w:tcMar>
              <w:top w:w="10" w:type="dxa"/>
              <w:left w:w="10" w:type="dxa"/>
              <w:right w:w="10" w:type="dxa"/>
            </w:tcMar>
            <w:vAlign w:val="center"/>
          </w:tcPr>
          <w:p>
            <w:pPr>
              <w:keepNext w:val="0"/>
              <w:keepLines w:val="0"/>
              <w:widowControl/>
              <w:suppressLineNumbers w:val="0"/>
              <w:jc w:val="left"/>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辖区规上工业总产值</w:t>
            </w:r>
          </w:p>
        </w:tc>
        <w:tc>
          <w:tcPr>
            <w:tcW w:w="1081" w:type="pct"/>
            <w:shd w:val="clear" w:color="auto" w:fill="auto"/>
            <w:tcMar>
              <w:top w:w="10" w:type="dxa"/>
              <w:left w:w="10" w:type="dxa"/>
              <w:right w:w="10" w:type="dxa"/>
            </w:tcMar>
            <w:vAlign w:val="center"/>
          </w:tcPr>
          <w:p>
            <w:pPr>
              <w:keepNext w:val="0"/>
              <w:keepLines w:val="0"/>
              <w:widowControl/>
              <w:suppressLineNumbers w:val="0"/>
              <w:jc w:val="left"/>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部门履职对辖区规上工业总产值的推动。用以反映和考核部门履职所产生的经济效益。</w:t>
            </w:r>
          </w:p>
        </w:tc>
        <w:tc>
          <w:tcPr>
            <w:tcW w:w="1866" w:type="pct"/>
            <w:shd w:val="clear" w:color="auto" w:fill="auto"/>
            <w:tcMar>
              <w:top w:w="10" w:type="dxa"/>
              <w:left w:w="10" w:type="dxa"/>
              <w:right w:w="10" w:type="dxa"/>
            </w:tcMar>
            <w:vAlign w:val="center"/>
          </w:tcPr>
          <w:p>
            <w:pPr>
              <w:keepNext w:val="0"/>
              <w:keepLines w:val="0"/>
              <w:widowControl/>
              <w:suppressLineNumbers w:val="0"/>
              <w:jc w:val="left"/>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2021年度辖区内规上工业实现总产值达到20亿元以上，得满分。不足20亿元，按比例得分</w:t>
            </w:r>
          </w:p>
        </w:tc>
        <w:tc>
          <w:tcPr>
            <w:tcW w:w="513" w:type="pct"/>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040" w:hRule="atLeast"/>
        </w:trPr>
        <w:tc>
          <w:tcPr>
            <w:tcW w:w="513" w:type="pct"/>
            <w:vMerge w:val="continue"/>
            <w:shd w:val="clear" w:color="auto" w:fill="auto"/>
            <w:noWrap/>
            <w:tcMar>
              <w:top w:w="10" w:type="dxa"/>
              <w:left w:w="10" w:type="dxa"/>
              <w:right w:w="10" w:type="dxa"/>
            </w:tcMar>
            <w:vAlign w:val="center"/>
          </w:tcPr>
          <w:p>
            <w:pPr>
              <w:jc w:val="center"/>
              <w:rPr>
                <w:rFonts w:hint="default" w:ascii="楷体_GB2312" w:hAnsi="宋体" w:eastAsia="楷体_GB2312" w:cs="楷体_GB2312"/>
                <w:i w:val="0"/>
                <w:color w:val="000000"/>
                <w:sz w:val="20"/>
                <w:szCs w:val="20"/>
                <w:u w:val="none"/>
              </w:rPr>
            </w:pPr>
          </w:p>
        </w:tc>
        <w:tc>
          <w:tcPr>
            <w:tcW w:w="513" w:type="pct"/>
            <w:vMerge w:val="continue"/>
            <w:shd w:val="clear" w:color="auto" w:fill="auto"/>
            <w:tcMar>
              <w:top w:w="10" w:type="dxa"/>
              <w:left w:w="10" w:type="dxa"/>
              <w:right w:w="10" w:type="dxa"/>
            </w:tcMar>
            <w:vAlign w:val="center"/>
          </w:tcPr>
          <w:p>
            <w:pPr>
              <w:jc w:val="center"/>
              <w:rPr>
                <w:rFonts w:hint="default" w:ascii="楷体_GB2312" w:hAnsi="宋体" w:eastAsia="楷体_GB2312" w:cs="楷体_GB2312"/>
                <w:i w:val="0"/>
                <w:color w:val="000000"/>
                <w:sz w:val="20"/>
                <w:szCs w:val="20"/>
                <w:u w:val="none"/>
              </w:rPr>
            </w:pPr>
          </w:p>
        </w:tc>
        <w:tc>
          <w:tcPr>
            <w:tcW w:w="513" w:type="pct"/>
            <w:shd w:val="clear" w:color="auto" w:fill="auto"/>
            <w:tcMar>
              <w:top w:w="10" w:type="dxa"/>
              <w:left w:w="10" w:type="dxa"/>
              <w:right w:w="10" w:type="dxa"/>
            </w:tcMar>
            <w:vAlign w:val="center"/>
          </w:tcPr>
          <w:p>
            <w:pPr>
              <w:keepNext w:val="0"/>
              <w:keepLines w:val="0"/>
              <w:widowControl/>
              <w:suppressLineNumbers w:val="0"/>
              <w:jc w:val="left"/>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辖区固定资产投资</w:t>
            </w:r>
          </w:p>
        </w:tc>
        <w:tc>
          <w:tcPr>
            <w:tcW w:w="1081" w:type="pct"/>
            <w:shd w:val="clear" w:color="auto" w:fill="auto"/>
            <w:tcMar>
              <w:top w:w="10" w:type="dxa"/>
              <w:left w:w="10" w:type="dxa"/>
              <w:right w:w="10" w:type="dxa"/>
            </w:tcMar>
            <w:vAlign w:val="center"/>
          </w:tcPr>
          <w:p>
            <w:pPr>
              <w:keepNext w:val="0"/>
              <w:keepLines w:val="0"/>
              <w:widowControl/>
              <w:suppressLineNumbers w:val="0"/>
              <w:jc w:val="left"/>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部门履职对辖区固定资产投资的推动。用以反映和考核部门履职所产生的经济效益。</w:t>
            </w:r>
          </w:p>
        </w:tc>
        <w:tc>
          <w:tcPr>
            <w:tcW w:w="1866" w:type="pct"/>
            <w:shd w:val="clear" w:color="auto" w:fill="auto"/>
            <w:tcMar>
              <w:top w:w="10" w:type="dxa"/>
              <w:left w:w="10" w:type="dxa"/>
              <w:right w:w="10" w:type="dxa"/>
            </w:tcMar>
            <w:vAlign w:val="center"/>
          </w:tcPr>
          <w:p>
            <w:pPr>
              <w:keepNext w:val="0"/>
              <w:keepLines w:val="0"/>
              <w:widowControl/>
              <w:suppressLineNumbers w:val="0"/>
              <w:jc w:val="left"/>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2021年度实现辖区固定资产投资达到25亿元以上，得满分，不足25亿元，按比例得分。</w:t>
            </w:r>
          </w:p>
        </w:tc>
        <w:tc>
          <w:tcPr>
            <w:tcW w:w="513" w:type="pct"/>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040" w:hRule="atLeast"/>
        </w:trPr>
        <w:tc>
          <w:tcPr>
            <w:tcW w:w="513" w:type="pct"/>
            <w:vMerge w:val="continue"/>
            <w:shd w:val="clear" w:color="auto" w:fill="auto"/>
            <w:noWrap/>
            <w:tcMar>
              <w:top w:w="10" w:type="dxa"/>
              <w:left w:w="10" w:type="dxa"/>
              <w:right w:w="10" w:type="dxa"/>
            </w:tcMar>
            <w:vAlign w:val="center"/>
          </w:tcPr>
          <w:p>
            <w:pPr>
              <w:jc w:val="center"/>
              <w:rPr>
                <w:rFonts w:hint="default" w:ascii="楷体_GB2312" w:hAnsi="宋体" w:eastAsia="楷体_GB2312" w:cs="楷体_GB2312"/>
                <w:i w:val="0"/>
                <w:color w:val="000000"/>
                <w:sz w:val="20"/>
                <w:szCs w:val="20"/>
                <w:u w:val="none"/>
              </w:rPr>
            </w:pPr>
          </w:p>
        </w:tc>
        <w:tc>
          <w:tcPr>
            <w:tcW w:w="513" w:type="pct"/>
            <w:shd w:val="clear" w:color="auto" w:fill="auto"/>
            <w:tcMar>
              <w:top w:w="10" w:type="dxa"/>
              <w:left w:w="10" w:type="dxa"/>
              <w:right w:w="10" w:type="dxa"/>
            </w:tcMar>
            <w:vAlign w:val="center"/>
          </w:tcPr>
          <w:p>
            <w:pPr>
              <w:keepNext w:val="0"/>
              <w:keepLines w:val="0"/>
              <w:widowControl/>
              <w:suppressLineNumbers w:val="0"/>
              <w:jc w:val="left"/>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社会效益</w:t>
            </w:r>
          </w:p>
        </w:tc>
        <w:tc>
          <w:tcPr>
            <w:tcW w:w="513" w:type="pct"/>
            <w:shd w:val="clear" w:color="auto" w:fill="auto"/>
            <w:tcMar>
              <w:top w:w="10" w:type="dxa"/>
              <w:left w:w="10" w:type="dxa"/>
              <w:right w:w="10" w:type="dxa"/>
            </w:tcMar>
            <w:vAlign w:val="center"/>
          </w:tcPr>
          <w:p>
            <w:pPr>
              <w:keepNext w:val="0"/>
              <w:keepLines w:val="0"/>
              <w:widowControl/>
              <w:suppressLineNumbers w:val="0"/>
              <w:jc w:val="left"/>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获得荣誉</w:t>
            </w:r>
          </w:p>
        </w:tc>
        <w:tc>
          <w:tcPr>
            <w:tcW w:w="1081" w:type="pct"/>
            <w:shd w:val="clear" w:color="auto" w:fill="auto"/>
            <w:tcMar>
              <w:top w:w="10" w:type="dxa"/>
              <w:left w:w="10" w:type="dxa"/>
              <w:right w:w="10" w:type="dxa"/>
            </w:tcMar>
            <w:vAlign w:val="center"/>
          </w:tcPr>
          <w:p>
            <w:pPr>
              <w:keepNext w:val="0"/>
              <w:keepLines w:val="0"/>
              <w:widowControl/>
              <w:suppressLineNumbers w:val="0"/>
              <w:jc w:val="left"/>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部门履职期间所获得的相关荣誉。用以反映和考核部门履职所产生的社会效益。</w:t>
            </w:r>
          </w:p>
        </w:tc>
        <w:tc>
          <w:tcPr>
            <w:tcW w:w="1866" w:type="pct"/>
            <w:shd w:val="clear" w:color="auto" w:fill="auto"/>
            <w:tcMar>
              <w:top w:w="10" w:type="dxa"/>
              <w:left w:w="10" w:type="dxa"/>
              <w:right w:w="10" w:type="dxa"/>
            </w:tcMar>
            <w:vAlign w:val="center"/>
          </w:tcPr>
          <w:p>
            <w:pPr>
              <w:keepNext w:val="0"/>
              <w:keepLines w:val="0"/>
              <w:widowControl/>
              <w:suppressLineNumbers w:val="0"/>
              <w:jc w:val="left"/>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2021年度获得区级荣誉，得3分。获得市级及以上荣誉，得5分。未获得相关荣誉，不得分。</w:t>
            </w:r>
          </w:p>
        </w:tc>
        <w:tc>
          <w:tcPr>
            <w:tcW w:w="513" w:type="pct"/>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1040" w:hRule="atLeast"/>
        </w:trPr>
        <w:tc>
          <w:tcPr>
            <w:tcW w:w="513" w:type="pct"/>
            <w:vMerge w:val="continue"/>
            <w:shd w:val="clear" w:color="auto" w:fill="auto"/>
            <w:noWrap/>
            <w:tcMar>
              <w:top w:w="10" w:type="dxa"/>
              <w:left w:w="10" w:type="dxa"/>
              <w:right w:w="10" w:type="dxa"/>
            </w:tcMar>
            <w:vAlign w:val="center"/>
          </w:tcPr>
          <w:p>
            <w:pPr>
              <w:jc w:val="center"/>
              <w:rPr>
                <w:rFonts w:hint="default" w:ascii="楷体_GB2312" w:hAnsi="宋体" w:eastAsia="楷体_GB2312" w:cs="楷体_GB2312"/>
                <w:i w:val="0"/>
                <w:color w:val="000000"/>
                <w:sz w:val="20"/>
                <w:szCs w:val="20"/>
                <w:u w:val="none"/>
              </w:rPr>
            </w:pPr>
          </w:p>
        </w:tc>
        <w:tc>
          <w:tcPr>
            <w:tcW w:w="513" w:type="pct"/>
            <w:shd w:val="clear" w:color="auto" w:fill="auto"/>
            <w:tcMar>
              <w:top w:w="10" w:type="dxa"/>
              <w:left w:w="10" w:type="dxa"/>
              <w:right w:w="10" w:type="dxa"/>
            </w:tcMar>
            <w:vAlign w:val="center"/>
          </w:tcPr>
          <w:p>
            <w:pPr>
              <w:keepNext w:val="0"/>
              <w:keepLines w:val="0"/>
              <w:widowControl/>
              <w:suppressLineNumbers w:val="0"/>
              <w:jc w:val="left"/>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可持续影响</w:t>
            </w:r>
          </w:p>
        </w:tc>
        <w:tc>
          <w:tcPr>
            <w:tcW w:w="513" w:type="pct"/>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提升社会保障水平</w:t>
            </w:r>
          </w:p>
        </w:tc>
        <w:tc>
          <w:tcPr>
            <w:tcW w:w="1081" w:type="pct"/>
            <w:shd w:val="clear" w:color="auto" w:fill="auto"/>
            <w:tcMar>
              <w:top w:w="10" w:type="dxa"/>
              <w:left w:w="10" w:type="dxa"/>
              <w:right w:w="10" w:type="dxa"/>
            </w:tcMar>
            <w:vAlign w:val="center"/>
          </w:tcPr>
          <w:p>
            <w:pPr>
              <w:keepNext w:val="0"/>
              <w:keepLines w:val="0"/>
              <w:widowControl/>
              <w:suppressLineNumbers w:val="0"/>
              <w:jc w:val="left"/>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部门履职对社会保障水平的提升。用以反映和考核部门履职所产生的社会效益。</w:t>
            </w:r>
          </w:p>
        </w:tc>
        <w:tc>
          <w:tcPr>
            <w:tcW w:w="1866" w:type="pct"/>
            <w:shd w:val="clear" w:color="auto" w:fill="auto"/>
            <w:tcMar>
              <w:top w:w="10" w:type="dxa"/>
              <w:left w:w="10" w:type="dxa"/>
              <w:right w:w="10" w:type="dxa"/>
            </w:tcMar>
            <w:vAlign w:val="center"/>
          </w:tcPr>
          <w:p>
            <w:pPr>
              <w:keepNext w:val="0"/>
              <w:keepLines w:val="0"/>
              <w:widowControl/>
              <w:suppressLineNumbers w:val="0"/>
              <w:jc w:val="left"/>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2021年度部门采取相关措施，有效保障民生，提升社会保障水平。得满分。未开展相关工作，不得分。</w:t>
            </w:r>
          </w:p>
        </w:tc>
        <w:tc>
          <w:tcPr>
            <w:tcW w:w="513" w:type="pct"/>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1820" w:hRule="atLeast"/>
        </w:trPr>
        <w:tc>
          <w:tcPr>
            <w:tcW w:w="513" w:type="pct"/>
            <w:vMerge w:val="continue"/>
            <w:shd w:val="clear" w:color="auto" w:fill="auto"/>
            <w:noWrap/>
            <w:tcMar>
              <w:top w:w="10" w:type="dxa"/>
              <w:left w:w="10" w:type="dxa"/>
              <w:right w:w="10" w:type="dxa"/>
            </w:tcMar>
            <w:vAlign w:val="center"/>
          </w:tcPr>
          <w:p>
            <w:pPr>
              <w:jc w:val="center"/>
              <w:rPr>
                <w:rFonts w:hint="default" w:ascii="楷体_GB2312" w:hAnsi="宋体" w:eastAsia="楷体_GB2312" w:cs="楷体_GB2312"/>
                <w:i w:val="0"/>
                <w:color w:val="000000"/>
                <w:sz w:val="20"/>
                <w:szCs w:val="20"/>
                <w:u w:val="none"/>
              </w:rPr>
            </w:pPr>
          </w:p>
        </w:tc>
        <w:tc>
          <w:tcPr>
            <w:tcW w:w="513" w:type="pct"/>
            <w:shd w:val="clear" w:color="auto" w:fill="auto"/>
            <w:tcMar>
              <w:top w:w="10" w:type="dxa"/>
              <w:left w:w="10" w:type="dxa"/>
              <w:right w:w="10" w:type="dxa"/>
            </w:tcMar>
            <w:vAlign w:val="center"/>
          </w:tcPr>
          <w:p>
            <w:pPr>
              <w:keepNext w:val="0"/>
              <w:keepLines w:val="0"/>
              <w:widowControl/>
              <w:suppressLineNumbers w:val="0"/>
              <w:jc w:val="left"/>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满意度</w:t>
            </w:r>
          </w:p>
        </w:tc>
        <w:tc>
          <w:tcPr>
            <w:tcW w:w="513" w:type="pct"/>
            <w:shd w:val="clear" w:color="auto" w:fill="auto"/>
            <w:tcMar>
              <w:top w:w="10" w:type="dxa"/>
              <w:left w:w="10" w:type="dxa"/>
              <w:right w:w="10" w:type="dxa"/>
            </w:tcMar>
            <w:vAlign w:val="center"/>
          </w:tcPr>
          <w:p>
            <w:pPr>
              <w:keepNext w:val="0"/>
              <w:keepLines w:val="0"/>
              <w:widowControl/>
              <w:suppressLineNumbers w:val="0"/>
              <w:jc w:val="left"/>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社会公众或服务对象满意度</w:t>
            </w:r>
          </w:p>
        </w:tc>
        <w:tc>
          <w:tcPr>
            <w:tcW w:w="1081" w:type="pct"/>
            <w:shd w:val="clear" w:color="auto" w:fill="auto"/>
            <w:tcMar>
              <w:top w:w="10" w:type="dxa"/>
              <w:left w:w="10" w:type="dxa"/>
              <w:right w:w="10" w:type="dxa"/>
            </w:tcMar>
            <w:vAlign w:val="center"/>
          </w:tcPr>
          <w:p>
            <w:pPr>
              <w:keepNext w:val="0"/>
              <w:keepLines w:val="0"/>
              <w:widowControl/>
              <w:suppressLineNumbers w:val="0"/>
              <w:jc w:val="left"/>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社会公众或部门（单位）的服务对象对部门履职效果的满意程度。</w:t>
            </w:r>
          </w:p>
        </w:tc>
        <w:tc>
          <w:tcPr>
            <w:tcW w:w="1866" w:type="pct"/>
            <w:shd w:val="clear" w:color="auto" w:fill="auto"/>
            <w:tcMar>
              <w:top w:w="10" w:type="dxa"/>
              <w:left w:w="10" w:type="dxa"/>
              <w:right w:w="10" w:type="dxa"/>
            </w:tcMar>
            <w:vAlign w:val="center"/>
          </w:tcPr>
          <w:p>
            <w:pPr>
              <w:keepNext w:val="0"/>
              <w:keepLines w:val="0"/>
              <w:widowControl/>
              <w:suppressLineNumbers w:val="0"/>
              <w:jc w:val="left"/>
              <w:textAlignment w:val="center"/>
              <w:rPr>
                <w:rFonts w:hint="default" w:ascii="楷体_GB2312" w:hAnsi="宋体" w:eastAsia="楷体_GB2312" w:cs="楷体_GB2312"/>
                <w:i w:val="0"/>
                <w:color w:val="000000"/>
                <w:kern w:val="0"/>
                <w:sz w:val="20"/>
                <w:szCs w:val="20"/>
                <w:u w:val="none"/>
                <w:lang w:val="en-US" w:eastAsia="zh-CN" w:bidi="ar"/>
              </w:rPr>
            </w:pPr>
            <w:r>
              <w:rPr>
                <w:rFonts w:hint="default" w:ascii="楷体_GB2312" w:hAnsi="宋体" w:eastAsia="楷体_GB2312" w:cs="楷体_GB2312"/>
                <w:i w:val="0"/>
                <w:color w:val="000000"/>
                <w:kern w:val="0"/>
                <w:sz w:val="20"/>
                <w:szCs w:val="20"/>
                <w:u w:val="none"/>
                <w:lang w:val="en-US" w:eastAsia="zh-CN" w:bidi="ar"/>
              </w:rPr>
              <w:t>社会公众或服务对象是指部门（单位）履行职责而影响到的部门、群体或个人。一般采取社会调查的方式。                                                                                                                                              1. 100%≥满意度＞90%为满意；（5分）                                                                                                                                                                                                    2. 90%≥满意度＞80%；（3分）</w:t>
            </w:r>
          </w:p>
          <w:p>
            <w:pPr>
              <w:keepNext w:val="0"/>
              <w:keepLines w:val="0"/>
              <w:widowControl/>
              <w:suppressLineNumbers w:val="0"/>
              <w:jc w:val="left"/>
              <w:textAlignment w:val="center"/>
              <w:rPr>
                <w:rFonts w:hint="default" w:ascii="楷体_GB2312" w:hAnsi="宋体" w:eastAsia="楷体_GB2312" w:cs="楷体_GB2312"/>
                <w:i w:val="0"/>
                <w:color w:val="000000"/>
                <w:kern w:val="0"/>
                <w:sz w:val="20"/>
                <w:szCs w:val="20"/>
                <w:u w:val="none"/>
                <w:lang w:val="en-US" w:eastAsia="zh-CN" w:bidi="ar"/>
              </w:rPr>
            </w:pPr>
            <w:r>
              <w:rPr>
                <w:rFonts w:hint="default" w:ascii="楷体_GB2312" w:hAnsi="宋体" w:eastAsia="楷体_GB2312" w:cs="楷体_GB2312"/>
                <w:i w:val="0"/>
                <w:color w:val="000000"/>
                <w:kern w:val="0"/>
                <w:sz w:val="20"/>
                <w:szCs w:val="20"/>
                <w:u w:val="none"/>
                <w:lang w:val="en-US" w:eastAsia="zh-CN" w:bidi="ar"/>
              </w:rPr>
              <w:t>3. 80%≥满意度≥60%；（1分）</w:t>
            </w:r>
          </w:p>
          <w:p>
            <w:pPr>
              <w:keepNext w:val="0"/>
              <w:keepLines w:val="0"/>
              <w:widowControl/>
              <w:suppressLineNumbers w:val="0"/>
              <w:jc w:val="left"/>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4. 满意度＜60%不得分。（0分）</w:t>
            </w:r>
          </w:p>
        </w:tc>
        <w:tc>
          <w:tcPr>
            <w:tcW w:w="513" w:type="pct"/>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300" w:hRule="atLeast"/>
        </w:trPr>
        <w:tc>
          <w:tcPr>
            <w:tcW w:w="2620" w:type="pct"/>
            <w:gridSpan w:val="4"/>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合计</w:t>
            </w:r>
          </w:p>
        </w:tc>
        <w:tc>
          <w:tcPr>
            <w:tcW w:w="1866" w:type="pct"/>
            <w:shd w:val="clear" w:color="auto" w:fill="auto"/>
            <w:noWrap/>
            <w:tcMar>
              <w:top w:w="10" w:type="dxa"/>
              <w:left w:w="10" w:type="dxa"/>
              <w:right w:w="10" w:type="dxa"/>
            </w:tcMar>
            <w:vAlign w:val="center"/>
          </w:tcPr>
          <w:p>
            <w:pPr>
              <w:rPr>
                <w:rFonts w:hint="eastAsia" w:ascii="宋体" w:hAnsi="宋体" w:eastAsia="宋体" w:cs="宋体"/>
                <w:i w:val="0"/>
                <w:color w:val="000000"/>
                <w:sz w:val="24"/>
                <w:szCs w:val="24"/>
                <w:u w:val="none"/>
              </w:rPr>
            </w:pPr>
          </w:p>
        </w:tc>
        <w:tc>
          <w:tcPr>
            <w:tcW w:w="513" w:type="pct"/>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100</w:t>
            </w:r>
          </w:p>
        </w:tc>
      </w:tr>
    </w:tbl>
    <w:p>
      <w:pPr>
        <w:pStyle w:val="2"/>
        <w:ind w:left="0" w:leftChars="0" w:firstLine="0" w:firstLineChars="0"/>
        <w:rPr>
          <w:rFonts w:hint="eastAsia" w:cs="宋体"/>
          <w:b/>
          <w:bCs/>
          <w:color w:val="auto"/>
          <w:kern w:val="0"/>
          <w:sz w:val="36"/>
          <w:szCs w:val="36"/>
          <w:highlight w:val="none"/>
          <w:shd w:val="clear" w:color="auto" w:fill="FFFFFF"/>
          <w:lang w:val="en-US" w:eastAsia="zh-CN"/>
        </w:rPr>
        <w:sectPr>
          <w:pgSz w:w="11910" w:h="16840"/>
          <w:pgMar w:top="2098" w:right="1474" w:bottom="1984" w:left="1587" w:header="1017" w:footer="1206" w:gutter="0"/>
          <w:pgNumType w:fmt="numberInDash"/>
          <w:cols w:equalWidth="0" w:num="1">
            <w:col w:w="8810"/>
          </w:cols>
        </w:sectPr>
      </w:pPr>
    </w:p>
    <w:bookmarkEnd w:id="37"/>
    <w:bookmarkEnd w:id="38"/>
    <w:bookmarkEnd w:id="39"/>
    <w:p>
      <w:pPr>
        <w:spacing w:before="120" w:beforeLines="50" w:after="120" w:afterLines="50" w:line="360" w:lineRule="auto"/>
        <w:outlineLvl w:val="9"/>
        <w:rPr>
          <w:rFonts w:hint="eastAsia"/>
          <w:highlight w:val="none"/>
          <w:lang w:eastAsia="zh-Hans"/>
        </w:rPr>
      </w:pPr>
    </w:p>
    <w:sectPr>
      <w:headerReference r:id="rId7" w:type="default"/>
      <w:pgSz w:w="11910" w:h="16840"/>
      <w:pgMar w:top="2098" w:right="1474" w:bottom="1984" w:left="1587" w:header="1017" w:footer="1206" w:gutter="0"/>
      <w:pgNumType w:fmt="numberInDash"/>
      <w:cols w:equalWidth="0" w:num="1">
        <w:col w:w="8810"/>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DejaVu Sans">
    <w:altName w:val="Times New Roman"/>
    <w:panose1 w:val="02020603050405020304"/>
    <w:charset w:val="00"/>
    <w:family w:val="roman"/>
    <w:pitch w:val="default"/>
    <w:sig w:usb0="00000000" w:usb1="00000000" w:usb2="00000008" w:usb3="00000000" w:csb0="000001FF"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小标宋简体">
    <w:panose1 w:val="03000509000000000000"/>
    <w:charset w:val="86"/>
    <w:family w:val="script"/>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
    <w:altName w:val="宋体"/>
    <w:panose1 w:val="00000000000000000000"/>
    <w:charset w:val="00"/>
    <w:family w:val="auto"/>
    <w:pitch w:val="default"/>
    <w:sig w:usb0="00000000" w:usb1="00000000" w:usb2="00000000" w:usb3="00000000" w:csb0="00000000" w:csb1="00000000"/>
  </w:font>
  <w:font w:name="楷体_GB2312">
    <w:altName w:val="楷体"/>
    <w:panose1 w:val="00000000000000000000"/>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sz w:val="18"/>
                            </w:rPr>
                          </w:pPr>
                          <w:r>
                            <w:rPr>
                              <w:sz w:val="18"/>
                            </w:rPr>
                            <w:fldChar w:fldCharType="begin"/>
                          </w:r>
                          <w:r>
                            <w:rPr>
                              <w:sz w:val="18"/>
                            </w:rPr>
                            <w:instrText xml:space="preserve"> PAGE  \* MERGEFORMAT </w:instrText>
                          </w:r>
                          <w:r>
                            <w:rPr>
                              <w:sz w:val="18"/>
                            </w:rPr>
                            <w:fldChar w:fldCharType="separate"/>
                          </w:r>
                          <w:r>
                            <w:rPr>
                              <w:sz w:val="18"/>
                            </w:rPr>
                            <w:t>- 1 -</w:t>
                          </w:r>
                          <w:r>
                            <w:rPr>
                              <w:sz w:val="1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pPr>
                      <w:snapToGrid w:val="0"/>
                      <w:rPr>
                        <w:sz w:val="18"/>
                      </w:rPr>
                    </w:pPr>
                    <w:r>
                      <w:rPr>
                        <w:sz w:val="18"/>
                      </w:rPr>
                      <w:fldChar w:fldCharType="begin"/>
                    </w:r>
                    <w:r>
                      <w:rPr>
                        <w:sz w:val="18"/>
                      </w:rPr>
                      <w:instrText xml:space="preserve"> PAGE  \* MERGEFORMAT </w:instrText>
                    </w:r>
                    <w:r>
                      <w:rPr>
                        <w:sz w:val="18"/>
                      </w:rPr>
                      <w:fldChar w:fldCharType="separate"/>
                    </w:r>
                    <w:r>
                      <w:rPr>
                        <w:sz w:val="18"/>
                      </w:rPr>
                      <w:t>- 1 -</w:t>
                    </w:r>
                    <w:r>
                      <w:rPr>
                        <w:sz w:val="18"/>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14" w:lineRule="auto"/>
      <w:rPr>
        <w:sz w:val="2"/>
      </w:rPr>
    </w:pPr>
    <w:r>
      <w:rPr>
        <w:sz w:val="2"/>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sz w:val="18"/>
                            </w:rPr>
                          </w:pPr>
                          <w:r>
                            <w:rPr>
                              <w:sz w:val="18"/>
                            </w:rPr>
                            <w:fldChar w:fldCharType="begin"/>
                          </w:r>
                          <w:r>
                            <w:rPr>
                              <w:sz w:val="18"/>
                            </w:rPr>
                            <w:instrText xml:space="preserve"> PAGE  \* MERGEFORMAT </w:instrText>
                          </w:r>
                          <w:r>
                            <w:rPr>
                              <w:sz w:val="18"/>
                            </w:rPr>
                            <w:fldChar w:fldCharType="separate"/>
                          </w:r>
                          <w:r>
                            <w:rPr>
                              <w:sz w:val="18"/>
                            </w:rPr>
                            <w:t>- 27 -</w:t>
                          </w:r>
                          <w:r>
                            <w:rPr>
                              <w:sz w:val="1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pPr>
                      <w:snapToGrid w:val="0"/>
                      <w:rPr>
                        <w:sz w:val="18"/>
                      </w:rPr>
                    </w:pPr>
                    <w:r>
                      <w:rPr>
                        <w:sz w:val="18"/>
                      </w:rPr>
                      <w:fldChar w:fldCharType="begin"/>
                    </w:r>
                    <w:r>
                      <w:rPr>
                        <w:sz w:val="18"/>
                      </w:rPr>
                      <w:instrText xml:space="preserve"> PAGE  \* MERGEFORMAT </w:instrText>
                    </w:r>
                    <w:r>
                      <w:rPr>
                        <w:sz w:val="18"/>
                      </w:rPr>
                      <w:fldChar w:fldCharType="separate"/>
                    </w:r>
                    <w:r>
                      <w:rPr>
                        <w:sz w:val="18"/>
                      </w:rPr>
                      <w:t>- 27 -</w:t>
                    </w:r>
                    <w:r>
                      <w:rPr>
                        <w:sz w:val="18"/>
                      </w:rP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14" w:lineRule="auto"/>
      <w:rPr>
        <w:sz w:val="2"/>
      </w:rPr>
    </w:pPr>
    <w:r>
      <w:rPr>
        <w:sz w:val="2"/>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sz w:val="18"/>
                            </w:rPr>
                          </w:pPr>
                          <w:r>
                            <w:rPr>
                              <w:sz w:val="18"/>
                            </w:rPr>
                            <w:fldChar w:fldCharType="begin"/>
                          </w:r>
                          <w:r>
                            <w:rPr>
                              <w:sz w:val="18"/>
                            </w:rPr>
                            <w:instrText xml:space="preserve"> PAGE  \* MERGEFORMAT </w:instrText>
                          </w:r>
                          <w:r>
                            <w:rPr>
                              <w:sz w:val="18"/>
                            </w:rPr>
                            <w:fldChar w:fldCharType="separate"/>
                          </w:r>
                          <w:r>
                            <w:rPr>
                              <w:sz w:val="18"/>
                            </w:rPr>
                            <w:t>- 27 -</w:t>
                          </w:r>
                          <w:r>
                            <w:rPr>
                              <w:sz w:val="1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p>
                    <w:pPr>
                      <w:snapToGrid w:val="0"/>
                      <w:rPr>
                        <w:sz w:val="18"/>
                      </w:rPr>
                    </w:pPr>
                    <w:r>
                      <w:rPr>
                        <w:sz w:val="18"/>
                      </w:rPr>
                      <w:fldChar w:fldCharType="begin"/>
                    </w:r>
                    <w:r>
                      <w:rPr>
                        <w:sz w:val="18"/>
                      </w:rPr>
                      <w:instrText xml:space="preserve"> PAGE  \* MERGEFORMAT </w:instrText>
                    </w:r>
                    <w:r>
                      <w:rPr>
                        <w:sz w:val="18"/>
                      </w:rPr>
                      <w:fldChar w:fldCharType="separate"/>
                    </w:r>
                    <w:r>
                      <w:rPr>
                        <w:sz w:val="18"/>
                      </w:rPr>
                      <w:t>- 27 -</w:t>
                    </w:r>
                    <w:r>
                      <w:rPr>
                        <w:sz w:val="18"/>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Bdr>
        <w:bottom w:val="none" w:color="auto" w:sz="0" w:space="0"/>
      </w:pBdr>
      <w:spacing w:before="0" w:line="14" w:lineRule="auto"/>
      <w:ind w:left="0"/>
      <w:rPr>
        <w:sz w:val="2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Bdr>
        <w:bottom w:val="none" w:color="auto" w:sz="0" w:space="0"/>
      </w:pBdr>
      <w:spacing w:before="0" w:line="14" w:lineRule="auto"/>
      <w:ind w:left="0"/>
      <w:rPr>
        <w:sz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CB7BD52"/>
    <w:multiLevelType w:val="singleLevel"/>
    <w:tmpl w:val="8CB7BD52"/>
    <w:lvl w:ilvl="0" w:tentative="0">
      <w:start w:val="2"/>
      <w:numFmt w:val="decimal"/>
      <w:suff w:val="nothing"/>
      <w:lvlText w:val="（%1）"/>
      <w:lvlJc w:val="left"/>
    </w:lvl>
  </w:abstractNum>
  <w:abstractNum w:abstractNumId="1">
    <w:nsid w:val="699CFC09"/>
    <w:multiLevelType w:val="singleLevel"/>
    <w:tmpl w:val="699CFC09"/>
    <w:lvl w:ilvl="0" w:tentative="0">
      <w:start w:val="1"/>
      <w:numFmt w:val="chineseCounting"/>
      <w:suff w:val="space"/>
      <w:lvlText w:val="%1、"/>
      <w:lvlJc w:val="left"/>
      <w:rPr>
        <w:rFonts w:hint="eastAsia"/>
      </w:rPr>
    </w:lvl>
  </w:abstractNum>
  <w:abstractNum w:abstractNumId="2">
    <w:nsid w:val="70F3CFB0"/>
    <w:multiLevelType w:val="singleLevel"/>
    <w:tmpl w:val="70F3CFB0"/>
    <w:lvl w:ilvl="0" w:tentative="0">
      <w:start w:val="5"/>
      <w:numFmt w:val="chineseCounting"/>
      <w:suff w:val="nothing"/>
      <w:lvlText w:val="%1、"/>
      <w:lvlJc w:val="left"/>
      <w:rPr>
        <w:rFonts w:hint="eastAsia"/>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hhZGQ2ZGMxODE1ZWZmNTNlZjVlMmFhYzZmNzU3YzAifQ=="/>
  </w:docVars>
  <w:rsids>
    <w:rsidRoot w:val="D779509E"/>
    <w:rsid w:val="000012FE"/>
    <w:rsid w:val="00033DCF"/>
    <w:rsid w:val="000A4298"/>
    <w:rsid w:val="000C18C9"/>
    <w:rsid w:val="00135EF6"/>
    <w:rsid w:val="00136F12"/>
    <w:rsid w:val="00193A3E"/>
    <w:rsid w:val="001A570D"/>
    <w:rsid w:val="001C51AB"/>
    <w:rsid w:val="00262AA9"/>
    <w:rsid w:val="00277917"/>
    <w:rsid w:val="002B1E7D"/>
    <w:rsid w:val="003D0043"/>
    <w:rsid w:val="00420C10"/>
    <w:rsid w:val="00447529"/>
    <w:rsid w:val="004709C6"/>
    <w:rsid w:val="00475D62"/>
    <w:rsid w:val="004B344F"/>
    <w:rsid w:val="004C51A4"/>
    <w:rsid w:val="004F7D6F"/>
    <w:rsid w:val="00525570"/>
    <w:rsid w:val="00546BF5"/>
    <w:rsid w:val="00563C88"/>
    <w:rsid w:val="0057025D"/>
    <w:rsid w:val="005B05EB"/>
    <w:rsid w:val="005C5E71"/>
    <w:rsid w:val="00643454"/>
    <w:rsid w:val="006A3C6A"/>
    <w:rsid w:val="006B6C4F"/>
    <w:rsid w:val="006B789A"/>
    <w:rsid w:val="006F65A7"/>
    <w:rsid w:val="00763DE0"/>
    <w:rsid w:val="00780296"/>
    <w:rsid w:val="007B41AD"/>
    <w:rsid w:val="007C3CAD"/>
    <w:rsid w:val="00851E6F"/>
    <w:rsid w:val="00893CA6"/>
    <w:rsid w:val="008E5AF9"/>
    <w:rsid w:val="00910385"/>
    <w:rsid w:val="009523D1"/>
    <w:rsid w:val="00960C52"/>
    <w:rsid w:val="009613AB"/>
    <w:rsid w:val="00970B18"/>
    <w:rsid w:val="009870FD"/>
    <w:rsid w:val="009E4828"/>
    <w:rsid w:val="009F30A0"/>
    <w:rsid w:val="00A32055"/>
    <w:rsid w:val="00A35DDB"/>
    <w:rsid w:val="00A47C8B"/>
    <w:rsid w:val="00A80360"/>
    <w:rsid w:val="00AA4420"/>
    <w:rsid w:val="00AD16A7"/>
    <w:rsid w:val="00B03739"/>
    <w:rsid w:val="00B707ED"/>
    <w:rsid w:val="00B9048D"/>
    <w:rsid w:val="00BA0D97"/>
    <w:rsid w:val="00BA691D"/>
    <w:rsid w:val="00C068CC"/>
    <w:rsid w:val="00C36E68"/>
    <w:rsid w:val="00C43B5A"/>
    <w:rsid w:val="00C76FBD"/>
    <w:rsid w:val="00C94E20"/>
    <w:rsid w:val="00CE1753"/>
    <w:rsid w:val="00D71E77"/>
    <w:rsid w:val="00D925A8"/>
    <w:rsid w:val="00DA1C50"/>
    <w:rsid w:val="00DD1C49"/>
    <w:rsid w:val="00E03C8C"/>
    <w:rsid w:val="00E21638"/>
    <w:rsid w:val="00EB2C85"/>
    <w:rsid w:val="00F43C4D"/>
    <w:rsid w:val="00FA78FE"/>
    <w:rsid w:val="014E6F2D"/>
    <w:rsid w:val="015E6B70"/>
    <w:rsid w:val="016C782E"/>
    <w:rsid w:val="017A2629"/>
    <w:rsid w:val="018777BB"/>
    <w:rsid w:val="01B7514A"/>
    <w:rsid w:val="01E82D68"/>
    <w:rsid w:val="02C91315"/>
    <w:rsid w:val="0329694A"/>
    <w:rsid w:val="03763AF9"/>
    <w:rsid w:val="037954DB"/>
    <w:rsid w:val="03FD3C8E"/>
    <w:rsid w:val="041A57B3"/>
    <w:rsid w:val="044779A9"/>
    <w:rsid w:val="04956E50"/>
    <w:rsid w:val="04E356F0"/>
    <w:rsid w:val="054A78C5"/>
    <w:rsid w:val="05706033"/>
    <w:rsid w:val="05A142BC"/>
    <w:rsid w:val="05B04835"/>
    <w:rsid w:val="05C76026"/>
    <w:rsid w:val="05C77A61"/>
    <w:rsid w:val="05E0082C"/>
    <w:rsid w:val="05FD20FC"/>
    <w:rsid w:val="061F613C"/>
    <w:rsid w:val="06320448"/>
    <w:rsid w:val="06364AC5"/>
    <w:rsid w:val="06524DB7"/>
    <w:rsid w:val="066731F5"/>
    <w:rsid w:val="06767EE0"/>
    <w:rsid w:val="06A76340"/>
    <w:rsid w:val="06CC6314"/>
    <w:rsid w:val="07596AFB"/>
    <w:rsid w:val="078B3248"/>
    <w:rsid w:val="07AFA6BE"/>
    <w:rsid w:val="07C1430F"/>
    <w:rsid w:val="07C2597F"/>
    <w:rsid w:val="07E92068"/>
    <w:rsid w:val="07EE5A94"/>
    <w:rsid w:val="08440002"/>
    <w:rsid w:val="0880581D"/>
    <w:rsid w:val="08E156A4"/>
    <w:rsid w:val="08E763B1"/>
    <w:rsid w:val="09282892"/>
    <w:rsid w:val="09381814"/>
    <w:rsid w:val="09A97142"/>
    <w:rsid w:val="09B75971"/>
    <w:rsid w:val="09D5139F"/>
    <w:rsid w:val="0A0E6F09"/>
    <w:rsid w:val="0A300905"/>
    <w:rsid w:val="0A541ADF"/>
    <w:rsid w:val="0A753250"/>
    <w:rsid w:val="0A7D57D6"/>
    <w:rsid w:val="0ACC7640"/>
    <w:rsid w:val="0AF76836"/>
    <w:rsid w:val="0B08550F"/>
    <w:rsid w:val="0B575902"/>
    <w:rsid w:val="0B5C6090"/>
    <w:rsid w:val="0B7752FB"/>
    <w:rsid w:val="0BBE17ED"/>
    <w:rsid w:val="0BDC27C2"/>
    <w:rsid w:val="0C105AEF"/>
    <w:rsid w:val="0C2B3DE6"/>
    <w:rsid w:val="0C2F33B4"/>
    <w:rsid w:val="0C632B33"/>
    <w:rsid w:val="0CB1757F"/>
    <w:rsid w:val="0CED0034"/>
    <w:rsid w:val="0CFC1745"/>
    <w:rsid w:val="0D310454"/>
    <w:rsid w:val="0D44070F"/>
    <w:rsid w:val="0D8D3876"/>
    <w:rsid w:val="0DB3038F"/>
    <w:rsid w:val="0DDE22FC"/>
    <w:rsid w:val="0DE26B97"/>
    <w:rsid w:val="0DEA6DBD"/>
    <w:rsid w:val="0DED0A90"/>
    <w:rsid w:val="0E093187"/>
    <w:rsid w:val="0E325784"/>
    <w:rsid w:val="0E3A028A"/>
    <w:rsid w:val="0E5173ED"/>
    <w:rsid w:val="0E7C7AE0"/>
    <w:rsid w:val="0E8A62E7"/>
    <w:rsid w:val="0EA01665"/>
    <w:rsid w:val="0EA13B8C"/>
    <w:rsid w:val="0F182F0B"/>
    <w:rsid w:val="0F446D5E"/>
    <w:rsid w:val="0F7221FC"/>
    <w:rsid w:val="0F9D5B98"/>
    <w:rsid w:val="0FA5679E"/>
    <w:rsid w:val="0FB6670F"/>
    <w:rsid w:val="103857B0"/>
    <w:rsid w:val="104D2379"/>
    <w:rsid w:val="10537D9F"/>
    <w:rsid w:val="10654BC8"/>
    <w:rsid w:val="10707038"/>
    <w:rsid w:val="10C01577"/>
    <w:rsid w:val="10C67A5F"/>
    <w:rsid w:val="11250954"/>
    <w:rsid w:val="114A13EC"/>
    <w:rsid w:val="114C4A28"/>
    <w:rsid w:val="120704DD"/>
    <w:rsid w:val="12407B51"/>
    <w:rsid w:val="126C79C9"/>
    <w:rsid w:val="12804956"/>
    <w:rsid w:val="12A07F1B"/>
    <w:rsid w:val="12B25490"/>
    <w:rsid w:val="13292527"/>
    <w:rsid w:val="13776976"/>
    <w:rsid w:val="13D70B3C"/>
    <w:rsid w:val="13EF2888"/>
    <w:rsid w:val="14B50AFC"/>
    <w:rsid w:val="14BC12BD"/>
    <w:rsid w:val="14C63493"/>
    <w:rsid w:val="14E922E3"/>
    <w:rsid w:val="1513305A"/>
    <w:rsid w:val="156163BD"/>
    <w:rsid w:val="15913ACC"/>
    <w:rsid w:val="159C452D"/>
    <w:rsid w:val="15DE418A"/>
    <w:rsid w:val="16017D11"/>
    <w:rsid w:val="163300CC"/>
    <w:rsid w:val="163460BC"/>
    <w:rsid w:val="16425049"/>
    <w:rsid w:val="16A134CE"/>
    <w:rsid w:val="16C96F93"/>
    <w:rsid w:val="171133F3"/>
    <w:rsid w:val="17250B2C"/>
    <w:rsid w:val="17311A4C"/>
    <w:rsid w:val="17382826"/>
    <w:rsid w:val="17513854"/>
    <w:rsid w:val="176F2D8B"/>
    <w:rsid w:val="179B56FF"/>
    <w:rsid w:val="17BB19F6"/>
    <w:rsid w:val="17C94D8E"/>
    <w:rsid w:val="184833AC"/>
    <w:rsid w:val="18587C33"/>
    <w:rsid w:val="18DF219F"/>
    <w:rsid w:val="18F4174E"/>
    <w:rsid w:val="190C4AB7"/>
    <w:rsid w:val="191B665E"/>
    <w:rsid w:val="19506113"/>
    <w:rsid w:val="195236FE"/>
    <w:rsid w:val="19716DA1"/>
    <w:rsid w:val="197F4FD8"/>
    <w:rsid w:val="1A19496A"/>
    <w:rsid w:val="1A4F1286"/>
    <w:rsid w:val="1A591792"/>
    <w:rsid w:val="1A7365CF"/>
    <w:rsid w:val="1A783987"/>
    <w:rsid w:val="1AD204DE"/>
    <w:rsid w:val="1AD65B30"/>
    <w:rsid w:val="1B0C1BB0"/>
    <w:rsid w:val="1B143312"/>
    <w:rsid w:val="1B2B1B0F"/>
    <w:rsid w:val="1B4968E8"/>
    <w:rsid w:val="1B4C1B81"/>
    <w:rsid w:val="1B5B356A"/>
    <w:rsid w:val="1B82655F"/>
    <w:rsid w:val="1B884599"/>
    <w:rsid w:val="1BE50B84"/>
    <w:rsid w:val="1BF5374B"/>
    <w:rsid w:val="1C0254E8"/>
    <w:rsid w:val="1C4110E8"/>
    <w:rsid w:val="1C440A92"/>
    <w:rsid w:val="1C6C3DB9"/>
    <w:rsid w:val="1C816DB5"/>
    <w:rsid w:val="1CA10911"/>
    <w:rsid w:val="1CA55000"/>
    <w:rsid w:val="1CAD4EA9"/>
    <w:rsid w:val="1CC30C5A"/>
    <w:rsid w:val="1CC85C7A"/>
    <w:rsid w:val="1CDF6E50"/>
    <w:rsid w:val="1D1E76E6"/>
    <w:rsid w:val="1D274E35"/>
    <w:rsid w:val="1D311AD8"/>
    <w:rsid w:val="1D562959"/>
    <w:rsid w:val="1DFE7366"/>
    <w:rsid w:val="1E1C526B"/>
    <w:rsid w:val="1E2A06AB"/>
    <w:rsid w:val="1E3258CA"/>
    <w:rsid w:val="1E6D2384"/>
    <w:rsid w:val="1E7D37A1"/>
    <w:rsid w:val="1E80293A"/>
    <w:rsid w:val="1ED77E4D"/>
    <w:rsid w:val="1EDA1CAA"/>
    <w:rsid w:val="1EE10438"/>
    <w:rsid w:val="1F5A653C"/>
    <w:rsid w:val="1F98298D"/>
    <w:rsid w:val="1FB638D4"/>
    <w:rsid w:val="1FC5557E"/>
    <w:rsid w:val="1FCE652E"/>
    <w:rsid w:val="1FED0E93"/>
    <w:rsid w:val="203C75C9"/>
    <w:rsid w:val="208D2567"/>
    <w:rsid w:val="20983D56"/>
    <w:rsid w:val="20F97EA2"/>
    <w:rsid w:val="21216934"/>
    <w:rsid w:val="21346671"/>
    <w:rsid w:val="217B0B87"/>
    <w:rsid w:val="21E22BA8"/>
    <w:rsid w:val="21E44818"/>
    <w:rsid w:val="223C43FE"/>
    <w:rsid w:val="22911CA3"/>
    <w:rsid w:val="22955EFD"/>
    <w:rsid w:val="23484DA8"/>
    <w:rsid w:val="23546255"/>
    <w:rsid w:val="23760F4A"/>
    <w:rsid w:val="23926449"/>
    <w:rsid w:val="23DB6624"/>
    <w:rsid w:val="23E059E6"/>
    <w:rsid w:val="23F11418"/>
    <w:rsid w:val="23F52926"/>
    <w:rsid w:val="23FB3A65"/>
    <w:rsid w:val="24485925"/>
    <w:rsid w:val="245836A7"/>
    <w:rsid w:val="24661512"/>
    <w:rsid w:val="246B040E"/>
    <w:rsid w:val="24786622"/>
    <w:rsid w:val="247F1BFC"/>
    <w:rsid w:val="24FE4594"/>
    <w:rsid w:val="25006FD0"/>
    <w:rsid w:val="250C675E"/>
    <w:rsid w:val="251C38FE"/>
    <w:rsid w:val="251E6154"/>
    <w:rsid w:val="25761DD0"/>
    <w:rsid w:val="259A7BE4"/>
    <w:rsid w:val="25A42DC0"/>
    <w:rsid w:val="25B84E4B"/>
    <w:rsid w:val="25C62D01"/>
    <w:rsid w:val="25CC5E57"/>
    <w:rsid w:val="25CF71A4"/>
    <w:rsid w:val="2602774C"/>
    <w:rsid w:val="26175D3C"/>
    <w:rsid w:val="261841F8"/>
    <w:rsid w:val="26675F9C"/>
    <w:rsid w:val="26687BC1"/>
    <w:rsid w:val="266D4FC8"/>
    <w:rsid w:val="270742FB"/>
    <w:rsid w:val="27323C04"/>
    <w:rsid w:val="27944151"/>
    <w:rsid w:val="27DE13CD"/>
    <w:rsid w:val="27DE7AF8"/>
    <w:rsid w:val="28061A88"/>
    <w:rsid w:val="28964888"/>
    <w:rsid w:val="28D6709F"/>
    <w:rsid w:val="28F9256E"/>
    <w:rsid w:val="28FD0B24"/>
    <w:rsid w:val="291B6739"/>
    <w:rsid w:val="292D7338"/>
    <w:rsid w:val="29526988"/>
    <w:rsid w:val="296D689E"/>
    <w:rsid w:val="297D4346"/>
    <w:rsid w:val="29884008"/>
    <w:rsid w:val="29E26ED7"/>
    <w:rsid w:val="2A185AAA"/>
    <w:rsid w:val="2A2B053E"/>
    <w:rsid w:val="2AA62052"/>
    <w:rsid w:val="2AEF620D"/>
    <w:rsid w:val="2B004A03"/>
    <w:rsid w:val="2B667741"/>
    <w:rsid w:val="2B952DC9"/>
    <w:rsid w:val="2B9C7A00"/>
    <w:rsid w:val="2BF751C8"/>
    <w:rsid w:val="2C1B65AB"/>
    <w:rsid w:val="2C266A13"/>
    <w:rsid w:val="2C2D5BE9"/>
    <w:rsid w:val="2C413F15"/>
    <w:rsid w:val="2C484ADF"/>
    <w:rsid w:val="2C863B0A"/>
    <w:rsid w:val="2C913C57"/>
    <w:rsid w:val="2D7711F4"/>
    <w:rsid w:val="2D7E5D38"/>
    <w:rsid w:val="2DB2412B"/>
    <w:rsid w:val="2DBA2C9C"/>
    <w:rsid w:val="2DFE1003"/>
    <w:rsid w:val="2E125EE8"/>
    <w:rsid w:val="2E127055"/>
    <w:rsid w:val="2E2D4431"/>
    <w:rsid w:val="2E636917"/>
    <w:rsid w:val="2E8D72B0"/>
    <w:rsid w:val="2E937434"/>
    <w:rsid w:val="2EDD13FD"/>
    <w:rsid w:val="2EF608E5"/>
    <w:rsid w:val="2EFF4609"/>
    <w:rsid w:val="2F4078ED"/>
    <w:rsid w:val="2F436126"/>
    <w:rsid w:val="2F5D2AAD"/>
    <w:rsid w:val="2F5F0DD2"/>
    <w:rsid w:val="2F895979"/>
    <w:rsid w:val="2F963B68"/>
    <w:rsid w:val="2FAF3FA5"/>
    <w:rsid w:val="2FB61835"/>
    <w:rsid w:val="2FE81203"/>
    <w:rsid w:val="30002233"/>
    <w:rsid w:val="301A49E7"/>
    <w:rsid w:val="304C2229"/>
    <w:rsid w:val="30891D2F"/>
    <w:rsid w:val="30AB434B"/>
    <w:rsid w:val="30B94BC4"/>
    <w:rsid w:val="30DD69AA"/>
    <w:rsid w:val="315F23CD"/>
    <w:rsid w:val="31D411F6"/>
    <w:rsid w:val="320B0DAE"/>
    <w:rsid w:val="3216747E"/>
    <w:rsid w:val="324F10BD"/>
    <w:rsid w:val="3255427B"/>
    <w:rsid w:val="32945AB3"/>
    <w:rsid w:val="32E813AE"/>
    <w:rsid w:val="32F62F6C"/>
    <w:rsid w:val="32FF0698"/>
    <w:rsid w:val="330A2337"/>
    <w:rsid w:val="33344C0B"/>
    <w:rsid w:val="33A30157"/>
    <w:rsid w:val="33BC0FA8"/>
    <w:rsid w:val="343217EE"/>
    <w:rsid w:val="34371F3F"/>
    <w:rsid w:val="34395313"/>
    <w:rsid w:val="34446958"/>
    <w:rsid w:val="344554F3"/>
    <w:rsid w:val="344E1E03"/>
    <w:rsid w:val="34592AF6"/>
    <w:rsid w:val="34B351F5"/>
    <w:rsid w:val="34CF7A80"/>
    <w:rsid w:val="34EB417E"/>
    <w:rsid w:val="3522609B"/>
    <w:rsid w:val="357445C6"/>
    <w:rsid w:val="358950ED"/>
    <w:rsid w:val="35AA2847"/>
    <w:rsid w:val="35BD038B"/>
    <w:rsid w:val="35C46A8B"/>
    <w:rsid w:val="35F57C0E"/>
    <w:rsid w:val="360355C8"/>
    <w:rsid w:val="36121383"/>
    <w:rsid w:val="36190C78"/>
    <w:rsid w:val="36607590"/>
    <w:rsid w:val="36820561"/>
    <w:rsid w:val="36CD592E"/>
    <w:rsid w:val="36E62DA0"/>
    <w:rsid w:val="36E815C4"/>
    <w:rsid w:val="36EC39E6"/>
    <w:rsid w:val="3747685D"/>
    <w:rsid w:val="375D844E"/>
    <w:rsid w:val="37C63DFA"/>
    <w:rsid w:val="38247311"/>
    <w:rsid w:val="383B3A62"/>
    <w:rsid w:val="383F05AD"/>
    <w:rsid w:val="388536F6"/>
    <w:rsid w:val="38AE3781"/>
    <w:rsid w:val="38DB6D55"/>
    <w:rsid w:val="38F47CA6"/>
    <w:rsid w:val="390A46C3"/>
    <w:rsid w:val="393775B4"/>
    <w:rsid w:val="3940552D"/>
    <w:rsid w:val="39452513"/>
    <w:rsid w:val="39830796"/>
    <w:rsid w:val="39942F29"/>
    <w:rsid w:val="39BE2D40"/>
    <w:rsid w:val="39E735EB"/>
    <w:rsid w:val="39FC04BC"/>
    <w:rsid w:val="3A2C5419"/>
    <w:rsid w:val="3A5B4EA8"/>
    <w:rsid w:val="3A5F60E2"/>
    <w:rsid w:val="3A766500"/>
    <w:rsid w:val="3A8E4210"/>
    <w:rsid w:val="3A9C475D"/>
    <w:rsid w:val="3ABF5FCF"/>
    <w:rsid w:val="3AC31978"/>
    <w:rsid w:val="3AFB625F"/>
    <w:rsid w:val="3B091EF2"/>
    <w:rsid w:val="3B280719"/>
    <w:rsid w:val="3B3310D4"/>
    <w:rsid w:val="3B882245"/>
    <w:rsid w:val="3BC14E56"/>
    <w:rsid w:val="3BCB389C"/>
    <w:rsid w:val="3BF87FC2"/>
    <w:rsid w:val="3BFE92E6"/>
    <w:rsid w:val="3C1F6E45"/>
    <w:rsid w:val="3C5D7628"/>
    <w:rsid w:val="3C7E08AD"/>
    <w:rsid w:val="3C8C47A8"/>
    <w:rsid w:val="3C925432"/>
    <w:rsid w:val="3CA774F5"/>
    <w:rsid w:val="3CAA50ED"/>
    <w:rsid w:val="3CB05723"/>
    <w:rsid w:val="3CD576EC"/>
    <w:rsid w:val="3CEE7F7E"/>
    <w:rsid w:val="3D4D580B"/>
    <w:rsid w:val="3D767E1F"/>
    <w:rsid w:val="3D982F80"/>
    <w:rsid w:val="3DB362DB"/>
    <w:rsid w:val="3DCF3C04"/>
    <w:rsid w:val="3DF84D4A"/>
    <w:rsid w:val="3DFD758E"/>
    <w:rsid w:val="3E1D3474"/>
    <w:rsid w:val="3E2C5CE3"/>
    <w:rsid w:val="3E971C2C"/>
    <w:rsid w:val="3EBF4761"/>
    <w:rsid w:val="3ED87201"/>
    <w:rsid w:val="3EE02645"/>
    <w:rsid w:val="3EF35958"/>
    <w:rsid w:val="3EF83F8F"/>
    <w:rsid w:val="3F3123B0"/>
    <w:rsid w:val="3F4C3C76"/>
    <w:rsid w:val="3F5A6BDC"/>
    <w:rsid w:val="3F72FB8E"/>
    <w:rsid w:val="3F857BF7"/>
    <w:rsid w:val="3FB80B02"/>
    <w:rsid w:val="3FCF87E2"/>
    <w:rsid w:val="3FE4F30A"/>
    <w:rsid w:val="3FEA7C05"/>
    <w:rsid w:val="3FED7CA3"/>
    <w:rsid w:val="3FFDE92B"/>
    <w:rsid w:val="3FFF2BBB"/>
    <w:rsid w:val="401671AA"/>
    <w:rsid w:val="408E2BEB"/>
    <w:rsid w:val="40934335"/>
    <w:rsid w:val="40B225AE"/>
    <w:rsid w:val="40C800AC"/>
    <w:rsid w:val="40E404D8"/>
    <w:rsid w:val="411A31F7"/>
    <w:rsid w:val="415B2671"/>
    <w:rsid w:val="416B6FE1"/>
    <w:rsid w:val="41FE0CE6"/>
    <w:rsid w:val="42127509"/>
    <w:rsid w:val="42134965"/>
    <w:rsid w:val="42A725A6"/>
    <w:rsid w:val="42BB7FAC"/>
    <w:rsid w:val="42D22654"/>
    <w:rsid w:val="43427F96"/>
    <w:rsid w:val="43534EDF"/>
    <w:rsid w:val="43556E1D"/>
    <w:rsid w:val="43DD6659"/>
    <w:rsid w:val="43F00A88"/>
    <w:rsid w:val="440C1A62"/>
    <w:rsid w:val="441F27E8"/>
    <w:rsid w:val="442E6626"/>
    <w:rsid w:val="44904A20"/>
    <w:rsid w:val="44AF72AA"/>
    <w:rsid w:val="450646CD"/>
    <w:rsid w:val="453F6242"/>
    <w:rsid w:val="45410BEF"/>
    <w:rsid w:val="454D3391"/>
    <w:rsid w:val="457202BD"/>
    <w:rsid w:val="45980D6F"/>
    <w:rsid w:val="45995097"/>
    <w:rsid w:val="45B07BCD"/>
    <w:rsid w:val="45B15AFC"/>
    <w:rsid w:val="45B267FE"/>
    <w:rsid w:val="45D65E43"/>
    <w:rsid w:val="45F13BAE"/>
    <w:rsid w:val="45FEEC7A"/>
    <w:rsid w:val="46087030"/>
    <w:rsid w:val="46327DEB"/>
    <w:rsid w:val="46431B5C"/>
    <w:rsid w:val="465034C7"/>
    <w:rsid w:val="466677DA"/>
    <w:rsid w:val="46685015"/>
    <w:rsid w:val="467D76E6"/>
    <w:rsid w:val="46CE74F7"/>
    <w:rsid w:val="46D30868"/>
    <w:rsid w:val="47586DE9"/>
    <w:rsid w:val="47AA4550"/>
    <w:rsid w:val="47AE2D1A"/>
    <w:rsid w:val="47D83DA2"/>
    <w:rsid w:val="483779F8"/>
    <w:rsid w:val="4841622C"/>
    <w:rsid w:val="48505862"/>
    <w:rsid w:val="48917863"/>
    <w:rsid w:val="48A94735"/>
    <w:rsid w:val="48BF69FA"/>
    <w:rsid w:val="495A275A"/>
    <w:rsid w:val="4966280A"/>
    <w:rsid w:val="497046E6"/>
    <w:rsid w:val="499D6C40"/>
    <w:rsid w:val="49A04D73"/>
    <w:rsid w:val="49CF0300"/>
    <w:rsid w:val="49D6035C"/>
    <w:rsid w:val="49E40A38"/>
    <w:rsid w:val="49F62F02"/>
    <w:rsid w:val="49F83792"/>
    <w:rsid w:val="4A0B526B"/>
    <w:rsid w:val="4AA449D8"/>
    <w:rsid w:val="4AE740B0"/>
    <w:rsid w:val="4AED00BD"/>
    <w:rsid w:val="4B4C0B57"/>
    <w:rsid w:val="4B94403A"/>
    <w:rsid w:val="4BB739C4"/>
    <w:rsid w:val="4BEC716C"/>
    <w:rsid w:val="4C0A41FE"/>
    <w:rsid w:val="4C544D34"/>
    <w:rsid w:val="4C9F0FCC"/>
    <w:rsid w:val="4D1D7752"/>
    <w:rsid w:val="4D434595"/>
    <w:rsid w:val="4D4A1762"/>
    <w:rsid w:val="4D750090"/>
    <w:rsid w:val="4D9B160E"/>
    <w:rsid w:val="4DB847AB"/>
    <w:rsid w:val="4DC5726B"/>
    <w:rsid w:val="4DEE2383"/>
    <w:rsid w:val="4E180AAD"/>
    <w:rsid w:val="4E3D5C6A"/>
    <w:rsid w:val="4E401BA3"/>
    <w:rsid w:val="4E744B01"/>
    <w:rsid w:val="4E776117"/>
    <w:rsid w:val="4EEA5B73"/>
    <w:rsid w:val="4EEB1428"/>
    <w:rsid w:val="4EFD6F34"/>
    <w:rsid w:val="4F150B43"/>
    <w:rsid w:val="4F1D6068"/>
    <w:rsid w:val="4F311BAF"/>
    <w:rsid w:val="4F5376AB"/>
    <w:rsid w:val="4F7F1927"/>
    <w:rsid w:val="4FB753CF"/>
    <w:rsid w:val="4FCD5443"/>
    <w:rsid w:val="4FEF641E"/>
    <w:rsid w:val="50103A3F"/>
    <w:rsid w:val="50316C0A"/>
    <w:rsid w:val="5069215F"/>
    <w:rsid w:val="50775897"/>
    <w:rsid w:val="50A1408A"/>
    <w:rsid w:val="50AC2D0F"/>
    <w:rsid w:val="50B204D7"/>
    <w:rsid w:val="50CB6BAB"/>
    <w:rsid w:val="51060167"/>
    <w:rsid w:val="5144716F"/>
    <w:rsid w:val="51975976"/>
    <w:rsid w:val="520B7E90"/>
    <w:rsid w:val="52280045"/>
    <w:rsid w:val="525F00E3"/>
    <w:rsid w:val="527C456F"/>
    <w:rsid w:val="52900D0E"/>
    <w:rsid w:val="52993572"/>
    <w:rsid w:val="52C94A24"/>
    <w:rsid w:val="52E577DB"/>
    <w:rsid w:val="531B02FB"/>
    <w:rsid w:val="531C4BE8"/>
    <w:rsid w:val="536A1860"/>
    <w:rsid w:val="53847CE6"/>
    <w:rsid w:val="539C678F"/>
    <w:rsid w:val="539E2F31"/>
    <w:rsid w:val="53AC44AB"/>
    <w:rsid w:val="53DE2EAE"/>
    <w:rsid w:val="53DE689E"/>
    <w:rsid w:val="542820A7"/>
    <w:rsid w:val="54493BC0"/>
    <w:rsid w:val="545C4A7B"/>
    <w:rsid w:val="546623FD"/>
    <w:rsid w:val="54785C77"/>
    <w:rsid w:val="54CE491A"/>
    <w:rsid w:val="54F91522"/>
    <w:rsid w:val="550A5A6C"/>
    <w:rsid w:val="552E27A5"/>
    <w:rsid w:val="556C4F7B"/>
    <w:rsid w:val="55C86346"/>
    <w:rsid w:val="56160AE4"/>
    <w:rsid w:val="564E228B"/>
    <w:rsid w:val="56A61FE8"/>
    <w:rsid w:val="56A70057"/>
    <w:rsid w:val="56C41FE1"/>
    <w:rsid w:val="56CF3B57"/>
    <w:rsid w:val="56DB676E"/>
    <w:rsid w:val="56EF0626"/>
    <w:rsid w:val="57027F3F"/>
    <w:rsid w:val="5707272C"/>
    <w:rsid w:val="57323AEE"/>
    <w:rsid w:val="573937E1"/>
    <w:rsid w:val="57675951"/>
    <w:rsid w:val="579328B7"/>
    <w:rsid w:val="57A02B3A"/>
    <w:rsid w:val="57A83FB3"/>
    <w:rsid w:val="57AE0D7D"/>
    <w:rsid w:val="57B6441C"/>
    <w:rsid w:val="580876A4"/>
    <w:rsid w:val="58432E17"/>
    <w:rsid w:val="58576E0C"/>
    <w:rsid w:val="586100EB"/>
    <w:rsid w:val="58A77221"/>
    <w:rsid w:val="58D42924"/>
    <w:rsid w:val="58D75F64"/>
    <w:rsid w:val="58DE6357"/>
    <w:rsid w:val="59151653"/>
    <w:rsid w:val="59155C76"/>
    <w:rsid w:val="593B2FB5"/>
    <w:rsid w:val="596155CD"/>
    <w:rsid w:val="597619CB"/>
    <w:rsid w:val="5A3D527E"/>
    <w:rsid w:val="5A4C209B"/>
    <w:rsid w:val="5A5D00D0"/>
    <w:rsid w:val="5A9B0EC0"/>
    <w:rsid w:val="5AB51435"/>
    <w:rsid w:val="5AF202DB"/>
    <w:rsid w:val="5AF36B25"/>
    <w:rsid w:val="5B1C4FC1"/>
    <w:rsid w:val="5B5F8D84"/>
    <w:rsid w:val="5B7E99B1"/>
    <w:rsid w:val="5BB160B9"/>
    <w:rsid w:val="5BBC5FA1"/>
    <w:rsid w:val="5BC17349"/>
    <w:rsid w:val="5BEF5BA4"/>
    <w:rsid w:val="5C03659B"/>
    <w:rsid w:val="5C1944E7"/>
    <w:rsid w:val="5C476A03"/>
    <w:rsid w:val="5C701DAF"/>
    <w:rsid w:val="5CAC3EEA"/>
    <w:rsid w:val="5CC003C5"/>
    <w:rsid w:val="5CC03254"/>
    <w:rsid w:val="5CD36FB4"/>
    <w:rsid w:val="5CEA675A"/>
    <w:rsid w:val="5D443C68"/>
    <w:rsid w:val="5D4F69A5"/>
    <w:rsid w:val="5D5B032C"/>
    <w:rsid w:val="5D845F7E"/>
    <w:rsid w:val="5D852A13"/>
    <w:rsid w:val="5E346467"/>
    <w:rsid w:val="5E6F2728"/>
    <w:rsid w:val="5E8500B8"/>
    <w:rsid w:val="5EAA3A0A"/>
    <w:rsid w:val="5EDF2B36"/>
    <w:rsid w:val="5F16422C"/>
    <w:rsid w:val="5F186462"/>
    <w:rsid w:val="5F283E0F"/>
    <w:rsid w:val="5F363017"/>
    <w:rsid w:val="5F396915"/>
    <w:rsid w:val="602521ED"/>
    <w:rsid w:val="60293898"/>
    <w:rsid w:val="603E5B2B"/>
    <w:rsid w:val="606A4797"/>
    <w:rsid w:val="60A02D1C"/>
    <w:rsid w:val="60B85F8B"/>
    <w:rsid w:val="60E9232C"/>
    <w:rsid w:val="61164DA4"/>
    <w:rsid w:val="6154274D"/>
    <w:rsid w:val="618C6C06"/>
    <w:rsid w:val="619C127E"/>
    <w:rsid w:val="61E2013C"/>
    <w:rsid w:val="61EE3D90"/>
    <w:rsid w:val="622D5E1C"/>
    <w:rsid w:val="62367FF4"/>
    <w:rsid w:val="62464D15"/>
    <w:rsid w:val="62663B03"/>
    <w:rsid w:val="628F52BA"/>
    <w:rsid w:val="62B742C2"/>
    <w:rsid w:val="62D95169"/>
    <w:rsid w:val="62EB0B21"/>
    <w:rsid w:val="633036EE"/>
    <w:rsid w:val="634E3F4F"/>
    <w:rsid w:val="63835372"/>
    <w:rsid w:val="63A56B8C"/>
    <w:rsid w:val="63B81771"/>
    <w:rsid w:val="63C4604E"/>
    <w:rsid w:val="63CD2F02"/>
    <w:rsid w:val="640B490F"/>
    <w:rsid w:val="64282A7D"/>
    <w:rsid w:val="642C1B5F"/>
    <w:rsid w:val="644867EA"/>
    <w:rsid w:val="645F5F1F"/>
    <w:rsid w:val="64B1586E"/>
    <w:rsid w:val="652964C8"/>
    <w:rsid w:val="65D2365D"/>
    <w:rsid w:val="66124ABB"/>
    <w:rsid w:val="665055A1"/>
    <w:rsid w:val="6655583A"/>
    <w:rsid w:val="66782B50"/>
    <w:rsid w:val="66797031"/>
    <w:rsid w:val="668E6D55"/>
    <w:rsid w:val="66B62AAF"/>
    <w:rsid w:val="66B63F0F"/>
    <w:rsid w:val="67171FE6"/>
    <w:rsid w:val="67365440"/>
    <w:rsid w:val="677C10DD"/>
    <w:rsid w:val="67AA26A2"/>
    <w:rsid w:val="67AF2C39"/>
    <w:rsid w:val="68382BFC"/>
    <w:rsid w:val="68702643"/>
    <w:rsid w:val="687A4C34"/>
    <w:rsid w:val="687C1128"/>
    <w:rsid w:val="68A64087"/>
    <w:rsid w:val="68C97156"/>
    <w:rsid w:val="68D9613A"/>
    <w:rsid w:val="69296815"/>
    <w:rsid w:val="69740BF3"/>
    <w:rsid w:val="697A1AE8"/>
    <w:rsid w:val="69852D69"/>
    <w:rsid w:val="69CD5350"/>
    <w:rsid w:val="69E96E42"/>
    <w:rsid w:val="69EF5E36"/>
    <w:rsid w:val="69F10A19"/>
    <w:rsid w:val="6A0E2CAA"/>
    <w:rsid w:val="6A312F47"/>
    <w:rsid w:val="6A426532"/>
    <w:rsid w:val="6A541877"/>
    <w:rsid w:val="6A5B0688"/>
    <w:rsid w:val="6A6D435E"/>
    <w:rsid w:val="6A9768D5"/>
    <w:rsid w:val="6B416891"/>
    <w:rsid w:val="6B730ADB"/>
    <w:rsid w:val="6B973F54"/>
    <w:rsid w:val="6BB82F93"/>
    <w:rsid w:val="6BC81445"/>
    <w:rsid w:val="6BE66DBF"/>
    <w:rsid w:val="6BFC559A"/>
    <w:rsid w:val="6C7301EE"/>
    <w:rsid w:val="6C735685"/>
    <w:rsid w:val="6C907842"/>
    <w:rsid w:val="6CA12127"/>
    <w:rsid w:val="6CE74ADB"/>
    <w:rsid w:val="6D0A1AB7"/>
    <w:rsid w:val="6D23490B"/>
    <w:rsid w:val="6D2D2F65"/>
    <w:rsid w:val="6D6D126F"/>
    <w:rsid w:val="6D7F079A"/>
    <w:rsid w:val="6D7F0B21"/>
    <w:rsid w:val="6D89420F"/>
    <w:rsid w:val="6DA51B0D"/>
    <w:rsid w:val="6DE17F5E"/>
    <w:rsid w:val="6DE425DD"/>
    <w:rsid w:val="6DFF493C"/>
    <w:rsid w:val="6E1E0067"/>
    <w:rsid w:val="6E3103DE"/>
    <w:rsid w:val="6E522A93"/>
    <w:rsid w:val="6E9F7D57"/>
    <w:rsid w:val="6ED82463"/>
    <w:rsid w:val="6EFC2E3B"/>
    <w:rsid w:val="6F072FE0"/>
    <w:rsid w:val="6F2D403A"/>
    <w:rsid w:val="6F686B2C"/>
    <w:rsid w:val="6F95430A"/>
    <w:rsid w:val="6FAF9792"/>
    <w:rsid w:val="6FCB6674"/>
    <w:rsid w:val="6FDA1680"/>
    <w:rsid w:val="6FDE6D4B"/>
    <w:rsid w:val="6FDF92CE"/>
    <w:rsid w:val="6FED039D"/>
    <w:rsid w:val="6FEE0A49"/>
    <w:rsid w:val="6FF62692"/>
    <w:rsid w:val="6FFB20AD"/>
    <w:rsid w:val="6FFE7D7E"/>
    <w:rsid w:val="703F39D2"/>
    <w:rsid w:val="706A2D4C"/>
    <w:rsid w:val="70954FF6"/>
    <w:rsid w:val="70C3244C"/>
    <w:rsid w:val="70E456DE"/>
    <w:rsid w:val="70EA4B85"/>
    <w:rsid w:val="70EB2596"/>
    <w:rsid w:val="71296B94"/>
    <w:rsid w:val="71537B1E"/>
    <w:rsid w:val="71826C7B"/>
    <w:rsid w:val="718568D4"/>
    <w:rsid w:val="719271D0"/>
    <w:rsid w:val="71DF59C4"/>
    <w:rsid w:val="723914B4"/>
    <w:rsid w:val="723B07CB"/>
    <w:rsid w:val="72BC7438"/>
    <w:rsid w:val="72C826B7"/>
    <w:rsid w:val="72D60E3E"/>
    <w:rsid w:val="72EA3CA9"/>
    <w:rsid w:val="73180AD2"/>
    <w:rsid w:val="7353633E"/>
    <w:rsid w:val="737E14FB"/>
    <w:rsid w:val="73954CE5"/>
    <w:rsid w:val="73A77236"/>
    <w:rsid w:val="73B76B14"/>
    <w:rsid w:val="73CE05C8"/>
    <w:rsid w:val="74027120"/>
    <w:rsid w:val="7440414A"/>
    <w:rsid w:val="74597322"/>
    <w:rsid w:val="74B37547"/>
    <w:rsid w:val="74EBB814"/>
    <w:rsid w:val="74F42793"/>
    <w:rsid w:val="75092ABC"/>
    <w:rsid w:val="750D7E98"/>
    <w:rsid w:val="751F5C31"/>
    <w:rsid w:val="75499311"/>
    <w:rsid w:val="755F6773"/>
    <w:rsid w:val="756E67ED"/>
    <w:rsid w:val="757B07FD"/>
    <w:rsid w:val="75A41141"/>
    <w:rsid w:val="75B118FB"/>
    <w:rsid w:val="75FB5E58"/>
    <w:rsid w:val="76117975"/>
    <w:rsid w:val="7632520E"/>
    <w:rsid w:val="765615F1"/>
    <w:rsid w:val="76622199"/>
    <w:rsid w:val="76712296"/>
    <w:rsid w:val="767652A8"/>
    <w:rsid w:val="76A82910"/>
    <w:rsid w:val="76E807EC"/>
    <w:rsid w:val="76FD7797"/>
    <w:rsid w:val="77192D56"/>
    <w:rsid w:val="777079AD"/>
    <w:rsid w:val="77DFB228"/>
    <w:rsid w:val="77F932E0"/>
    <w:rsid w:val="78385573"/>
    <w:rsid w:val="78646262"/>
    <w:rsid w:val="78874BB4"/>
    <w:rsid w:val="78946A6F"/>
    <w:rsid w:val="78CF4C8A"/>
    <w:rsid w:val="78CF590A"/>
    <w:rsid w:val="7913706C"/>
    <w:rsid w:val="794B7D9C"/>
    <w:rsid w:val="799338DA"/>
    <w:rsid w:val="799C6B9D"/>
    <w:rsid w:val="799F3238"/>
    <w:rsid w:val="79A70B92"/>
    <w:rsid w:val="79BD41C2"/>
    <w:rsid w:val="7A3B36A9"/>
    <w:rsid w:val="7A401A3A"/>
    <w:rsid w:val="7A611CBD"/>
    <w:rsid w:val="7ACF01A2"/>
    <w:rsid w:val="7AD061B2"/>
    <w:rsid w:val="7AD84697"/>
    <w:rsid w:val="7AE918CD"/>
    <w:rsid w:val="7B3303F3"/>
    <w:rsid w:val="7B6833E5"/>
    <w:rsid w:val="7B9D0E88"/>
    <w:rsid w:val="7BE17CCF"/>
    <w:rsid w:val="7BFBA993"/>
    <w:rsid w:val="7BFBAB29"/>
    <w:rsid w:val="7C10559B"/>
    <w:rsid w:val="7C3471C4"/>
    <w:rsid w:val="7D033001"/>
    <w:rsid w:val="7D500092"/>
    <w:rsid w:val="7D584CA2"/>
    <w:rsid w:val="7D5C3245"/>
    <w:rsid w:val="7D6925E9"/>
    <w:rsid w:val="7D6F453F"/>
    <w:rsid w:val="7DCB1578"/>
    <w:rsid w:val="7DFB7239"/>
    <w:rsid w:val="7DFD5226"/>
    <w:rsid w:val="7E1D7FA5"/>
    <w:rsid w:val="7E2969CB"/>
    <w:rsid w:val="7E3A1FB9"/>
    <w:rsid w:val="7E515F86"/>
    <w:rsid w:val="7E5B2F60"/>
    <w:rsid w:val="7ECD4EAB"/>
    <w:rsid w:val="7ED43DD4"/>
    <w:rsid w:val="7F023C68"/>
    <w:rsid w:val="7F027446"/>
    <w:rsid w:val="7F104911"/>
    <w:rsid w:val="7F3C5DB2"/>
    <w:rsid w:val="7F50607E"/>
    <w:rsid w:val="7F5724B5"/>
    <w:rsid w:val="7F5E96C4"/>
    <w:rsid w:val="7F73122C"/>
    <w:rsid w:val="7F7F9C3C"/>
    <w:rsid w:val="7F854EFC"/>
    <w:rsid w:val="7F8963F8"/>
    <w:rsid w:val="7FBF5E51"/>
    <w:rsid w:val="7FD2F7DB"/>
    <w:rsid w:val="7FF65F05"/>
    <w:rsid w:val="7FFC03A8"/>
    <w:rsid w:val="7FFDD5E0"/>
    <w:rsid w:val="7FFFD2A8"/>
    <w:rsid w:val="97BF568E"/>
    <w:rsid w:val="97FF0C9B"/>
    <w:rsid w:val="A65BFCF2"/>
    <w:rsid w:val="AD3F6BA7"/>
    <w:rsid w:val="AEBF24CF"/>
    <w:rsid w:val="BEFEAF53"/>
    <w:rsid w:val="BF9B9E8B"/>
    <w:rsid w:val="BFEF0A90"/>
    <w:rsid w:val="BFFB8A96"/>
    <w:rsid w:val="BFFBC8E2"/>
    <w:rsid w:val="CF5FAA61"/>
    <w:rsid w:val="CFFDE188"/>
    <w:rsid w:val="D779509E"/>
    <w:rsid w:val="DAE98030"/>
    <w:rsid w:val="DBFC2DAC"/>
    <w:rsid w:val="DEF79C17"/>
    <w:rsid w:val="DFFD4476"/>
    <w:rsid w:val="E3F31B5A"/>
    <w:rsid w:val="E77FB029"/>
    <w:rsid w:val="E7FF7D65"/>
    <w:rsid w:val="E7FFFCB9"/>
    <w:rsid w:val="EBFB0AF1"/>
    <w:rsid w:val="ECFE597C"/>
    <w:rsid w:val="EEC5936D"/>
    <w:rsid w:val="EF7F6E0E"/>
    <w:rsid w:val="EFAFA580"/>
    <w:rsid w:val="EFE31AD5"/>
    <w:rsid w:val="EFF7C251"/>
    <w:rsid w:val="EFFC0CE8"/>
    <w:rsid w:val="F5F6466D"/>
    <w:rsid w:val="F77EABDF"/>
    <w:rsid w:val="FAE43EF2"/>
    <w:rsid w:val="FAFF6502"/>
    <w:rsid w:val="FC963BD8"/>
    <w:rsid w:val="FDE81FC7"/>
    <w:rsid w:val="FDFF782F"/>
    <w:rsid w:val="FEBF9360"/>
    <w:rsid w:val="FEC0D99D"/>
    <w:rsid w:val="FECF7BEC"/>
    <w:rsid w:val="FF075838"/>
    <w:rsid w:val="FF5F9900"/>
    <w:rsid w:val="FFDFCB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rPr>
      <w:rFonts w:ascii="宋体" w:hAnsi="宋体" w:eastAsia="宋体" w:cs="宋体"/>
      <w:sz w:val="24"/>
      <w:szCs w:val="24"/>
      <w:lang w:val="en-US" w:eastAsia="zh-CN" w:bidi="ar-SA"/>
    </w:rPr>
  </w:style>
  <w:style w:type="paragraph" w:styleId="3">
    <w:name w:val="heading 1"/>
    <w:basedOn w:val="1"/>
    <w:next w:val="1"/>
    <w:qFormat/>
    <w:uiPriority w:val="0"/>
    <w:pPr>
      <w:widowControl w:val="0"/>
      <w:autoSpaceDE w:val="0"/>
      <w:autoSpaceDN w:val="0"/>
      <w:ind w:left="860"/>
      <w:outlineLvl w:val="0"/>
    </w:pPr>
    <w:rPr>
      <w:rFonts w:ascii="微软雅黑" w:hAnsi="微软雅黑" w:eastAsia="微软雅黑" w:cs="微软雅黑"/>
      <w:b/>
      <w:bCs/>
      <w:sz w:val="32"/>
      <w:szCs w:val="32"/>
    </w:rPr>
  </w:style>
  <w:style w:type="paragraph" w:styleId="4">
    <w:name w:val="heading 2"/>
    <w:basedOn w:val="1"/>
    <w:next w:val="1"/>
    <w:unhideWhenUsed/>
    <w:qFormat/>
    <w:uiPriority w:val="0"/>
    <w:pPr>
      <w:keepNext/>
      <w:keepLines/>
      <w:widowControl w:val="0"/>
      <w:autoSpaceDE w:val="0"/>
      <w:autoSpaceDN w:val="0"/>
      <w:spacing w:before="260" w:after="260" w:line="416" w:lineRule="auto"/>
      <w:outlineLvl w:val="1"/>
    </w:pPr>
    <w:rPr>
      <w:rFonts w:ascii="Arial" w:hAnsi="Arial" w:eastAsia="黑体"/>
      <w:b/>
      <w:bCs/>
      <w:sz w:val="32"/>
      <w:szCs w:val="32"/>
    </w:rPr>
  </w:style>
  <w:style w:type="paragraph" w:styleId="5">
    <w:name w:val="heading 3"/>
    <w:basedOn w:val="1"/>
    <w:next w:val="1"/>
    <w:unhideWhenUsed/>
    <w:qFormat/>
    <w:uiPriority w:val="0"/>
    <w:pPr>
      <w:widowControl w:val="0"/>
      <w:autoSpaceDE w:val="0"/>
      <w:autoSpaceDN w:val="0"/>
      <w:ind w:left="1093"/>
      <w:outlineLvl w:val="2"/>
    </w:pPr>
    <w:rPr>
      <w:rFonts w:ascii="微软雅黑" w:hAnsi="微软雅黑" w:eastAsia="微软雅黑" w:cs="微软雅黑"/>
      <w:b/>
      <w:bCs/>
      <w:sz w:val="28"/>
      <w:szCs w:val="28"/>
    </w:rPr>
  </w:style>
  <w:style w:type="character" w:default="1" w:styleId="17">
    <w:name w:val="Default Paragraph Font"/>
    <w:unhideWhenUsed/>
    <w:qFormat/>
    <w:uiPriority w:val="1"/>
  </w:style>
  <w:style w:type="table" w:default="1" w:styleId="15">
    <w:name w:val="Normal Table"/>
    <w:unhideWhenUsed/>
    <w:qFormat/>
    <w:uiPriority w:val="99"/>
    <w:tblPr>
      <w:tblCellMar>
        <w:top w:w="0" w:type="dxa"/>
        <w:left w:w="108" w:type="dxa"/>
        <w:bottom w:w="0" w:type="dxa"/>
        <w:right w:w="108" w:type="dxa"/>
      </w:tblCellMar>
    </w:tblPr>
  </w:style>
  <w:style w:type="paragraph" w:styleId="2">
    <w:name w:val="Body Text"/>
    <w:basedOn w:val="1"/>
    <w:qFormat/>
    <w:uiPriority w:val="0"/>
    <w:pPr>
      <w:widowControl w:val="0"/>
      <w:autoSpaceDE w:val="0"/>
      <w:autoSpaceDN w:val="0"/>
      <w:spacing w:before="190"/>
      <w:ind w:left="220"/>
    </w:pPr>
    <w:rPr>
      <w:sz w:val="32"/>
      <w:szCs w:val="32"/>
    </w:rPr>
  </w:style>
  <w:style w:type="paragraph" w:styleId="6">
    <w:name w:val="annotation text"/>
    <w:basedOn w:val="1"/>
    <w:link w:val="29"/>
    <w:qFormat/>
    <w:uiPriority w:val="0"/>
  </w:style>
  <w:style w:type="paragraph" w:styleId="7">
    <w:name w:val="toc 3"/>
    <w:basedOn w:val="1"/>
    <w:next w:val="1"/>
    <w:qFormat/>
    <w:uiPriority w:val="0"/>
    <w:pPr>
      <w:ind w:left="840" w:leftChars="400"/>
    </w:pPr>
  </w:style>
  <w:style w:type="paragraph" w:styleId="8">
    <w:name w:val="footer"/>
    <w:basedOn w:val="1"/>
    <w:qFormat/>
    <w:uiPriority w:val="0"/>
    <w:pPr>
      <w:widowControl w:val="0"/>
      <w:tabs>
        <w:tab w:val="center" w:pos="4153"/>
        <w:tab w:val="right" w:pos="8306"/>
      </w:tabs>
      <w:autoSpaceDE w:val="0"/>
      <w:autoSpaceDN w:val="0"/>
      <w:snapToGrid w:val="0"/>
    </w:pPr>
    <w:rPr>
      <w:sz w:val="18"/>
      <w:szCs w:val="22"/>
    </w:rPr>
  </w:style>
  <w:style w:type="paragraph" w:styleId="9">
    <w:name w:val="header"/>
    <w:basedOn w:val="1"/>
    <w:qFormat/>
    <w:uiPriority w:val="0"/>
    <w:pPr>
      <w:widowControl w:val="0"/>
      <w:pBdr>
        <w:top w:val="none" w:color="auto" w:sz="0" w:space="1"/>
        <w:left w:val="none" w:color="auto" w:sz="0" w:space="4"/>
        <w:bottom w:val="none" w:color="auto" w:sz="0" w:space="1"/>
        <w:right w:val="none" w:color="auto" w:sz="0" w:space="4"/>
      </w:pBdr>
      <w:tabs>
        <w:tab w:val="center" w:pos="4153"/>
        <w:tab w:val="right" w:pos="8306"/>
      </w:tabs>
      <w:autoSpaceDE w:val="0"/>
      <w:autoSpaceDN w:val="0"/>
      <w:snapToGrid w:val="0"/>
      <w:jc w:val="both"/>
    </w:pPr>
    <w:rPr>
      <w:rFonts w:ascii="DejaVu Sans" w:hAnsi="DejaVu Sans"/>
      <w:sz w:val="18"/>
      <w:szCs w:val="22"/>
    </w:rPr>
  </w:style>
  <w:style w:type="paragraph" w:styleId="10">
    <w:name w:val="toc 1"/>
    <w:basedOn w:val="1"/>
    <w:next w:val="1"/>
    <w:qFormat/>
    <w:uiPriority w:val="0"/>
    <w:pPr>
      <w:widowControl w:val="0"/>
      <w:autoSpaceDE w:val="0"/>
      <w:autoSpaceDN w:val="0"/>
      <w:spacing w:before="119"/>
      <w:ind w:left="220"/>
    </w:pPr>
    <w:rPr>
      <w:rFonts w:ascii="微软雅黑" w:hAnsi="微软雅黑" w:eastAsia="微软雅黑" w:cs="微软雅黑"/>
      <w:b/>
      <w:bCs/>
      <w:sz w:val="20"/>
      <w:szCs w:val="20"/>
    </w:rPr>
  </w:style>
  <w:style w:type="paragraph" w:styleId="11">
    <w:name w:val="toc 2"/>
    <w:basedOn w:val="1"/>
    <w:next w:val="1"/>
    <w:qFormat/>
    <w:uiPriority w:val="0"/>
    <w:pPr>
      <w:widowControl w:val="0"/>
      <w:autoSpaceDE w:val="0"/>
      <w:autoSpaceDN w:val="0"/>
      <w:spacing w:before="183"/>
      <w:ind w:left="779"/>
    </w:pPr>
    <w:rPr>
      <w:sz w:val="20"/>
      <w:szCs w:val="20"/>
    </w:rPr>
  </w:style>
  <w:style w:type="paragraph" w:styleId="12">
    <w:name w:val="Normal (Web)"/>
    <w:basedOn w:val="1"/>
    <w:unhideWhenUsed/>
    <w:qFormat/>
    <w:uiPriority w:val="99"/>
    <w:pPr>
      <w:spacing w:before="100" w:beforeAutospacing="1" w:after="100" w:afterAutospacing="1"/>
    </w:pPr>
  </w:style>
  <w:style w:type="paragraph" w:styleId="13">
    <w:name w:val="Title"/>
    <w:basedOn w:val="1"/>
    <w:qFormat/>
    <w:uiPriority w:val="0"/>
    <w:pPr>
      <w:widowControl w:val="0"/>
      <w:autoSpaceDE w:val="0"/>
      <w:autoSpaceDN w:val="0"/>
      <w:spacing w:before="21"/>
      <w:ind w:left="1964" w:right="784" w:hanging="1282"/>
    </w:pPr>
    <w:rPr>
      <w:rFonts w:ascii="黑体" w:hAnsi="黑体" w:eastAsia="黑体" w:cs="黑体"/>
      <w:b/>
      <w:bCs/>
      <w:sz w:val="56"/>
      <w:szCs w:val="56"/>
    </w:rPr>
  </w:style>
  <w:style w:type="paragraph" w:styleId="14">
    <w:name w:val="annotation subject"/>
    <w:basedOn w:val="6"/>
    <w:next w:val="6"/>
    <w:link w:val="30"/>
    <w:qFormat/>
    <w:uiPriority w:val="0"/>
    <w:rPr>
      <w:b/>
      <w:bCs/>
    </w:rPr>
  </w:style>
  <w:style w:type="table" w:styleId="16">
    <w:name w:val="Table Grid"/>
    <w:basedOn w:val="1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FollowedHyperlink"/>
    <w:basedOn w:val="17"/>
    <w:qFormat/>
    <w:uiPriority w:val="0"/>
    <w:rPr>
      <w:color w:val="800080"/>
      <w:u w:val="single"/>
    </w:rPr>
  </w:style>
  <w:style w:type="character" w:styleId="19">
    <w:name w:val="Hyperlink"/>
    <w:basedOn w:val="17"/>
    <w:qFormat/>
    <w:uiPriority w:val="0"/>
    <w:rPr>
      <w:color w:val="0000FF"/>
      <w:u w:val="single"/>
    </w:rPr>
  </w:style>
  <w:style w:type="character" w:styleId="20">
    <w:name w:val="annotation reference"/>
    <w:basedOn w:val="17"/>
    <w:qFormat/>
    <w:uiPriority w:val="0"/>
    <w:rPr>
      <w:sz w:val="21"/>
      <w:szCs w:val="21"/>
    </w:rPr>
  </w:style>
  <w:style w:type="paragraph" w:customStyle="1" w:styleId="21">
    <w:name w:val="列表段落1"/>
    <w:basedOn w:val="1"/>
    <w:qFormat/>
    <w:uiPriority w:val="1"/>
    <w:pPr>
      <w:widowControl w:val="0"/>
      <w:autoSpaceDE w:val="0"/>
      <w:autoSpaceDN w:val="0"/>
      <w:spacing w:before="190"/>
      <w:ind w:left="1182" w:hanging="323"/>
    </w:pPr>
    <w:rPr>
      <w:sz w:val="22"/>
      <w:szCs w:val="22"/>
    </w:rPr>
  </w:style>
  <w:style w:type="paragraph" w:customStyle="1" w:styleId="22">
    <w:name w:val="Table Paragraph"/>
    <w:basedOn w:val="1"/>
    <w:qFormat/>
    <w:uiPriority w:val="1"/>
    <w:pPr>
      <w:widowControl w:val="0"/>
      <w:autoSpaceDE w:val="0"/>
      <w:autoSpaceDN w:val="0"/>
    </w:pPr>
    <w:rPr>
      <w:sz w:val="22"/>
      <w:szCs w:val="22"/>
    </w:rPr>
  </w:style>
  <w:style w:type="paragraph" w:customStyle="1" w:styleId="23">
    <w:name w:val="WPSOffice手动目录 1"/>
    <w:qFormat/>
    <w:uiPriority w:val="0"/>
    <w:rPr>
      <w:rFonts w:ascii="Times New Roman" w:hAnsi="Times New Roman" w:eastAsia="宋体" w:cs="Times New Roman"/>
      <w:lang w:val="en-US" w:eastAsia="zh-CN" w:bidi="ar-SA"/>
    </w:rPr>
  </w:style>
  <w:style w:type="paragraph" w:customStyle="1" w:styleId="24">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25">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26">
    <w:name w:val="列出段落1"/>
    <w:basedOn w:val="1"/>
    <w:qFormat/>
    <w:uiPriority w:val="34"/>
    <w:pPr>
      <w:widowControl w:val="0"/>
      <w:autoSpaceDE w:val="0"/>
      <w:autoSpaceDN w:val="0"/>
      <w:ind w:firstLine="420" w:firstLineChars="200"/>
    </w:pPr>
    <w:rPr>
      <w:sz w:val="22"/>
      <w:szCs w:val="22"/>
    </w:rPr>
  </w:style>
  <w:style w:type="character" w:customStyle="1" w:styleId="27">
    <w:name w:val="apple-converted-space"/>
    <w:basedOn w:val="17"/>
    <w:qFormat/>
    <w:uiPriority w:val="0"/>
  </w:style>
  <w:style w:type="paragraph" w:customStyle="1" w:styleId="28">
    <w:name w:val="List Paragraph"/>
    <w:basedOn w:val="1"/>
    <w:qFormat/>
    <w:uiPriority w:val="99"/>
    <w:pPr>
      <w:widowControl w:val="0"/>
      <w:autoSpaceDE w:val="0"/>
      <w:autoSpaceDN w:val="0"/>
      <w:ind w:firstLine="420" w:firstLineChars="200"/>
    </w:pPr>
    <w:rPr>
      <w:sz w:val="22"/>
      <w:szCs w:val="22"/>
    </w:rPr>
  </w:style>
  <w:style w:type="character" w:customStyle="1" w:styleId="29">
    <w:name w:val="批注文字 字符"/>
    <w:basedOn w:val="17"/>
    <w:link w:val="6"/>
    <w:qFormat/>
    <w:uiPriority w:val="0"/>
    <w:rPr>
      <w:rFonts w:ascii="宋体" w:hAnsi="宋体" w:cs="宋体"/>
      <w:sz w:val="24"/>
      <w:szCs w:val="24"/>
    </w:rPr>
  </w:style>
  <w:style w:type="character" w:customStyle="1" w:styleId="30">
    <w:name w:val="批注主题 字符"/>
    <w:basedOn w:val="29"/>
    <w:link w:val="14"/>
    <w:qFormat/>
    <w:uiPriority w:val="0"/>
    <w:rPr>
      <w:rFonts w:ascii="宋体" w:hAnsi="宋体" w:cs="宋体"/>
      <w:b/>
      <w:bCs/>
      <w:sz w:val="24"/>
      <w:szCs w:val="24"/>
    </w:rPr>
  </w:style>
  <w:style w:type="character" w:customStyle="1" w:styleId="31">
    <w:name w:val="font11"/>
    <w:basedOn w:val="17"/>
    <w:qFormat/>
    <w:uiPriority w:val="0"/>
    <w:rPr>
      <w:rFonts w:hint="default" w:ascii="仿宋_GB2312" w:eastAsia="仿宋_GB2312" w:cs="仿宋_GB2312"/>
      <w:color w:val="000000"/>
      <w:sz w:val="24"/>
      <w:szCs w:val="24"/>
      <w:u w:val="none"/>
    </w:rPr>
  </w:style>
  <w:style w:type="character" w:customStyle="1" w:styleId="32">
    <w:name w:val="font01"/>
    <w:basedOn w:val="17"/>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2.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49</Pages>
  <Words>21487</Words>
  <Characters>23080</Characters>
  <Lines>226</Lines>
  <Paragraphs>63</Paragraphs>
  <TotalTime>1</TotalTime>
  <ScaleCrop>false</ScaleCrop>
  <LinksUpToDate>false</LinksUpToDate>
  <CharactersWithSpaces>25244</CharactersWithSpaces>
  <Application>WPS Office_11.1.0.12598_F1E327BC-269C-435d-A152-05C5408002CA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2021-07-29T07:54:00Z</dcterms:created>
  <dc:creator>michaelzhang</dc:creator>
  <cp:lastModifiedBy>℉™</cp:lastModifiedBy>
  <dcterms:modified xsi:type="dcterms:W3CDTF">2022-10-31T01:39:05Z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2052-11.1.0.12598</vt:lpwstr>
  </property>
  <property fmtid="{D5CDD505-2E9C-101B-9397-08002B2CF9AE}" pid="3" name="ICV">
    <vt:lpwstr>8569F57E886743CFBF8F065686E960A4</vt:lpwstr>
  </property>
</Properties>
</file>