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line="360" w:lineRule="auto"/>
        <w:ind w:left="0" w:right="0" w:firstLine="0"/>
        <w:jc w:val="center"/>
        <w:rPr>
          <w:rFonts w:hint="eastAsia" w:ascii="楷体" w:hAnsi="楷体" w:eastAsia="楷体" w:cs="楷体"/>
          <w:sz w:val="36"/>
          <w:szCs w:val="36"/>
          <w:highlight w:val="none"/>
        </w:rPr>
      </w:pPr>
    </w:p>
    <w:p>
      <w:pPr>
        <w:jc w:val="center"/>
        <w:rPr>
          <w:rFonts w:hint="default" w:ascii="楷体" w:hAnsi="楷体" w:eastAsia="楷体" w:cs="楷体"/>
          <w:b/>
          <w:color w:val="auto"/>
          <w:sz w:val="36"/>
          <w:szCs w:val="36"/>
          <w:highlight w:val="none"/>
          <w:lang w:val="en-US" w:eastAsia="zh-CN"/>
        </w:rPr>
      </w:pPr>
      <w:r>
        <w:rPr>
          <w:rFonts w:hint="eastAsia" w:ascii="楷体" w:hAnsi="楷体" w:eastAsia="楷体" w:cs="楷体"/>
          <w:b/>
          <w:color w:val="auto"/>
          <w:sz w:val="36"/>
          <w:szCs w:val="36"/>
          <w:highlight w:val="none"/>
        </w:rPr>
        <w:t>铜川市</w:t>
      </w:r>
      <w:r>
        <w:rPr>
          <w:rFonts w:hint="eastAsia" w:ascii="楷体" w:hAnsi="楷体" w:eastAsia="楷体" w:cs="楷体"/>
          <w:b/>
          <w:color w:val="auto"/>
          <w:sz w:val="36"/>
          <w:szCs w:val="36"/>
          <w:highlight w:val="none"/>
          <w:lang w:val="en-US" w:eastAsia="zh-CN"/>
        </w:rPr>
        <w:t>新区2021年度农业农村局部门整体支出</w:t>
      </w:r>
    </w:p>
    <w:p>
      <w:pPr>
        <w:jc w:val="center"/>
        <w:rPr>
          <w:rFonts w:hint="eastAsia" w:ascii="黑体" w:hAnsi="黑体" w:eastAsia="黑体" w:cs="黑体"/>
          <w:b/>
          <w:color w:val="auto"/>
          <w:sz w:val="56"/>
          <w:szCs w:val="5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黑体" w:hAnsi="黑体" w:eastAsia="黑体" w:cs="黑体"/>
          <w:b/>
          <w:color w:val="auto"/>
          <w:sz w:val="72"/>
          <w:szCs w:val="72"/>
          <w:highlight w:val="none"/>
          <w:lang w:val="en-US" w:eastAsia="zh-CN"/>
        </w:rPr>
      </w:pPr>
      <w:r>
        <w:rPr>
          <w:rFonts w:hint="eastAsia" w:ascii="黑体" w:hAnsi="黑体" w:eastAsia="黑体" w:cs="黑体"/>
          <w:b/>
          <w:color w:val="auto"/>
          <w:sz w:val="72"/>
          <w:szCs w:val="72"/>
          <w:highlight w:val="none"/>
          <w:lang w:val="en-US" w:eastAsia="zh-CN"/>
        </w:rPr>
        <w:t>绩 效 评 价 报 告</w:t>
      </w: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default" w:ascii="仿宋_GB2312" w:hAnsi="仿宋_GB2312" w:eastAsia="仿宋_GB2312" w:cs="仿宋_GB2312"/>
          <w:b w:val="0"/>
          <w:bCs/>
          <w:color w:val="auto"/>
          <w:sz w:val="32"/>
          <w:szCs w:val="32"/>
          <w:highlight w:val="none"/>
          <w:u w:val="none"/>
          <w:lang w:val="en-US"/>
        </w:rPr>
      </w:pPr>
      <w:r>
        <w:rPr>
          <w:rFonts w:hint="eastAsia" w:ascii="楷体" w:hAnsi="楷体" w:eastAsia="楷体" w:cs="楷体"/>
          <w:b w:val="0"/>
          <w:bCs/>
          <w:color w:val="auto"/>
          <w:sz w:val="32"/>
          <w:szCs w:val="32"/>
          <w:highlight w:val="none"/>
          <w:u w:val="none"/>
          <w:lang w:val="en-US" w:eastAsia="zh-CN"/>
        </w:rPr>
        <w:t xml:space="preserve">        </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项目单位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铜川市新区农业农村局         </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组织单位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铜川市新区财政局 </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评价机构</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深圳市万德公共咨询有限公司</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报告编号：铜新评审-05</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 xml:space="preserve">编制日期：2022年10月    </w:t>
      </w:r>
    </w:p>
    <w:p>
      <w:pPr>
        <w:ind w:firstLine="640" w:firstLineChars="200"/>
        <w:jc w:val="both"/>
        <w:rPr>
          <w:rFonts w:hint="eastAsia" w:ascii="楷体" w:hAnsi="楷体" w:eastAsia="楷体" w:cs="楷体"/>
          <w:b w:val="0"/>
          <w:bCs/>
          <w:color w:val="auto"/>
          <w:sz w:val="32"/>
          <w:szCs w:val="32"/>
          <w:highlight w:val="none"/>
          <w:u w:val="none"/>
          <w:lang w:val="en-US" w:eastAsia="zh-CN"/>
        </w:rPr>
      </w:pPr>
    </w:p>
    <w:p>
      <w:pPr>
        <w:ind w:firstLine="640" w:firstLineChars="200"/>
        <w:jc w:val="both"/>
        <w:rPr>
          <w:rFonts w:hint="default" w:ascii="楷体" w:hAnsi="楷体" w:eastAsia="楷体" w:cs="楷体"/>
          <w:b w:val="0"/>
          <w:bCs/>
          <w:color w:val="auto"/>
          <w:sz w:val="32"/>
          <w:szCs w:val="32"/>
          <w:highlight w:val="none"/>
          <w:u w:val="none"/>
          <w:lang w:val="en-US" w:eastAsia="zh-CN"/>
        </w:rPr>
      </w:pPr>
    </w:p>
    <w:p>
      <w:pPr>
        <w:jc w:val="both"/>
        <w:rPr>
          <w:rFonts w:hint="default" w:ascii="仿宋_GB2312" w:hAnsi="仿宋_GB2312" w:eastAsia="仿宋_GB2312" w:cs="仿宋_GB2312"/>
          <w:b w:val="0"/>
          <w:bCs/>
          <w:color w:val="auto"/>
          <w:sz w:val="32"/>
          <w:szCs w:val="32"/>
          <w:highlight w:val="none"/>
          <w:u w:val="none"/>
          <w:lang w:val="en-US" w:eastAsia="zh-CN"/>
        </w:rPr>
        <w:sectPr>
          <w:pgSz w:w="11906" w:h="16838"/>
          <w:pgMar w:top="2098" w:right="1474" w:bottom="1984" w:left="1587" w:header="851" w:footer="992" w:gutter="0"/>
          <w:pgNumType w:fmt="decimal"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b/>
          <w:bCs/>
          <w:color w:val="auto"/>
          <w:sz w:val="36"/>
          <w:szCs w:val="36"/>
          <w:highlight w:val="none"/>
          <w:lang w:val="en-US" w:eastAsia="zh-CN"/>
        </w:rPr>
      </w:pPr>
      <w:r>
        <w:rPr>
          <w:rFonts w:hint="eastAsia" w:ascii="宋体" w:hAnsi="宋体"/>
          <w:b/>
          <w:bCs/>
          <w:color w:val="auto"/>
          <w:sz w:val="36"/>
          <w:szCs w:val="36"/>
          <w:highlight w:val="none"/>
          <w:lang w:val="en-US" w:eastAsia="zh-CN"/>
        </w:rPr>
        <w:t>铜川市</w:t>
      </w:r>
      <w:r>
        <w:rPr>
          <w:rFonts w:hint="eastAsia"/>
          <w:b/>
          <w:bCs/>
          <w:color w:val="auto"/>
          <w:sz w:val="36"/>
          <w:szCs w:val="36"/>
          <w:highlight w:val="none"/>
          <w:lang w:val="en-US" w:eastAsia="zh-CN"/>
        </w:rPr>
        <w:t>新区</w:t>
      </w:r>
      <w:r>
        <w:rPr>
          <w:rFonts w:hint="eastAsia" w:ascii="宋体" w:hAnsi="宋体"/>
          <w:b/>
          <w:bCs/>
          <w:color w:val="auto"/>
          <w:sz w:val="36"/>
          <w:szCs w:val="36"/>
          <w:highlight w:val="none"/>
          <w:lang w:val="en-US" w:eastAsia="zh-CN"/>
        </w:rPr>
        <w:t>202</w:t>
      </w:r>
      <w:r>
        <w:rPr>
          <w:rFonts w:hint="eastAsia"/>
          <w:b/>
          <w:bCs/>
          <w:color w:val="auto"/>
          <w:sz w:val="36"/>
          <w:szCs w:val="36"/>
          <w:highlight w:val="none"/>
          <w:lang w:val="en-US" w:eastAsia="zh-CN"/>
        </w:rPr>
        <w:t>1</w:t>
      </w:r>
      <w:r>
        <w:rPr>
          <w:rFonts w:hint="eastAsia" w:ascii="宋体" w:hAnsi="宋体"/>
          <w:b/>
          <w:bCs/>
          <w:color w:val="auto"/>
          <w:sz w:val="36"/>
          <w:szCs w:val="36"/>
          <w:highlight w:val="none"/>
          <w:lang w:val="en-US" w:eastAsia="zh-CN"/>
        </w:rPr>
        <w:t>年度</w:t>
      </w:r>
      <w:r>
        <w:rPr>
          <w:rFonts w:hint="eastAsia"/>
          <w:b/>
          <w:bCs/>
          <w:color w:val="auto"/>
          <w:sz w:val="36"/>
          <w:szCs w:val="36"/>
          <w:highlight w:val="none"/>
          <w:lang w:val="en-US" w:eastAsia="zh-CN"/>
        </w:rPr>
        <w:t>农业农村</w:t>
      </w:r>
      <w:r>
        <w:rPr>
          <w:rFonts w:hint="eastAsia" w:ascii="宋体" w:hAnsi="宋体"/>
          <w:b/>
          <w:bCs/>
          <w:color w:val="auto"/>
          <w:sz w:val="36"/>
          <w:szCs w:val="36"/>
          <w:highlight w:val="none"/>
          <w:lang w:val="en-US" w:eastAsia="zh-CN"/>
        </w:rPr>
        <w:t>部门整体支出重点</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eastAsia="宋体" w:cs="宋体"/>
          <w:b/>
          <w:bCs/>
          <w:color w:val="auto"/>
          <w:kern w:val="2"/>
          <w:sz w:val="36"/>
          <w:szCs w:val="36"/>
          <w:highlight w:val="none"/>
        </w:rPr>
      </w:pPr>
      <w:r>
        <w:rPr>
          <w:rFonts w:hint="eastAsia" w:ascii="宋体" w:hAnsi="宋体"/>
          <w:b/>
          <w:bCs/>
          <w:color w:val="auto"/>
          <w:sz w:val="36"/>
          <w:szCs w:val="36"/>
          <w:highlight w:val="none"/>
          <w:lang w:val="en-US" w:eastAsia="zh-CN"/>
        </w:rPr>
        <w:t>绩效评价总览</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2042"/>
        <w:gridCol w:w="1726"/>
        <w:gridCol w:w="3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一、项目预算资金安排和使用情况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项目名称</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铜川市新区2021年度农业农村局部门整体支出绩效评价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实施单位</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主管处室</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铜川市新区财政局农财科</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主管部门</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铜川市新区农业农村局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年度预算资金安排</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6123.26万元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其中</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当年财政拨款6123.26万元（100%）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年度实际支出</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年度支出5954.92万元，占比97.25%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二、绩效目标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绩效目标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在工委管委会的正确领导和上级部门的坚强领导下，以实施乡村振兴战略为总抓手，按照新区农业农村工作的总体部署，围绕全年农业农村各项工作目标任务，紧抓疫情不放松，强化责任、狠抓落实，较好地完成各项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主要指标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工作完成率、质量达标率、完成及时率、重点工作办结率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241" w:type="pct"/>
            <w:noWrap w:val="0"/>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完成情况</w:t>
            </w:r>
          </w:p>
        </w:tc>
        <w:tc>
          <w:tcPr>
            <w:tcW w:w="3758" w:type="pct"/>
            <w:gridSpan w:val="3"/>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1.以乡村振兴为抓手，深入推进“三农”工作。</w:t>
            </w:r>
          </w:p>
          <w:p>
            <w:pPr>
              <w:keepNext w:val="0"/>
              <w:keepLines w:val="0"/>
              <w:widowControl/>
              <w:suppressLineNumbers w:val="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2.加强水利建设，夯实发展基础。</w:t>
            </w:r>
          </w:p>
          <w:p>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 xml:space="preserve">3.加强生态文明建设，促进林业可持续发展。             </w:t>
            </w:r>
          </w:p>
          <w:p>
            <w:pPr>
              <w:keepNext w:val="0"/>
              <w:keepLines w:val="0"/>
              <w:widowControl/>
              <w:suppressLineNumbers w:val="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4.深化产改工作，蓄力高质量发展。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三、综合评价结论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restart"/>
            <w:noWrap w:val="0"/>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经综合评价表明，部门履职整体表现良好，综合评分为85.93分，绩效等级为“良”。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四、主要经验及做法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部门职责履行产出良好。2021年度内完成镇域经济监测评价、果业工作管理和培训、特色产业发展、加强水利建设、重点区域造林绿化和集体资产清查工作，部门年度工作任务全部完成。2.履职效益显著。通过部门履职，推动农村居民人均可支配收入同比增长11.8%，农林牧渔业产值增加，全年粮食产量明显增加。有效保障农村饮水安全达一万人次以上完成水利项目投资目标任务，及时完成头筹整合财政涉农资金支付，为各项农村供水巩固提升工程的顺利建设提供资金保障，确保全区农村供水工程良性运行。通过“厕所革命”工作开展，有效改善农村人居环境和空气质量优良度，助推美丽乡村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五、存在主要问题及有关建议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 xml:space="preserve">存在问题：1.绩效目标管理工作有待加强。2.预算执行管理有待强化。3.部门公用经费控制需进一步提升。                            </w:t>
            </w:r>
          </w:p>
          <w:p>
            <w:pPr>
              <w:keepNext w:val="0"/>
              <w:keepLines w:val="0"/>
              <w:widowControl/>
              <w:suppressLineNumbers w:val="0"/>
              <w:ind w:firstLine="480" w:firstLineChars="20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相关建议：1.强化绩效目标管理，树立绩效管理理念。2.加强预算执行监控，完善预算调整工作。3.加强部门成本控制，落实“过紧日子”思想。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六、综合评价得分和等级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13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67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投入</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15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3.6</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24</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22.33</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89.32</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35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35</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效果</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25</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25</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2042"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u w:val="none"/>
                <w:lang w:val="en-US" w:eastAsia="zh-CN" w:bidi="ar"/>
              </w:rPr>
              <w:t>100</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cs="宋体"/>
                <w:i w:val="0"/>
                <w:color w:val="000000"/>
                <w:kern w:val="0"/>
                <w:sz w:val="24"/>
                <w:szCs w:val="24"/>
                <w:u w:val="none"/>
                <w:lang w:val="en-US" w:eastAsia="zh-CN" w:bidi="ar"/>
              </w:rPr>
              <w:t>85.93</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cs="宋体"/>
                <w:i w:val="0"/>
                <w:color w:val="000000"/>
                <w:kern w:val="0"/>
                <w:sz w:val="24"/>
                <w:szCs w:val="24"/>
                <w:u w:val="none"/>
                <w:lang w:val="en-US" w:eastAsia="zh-CN" w:bidi="ar"/>
              </w:rPr>
              <w:t>85.93</w:t>
            </w:r>
            <w:r>
              <w:rPr>
                <w:rFonts w:hint="eastAsia" w:ascii="宋体" w:hAnsi="宋体" w:eastAsia="宋体" w:cs="宋体"/>
                <w:i w:val="0"/>
                <w:color w:val="000000"/>
                <w:kern w:val="0"/>
                <w:sz w:val="24"/>
                <w:szCs w:val="24"/>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绩效评价得分：</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cs="宋体"/>
                <w:i w:val="0"/>
                <w:color w:val="000000"/>
                <w:kern w:val="0"/>
                <w:sz w:val="24"/>
                <w:szCs w:val="24"/>
                <w:u w:val="none"/>
                <w:lang w:val="en-US" w:eastAsia="zh-CN" w:bidi="ar"/>
              </w:rPr>
              <w:t>85.93</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良</w:t>
            </w:r>
          </w:p>
        </w:tc>
      </w:tr>
    </w:tbl>
    <w:p>
      <w:pPr>
        <w:pStyle w:val="2"/>
        <w:rPr>
          <w:rFonts w:hint="eastAsia"/>
        </w:rPr>
        <w:sectPr>
          <w:headerReference r:id="rId3" w:type="default"/>
          <w:footerReference r:id="rId4" w:type="default"/>
          <w:pgSz w:w="11910" w:h="16840"/>
          <w:pgMar w:top="2098" w:right="1474" w:bottom="1984" w:left="1587" w:header="1017" w:footer="1206" w:gutter="0"/>
          <w:pgNumType w:fmt="numberInDash" w:start="1"/>
          <w:cols w:equalWidth="0" w:num="1">
            <w:col w:w="8810"/>
          </w:cols>
        </w:sectPr>
      </w:pPr>
    </w:p>
    <w:p>
      <w:pPr>
        <w:keepNext w:val="0"/>
        <w:keepLines w:val="0"/>
        <w:pageBreakBefore w:val="0"/>
        <w:widowControl/>
        <w:shd w:val="clear" w:color="auto" w:fill="FFFFFF"/>
        <w:kinsoku/>
        <w:wordWrap/>
        <w:overflowPunct/>
        <w:topLinePunct w:val="0"/>
        <w:autoSpaceDE/>
        <w:autoSpaceDN/>
        <w:bidi w:val="0"/>
        <w:adjustRightInd/>
        <w:snapToGrid/>
        <w:spacing w:before="480" w:after="360"/>
        <w:jc w:val="center"/>
        <w:textAlignment w:val="auto"/>
        <w:outlineLvl w:val="0"/>
        <w:rPr>
          <w:rFonts w:hint="eastAsia" w:ascii="宋体" w:hAnsi="宋体" w:eastAsia="宋体" w:cs="宋体"/>
          <w:color w:val="auto"/>
          <w:kern w:val="0"/>
          <w:sz w:val="36"/>
          <w:szCs w:val="36"/>
          <w:highlight w:val="none"/>
          <w:lang w:val="en-US" w:eastAsia="zh-CN"/>
        </w:rPr>
      </w:pPr>
      <w:bookmarkStart w:id="0" w:name="_Toc11411"/>
      <w:r>
        <w:rPr>
          <w:rFonts w:hint="eastAsia" w:ascii="宋体" w:hAnsi="宋体" w:eastAsia="宋体" w:cs="宋体"/>
          <w:b/>
          <w:sz w:val="36"/>
          <w:szCs w:val="36"/>
          <w:highlight w:val="none"/>
          <w:lang w:val="en-US" w:eastAsia="zh-Hans"/>
        </w:rPr>
        <w:t>摘</w:t>
      </w:r>
      <w:r>
        <w:rPr>
          <w:rFonts w:hint="eastAsia" w:ascii="宋体" w:hAnsi="宋体" w:eastAsia="宋体" w:cs="宋体"/>
          <w:b/>
          <w:sz w:val="36"/>
          <w:szCs w:val="36"/>
          <w:highlight w:val="none"/>
          <w:lang w:eastAsia="zh-Hans"/>
        </w:rPr>
        <w:t xml:space="preserve"> </w:t>
      </w:r>
      <w:r>
        <w:rPr>
          <w:rFonts w:hint="eastAsia" w:ascii="宋体" w:hAnsi="宋体" w:eastAsia="宋体" w:cs="宋体"/>
          <w:b/>
          <w:sz w:val="36"/>
          <w:szCs w:val="36"/>
          <w:highlight w:val="none"/>
          <w:lang w:val="en-US" w:eastAsia="zh-Hans"/>
        </w:rPr>
        <w:t>要</w:t>
      </w:r>
      <w:bookmarkEnd w:id="0"/>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 w:eastAsia="仿宋_GB2312" w:cs="宋体"/>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文件要求，从投入、过程、产出、效果四个维度对新区农业农村局2021年度部门整体支出进行绩效评价。经过资料审查、数据采集、现场访谈、社会调查等评价程序，运用科学、合理的绩效评价方法，形成本绩效评价报告</w:t>
      </w:r>
      <w:r>
        <w:rPr>
          <w:rFonts w:hint="eastAsia" w:ascii="仿宋_GB2312" w:hAnsi="仿宋" w:eastAsia="仿宋_GB2312" w:cs="宋体"/>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二</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综合评价结论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 w:eastAsia="仿宋_GB2312" w:cs="宋体"/>
          <w:color w:val="auto"/>
          <w:kern w:val="0"/>
          <w:sz w:val="32"/>
          <w:szCs w:val="32"/>
          <w:highlight w:val="none"/>
          <w:lang w:val="en-US" w:eastAsia="zh-Hans"/>
        </w:rPr>
      </w:pPr>
      <w:r>
        <w:rPr>
          <w:rFonts w:hint="eastAsia" w:ascii="仿宋_GB2312" w:hAnsi="仿宋" w:eastAsia="仿宋_GB2312" w:cs="宋体"/>
          <w:color w:val="auto"/>
          <w:kern w:val="0"/>
          <w:sz w:val="32"/>
          <w:szCs w:val="32"/>
          <w:highlight w:val="none"/>
          <w:lang w:val="en-US" w:eastAsia="zh-Hans"/>
        </w:rPr>
        <w:t>综合分析表明</w:t>
      </w:r>
      <w:r>
        <w:rPr>
          <w:rFonts w:hint="default" w:ascii="仿宋_GB2312" w:hAnsi="仿宋" w:eastAsia="仿宋_GB2312" w:cs="宋体"/>
          <w:color w:val="auto"/>
          <w:kern w:val="0"/>
          <w:sz w:val="32"/>
          <w:szCs w:val="32"/>
          <w:highlight w:val="none"/>
          <w:lang w:eastAsia="zh-Hans"/>
        </w:rPr>
        <w:t>，</w:t>
      </w:r>
      <w:r>
        <w:rPr>
          <w:rFonts w:hint="eastAsia" w:ascii="仿宋_GB2312" w:hAnsi="仿宋" w:eastAsia="仿宋_GB2312" w:cs="宋体"/>
          <w:color w:val="auto"/>
          <w:kern w:val="0"/>
          <w:sz w:val="32"/>
          <w:szCs w:val="32"/>
          <w:highlight w:val="none"/>
          <w:lang w:val="en-US" w:eastAsia="zh-Hans"/>
        </w:rPr>
        <w:t>总体上</w:t>
      </w:r>
      <w:r>
        <w:rPr>
          <w:rFonts w:hint="eastAsia" w:ascii="仿宋_GB2312" w:hAnsi="仿宋" w:eastAsia="仿宋_GB2312" w:cs="宋体"/>
          <w:color w:val="auto"/>
          <w:kern w:val="0"/>
          <w:sz w:val="32"/>
          <w:szCs w:val="32"/>
          <w:highlight w:val="none"/>
          <w:lang w:val="en-US" w:eastAsia="zh-CN"/>
        </w:rPr>
        <w:t>新区农业农村局</w:t>
      </w:r>
      <w:r>
        <w:rPr>
          <w:rFonts w:hint="eastAsia" w:ascii="仿宋_GB2312" w:hAnsi="仿宋" w:eastAsia="仿宋_GB2312" w:cs="宋体"/>
          <w:color w:val="auto"/>
          <w:kern w:val="0"/>
          <w:sz w:val="32"/>
          <w:szCs w:val="32"/>
          <w:highlight w:val="none"/>
          <w:lang w:val="en-US" w:eastAsia="zh-Hans"/>
        </w:rPr>
        <w:t>在</w:t>
      </w:r>
      <w:r>
        <w:rPr>
          <w:rFonts w:hint="eastAsia" w:ascii="仿宋_GB2312" w:hAnsi="仿宋" w:eastAsia="仿宋_GB2312" w:cs="宋体"/>
          <w:color w:val="auto"/>
          <w:kern w:val="0"/>
          <w:sz w:val="32"/>
          <w:szCs w:val="32"/>
          <w:highlight w:val="none"/>
          <w:lang w:val="en-US" w:eastAsia="zh-CN"/>
        </w:rPr>
        <w:t>履职效益</w:t>
      </w:r>
      <w:r>
        <w:rPr>
          <w:rFonts w:hint="eastAsia" w:ascii="仿宋_GB2312" w:hAnsi="仿宋" w:eastAsia="仿宋_GB2312" w:cs="宋体"/>
          <w:color w:val="auto"/>
          <w:kern w:val="0"/>
          <w:sz w:val="32"/>
          <w:szCs w:val="32"/>
          <w:highlight w:val="none"/>
          <w:lang w:val="en-US" w:eastAsia="zh-Hans"/>
        </w:rPr>
        <w:t>方面表现较好，但在投入</w:t>
      </w:r>
      <w:r>
        <w:rPr>
          <w:rFonts w:hint="eastAsia" w:ascii="仿宋_GB2312" w:hAnsi="仿宋" w:eastAsia="仿宋_GB2312" w:cs="宋体"/>
          <w:color w:val="auto"/>
          <w:kern w:val="0"/>
          <w:sz w:val="32"/>
          <w:szCs w:val="32"/>
          <w:highlight w:val="none"/>
          <w:lang w:val="en-US" w:eastAsia="zh-CN"/>
        </w:rPr>
        <w:t>、</w:t>
      </w:r>
      <w:r>
        <w:rPr>
          <w:rFonts w:hint="eastAsia" w:ascii="仿宋_GB2312" w:hAnsi="仿宋" w:eastAsia="仿宋_GB2312" w:cs="宋体"/>
          <w:color w:val="auto"/>
          <w:kern w:val="0"/>
          <w:sz w:val="32"/>
          <w:szCs w:val="32"/>
          <w:highlight w:val="none"/>
          <w:lang w:val="en-US" w:eastAsia="zh-Hans"/>
        </w:rPr>
        <w:t>过程</w:t>
      </w:r>
      <w:r>
        <w:rPr>
          <w:rFonts w:hint="eastAsia" w:ascii="仿宋_GB2312" w:hAnsi="仿宋" w:eastAsia="仿宋_GB2312" w:cs="宋体"/>
          <w:color w:val="auto"/>
          <w:kern w:val="0"/>
          <w:sz w:val="32"/>
          <w:szCs w:val="32"/>
          <w:highlight w:val="none"/>
          <w:lang w:val="en-US" w:eastAsia="zh-CN"/>
        </w:rPr>
        <w:t>和职责履行</w:t>
      </w:r>
      <w:r>
        <w:rPr>
          <w:rFonts w:hint="eastAsia" w:ascii="仿宋_GB2312" w:hAnsi="仿宋" w:eastAsia="仿宋_GB2312" w:cs="宋体"/>
          <w:color w:val="auto"/>
          <w:kern w:val="0"/>
          <w:sz w:val="32"/>
          <w:szCs w:val="32"/>
          <w:highlight w:val="none"/>
          <w:lang w:val="en-US" w:eastAsia="zh-Hans"/>
        </w:rPr>
        <w:t>方面存在一定问题。参照陕西省省级部门整体支出绩效评价管理办法及铜川市市级部门预算绩效目标管理暂行办法，评价结果分为优(</w:t>
      </w:r>
      <w:r>
        <w:rPr>
          <w:rFonts w:hint="default" w:ascii="仿宋_GB2312" w:hAnsi="仿宋" w:eastAsia="仿宋_GB2312" w:cs="宋体"/>
          <w:color w:val="auto"/>
          <w:kern w:val="0"/>
          <w:sz w:val="32"/>
          <w:szCs w:val="32"/>
          <w:highlight w:val="none"/>
          <w:lang w:eastAsia="zh-Hans"/>
        </w:rPr>
        <w:t>90</w:t>
      </w:r>
      <w:r>
        <w:rPr>
          <w:rFonts w:hint="eastAsia" w:ascii="仿宋_GB2312" w:hAnsi="仿宋" w:eastAsia="仿宋_GB2312" w:cs="宋体"/>
          <w:color w:val="auto"/>
          <w:kern w:val="0"/>
          <w:sz w:val="32"/>
          <w:szCs w:val="32"/>
          <w:highlight w:val="none"/>
          <w:lang w:val="en-US" w:eastAsia="zh-Hans"/>
        </w:rPr>
        <w:t>分以上)、良(8</w:t>
      </w:r>
      <w:r>
        <w:rPr>
          <w:rFonts w:hint="default" w:ascii="仿宋_GB2312" w:hAnsi="仿宋" w:eastAsia="仿宋_GB2312" w:cs="宋体"/>
          <w:color w:val="auto"/>
          <w:kern w:val="0"/>
          <w:sz w:val="32"/>
          <w:szCs w:val="32"/>
          <w:highlight w:val="none"/>
          <w:lang w:eastAsia="zh-Hans"/>
        </w:rPr>
        <w:t>0</w:t>
      </w:r>
      <w:r>
        <w:rPr>
          <w:rFonts w:hint="eastAsia" w:ascii="仿宋_GB2312" w:hAnsi="仿宋" w:eastAsia="仿宋_GB2312" w:cs="宋体"/>
          <w:color w:val="auto"/>
          <w:kern w:val="0"/>
          <w:sz w:val="32"/>
          <w:szCs w:val="32"/>
          <w:highlight w:val="none"/>
          <w:lang w:val="en-US" w:eastAsia="zh-Hans"/>
        </w:rPr>
        <w:t>含-</w:t>
      </w:r>
      <w:r>
        <w:rPr>
          <w:rFonts w:hint="default" w:ascii="仿宋_GB2312" w:hAnsi="仿宋" w:eastAsia="仿宋_GB2312" w:cs="宋体"/>
          <w:color w:val="auto"/>
          <w:kern w:val="0"/>
          <w:sz w:val="32"/>
          <w:szCs w:val="32"/>
          <w:highlight w:val="none"/>
          <w:lang w:eastAsia="zh-Hans"/>
        </w:rPr>
        <w:t>9</w:t>
      </w:r>
      <w:r>
        <w:rPr>
          <w:rFonts w:hint="eastAsia" w:ascii="仿宋_GB2312" w:hAnsi="仿宋" w:eastAsia="仿宋_GB2312" w:cs="宋体"/>
          <w:color w:val="auto"/>
          <w:kern w:val="0"/>
          <w:sz w:val="32"/>
          <w:szCs w:val="32"/>
          <w:highlight w:val="none"/>
          <w:lang w:val="en-US" w:eastAsia="zh-Hans"/>
        </w:rPr>
        <w:t>0分)、中(</w:t>
      </w:r>
      <w:r>
        <w:rPr>
          <w:rFonts w:hint="default" w:ascii="仿宋_GB2312" w:hAnsi="仿宋" w:eastAsia="仿宋_GB2312" w:cs="宋体"/>
          <w:color w:val="auto"/>
          <w:kern w:val="0"/>
          <w:sz w:val="32"/>
          <w:szCs w:val="32"/>
          <w:highlight w:val="none"/>
          <w:lang w:eastAsia="zh-Hans"/>
        </w:rPr>
        <w:t>60</w:t>
      </w:r>
      <w:r>
        <w:rPr>
          <w:rFonts w:hint="eastAsia" w:ascii="仿宋_GB2312" w:hAnsi="仿宋" w:eastAsia="仿宋_GB2312" w:cs="宋体"/>
          <w:color w:val="auto"/>
          <w:kern w:val="0"/>
          <w:sz w:val="32"/>
          <w:szCs w:val="32"/>
          <w:highlight w:val="none"/>
          <w:lang w:val="en-US" w:eastAsia="zh-Hans"/>
        </w:rPr>
        <w:t>含-</w:t>
      </w:r>
      <w:r>
        <w:rPr>
          <w:rFonts w:hint="default" w:ascii="仿宋_GB2312" w:hAnsi="仿宋" w:eastAsia="仿宋_GB2312" w:cs="宋体"/>
          <w:color w:val="auto"/>
          <w:kern w:val="0"/>
          <w:sz w:val="32"/>
          <w:szCs w:val="32"/>
          <w:highlight w:val="none"/>
          <w:lang w:eastAsia="zh-Hans"/>
        </w:rPr>
        <w:t>8</w:t>
      </w:r>
      <w:r>
        <w:rPr>
          <w:rFonts w:hint="eastAsia" w:ascii="仿宋_GB2312" w:hAnsi="仿宋" w:eastAsia="仿宋_GB2312" w:cs="宋体"/>
          <w:color w:val="auto"/>
          <w:kern w:val="0"/>
          <w:sz w:val="32"/>
          <w:szCs w:val="32"/>
          <w:highlight w:val="none"/>
          <w:lang w:val="en-US" w:eastAsia="zh-Hans"/>
        </w:rPr>
        <w:t>0分) 和差(</w:t>
      </w:r>
      <w:r>
        <w:rPr>
          <w:rFonts w:hint="default" w:ascii="仿宋_GB2312" w:hAnsi="仿宋" w:eastAsia="仿宋_GB2312" w:cs="宋体"/>
          <w:color w:val="auto"/>
          <w:kern w:val="0"/>
          <w:sz w:val="32"/>
          <w:szCs w:val="32"/>
          <w:highlight w:val="none"/>
          <w:lang w:eastAsia="zh-Hans"/>
        </w:rPr>
        <w:t>60</w:t>
      </w:r>
      <w:r>
        <w:rPr>
          <w:rFonts w:hint="eastAsia" w:ascii="仿宋_GB2312" w:hAnsi="仿宋" w:eastAsia="仿宋_GB2312" w:cs="宋体"/>
          <w:color w:val="auto"/>
          <w:kern w:val="0"/>
          <w:sz w:val="32"/>
          <w:szCs w:val="32"/>
          <w:highlight w:val="none"/>
          <w:lang w:val="en-US" w:eastAsia="zh-Hans"/>
        </w:rPr>
        <w:t>分以下)四个等次。经综合分析，该部门整体支出综合评价得分为</w:t>
      </w:r>
      <w:r>
        <w:rPr>
          <w:rFonts w:hint="eastAsia" w:ascii="仿宋_GB2312" w:hAnsi="仿宋" w:eastAsia="仿宋_GB2312" w:cs="宋体"/>
          <w:color w:val="auto"/>
          <w:kern w:val="0"/>
          <w:sz w:val="32"/>
          <w:szCs w:val="32"/>
          <w:highlight w:val="none"/>
          <w:lang w:val="en-US" w:eastAsia="zh-CN"/>
        </w:rPr>
        <w:t>85.93</w:t>
      </w:r>
      <w:r>
        <w:rPr>
          <w:rFonts w:hint="eastAsia" w:ascii="仿宋_GB2312" w:hAnsi="仿宋" w:eastAsia="仿宋_GB2312" w:cs="宋体"/>
          <w:color w:val="auto"/>
          <w:kern w:val="0"/>
          <w:sz w:val="32"/>
          <w:szCs w:val="32"/>
          <w:highlight w:val="none"/>
          <w:lang w:val="en-US" w:eastAsia="zh-Hans"/>
        </w:rPr>
        <w:t>分，绩效等级为“</w:t>
      </w:r>
      <w:r>
        <w:rPr>
          <w:rFonts w:hint="eastAsia" w:ascii="仿宋_GB2312" w:hAnsi="仿宋" w:eastAsia="仿宋_GB2312" w:cs="宋体"/>
          <w:color w:val="auto"/>
          <w:kern w:val="0"/>
          <w:sz w:val="32"/>
          <w:szCs w:val="32"/>
          <w:highlight w:val="none"/>
          <w:lang w:val="en-US" w:eastAsia="zh-CN"/>
        </w:rPr>
        <w:t>良</w:t>
      </w:r>
      <w:r>
        <w:rPr>
          <w:rFonts w:hint="eastAsia" w:ascii="仿宋_GB2312" w:hAnsi="仿宋" w:eastAsia="仿宋_GB2312" w:cs="宋体"/>
          <w:color w:val="auto"/>
          <w:kern w:val="0"/>
          <w:sz w:val="32"/>
          <w:szCs w:val="32"/>
          <w:highlight w:val="none"/>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三</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bidi="ar-SA"/>
        </w:rPr>
        <w:t>1.部门职责履行产出良好。2021年度内完成镇域经济监测评价、果业工作管理和培训、特色产业发展、加强水利建设、重点区域造林绿化和集体资产清查工作，部门年度工作任务全部完成，年度重点工作全部及时保质保量完成</w:t>
      </w:r>
      <w:r>
        <w:rPr>
          <w:rFonts w:hint="eastAsia" w:ascii="仿宋" w:hAnsi="仿宋" w:eastAsia="仿宋" w:cs="仿宋"/>
          <w:color w:val="auto"/>
          <w:kern w:val="0"/>
          <w:sz w:val="32"/>
          <w:szCs w:val="32"/>
          <w:highlight w:val="none"/>
          <w:shd w:val="clear" w:color="auto" w:fill="FFFFFF"/>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default" w:ascii="仿宋" w:hAnsi="仿宋" w:eastAsia="仿宋" w:cs="仿宋"/>
          <w:color w:val="auto"/>
          <w:kern w:val="0"/>
          <w:sz w:val="32"/>
          <w:szCs w:val="32"/>
          <w:highlight w:val="none"/>
          <w:shd w:val="clear" w:color="auto" w:fill="FFFFFF"/>
          <w:lang w:val="en-US" w:eastAsia="zh-Hans" w:bidi="ar-SA"/>
        </w:rPr>
      </w:pPr>
      <w:r>
        <w:rPr>
          <w:rFonts w:hint="eastAsia" w:ascii="仿宋" w:hAnsi="仿宋" w:eastAsia="仿宋" w:cs="仿宋"/>
          <w:color w:val="auto"/>
          <w:kern w:val="0"/>
          <w:sz w:val="32"/>
          <w:szCs w:val="32"/>
          <w:highlight w:val="none"/>
          <w:shd w:val="clear" w:color="auto" w:fill="FFFFFF"/>
          <w:lang w:val="en-US" w:eastAsia="zh-CN" w:bidi="ar-SA"/>
        </w:rPr>
        <w:t>2.履职效益显著。通过部门履职，推动农村居民人均可支配收入同比增长11.8%，农林牧渔业产值增加，全年粮食产量明显增加。有效保障农村饮水安全达一万人次以上完成水利项目投资目标任务，及时完成头筹整合财政涉农资金支付，为各项农村供水巩固提升工程的顺利建设提供资金保障，确保全区农村供水工程良性运行。通过“厕所革命”工作开展，有效改善农村人居环境和空气质量优良度，助推美丽乡村建设。</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kern w:val="0"/>
          <w:sz w:val="32"/>
          <w:szCs w:val="32"/>
          <w:highlight w:val="none"/>
          <w:lang w:val="en-US" w:eastAsia="zh-Hans"/>
        </w:rPr>
      </w:pPr>
      <w:r>
        <w:rPr>
          <w:rFonts w:hint="eastAsia" w:ascii="黑体" w:hAnsi="黑体" w:eastAsia="黑体" w:cs="黑体"/>
          <w:color w:val="auto"/>
          <w:kern w:val="0"/>
          <w:sz w:val="32"/>
          <w:szCs w:val="32"/>
          <w:highlight w:val="none"/>
          <w:lang w:val="en-US" w:eastAsia="zh-Hans"/>
        </w:rPr>
        <w:t>四</w:t>
      </w:r>
      <w:r>
        <w:rPr>
          <w:rFonts w:hint="default" w:ascii="黑体" w:hAnsi="黑体" w:eastAsia="黑体" w:cs="黑体"/>
          <w:color w:val="auto"/>
          <w:kern w:val="0"/>
          <w:sz w:val="32"/>
          <w:szCs w:val="32"/>
          <w:highlight w:val="none"/>
          <w:lang w:eastAsia="zh-Hans"/>
        </w:rPr>
        <w:t>、</w:t>
      </w:r>
      <w:r>
        <w:rPr>
          <w:rFonts w:hint="eastAsia" w:ascii="黑体" w:hAnsi="黑体" w:eastAsia="黑体" w:cs="黑体"/>
          <w:color w:val="auto"/>
          <w:kern w:val="0"/>
          <w:sz w:val="32"/>
          <w:szCs w:val="32"/>
          <w:highlight w:val="none"/>
          <w:lang w:val="en-US" w:eastAsia="zh-Hans"/>
        </w:rPr>
        <w:t>存在的问题及建议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楷体" w:hAnsi="楷体" w:eastAsia="楷体" w:cs="楷体"/>
          <w:b/>
          <w:bCs/>
          <w:color w:val="auto"/>
          <w:kern w:val="0"/>
          <w:sz w:val="32"/>
          <w:szCs w:val="32"/>
          <w:highlight w:val="none"/>
          <w:lang w:val="en-US" w:eastAsia="zh-Hans"/>
        </w:rPr>
      </w:pPr>
      <w:r>
        <w:rPr>
          <w:rFonts w:hint="eastAsia"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一</w:t>
      </w:r>
      <w:r>
        <w:rPr>
          <w:rFonts w:hint="eastAsia"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存在的问题</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eastAsia" w:ascii="仿宋" w:hAnsi="仿宋" w:eastAsia="仿宋" w:cs="仿宋"/>
          <w:b/>
          <w:bCs/>
          <w:color w:val="auto"/>
          <w:kern w:val="0"/>
          <w:sz w:val="32"/>
          <w:szCs w:val="32"/>
          <w:highlight w:val="none"/>
          <w:shd w:val="clear" w:color="auto" w:fill="FFFFFF"/>
          <w:lang w:val="en-US" w:eastAsia="zh-Hans" w:bidi="ar-SA"/>
        </w:rPr>
      </w:pPr>
      <w:r>
        <w:rPr>
          <w:rFonts w:hint="default" w:ascii="仿宋" w:hAnsi="仿宋" w:eastAsia="仿宋" w:cs="仿宋"/>
          <w:b/>
          <w:bCs/>
          <w:color w:val="auto"/>
          <w:kern w:val="0"/>
          <w:sz w:val="32"/>
          <w:szCs w:val="32"/>
          <w:highlight w:val="none"/>
          <w:shd w:val="clear" w:color="auto" w:fill="FFFFFF"/>
          <w:lang w:val="en-US" w:eastAsia="zh-Hans" w:bidi="ar-SA"/>
        </w:rPr>
        <w:t>1</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绩效目标管理工作有待加强</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eastAsia="zh-Hans"/>
        </w:rPr>
      </w:pPr>
      <w:r>
        <w:rPr>
          <w:rFonts w:hint="eastAsia" w:ascii="仿宋" w:hAnsi="仿宋" w:eastAsia="仿宋" w:cs="仿宋"/>
          <w:color w:val="auto"/>
          <w:kern w:val="0"/>
          <w:sz w:val="32"/>
          <w:szCs w:val="32"/>
          <w:highlight w:val="none"/>
          <w:shd w:val="clear" w:color="auto" w:fill="FFFFFF"/>
          <w:lang w:val="en-US" w:eastAsia="zh-CN"/>
        </w:rPr>
        <w:t>部门年初编制部门综合预算时，未同步编制部门整体支出绩效目标体系，未根据部门中长期发展规划和部门职责，制定部门年度绩效目标。</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eastAsia" w:ascii="仿宋_GB2312" w:hAnsi="仿宋" w:eastAsia="仿宋_GB2312" w:cs="宋体"/>
          <w:b/>
          <w:bCs/>
          <w:color w:val="auto"/>
          <w:kern w:val="0"/>
          <w:sz w:val="32"/>
          <w:szCs w:val="32"/>
          <w:highlight w:val="none"/>
          <w:lang w:val="en-US" w:eastAsia="zh-CN" w:bidi="ar-SA"/>
        </w:rPr>
      </w:pPr>
      <w:r>
        <w:rPr>
          <w:rFonts w:hint="default" w:ascii="仿宋" w:hAnsi="仿宋" w:eastAsia="仿宋" w:cs="仿宋"/>
          <w:b/>
          <w:bCs/>
          <w:color w:val="auto"/>
          <w:kern w:val="0"/>
          <w:sz w:val="32"/>
          <w:szCs w:val="32"/>
          <w:highlight w:val="none"/>
          <w:shd w:val="clear" w:color="auto" w:fill="FFFFFF"/>
          <w:lang w:val="en-US" w:eastAsia="zh-Hans" w:bidi="ar-SA"/>
        </w:rPr>
        <w:t>2</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预算执行管理有待强化</w:t>
      </w:r>
      <w:r>
        <w:rPr>
          <w:rFonts w:hint="eastAsia" w:ascii="仿宋_GB2312" w:hAnsi="仿宋" w:eastAsia="仿宋_GB2312" w:cs="宋体"/>
          <w:b/>
          <w:bCs/>
          <w:color w:val="auto"/>
          <w:ker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val="en-US" w:eastAsia="zh-Hans"/>
        </w:rPr>
      </w:pPr>
      <w:r>
        <w:rPr>
          <w:rFonts w:hint="eastAsia" w:ascii="仿宋" w:hAnsi="仿宋" w:eastAsia="仿宋" w:cs="仿宋"/>
          <w:color w:val="auto"/>
          <w:kern w:val="0"/>
          <w:sz w:val="32"/>
          <w:szCs w:val="32"/>
          <w:highlight w:val="none"/>
          <w:shd w:val="clear" w:color="auto" w:fill="FFFFFF"/>
          <w:lang w:val="en-US" w:eastAsia="zh-CN"/>
        </w:rPr>
        <w:t>部门在年度预算执行过程中，部门预算调整率达到73.64%。相关预算调整数据主要体现在部门年度决算数据和文件中，未发现预算调整的相关批复文件等资料。年度预算执行过程中，资金支付进度率有待提升</w:t>
      </w:r>
      <w:r>
        <w:rPr>
          <w:rFonts w:hint="default" w:ascii="仿宋_GB2312" w:hAnsi="仿宋" w:eastAsia="仿宋_GB2312" w:cs="宋体"/>
          <w:color w:val="auto"/>
          <w:kern w:val="0"/>
          <w:sz w:val="32"/>
          <w:szCs w:val="32"/>
          <w:highlight w:val="none"/>
          <w:lang w:val="en-US" w:eastAsia="zh-Hans"/>
        </w:rPr>
        <w:t>。</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default" w:ascii="仿宋_GB2312" w:hAnsi="仿宋" w:eastAsia="仿宋_GB2312" w:cs="宋体"/>
          <w:b/>
          <w:bCs/>
          <w:color w:val="auto"/>
          <w:kern w:val="0"/>
          <w:sz w:val="32"/>
          <w:szCs w:val="32"/>
          <w:highlight w:val="none"/>
          <w:lang w:val="en-US" w:eastAsia="zh-Hans" w:bidi="ar-SA"/>
        </w:rPr>
      </w:pPr>
      <w:r>
        <w:rPr>
          <w:rFonts w:hint="default" w:ascii="仿宋_GB2312" w:hAnsi="仿宋" w:eastAsia="仿宋_GB2312" w:cs="宋体"/>
          <w:b/>
          <w:bCs/>
          <w:color w:val="auto"/>
          <w:kern w:val="0"/>
          <w:sz w:val="32"/>
          <w:szCs w:val="32"/>
          <w:highlight w:val="none"/>
          <w:lang w:val="en-US" w:eastAsia="zh-Hans" w:bidi="ar-SA"/>
        </w:rPr>
        <w:t>3</w:t>
      </w:r>
      <w:r>
        <w:rPr>
          <w:rFonts w:hint="eastAsia" w:ascii="仿宋_GB2312" w:hAnsi="仿宋" w:eastAsia="仿宋_GB2312" w:cs="宋体"/>
          <w:b/>
          <w:bCs/>
          <w:color w:val="auto"/>
          <w:kern w:val="0"/>
          <w:sz w:val="32"/>
          <w:szCs w:val="32"/>
          <w:highlight w:val="none"/>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部门公用经费控制需进一步提升</w:t>
      </w:r>
      <w:r>
        <w:rPr>
          <w:rFonts w:hint="eastAsia" w:ascii="仿宋_GB2312" w:hAnsi="仿宋" w:eastAsia="仿宋_GB2312" w:cs="宋体"/>
          <w:b/>
          <w:bCs/>
          <w:color w:val="auto"/>
          <w:ker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val="en-US" w:eastAsia="zh-Hans"/>
        </w:rPr>
      </w:pPr>
      <w:r>
        <w:rPr>
          <w:rFonts w:hint="eastAsia" w:ascii="仿宋" w:hAnsi="仿宋" w:eastAsia="仿宋" w:cs="仿宋"/>
          <w:color w:val="auto"/>
          <w:kern w:val="0"/>
          <w:sz w:val="32"/>
          <w:szCs w:val="32"/>
          <w:highlight w:val="none"/>
          <w:shd w:val="clear" w:color="auto" w:fill="FFFFFF"/>
          <w:lang w:val="en-US" w:eastAsia="zh-CN"/>
        </w:rPr>
        <w:t>2021年度部门公用经费支出预算数为7万元，年终决算时，年度公用经费支出决算数据为31.89万元，公用经费相比年初预算安排，产生预算调整，实际支出超出年初预算安排</w:t>
      </w:r>
      <w:r>
        <w:rPr>
          <w:rFonts w:hint="default" w:ascii="仿宋_GB2312" w:hAnsi="仿宋" w:eastAsia="仿宋_GB2312" w:cs="宋体"/>
          <w:color w:val="auto"/>
          <w:kern w:val="0"/>
          <w:sz w:val="32"/>
          <w:szCs w:val="32"/>
          <w:highlight w:val="none"/>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楷体" w:hAnsi="楷体" w:eastAsia="楷体" w:cs="楷体"/>
          <w:b/>
          <w:bCs/>
          <w:color w:val="auto"/>
          <w:kern w:val="0"/>
          <w:sz w:val="32"/>
          <w:szCs w:val="32"/>
          <w:highlight w:val="none"/>
          <w:lang w:eastAsia="zh-Hans"/>
        </w:rPr>
      </w:pPr>
      <w:r>
        <w:rPr>
          <w:rFonts w:hint="default"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二</w:t>
      </w:r>
      <w:r>
        <w:rPr>
          <w:rFonts w:hint="default" w:ascii="楷体" w:hAnsi="楷体" w:eastAsia="楷体" w:cs="楷体"/>
          <w:b/>
          <w:bCs/>
          <w:color w:val="auto"/>
          <w:kern w:val="0"/>
          <w:sz w:val="32"/>
          <w:szCs w:val="32"/>
          <w:highlight w:val="none"/>
          <w:lang w:eastAsia="zh-Hans"/>
        </w:rPr>
        <w:t>）</w:t>
      </w:r>
      <w:r>
        <w:rPr>
          <w:rFonts w:hint="eastAsia" w:ascii="楷体" w:hAnsi="楷体" w:eastAsia="楷体" w:cs="楷体"/>
          <w:b/>
          <w:bCs/>
          <w:color w:val="auto"/>
          <w:kern w:val="0"/>
          <w:sz w:val="32"/>
          <w:szCs w:val="32"/>
          <w:highlight w:val="none"/>
          <w:lang w:val="en-US" w:eastAsia="zh-Hans"/>
        </w:rPr>
        <w:t>有关建议</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0" w:rightChars="0" w:firstLine="643" w:firstLineChars="200"/>
        <w:jc w:val="left"/>
        <w:textAlignment w:val="auto"/>
        <w:outlineLvl w:val="9"/>
        <w:rPr>
          <w:rFonts w:hint="default" w:ascii="仿宋_GB2312" w:hAnsi="仿宋_GB2312" w:eastAsia="仿宋_GB2312" w:cs="仿宋_GB2312"/>
          <w:b/>
          <w:bCs/>
          <w:color w:val="auto"/>
          <w:kern w:val="0"/>
          <w:sz w:val="32"/>
          <w:szCs w:val="32"/>
          <w:highlight w:val="none"/>
          <w:lang w:eastAsia="zh-Hans"/>
        </w:rPr>
      </w:pPr>
      <w:r>
        <w:rPr>
          <w:rFonts w:hint="default" w:ascii="仿宋" w:hAnsi="仿宋" w:eastAsia="仿宋" w:cs="仿宋"/>
          <w:b/>
          <w:bCs/>
          <w:color w:val="auto"/>
          <w:kern w:val="0"/>
          <w:sz w:val="32"/>
          <w:szCs w:val="32"/>
          <w:highlight w:val="none"/>
          <w:shd w:val="clear" w:color="auto" w:fill="FFFFFF"/>
          <w:lang w:val="en-US" w:eastAsia="zh-Hans" w:bidi="ar-SA"/>
        </w:rPr>
        <w:t>1</w:t>
      </w:r>
      <w:r>
        <w:rPr>
          <w:rFonts w:hint="eastAsia" w:ascii="仿宋" w:hAnsi="仿宋" w:eastAsia="仿宋" w:cs="仿宋"/>
          <w:b/>
          <w:bCs/>
          <w:color w:val="auto"/>
          <w:kern w:val="0"/>
          <w:sz w:val="32"/>
          <w:szCs w:val="32"/>
          <w:highlight w:val="none"/>
          <w:shd w:val="clear" w:color="auto" w:fill="FFFFFF"/>
          <w:lang w:val="en-US" w:eastAsia="zh-Hans" w:bidi="ar-SA"/>
        </w:rPr>
        <w:t>.强化绩效目标管理，树立绩效管理理念</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eastAsia="zh-Hans"/>
        </w:rPr>
      </w:pPr>
      <w:r>
        <w:rPr>
          <w:rFonts w:hint="eastAsia" w:ascii="仿宋" w:hAnsi="仿宋" w:eastAsia="仿宋" w:cs="仿宋"/>
          <w:color w:val="auto"/>
          <w:kern w:val="0"/>
          <w:sz w:val="32"/>
          <w:szCs w:val="32"/>
          <w:highlight w:val="none"/>
          <w:shd w:val="clear" w:color="auto" w:fill="FFFFFF"/>
          <w:lang w:val="en-US" w:eastAsia="zh-CN"/>
        </w:rPr>
        <w:t>做好部门相关人员预算绩效管理培训工作，重点加强绩效目标管理培训，掌握绩效目标设定原则和设定标准，充分考量绩效目标内容全面性、目标合理性、指标明确性、数据可得性等多方面，加强部门内部绩效目标自审核，提升绩效目标的科学性、完整性</w:t>
      </w:r>
      <w:r>
        <w:rPr>
          <w:rFonts w:hint="default" w:ascii="仿宋_GB2312" w:hAnsi="仿宋" w:eastAsia="仿宋_GB2312" w:cs="宋体"/>
          <w:color w:val="auto"/>
          <w:kern w:val="0"/>
          <w:sz w:val="32"/>
          <w:szCs w:val="32"/>
          <w:highlight w:val="none"/>
          <w:lang w:val="en-US" w:eastAsia="zh-Hans"/>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0" w:rightChars="0" w:firstLine="643" w:firstLineChars="200"/>
        <w:jc w:val="left"/>
        <w:textAlignment w:val="auto"/>
        <w:outlineLvl w:val="9"/>
        <w:rPr>
          <w:rFonts w:hint="default" w:ascii="仿宋" w:hAnsi="仿宋" w:eastAsia="仿宋" w:cs="仿宋"/>
          <w:b/>
          <w:bCs/>
          <w:color w:val="auto"/>
          <w:kern w:val="0"/>
          <w:sz w:val="32"/>
          <w:szCs w:val="32"/>
          <w:highlight w:val="none"/>
          <w:shd w:val="clear" w:color="auto" w:fill="FFFFFF"/>
          <w:lang w:val="en-US" w:eastAsia="zh-Hans" w:bidi="ar-SA"/>
        </w:rPr>
      </w:pPr>
      <w:r>
        <w:rPr>
          <w:rFonts w:hint="default" w:ascii="仿宋" w:hAnsi="仿宋" w:eastAsia="仿宋" w:cs="仿宋"/>
          <w:b/>
          <w:bCs/>
          <w:color w:val="auto"/>
          <w:kern w:val="0"/>
          <w:sz w:val="32"/>
          <w:szCs w:val="32"/>
          <w:highlight w:val="none"/>
          <w:shd w:val="clear" w:color="auto" w:fill="FFFFFF"/>
          <w:lang w:val="en-US" w:eastAsia="zh-Hans" w:bidi="ar-SA"/>
        </w:rPr>
        <w:t>2</w:t>
      </w:r>
      <w:r>
        <w:rPr>
          <w:rFonts w:hint="eastAsia" w:ascii="仿宋" w:hAnsi="仿宋" w:eastAsia="仿宋" w:cs="仿宋"/>
          <w:b/>
          <w:bCs/>
          <w:color w:val="auto"/>
          <w:kern w:val="0"/>
          <w:sz w:val="32"/>
          <w:szCs w:val="32"/>
          <w:highlight w:val="none"/>
          <w:shd w:val="clear" w:color="auto" w:fill="FFFFFF"/>
          <w:lang w:val="en-US" w:eastAsia="zh-Hans" w:bidi="ar-SA"/>
        </w:rPr>
        <w:t>.</w:t>
      </w:r>
      <w:r>
        <w:rPr>
          <w:rFonts w:hint="eastAsia" w:ascii="楷体" w:hAnsi="楷体" w:eastAsia="楷体" w:cs="楷体"/>
          <w:b/>
          <w:bCs/>
          <w:color w:val="auto"/>
          <w:kern w:val="0"/>
          <w:sz w:val="32"/>
          <w:szCs w:val="32"/>
          <w:highlight w:val="none"/>
          <w:shd w:val="clear" w:color="auto" w:fill="FFFFFF"/>
          <w:lang w:val="en-US" w:eastAsia="zh-CN"/>
        </w:rPr>
        <w:t>加强预算执行监控，完善预算调整工作</w:t>
      </w:r>
      <w:r>
        <w:rPr>
          <w:rFonts w:hint="eastAsia" w:ascii="仿宋" w:hAnsi="仿宋" w:eastAsia="仿宋" w:cs="仿宋"/>
          <w:b/>
          <w:bCs/>
          <w:color w:val="auto"/>
          <w:kern w:val="0"/>
          <w:sz w:val="32"/>
          <w:szCs w:val="32"/>
          <w:highlight w:val="none"/>
          <w:shd w:val="clear" w:color="auto" w:fill="FFFFFF"/>
          <w:lang w:val="en-US" w:eastAsia="zh-CN" w:bidi="ar-SA"/>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0" w:rightChars="0" w:firstLine="640" w:firstLineChars="200"/>
        <w:jc w:val="left"/>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预算部门建立健全预算执行监控体制机制，针对预算执行进度和绩效目标实现程度开展监控，落实部门预算执行监控主体责任，加强部门“日常监控”+“重点监控”双监控机制，定期进行预算执行监控分析。</w:t>
      </w:r>
    </w:p>
    <w:p>
      <w:pPr>
        <w:pStyle w:val="2"/>
        <w:keepNext w:val="0"/>
        <w:keepLines w:val="0"/>
        <w:pageBreakBefore w:val="0"/>
        <w:widowControl w:val="0"/>
        <w:kinsoku/>
        <w:wordWrap/>
        <w:overflowPunct/>
        <w:topLinePunct w:val="0"/>
        <w:autoSpaceDE w:val="0"/>
        <w:autoSpaceDN w:val="0"/>
        <w:bidi w:val="0"/>
        <w:adjustRightInd/>
        <w:snapToGrid/>
        <w:spacing w:before="190" w:line="240" w:lineRule="auto"/>
        <w:ind w:left="0" w:leftChars="0" w:right="0" w:rightChars="0" w:firstLine="643" w:firstLineChars="200"/>
        <w:jc w:val="left"/>
        <w:textAlignment w:val="auto"/>
        <w:outlineLvl w:val="9"/>
        <w:rPr>
          <w:rFonts w:hint="default" w:ascii="仿宋" w:hAnsi="仿宋" w:eastAsia="仿宋" w:cs="仿宋"/>
          <w:b/>
          <w:bCs/>
          <w:color w:val="auto"/>
          <w:kern w:val="0"/>
          <w:sz w:val="32"/>
          <w:szCs w:val="32"/>
          <w:highlight w:val="none"/>
          <w:shd w:val="clear" w:color="auto" w:fill="FFFFFF"/>
          <w:lang w:val="en-US" w:eastAsia="zh-Hans" w:bidi="ar-SA"/>
        </w:rPr>
      </w:pPr>
      <w:r>
        <w:rPr>
          <w:rFonts w:hint="default" w:ascii="仿宋" w:hAnsi="仿宋" w:eastAsia="仿宋" w:cs="仿宋"/>
          <w:b/>
          <w:bCs/>
          <w:color w:val="auto"/>
          <w:kern w:val="0"/>
          <w:sz w:val="32"/>
          <w:szCs w:val="32"/>
          <w:highlight w:val="none"/>
          <w:shd w:val="clear" w:color="auto" w:fill="FFFFFF"/>
          <w:lang w:val="en-US" w:eastAsia="zh-Hans" w:bidi="ar-SA"/>
        </w:rPr>
        <w:t>3</w:t>
      </w:r>
      <w:r>
        <w:rPr>
          <w:rFonts w:hint="eastAsia" w:ascii="仿宋" w:hAnsi="仿宋" w:eastAsia="仿宋" w:cs="仿宋"/>
          <w:b/>
          <w:bCs/>
          <w:color w:val="auto"/>
          <w:kern w:val="0"/>
          <w:sz w:val="32"/>
          <w:szCs w:val="32"/>
          <w:highlight w:val="none"/>
          <w:shd w:val="clear" w:color="auto" w:fill="FFFFFF"/>
          <w:lang w:val="en-US" w:eastAsia="zh-Hans" w:bidi="ar-SA"/>
        </w:rPr>
        <w:t>.加强部门成本控制，落实“过紧日子”思想</w:t>
      </w:r>
      <w:r>
        <w:rPr>
          <w:rFonts w:hint="eastAsia" w:ascii="仿宋" w:hAnsi="仿宋" w:eastAsia="仿宋" w:cs="仿宋"/>
          <w:b/>
          <w:bCs/>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 w:eastAsia="仿宋_GB2312" w:cs="宋体"/>
          <w:color w:val="auto"/>
          <w:kern w:val="0"/>
          <w:sz w:val="32"/>
          <w:szCs w:val="32"/>
          <w:highlight w:val="none"/>
          <w:lang w:eastAsia="zh-Hans"/>
        </w:rPr>
      </w:pPr>
      <w:r>
        <w:rPr>
          <w:rFonts w:hint="eastAsia" w:ascii="仿宋" w:hAnsi="仿宋" w:eastAsia="仿宋" w:cs="仿宋"/>
          <w:color w:val="auto"/>
          <w:kern w:val="0"/>
          <w:sz w:val="32"/>
          <w:szCs w:val="32"/>
          <w:highlight w:val="none"/>
          <w:shd w:val="clear" w:color="auto" w:fill="FFFFFF"/>
          <w:lang w:val="en-US" w:eastAsia="zh-CN"/>
        </w:rPr>
        <w:t>建议部门不断加强“公用经费”、“会议费”、“三公经费”等费用支出控制，避免出现超预算支出、过度支出等情况</w:t>
      </w:r>
      <w:r>
        <w:rPr>
          <w:rFonts w:hint="default" w:ascii="仿宋_GB2312" w:hAnsi="仿宋" w:eastAsia="仿宋_GB2312" w:cs="宋体"/>
          <w:color w:val="auto"/>
          <w:kern w:val="0"/>
          <w:sz w:val="32"/>
          <w:szCs w:val="32"/>
          <w:highlight w:val="none"/>
          <w:lang w:eastAsia="zh-Hans"/>
        </w:rPr>
        <w:t>。</w:t>
      </w: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铜川市</w:t>
      </w:r>
      <w:r>
        <w:rPr>
          <w:rFonts w:hint="eastAsia" w:ascii="方正小标宋" w:hAnsi="方正小标宋" w:eastAsia="方正小标宋" w:cs="方正小标宋"/>
          <w:b/>
          <w:sz w:val="36"/>
          <w:highlight w:val="none"/>
          <w:lang w:val="en-US" w:eastAsia="zh-CN"/>
        </w:rPr>
        <w:t>新区2021年度农业农村局</w:t>
      </w:r>
      <w:r>
        <w:rPr>
          <w:rFonts w:hint="eastAsia" w:ascii="方正小标宋" w:hAnsi="方正小标宋" w:eastAsia="方正小标宋" w:cs="方正小标宋"/>
          <w:b/>
          <w:sz w:val="36"/>
          <w:highlight w:val="none"/>
        </w:rPr>
        <w:t>部门整体支出</w:t>
      </w: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绩效评价报告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铜川市新区财政局《关于开展2022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文件要求，从投入、过程、产出、效果四个维度对新区农业农村局2021年度部门整体支出进行绩效评价。经过资料审查、数据采集、现场访谈、社会调查等评价程序，运用科学、合理的绩效评价方法，形成本绩效评价报告。</w:t>
      </w:r>
      <w:bookmarkStart w:id="1" w:name="一、项目基本情况"/>
      <w:bookmarkEnd w:id="1"/>
      <w:bookmarkStart w:id="2" w:name="_bookmark0"/>
      <w:bookmarkEnd w:id="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3" w:name="_Toc31592"/>
      <w:r>
        <w:rPr>
          <w:rFonts w:hint="eastAsia" w:ascii="黑体" w:hAnsi="黑体" w:eastAsia="黑体" w:cs="黑体"/>
          <w:b w:val="0"/>
          <w:bCs w:val="0"/>
          <w:color w:val="auto"/>
          <w:kern w:val="0"/>
          <w:sz w:val="32"/>
          <w:szCs w:val="32"/>
          <w:highlight w:val="none"/>
          <w:lang w:val="en-US" w:eastAsia="zh-CN"/>
        </w:rPr>
        <w:t>一、部门基本情况</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4" w:name="_Toc19240"/>
      <w:r>
        <w:rPr>
          <w:rFonts w:hint="eastAsia" w:ascii="楷体" w:hAnsi="楷体" w:eastAsia="楷体" w:cs="楷体"/>
          <w:b/>
          <w:bCs/>
          <w:color w:val="auto"/>
          <w:kern w:val="0"/>
          <w:sz w:val="32"/>
          <w:szCs w:val="32"/>
          <w:highlight w:val="none"/>
          <w:lang w:val="en-US" w:eastAsia="zh-CN"/>
        </w:rPr>
        <w:t>（一）部门概况</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1.主要职</w:t>
      </w:r>
      <w:r>
        <w:rPr>
          <w:rFonts w:hint="eastAsia" w:ascii="仿宋" w:hAnsi="仿宋" w:eastAsia="仿宋" w:cs="仿宋"/>
          <w:b/>
          <w:bCs/>
          <w:color w:val="auto"/>
          <w:kern w:val="0"/>
          <w:sz w:val="32"/>
          <w:szCs w:val="32"/>
          <w:highlight w:val="none"/>
          <w:lang w:val="en-US" w:eastAsia="zh-Hans"/>
        </w:rPr>
        <w:t>责</w:t>
      </w:r>
      <w:r>
        <w:rPr>
          <w:rFonts w:hint="eastAsia" w:ascii="仿宋" w:hAnsi="仿宋" w:eastAsia="仿宋" w:cs="仿宋"/>
          <w:b/>
          <w:bCs/>
          <w:color w:val="auto"/>
          <w:kern w:val="0"/>
          <w:sz w:val="32"/>
          <w:szCs w:val="32"/>
          <w:highlight w:val="none"/>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firstLine="640" w:firstLineChars="200"/>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贯彻执行党和国家在农村农业、水务、林业、果业、扶贫、美丽乡村、以工代赈、社会主义新农村建设等方面的各项方针、政策、法规。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2.组织机构。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新区农业农村局现设有局属办公室、农业科、水务科、林业科、果业科、美丽办、农改办、新区供销社等科室。截止2021年底，本部门人员编制5人，其中行政编制5人、事业编制 0 人；实有人员4人，其中行政4人、事业0人。单位管理的离退休人员0人。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Hans"/>
        </w:rPr>
        <w:t>3.财政预决算及项目支出情况</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default" w:ascii="仿宋" w:hAnsi="仿宋" w:eastAsia="仿宋" w:cs="仿宋"/>
          <w:b/>
          <w:bCs/>
          <w:color w:val="auto"/>
          <w:kern w:val="0"/>
          <w:sz w:val="28"/>
          <w:szCs w:val="28"/>
          <w:highlight w:val="none"/>
          <w:lang w:val="en-US" w:eastAsia="zh-CN"/>
        </w:rPr>
      </w:pPr>
      <w:r>
        <w:rPr>
          <w:rFonts w:hint="eastAsia" w:ascii="仿宋" w:hAnsi="仿宋" w:eastAsia="仿宋" w:cs="仿宋"/>
          <w:color w:val="auto"/>
          <w:kern w:val="0"/>
          <w:sz w:val="32"/>
          <w:szCs w:val="32"/>
          <w:highlight w:val="none"/>
          <w:lang w:val="en-US" w:eastAsia="zh-CN"/>
        </w:rPr>
        <w:t>根据新区农业农村局2021年部门预算和决算文件内容，2021年新区农业农村局部门年初编制预算额度279.44万元，其中基本支出60.94万元，项目支出总额218.5万元。2021年度调整预算数为6123.26万元，2021年部门决算支出为5954.92万元。财政部门年度批复预算6123.26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5" w:name="_Toc2651"/>
      <w:r>
        <w:rPr>
          <w:rFonts w:hint="eastAsia" w:ascii="楷体" w:hAnsi="楷体" w:eastAsia="楷体" w:cs="楷体"/>
          <w:b/>
          <w:bCs/>
          <w:color w:val="auto"/>
          <w:kern w:val="0"/>
          <w:sz w:val="32"/>
          <w:szCs w:val="32"/>
          <w:highlight w:val="none"/>
          <w:shd w:val="clear" w:color="auto" w:fill="FFFFFF"/>
          <w:lang w:val="en-US" w:eastAsia="zh-CN"/>
        </w:rPr>
        <w:t>（二）绩效目标</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w:t>
      </w:r>
      <w:r>
        <w:rPr>
          <w:rFonts w:hint="eastAsia" w:ascii="仿宋" w:hAnsi="仿宋" w:eastAsia="仿宋" w:cs="仿宋"/>
          <w:b/>
          <w:bCs/>
          <w:color w:val="auto"/>
          <w:kern w:val="0"/>
          <w:sz w:val="32"/>
          <w:szCs w:val="32"/>
          <w:highlight w:val="none"/>
          <w:shd w:val="clear" w:color="auto" w:fill="FFFFFF"/>
          <w:lang w:val="en-US" w:eastAsia="zh-CN"/>
        </w:rPr>
        <w:t>年度工作任务。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（1）分解下达市政府下达的 2021 年重点区域造林绿化目标任务；分解落实 2021 年度创建国家森林城市目标任务，明确各责任单位任务和措施、认真对标创森5大类40项指标任务，对标补短板；收集、整理创森工作以来的各类影像资料、简报，建立创森工作档案；开展森林防火宣传及督查工作。</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继续做好镇域经济监测评价及 2020 年度考核工作；扎实开展2020年度农村集体资产清查，指导各街道办做好集体"三资"数据采集、填报、系统录入，切实做好集体资产清查汇总和审核上报工作。</w:t>
      </w:r>
    </w:p>
    <w:p>
      <w:pPr>
        <w:pStyle w:val="2"/>
        <w:keepNext w:val="0"/>
        <w:keepLines w:val="0"/>
        <w:pageBreakBefore w:val="0"/>
        <w:widowControl w:val="0"/>
        <w:numPr>
          <w:ilvl w:val="0"/>
          <w:numId w:val="2"/>
        </w:numPr>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积极宣传引导土地有序流转，发展适度规模中药材种植面积；尊重农民意愿，规范土地流转，引导土地向家庭农场、种田大户、专业合作社集中，并通过培育新型经营主体，发展适度规模经营，推行标准化生产，充分发挥农业的规模效益。。</w:t>
      </w:r>
    </w:p>
    <w:p>
      <w:pPr>
        <w:pStyle w:val="2"/>
        <w:keepNext w:val="0"/>
        <w:keepLines w:val="0"/>
        <w:pageBreakBefore w:val="0"/>
        <w:widowControl w:val="0"/>
        <w:numPr>
          <w:ilvl w:val="0"/>
          <w:numId w:val="2"/>
        </w:numPr>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做好麦田果园管理；继续开展好农林牧渔业安全生产三年攻坚行动；做好基础设施项目建设工作；做好技术培训工作。</w:t>
      </w:r>
    </w:p>
    <w:p>
      <w:pPr>
        <w:pStyle w:val="2"/>
        <w:keepNext w:val="0"/>
        <w:keepLines w:val="0"/>
        <w:pageBreakBefore w:val="0"/>
        <w:widowControl w:val="0"/>
        <w:numPr>
          <w:ilvl w:val="0"/>
          <w:numId w:val="2"/>
        </w:numPr>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确定年度农村供水巩固提升项目；尽快完成2020年度农村供水项目，积极对接相关部门，督促2020年度白家村安全饮水改造工程、豹村集中供水巩固提升工程加快完成扫尾工作，尽快申请竣工验收。同时，本着“先建机制、后建工程”的原则，将工程建后管理关口和重心前移，狠抓工程建设管理，强化建后运行管护，同时结合我区实际，引入社会企业化管理模式，确保农村供水工程良性运行；顺利完成年度水库移民后期扶持项目。</w:t>
      </w:r>
    </w:p>
    <w:p>
      <w:pPr>
        <w:pStyle w:val="2"/>
        <w:keepNext w:val="0"/>
        <w:keepLines w:val="0"/>
        <w:pageBreakBefore w:val="0"/>
        <w:widowControl w:val="0"/>
        <w:numPr>
          <w:ilvl w:val="0"/>
          <w:numId w:val="2"/>
        </w:numPr>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引导科学管理果园；加强技能培训力度。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6" w:name="_Toc22489"/>
      <w:r>
        <w:rPr>
          <w:rFonts w:hint="eastAsia" w:ascii="黑体" w:hAnsi="黑体" w:eastAsia="黑体" w:cs="黑体"/>
          <w:b w:val="0"/>
          <w:bCs w:val="0"/>
          <w:color w:val="auto"/>
          <w:kern w:val="0"/>
          <w:sz w:val="32"/>
          <w:szCs w:val="32"/>
          <w:highlight w:val="none"/>
          <w:lang w:val="en-US" w:eastAsia="zh-CN"/>
        </w:rPr>
        <w:t>二、绩效评价工作开展情况</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7" w:name="_Toc19145"/>
      <w:r>
        <w:rPr>
          <w:rFonts w:hint="eastAsia" w:ascii="楷体" w:hAnsi="楷体" w:eastAsia="楷体" w:cs="楷体"/>
          <w:b/>
          <w:bCs/>
          <w:color w:val="auto"/>
          <w:kern w:val="0"/>
          <w:sz w:val="32"/>
          <w:szCs w:val="32"/>
          <w:highlight w:val="none"/>
          <w:lang w:val="en-US" w:eastAsia="zh-CN"/>
        </w:rPr>
        <w:t>（一）绩效评价目的和依据</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推进预算绩效管理是贯彻落实党中央、国务院要求，从根本上深化行政管理体制改革、促进政府职能转变、提高部门责任意识，建设高效、责任、透明政府的有效举措，是贯彻落实科学发展观的必然选择,是实施行政问责制和加强政府效能建设的重要抓手。为深入贯彻落实科学发展观，完善公共财政体系，进一步推进财政预算绩效管理，不断提升财政管理科学化精细化水平，根据《关于全面实施预算绩效管理的意见》（中发〔2018〕34号）、《项目支出绩效评价管理办法》（财预〔2020〕10号）等文件要求，依据</w:t>
      </w:r>
      <w:r>
        <w:rPr>
          <w:rFonts w:hint="eastAsia" w:ascii="仿宋" w:hAnsi="仿宋" w:eastAsia="仿宋" w:cs="仿宋"/>
          <w:color w:val="auto"/>
          <w:kern w:val="0"/>
          <w:sz w:val="32"/>
          <w:szCs w:val="32"/>
          <w:highlight w:val="none"/>
          <w:lang w:val="en-US" w:eastAsia="zh-CN"/>
        </w:rPr>
        <w:t>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w:t>
      </w:r>
      <w:r>
        <w:rPr>
          <w:rFonts w:hint="eastAsia" w:ascii="仿宋" w:hAnsi="仿宋" w:eastAsia="仿宋" w:cs="仿宋"/>
          <w:color w:val="auto"/>
          <w:kern w:val="0"/>
          <w:sz w:val="32"/>
          <w:szCs w:val="32"/>
          <w:highlight w:val="none"/>
          <w:shd w:val="clear" w:color="auto" w:fill="FFFFFF"/>
          <w:lang w:val="en-US" w:eastAsia="zh-Hans"/>
        </w:rPr>
        <w:t>文件规定，对</w:t>
      </w:r>
      <w:r>
        <w:rPr>
          <w:rFonts w:hint="eastAsia" w:ascii="仿宋" w:hAnsi="仿宋" w:eastAsia="仿宋" w:cs="仿宋"/>
          <w:color w:val="auto"/>
          <w:kern w:val="0"/>
          <w:sz w:val="32"/>
          <w:szCs w:val="32"/>
          <w:highlight w:val="none"/>
          <w:shd w:val="clear" w:color="auto" w:fill="FFFFFF"/>
          <w:lang w:val="en-US" w:eastAsia="zh-CN"/>
        </w:rPr>
        <w:t>铜川市新区农业农村局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w:t>
      </w:r>
      <w:r>
        <w:rPr>
          <w:rFonts w:hint="eastAsia" w:ascii="仿宋" w:hAnsi="仿宋" w:eastAsia="仿宋" w:cs="仿宋"/>
          <w:color w:val="auto"/>
          <w:kern w:val="0"/>
          <w:sz w:val="32"/>
          <w:szCs w:val="32"/>
          <w:highlight w:val="none"/>
          <w:shd w:val="clear" w:color="auto" w:fill="FFFFFF"/>
          <w:lang w:val="en-US" w:eastAsia="zh-CN"/>
        </w:rPr>
        <w:t>部门</w:t>
      </w:r>
      <w:r>
        <w:rPr>
          <w:rFonts w:hint="eastAsia" w:ascii="仿宋" w:hAnsi="仿宋" w:eastAsia="仿宋" w:cs="仿宋"/>
          <w:color w:val="auto"/>
          <w:kern w:val="0"/>
          <w:sz w:val="32"/>
          <w:szCs w:val="32"/>
          <w:highlight w:val="none"/>
          <w:shd w:val="clear" w:color="auto" w:fill="FFFFFF"/>
          <w:lang w:val="en-US" w:eastAsia="zh-Hans"/>
        </w:rPr>
        <w:t>整体支出资金使用情况，以及部门职能及重点工作执行情况进行绩效评价。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1.评价目的</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本次绩效评价工作主要目的包括如下两部分：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一是通过开展部门整体支出绩效评价，促进部门从整体上提升预算绩效管理工作水平，强化部门支出责任，规范资金管理行为，提高财政资金使用效益，保障部门更好地履行职责。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二是通过本次绩效评价工作的开展，为铜川市</w:t>
      </w:r>
      <w:r>
        <w:rPr>
          <w:rFonts w:hint="eastAsia" w:ascii="仿宋" w:hAnsi="仿宋" w:eastAsia="仿宋" w:cs="仿宋"/>
          <w:color w:val="auto"/>
          <w:kern w:val="0"/>
          <w:sz w:val="32"/>
          <w:szCs w:val="32"/>
          <w:highlight w:val="none"/>
          <w:shd w:val="clear" w:color="auto" w:fill="FFFFFF"/>
          <w:lang w:val="en-US" w:eastAsia="zh-CN"/>
        </w:rPr>
        <w:t>新区</w:t>
      </w:r>
      <w:r>
        <w:rPr>
          <w:rFonts w:hint="eastAsia" w:ascii="仿宋" w:hAnsi="仿宋" w:eastAsia="仿宋" w:cs="仿宋"/>
          <w:color w:val="auto"/>
          <w:kern w:val="0"/>
          <w:sz w:val="32"/>
          <w:szCs w:val="32"/>
          <w:highlight w:val="none"/>
          <w:shd w:val="clear" w:color="auto" w:fill="FFFFFF"/>
          <w:lang w:val="en-US" w:eastAsia="zh-Hans"/>
        </w:rPr>
        <w:t>财政绩效管理工作积累经验，并有效落实绩效评价结果应用，探索更加符合财政管理特点的绩效管理模式和方法，优化</w:t>
      </w:r>
      <w:r>
        <w:rPr>
          <w:rFonts w:hint="eastAsia" w:ascii="仿宋" w:hAnsi="仿宋" w:eastAsia="仿宋" w:cs="仿宋"/>
          <w:color w:val="auto"/>
          <w:kern w:val="0"/>
          <w:sz w:val="32"/>
          <w:szCs w:val="32"/>
          <w:highlight w:val="none"/>
          <w:shd w:val="clear" w:color="auto" w:fill="FFFFFF"/>
          <w:lang w:val="en-US" w:eastAsia="zh-CN"/>
        </w:rPr>
        <w:t>财政支出结构</w:t>
      </w:r>
      <w:r>
        <w:rPr>
          <w:rFonts w:hint="eastAsia" w:ascii="仿宋" w:hAnsi="仿宋" w:eastAsia="仿宋" w:cs="仿宋"/>
          <w:color w:val="auto"/>
          <w:kern w:val="0"/>
          <w:sz w:val="32"/>
          <w:szCs w:val="32"/>
          <w:highlight w:val="none"/>
          <w:shd w:val="clear" w:color="auto" w:fill="FFFFFF"/>
          <w:lang w:val="en-US" w:eastAsia="zh-Hans"/>
        </w:rPr>
        <w:t>，提升财政支出</w:t>
      </w:r>
      <w:r>
        <w:rPr>
          <w:rFonts w:hint="eastAsia" w:ascii="仿宋" w:hAnsi="仿宋" w:eastAsia="仿宋" w:cs="仿宋"/>
          <w:color w:val="auto"/>
          <w:kern w:val="0"/>
          <w:sz w:val="32"/>
          <w:szCs w:val="32"/>
          <w:highlight w:val="none"/>
          <w:shd w:val="clear" w:color="auto" w:fill="FFFFFF"/>
          <w:lang w:val="en-US" w:eastAsia="zh-CN"/>
        </w:rPr>
        <w:t>预算</w:t>
      </w:r>
      <w:r>
        <w:rPr>
          <w:rFonts w:hint="eastAsia" w:ascii="仿宋" w:hAnsi="仿宋" w:eastAsia="仿宋" w:cs="仿宋"/>
          <w:color w:val="auto"/>
          <w:kern w:val="0"/>
          <w:sz w:val="32"/>
          <w:szCs w:val="32"/>
          <w:highlight w:val="none"/>
          <w:shd w:val="clear" w:color="auto" w:fill="FFFFFF"/>
          <w:lang w:val="en-US" w:eastAsia="zh-Hans"/>
        </w:rPr>
        <w:t>执行效率。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2.评价依据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（1）《财政部关于印发&lt;项目支出绩效评价管理办法&gt;的通知》（财预〔2020〕10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（2）《预算绩效评价共性指标体系框架》（财预〔2013〕53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（3）陕西省财政厅关于印发《省级部门整体支出绩效评价办法》的通知(陕财办预〔2017〕80 号)</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w:t>
      </w:r>
      <w:r>
        <w:rPr>
          <w:rFonts w:hint="eastAsia" w:ascii="仿宋" w:hAnsi="仿宋" w:eastAsia="仿宋" w:cs="仿宋"/>
          <w:color w:val="auto"/>
          <w:kern w:val="0"/>
          <w:sz w:val="32"/>
          <w:szCs w:val="32"/>
          <w:highlight w:val="none"/>
          <w:lang w:val="en-US" w:eastAsia="zh-CN"/>
        </w:rPr>
        <w:t>铜川市新区财政局《关于开展2021年新区项目和部门整体支出绩效自评及重点项目绩效评价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（5）</w:t>
      </w:r>
      <w:r>
        <w:rPr>
          <w:rFonts w:hint="eastAsia" w:ascii="仿宋" w:hAnsi="仿宋" w:eastAsia="仿宋" w:cs="仿宋"/>
          <w:color w:val="auto"/>
          <w:kern w:val="0"/>
          <w:sz w:val="32"/>
          <w:szCs w:val="32"/>
          <w:highlight w:val="none"/>
          <w:shd w:val="clear" w:color="auto" w:fill="FFFFFF"/>
          <w:lang w:val="en-US" w:eastAsia="zh-CN"/>
        </w:rPr>
        <w:t>铜川市新区财政局《关于下达2021年部门预算的通知》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（6）</w:t>
      </w:r>
      <w:r>
        <w:rPr>
          <w:rFonts w:hint="eastAsia" w:ascii="仿宋" w:hAnsi="仿宋" w:eastAsia="仿宋" w:cs="仿宋"/>
          <w:color w:val="auto"/>
          <w:kern w:val="0"/>
          <w:sz w:val="32"/>
          <w:szCs w:val="32"/>
          <w:highlight w:val="none"/>
          <w:shd w:val="clear" w:color="auto" w:fill="FFFFFF"/>
          <w:lang w:val="en-US" w:eastAsia="zh-Hans"/>
        </w:rPr>
        <w:t>《关于做好202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年部门预算公开的通知》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7</w:t>
      </w:r>
      <w:r>
        <w:rPr>
          <w:rFonts w:hint="eastAsia" w:ascii="仿宋" w:hAnsi="仿宋" w:eastAsia="仿宋" w:cs="仿宋"/>
          <w:color w:val="auto"/>
          <w:kern w:val="0"/>
          <w:sz w:val="32"/>
          <w:szCs w:val="32"/>
          <w:highlight w:val="none"/>
          <w:shd w:val="clear" w:color="auto" w:fill="FFFFFF"/>
          <w:lang w:val="en-US" w:eastAsia="zh-Hans"/>
        </w:rPr>
        <w:t>）《铜川市预决算公开工作考核办法》（铜财预〔2018〕117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8</w:t>
      </w:r>
      <w:r>
        <w:rPr>
          <w:rFonts w:hint="eastAsia" w:ascii="仿宋" w:hAnsi="仿宋" w:eastAsia="仿宋" w:cs="仿宋"/>
          <w:color w:val="auto"/>
          <w:kern w:val="0"/>
          <w:sz w:val="32"/>
          <w:szCs w:val="32"/>
          <w:highlight w:val="none"/>
          <w:shd w:val="clear" w:color="auto" w:fill="FFFFFF"/>
          <w:lang w:val="en-US" w:eastAsia="zh-Hans"/>
        </w:rPr>
        <w:t>）《地方预决算公开操作规程》（铜财预〔2016〕102号）；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9</w:t>
      </w:r>
      <w:r>
        <w:rPr>
          <w:rFonts w:hint="eastAsia" w:ascii="仿宋" w:hAnsi="仿宋" w:eastAsia="仿宋" w:cs="仿宋"/>
          <w:color w:val="auto"/>
          <w:kern w:val="0"/>
          <w:sz w:val="32"/>
          <w:szCs w:val="32"/>
          <w:highlight w:val="none"/>
          <w:shd w:val="clear" w:color="auto" w:fill="FFFFFF"/>
          <w:lang w:val="en-US" w:eastAsia="zh-Hans"/>
        </w:rPr>
        <w:t>）铜川市财政局印发的《市级部门预算绩效目标管理暂行办法》</w:t>
      </w:r>
      <w:bookmarkStart w:id="40" w:name="_GoBack"/>
      <w:bookmarkEnd w:id="40"/>
      <w:r>
        <w:rPr>
          <w:rFonts w:hint="eastAsia" w:ascii="仿宋" w:hAnsi="仿宋" w:eastAsia="仿宋" w:cs="仿宋"/>
          <w:color w:val="auto"/>
          <w:kern w:val="0"/>
          <w:sz w:val="32"/>
          <w:szCs w:val="32"/>
          <w:highlight w:val="none"/>
          <w:shd w:val="clear" w:color="auto" w:fill="FFFFFF"/>
          <w:lang w:val="en-US" w:eastAsia="zh-Hans"/>
        </w:rPr>
        <w:t>（铜财预〔2016〕74号）；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（10）铜川市新区农业农村局2021年度部门综合预算和决算文件；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（11）</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新区农业农村局</w:t>
      </w:r>
      <w:r>
        <w:rPr>
          <w:rFonts w:hint="eastAsia" w:ascii="仿宋" w:hAnsi="仿宋" w:eastAsia="仿宋" w:cs="仿宋"/>
          <w:color w:val="auto"/>
          <w:kern w:val="0"/>
          <w:sz w:val="32"/>
          <w:szCs w:val="32"/>
          <w:highlight w:val="none"/>
          <w:shd w:val="clear" w:color="auto" w:fill="FFFFFF"/>
          <w:lang w:val="en-US" w:eastAsia="zh-Hans"/>
        </w:rPr>
        <w:t>相关职责、制度及管理办法；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新区农业农村局2021年度重点工作</w:t>
      </w:r>
      <w:r>
        <w:rPr>
          <w:rFonts w:hint="eastAsia" w:ascii="仿宋" w:hAnsi="仿宋" w:eastAsia="仿宋" w:cs="仿宋"/>
          <w:color w:val="auto"/>
          <w:kern w:val="0"/>
          <w:sz w:val="32"/>
          <w:szCs w:val="32"/>
          <w:highlight w:val="none"/>
          <w:shd w:val="clear" w:color="auto" w:fill="FFFFFF"/>
          <w:lang w:val="en-US" w:eastAsia="zh-Hans"/>
        </w:rPr>
        <w:t>资料（预算批复文件、项目支出明细账、会计凭证等财务资料，年度工作计划、项目</w:t>
      </w:r>
      <w:r>
        <w:rPr>
          <w:rFonts w:hint="eastAsia" w:ascii="仿宋" w:hAnsi="仿宋" w:eastAsia="仿宋" w:cs="仿宋"/>
          <w:color w:val="auto"/>
          <w:kern w:val="0"/>
          <w:sz w:val="32"/>
          <w:szCs w:val="32"/>
          <w:highlight w:val="none"/>
          <w:shd w:val="clear" w:color="auto" w:fill="FFFFFF"/>
          <w:lang w:val="en-US" w:eastAsia="zh-CN"/>
        </w:rPr>
        <w:t>合同文件、验收资料</w:t>
      </w:r>
      <w:r>
        <w:rPr>
          <w:rFonts w:hint="eastAsia" w:ascii="仿宋" w:hAnsi="仿宋" w:eastAsia="仿宋" w:cs="仿宋"/>
          <w:color w:val="auto"/>
          <w:kern w:val="0"/>
          <w:sz w:val="32"/>
          <w:szCs w:val="32"/>
          <w:highlight w:val="none"/>
          <w:shd w:val="clear" w:color="auto" w:fill="FFFFFF"/>
          <w:lang w:val="en-US" w:eastAsia="zh-Hans"/>
        </w:rPr>
        <w:t>、年度工作总结、阶段总结、绩效佐证资料等档案资料）。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8" w:name="_Toc10668"/>
      <w:r>
        <w:rPr>
          <w:rFonts w:hint="eastAsia" w:ascii="楷体" w:hAnsi="楷体" w:eastAsia="楷体" w:cs="楷体"/>
          <w:b/>
          <w:bCs/>
          <w:color w:val="auto"/>
          <w:kern w:val="0"/>
          <w:sz w:val="32"/>
          <w:szCs w:val="32"/>
          <w:highlight w:val="none"/>
          <w:shd w:val="clear" w:color="auto" w:fill="FFFFFF"/>
          <w:lang w:val="en-US" w:eastAsia="zh-Hans"/>
        </w:rPr>
        <w:t>（二）评价对象、范围和时段</w:t>
      </w:r>
      <w:bookmarkEnd w:id="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评价对象：铜川市</w:t>
      </w:r>
      <w:r>
        <w:rPr>
          <w:rFonts w:hint="eastAsia" w:ascii="仿宋" w:hAnsi="仿宋" w:eastAsia="仿宋" w:cs="仿宋"/>
          <w:color w:val="auto"/>
          <w:kern w:val="0"/>
          <w:sz w:val="32"/>
          <w:szCs w:val="32"/>
          <w:highlight w:val="none"/>
          <w:shd w:val="clear" w:color="auto" w:fill="FFFFFF"/>
          <w:lang w:val="en-US" w:eastAsia="zh-CN"/>
        </w:rPr>
        <w:t>新区农业农村局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w:t>
      </w:r>
      <w:r>
        <w:rPr>
          <w:rFonts w:hint="eastAsia" w:ascii="仿宋" w:hAnsi="仿宋" w:eastAsia="仿宋" w:cs="仿宋"/>
          <w:color w:val="auto"/>
          <w:kern w:val="0"/>
          <w:sz w:val="32"/>
          <w:szCs w:val="32"/>
          <w:highlight w:val="none"/>
          <w:shd w:val="clear" w:color="auto" w:fill="FFFFFF"/>
          <w:lang w:val="en-US" w:eastAsia="zh-CN"/>
        </w:rPr>
        <w:t>财政拨款</w:t>
      </w:r>
      <w:r>
        <w:rPr>
          <w:rFonts w:hint="eastAsia" w:ascii="仿宋" w:hAnsi="仿宋" w:eastAsia="仿宋" w:cs="仿宋"/>
          <w:color w:val="auto"/>
          <w:kern w:val="0"/>
          <w:sz w:val="32"/>
          <w:szCs w:val="32"/>
          <w:highlight w:val="none"/>
          <w:shd w:val="clear" w:color="auto" w:fill="FFFFFF"/>
          <w:lang w:val="en-US" w:eastAsia="zh-Hans"/>
        </w:rPr>
        <w:t>资金</w:t>
      </w:r>
      <w:r>
        <w:rPr>
          <w:rFonts w:hint="eastAsia" w:ascii="仿宋" w:hAnsi="仿宋" w:eastAsia="仿宋" w:cs="仿宋"/>
          <w:color w:val="auto"/>
          <w:kern w:val="0"/>
          <w:sz w:val="32"/>
          <w:szCs w:val="32"/>
          <w:highlight w:val="none"/>
          <w:shd w:val="clear" w:color="auto" w:fill="FFFFFF"/>
          <w:lang w:val="en-US" w:eastAsia="zh-CN"/>
        </w:rPr>
        <w:t>6123.26万元</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评价范围：铜川市</w:t>
      </w:r>
      <w:r>
        <w:rPr>
          <w:rFonts w:hint="eastAsia" w:ascii="仿宋" w:hAnsi="仿宋" w:eastAsia="仿宋" w:cs="仿宋"/>
          <w:color w:val="auto"/>
          <w:kern w:val="0"/>
          <w:sz w:val="32"/>
          <w:szCs w:val="32"/>
          <w:highlight w:val="none"/>
          <w:shd w:val="clear" w:color="auto" w:fill="FFFFFF"/>
          <w:lang w:val="en-US" w:eastAsia="zh-CN"/>
        </w:rPr>
        <w:t>新区农业农村局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年度依据部门职能开展的工作，以及职责范围内开展的</w:t>
      </w:r>
      <w:r>
        <w:rPr>
          <w:rFonts w:hint="eastAsia" w:ascii="仿宋" w:hAnsi="仿宋" w:eastAsia="仿宋" w:cs="仿宋"/>
          <w:color w:val="auto"/>
          <w:kern w:val="0"/>
          <w:sz w:val="32"/>
          <w:szCs w:val="32"/>
          <w:highlight w:val="none"/>
          <w:shd w:val="clear" w:color="auto" w:fill="FFFFFF"/>
          <w:lang w:val="en-US" w:eastAsia="zh-CN"/>
        </w:rPr>
        <w:t>重点工作安排</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评价时段：202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年1月1日-202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9" w:name="_Toc18458"/>
      <w:r>
        <w:rPr>
          <w:rFonts w:hint="eastAsia" w:ascii="楷体" w:hAnsi="楷体" w:eastAsia="楷体" w:cs="楷体"/>
          <w:b/>
          <w:bCs/>
          <w:color w:val="auto"/>
          <w:kern w:val="0"/>
          <w:sz w:val="32"/>
          <w:szCs w:val="32"/>
          <w:highlight w:val="none"/>
          <w:shd w:val="clear" w:color="auto" w:fill="FFFFFF"/>
          <w:lang w:val="en-US" w:eastAsia="zh-Hans"/>
        </w:rPr>
        <w:t>（三）绩效评价原则、方法</w:t>
      </w:r>
      <w:r>
        <w:rPr>
          <w:rFonts w:hint="eastAsia" w:ascii="楷体" w:hAnsi="楷体" w:eastAsia="楷体" w:cs="楷体"/>
          <w:b/>
          <w:bCs/>
          <w:color w:val="auto"/>
          <w:kern w:val="0"/>
          <w:sz w:val="32"/>
          <w:szCs w:val="32"/>
          <w:highlight w:val="none"/>
          <w:shd w:val="clear" w:color="auto" w:fill="FFFFFF"/>
          <w:lang w:val="en-US" w:eastAsia="zh-CN"/>
        </w:rPr>
        <w:t>和</w:t>
      </w:r>
      <w:r>
        <w:rPr>
          <w:rFonts w:hint="eastAsia" w:ascii="楷体" w:hAnsi="楷体" w:eastAsia="楷体" w:cs="楷体"/>
          <w:b/>
          <w:bCs/>
          <w:color w:val="auto"/>
          <w:kern w:val="0"/>
          <w:sz w:val="32"/>
          <w:szCs w:val="32"/>
          <w:highlight w:val="none"/>
          <w:shd w:val="clear" w:color="auto" w:fill="FFFFFF"/>
          <w:lang w:val="en-US" w:eastAsia="zh-Hans"/>
        </w:rPr>
        <w:t>指标体系</w:t>
      </w:r>
      <w:bookmarkEnd w:id="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1.评价原则</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（1）科学规范原则。本次绩效评价工作按照科学可行的原则，采取定量分析与定性分析相结合的评价方法，评价机构设计绩效评价</w:t>
      </w:r>
      <w:r>
        <w:rPr>
          <w:rFonts w:hint="eastAsia" w:ascii="仿宋" w:hAnsi="仿宋" w:eastAsia="仿宋" w:cs="仿宋"/>
          <w:color w:val="auto"/>
          <w:kern w:val="0"/>
          <w:sz w:val="32"/>
          <w:szCs w:val="32"/>
          <w:highlight w:val="none"/>
          <w:shd w:val="clear" w:color="auto" w:fill="FFFFFF"/>
          <w:lang w:val="en-US" w:eastAsia="zh-CN"/>
        </w:rPr>
        <w:t>指标体系</w:t>
      </w:r>
      <w:r>
        <w:rPr>
          <w:rFonts w:hint="eastAsia" w:ascii="仿宋" w:hAnsi="仿宋" w:eastAsia="仿宋" w:cs="仿宋"/>
          <w:color w:val="auto"/>
          <w:kern w:val="0"/>
          <w:sz w:val="32"/>
          <w:szCs w:val="32"/>
          <w:highlight w:val="none"/>
          <w:shd w:val="clear" w:color="auto" w:fill="FFFFFF"/>
          <w:lang w:val="en-US" w:eastAsia="zh-Hans"/>
        </w:rPr>
        <w:t>并组织实施绩效评价。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（2）独立公正原则。以真实、客观、公正的要求完成本次绩效评价工作，并接受相关部门监督。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（3）绩效相关原则。本次绩效评价工作重点对该</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及其</w:t>
      </w:r>
      <w:r>
        <w:rPr>
          <w:rFonts w:hint="eastAsia" w:ascii="仿宋" w:hAnsi="仿宋" w:eastAsia="仿宋" w:cs="仿宋"/>
          <w:color w:val="auto"/>
          <w:kern w:val="0"/>
          <w:sz w:val="32"/>
          <w:szCs w:val="32"/>
          <w:highlight w:val="none"/>
          <w:shd w:val="clear" w:color="auto" w:fill="FFFFFF"/>
          <w:lang w:val="en-US" w:eastAsia="zh-CN"/>
        </w:rPr>
        <w:t>履职效益</w:t>
      </w:r>
      <w:r>
        <w:rPr>
          <w:rFonts w:hint="eastAsia" w:ascii="仿宋" w:hAnsi="仿宋" w:eastAsia="仿宋" w:cs="仿宋"/>
          <w:color w:val="auto"/>
          <w:kern w:val="0"/>
          <w:sz w:val="32"/>
          <w:szCs w:val="32"/>
          <w:highlight w:val="none"/>
          <w:shd w:val="clear" w:color="auto" w:fill="FFFFFF"/>
          <w:lang w:val="en-US" w:eastAsia="zh-Hans"/>
        </w:rPr>
        <w:t>绩效进行评价，评价结果反映</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与</w:t>
      </w:r>
      <w:r>
        <w:rPr>
          <w:rFonts w:hint="eastAsia" w:ascii="仿宋" w:hAnsi="仿宋" w:eastAsia="仿宋" w:cs="仿宋"/>
          <w:color w:val="auto"/>
          <w:kern w:val="0"/>
          <w:sz w:val="32"/>
          <w:szCs w:val="32"/>
          <w:highlight w:val="none"/>
          <w:shd w:val="clear" w:color="auto" w:fill="FFFFFF"/>
          <w:lang w:val="en-US" w:eastAsia="zh-CN"/>
        </w:rPr>
        <w:t>履行效益</w:t>
      </w:r>
      <w:r>
        <w:rPr>
          <w:rFonts w:hint="eastAsia" w:ascii="仿宋" w:hAnsi="仿宋" w:eastAsia="仿宋" w:cs="仿宋"/>
          <w:color w:val="auto"/>
          <w:kern w:val="0"/>
          <w:sz w:val="32"/>
          <w:szCs w:val="32"/>
          <w:highlight w:val="none"/>
          <w:shd w:val="clear" w:color="auto" w:fill="FFFFFF"/>
          <w:lang w:val="en-US" w:eastAsia="zh-Hans"/>
        </w:rPr>
        <w:t>之间的紧密对应关系。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（4）简便有效原则。本次绩效评价工作尽量简化工作程序，尽量减少委托方、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工作负担，通过科学合理的工作方式与方法，在全面分析绩效材料，并在与委托方、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充分沟通的基础上，着力保障绩效评价工作本身的“绩效”。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2.评价方法</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本次评价将通过文件资料研读、现场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等方法进行定性评价；通过基础数据统计分析等方法，进行定量评价。在定性评价中，也须明确支撑评价结果的证明材料，尽量减少定性评价带有的主观随意性。本次绩效评价使用（但不限于）以下几种具体的评价方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比较法。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通过对绩效目标与实施效果、历史与当期情况、不同部门和地区同类支出的比较，综合分析绩效目标实现程度。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（2）案卷研究法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对于</w:t>
      </w:r>
      <w:r>
        <w:rPr>
          <w:rFonts w:hint="eastAsia" w:ascii="仿宋" w:hAnsi="仿宋" w:eastAsia="仿宋" w:cs="仿宋"/>
          <w:color w:val="auto"/>
          <w:kern w:val="0"/>
          <w:sz w:val="32"/>
          <w:szCs w:val="32"/>
          <w:highlight w:val="none"/>
          <w:shd w:val="clear" w:color="auto" w:fill="FFFFFF"/>
          <w:lang w:val="en-US" w:eastAsia="zh-CN"/>
        </w:rPr>
        <w:t>部门提供的</w:t>
      </w:r>
      <w:r>
        <w:rPr>
          <w:rFonts w:hint="eastAsia" w:ascii="仿宋" w:hAnsi="仿宋" w:eastAsia="仿宋" w:cs="仿宋"/>
          <w:color w:val="auto"/>
          <w:kern w:val="0"/>
          <w:sz w:val="32"/>
          <w:szCs w:val="32"/>
          <w:highlight w:val="none"/>
          <w:shd w:val="clear" w:color="auto" w:fill="FFFFFF"/>
          <w:lang w:val="en-US" w:eastAsia="zh-Hans"/>
        </w:rPr>
        <w:t>相关</w:t>
      </w:r>
      <w:r>
        <w:rPr>
          <w:rFonts w:hint="eastAsia" w:ascii="仿宋" w:hAnsi="仿宋" w:eastAsia="仿宋" w:cs="仿宋"/>
          <w:color w:val="auto"/>
          <w:kern w:val="0"/>
          <w:sz w:val="32"/>
          <w:szCs w:val="32"/>
          <w:highlight w:val="none"/>
          <w:shd w:val="clear" w:color="auto" w:fill="FFFFFF"/>
          <w:lang w:val="en-US" w:eastAsia="zh-CN"/>
        </w:rPr>
        <w:t>资料</w:t>
      </w:r>
      <w:r>
        <w:rPr>
          <w:rFonts w:hint="eastAsia" w:ascii="仿宋" w:hAnsi="仿宋" w:eastAsia="仿宋" w:cs="仿宋"/>
          <w:color w:val="auto"/>
          <w:kern w:val="0"/>
          <w:sz w:val="32"/>
          <w:szCs w:val="32"/>
          <w:highlight w:val="none"/>
          <w:shd w:val="clear" w:color="auto" w:fill="FFFFFF"/>
          <w:lang w:val="en-US" w:eastAsia="zh-Hans"/>
        </w:rPr>
        <w:t>和文件通知、实施方案、政府采购相关文件、资金支出程序文件、工作总结、服务对象满意度调查等相关资料进行深入研究、比较、分析，提取重要信息，为绩效评价提供支撑依据。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（3）现场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是本次评价的一个重要手段，通过对</w:t>
      </w:r>
      <w:r>
        <w:rPr>
          <w:rFonts w:hint="eastAsia" w:ascii="仿宋" w:hAnsi="仿宋" w:eastAsia="仿宋" w:cs="仿宋"/>
          <w:color w:val="auto"/>
          <w:kern w:val="0"/>
          <w:sz w:val="32"/>
          <w:szCs w:val="32"/>
          <w:highlight w:val="none"/>
          <w:shd w:val="clear" w:color="auto" w:fill="FFFFFF"/>
          <w:lang w:val="en-US" w:eastAsia="zh-CN"/>
        </w:rPr>
        <w:t>新区农业农村局年度重点工作安排等</w:t>
      </w:r>
      <w:r>
        <w:rPr>
          <w:rFonts w:hint="eastAsia" w:ascii="仿宋" w:hAnsi="仿宋" w:eastAsia="仿宋" w:cs="仿宋"/>
          <w:color w:val="auto"/>
          <w:kern w:val="0"/>
          <w:sz w:val="32"/>
          <w:szCs w:val="32"/>
          <w:highlight w:val="none"/>
          <w:shd w:val="clear" w:color="auto" w:fill="FFFFFF"/>
          <w:lang w:val="en-US" w:eastAsia="zh-Hans"/>
        </w:rPr>
        <w:t>等进行现场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，并在前期书面资料分析的基础上，进一步核查重点</w:t>
      </w:r>
      <w:r>
        <w:rPr>
          <w:rFonts w:hint="eastAsia" w:ascii="仿宋" w:hAnsi="仿宋" w:eastAsia="仿宋" w:cs="仿宋"/>
          <w:color w:val="auto"/>
          <w:kern w:val="0"/>
          <w:sz w:val="32"/>
          <w:szCs w:val="32"/>
          <w:highlight w:val="none"/>
          <w:shd w:val="clear" w:color="auto" w:fill="FFFFFF"/>
          <w:lang w:val="en-US" w:eastAsia="zh-CN"/>
        </w:rPr>
        <w:t>工作安排情况，</w:t>
      </w:r>
      <w:r>
        <w:rPr>
          <w:rFonts w:hint="eastAsia" w:ascii="仿宋" w:hAnsi="仿宋" w:eastAsia="仿宋" w:cs="仿宋"/>
          <w:color w:val="auto"/>
          <w:kern w:val="0"/>
          <w:sz w:val="32"/>
          <w:szCs w:val="32"/>
          <w:highlight w:val="none"/>
          <w:shd w:val="clear" w:color="auto" w:fill="FFFFFF"/>
          <w:lang w:val="en-US" w:eastAsia="zh-Hans"/>
        </w:rPr>
        <w:t>任务完成及效益实现等情况，修正指标评分，发现典型问题并探究原因。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（4）因素分析法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在评价过程中，通过综合分析相关资料，挖掘影响绩效目标实现、实施效果的内外部因素，科学评判项目实施过程中存在的问题，有效提出相关建议。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3、评价指标体系</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根据部门整体支出绩效评价的基本原理、原则和部门特点，结合《铜川市市级部门整体支出绩效评价指标及评分标准》的要求，本次绩效评价指标体系包括投入、过程、产出及效果4个一级指标，</w:t>
      </w:r>
      <w:r>
        <w:rPr>
          <w:rFonts w:hint="eastAsia" w:ascii="仿宋" w:hAnsi="仿宋" w:eastAsia="仿宋" w:cs="仿宋"/>
          <w:color w:val="auto"/>
          <w:kern w:val="0"/>
          <w:sz w:val="32"/>
          <w:szCs w:val="32"/>
          <w:highlight w:val="none"/>
          <w:shd w:val="clear" w:color="auto" w:fill="FFFFFF"/>
          <w:lang w:val="en-US" w:eastAsia="zh-CN"/>
        </w:rPr>
        <w:t>11</w:t>
      </w:r>
      <w:r>
        <w:rPr>
          <w:rFonts w:hint="eastAsia" w:ascii="仿宋" w:hAnsi="仿宋" w:eastAsia="仿宋" w:cs="仿宋"/>
          <w:color w:val="auto"/>
          <w:kern w:val="0"/>
          <w:sz w:val="32"/>
          <w:szCs w:val="32"/>
          <w:highlight w:val="none"/>
          <w:shd w:val="clear" w:color="auto" w:fill="FFFFFF"/>
          <w:lang w:val="en-US" w:eastAsia="zh-Hans"/>
        </w:rPr>
        <w:t>个二级指标和</w:t>
      </w:r>
      <w:r>
        <w:rPr>
          <w:rFonts w:hint="eastAsia" w:ascii="仿宋" w:hAnsi="仿宋" w:eastAsia="仿宋" w:cs="仿宋"/>
          <w:color w:val="auto"/>
          <w:kern w:val="0"/>
          <w:sz w:val="32"/>
          <w:szCs w:val="32"/>
          <w:highlight w:val="none"/>
          <w:shd w:val="clear" w:color="auto" w:fill="FFFFFF"/>
          <w:lang w:val="en-US" w:eastAsia="zh-CN"/>
        </w:rPr>
        <w:t>31</w:t>
      </w:r>
      <w:r>
        <w:rPr>
          <w:rFonts w:hint="eastAsia" w:ascii="仿宋" w:hAnsi="仿宋" w:eastAsia="仿宋" w:cs="仿宋"/>
          <w:color w:val="auto"/>
          <w:kern w:val="0"/>
          <w:sz w:val="32"/>
          <w:szCs w:val="32"/>
          <w:highlight w:val="none"/>
          <w:shd w:val="clear" w:color="auto" w:fill="FFFFFF"/>
          <w:lang w:val="en-US" w:eastAsia="zh-Hans"/>
        </w:rPr>
        <w:t>个三级指标（详见附件</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），满分为100分。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（1）投入：从目标设定和预算配置两方面评价绩效目标合理性、绩效指标明确性、在职人员控制率</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三公</w:t>
      </w:r>
      <w:r>
        <w:rPr>
          <w:rFonts w:hint="eastAsia" w:ascii="仿宋" w:hAnsi="仿宋" w:eastAsia="仿宋" w:cs="仿宋"/>
          <w:color w:val="auto"/>
          <w:kern w:val="0"/>
          <w:sz w:val="32"/>
          <w:szCs w:val="32"/>
          <w:highlight w:val="none"/>
          <w:shd w:val="clear" w:color="auto" w:fill="FFFFFF"/>
          <w:lang w:val="en-US" w:eastAsia="zh-Hans"/>
        </w:rPr>
        <w:t>经费”变动率、重点支出安排率等内容。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（2）过程：从预算执行、预算管理和资产管理三方面评价预算完成率、</w:t>
      </w:r>
      <w:r>
        <w:rPr>
          <w:rFonts w:hint="eastAsia" w:ascii="仿宋" w:hAnsi="仿宋" w:eastAsia="仿宋" w:cs="仿宋"/>
          <w:color w:val="auto"/>
          <w:kern w:val="0"/>
          <w:sz w:val="32"/>
          <w:szCs w:val="32"/>
          <w:highlight w:val="none"/>
          <w:shd w:val="clear" w:color="auto" w:fill="FFFFFF"/>
          <w:lang w:val="en-US" w:eastAsia="zh-CN"/>
        </w:rPr>
        <w:t>预算调整率、支付进度率、</w:t>
      </w:r>
      <w:r>
        <w:rPr>
          <w:rFonts w:hint="eastAsia" w:ascii="仿宋" w:hAnsi="仿宋" w:eastAsia="仿宋" w:cs="仿宋"/>
          <w:color w:val="auto"/>
          <w:kern w:val="0"/>
          <w:sz w:val="32"/>
          <w:szCs w:val="32"/>
          <w:highlight w:val="none"/>
          <w:shd w:val="clear" w:color="auto" w:fill="FFFFFF"/>
          <w:lang w:val="en-US" w:eastAsia="zh-Hans"/>
        </w:rPr>
        <w:t>结转结余率、</w:t>
      </w:r>
      <w:r>
        <w:rPr>
          <w:rFonts w:hint="eastAsia" w:ascii="仿宋" w:hAnsi="仿宋" w:eastAsia="仿宋" w:cs="仿宋"/>
          <w:color w:val="auto"/>
          <w:kern w:val="0"/>
          <w:sz w:val="32"/>
          <w:szCs w:val="32"/>
          <w:highlight w:val="none"/>
          <w:shd w:val="clear" w:color="auto" w:fill="FFFFFF"/>
          <w:lang w:val="en-US" w:eastAsia="zh-CN"/>
        </w:rPr>
        <w:t>结转结余变动率、</w:t>
      </w:r>
      <w:r>
        <w:rPr>
          <w:rFonts w:hint="eastAsia" w:ascii="仿宋" w:hAnsi="仿宋" w:eastAsia="仿宋" w:cs="仿宋"/>
          <w:color w:val="auto"/>
          <w:kern w:val="0"/>
          <w:sz w:val="32"/>
          <w:szCs w:val="32"/>
          <w:highlight w:val="none"/>
          <w:shd w:val="clear" w:color="auto" w:fill="FFFFFF"/>
          <w:lang w:val="en-US" w:eastAsia="zh-Hans"/>
        </w:rPr>
        <w:t>公用经费控制率、“三公经费”控制率、政府采购执行率和管理制度健全性、资金使用合规性、预决算信息公开性</w:t>
      </w:r>
      <w:r>
        <w:rPr>
          <w:rFonts w:hint="eastAsia" w:ascii="仿宋" w:hAnsi="仿宋" w:eastAsia="仿宋" w:cs="仿宋"/>
          <w:color w:val="auto"/>
          <w:kern w:val="0"/>
          <w:sz w:val="32"/>
          <w:szCs w:val="32"/>
          <w:highlight w:val="none"/>
          <w:shd w:val="clear" w:color="auto" w:fill="FFFFFF"/>
          <w:lang w:val="en-US" w:eastAsia="zh-CN"/>
        </w:rPr>
        <w:t>、运行监控和自评有效性、基础信息完善性</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管理制度健全性</w:t>
      </w:r>
      <w:r>
        <w:rPr>
          <w:rFonts w:hint="eastAsia" w:ascii="仿宋" w:hAnsi="仿宋" w:eastAsia="仿宋" w:cs="仿宋"/>
          <w:color w:val="auto"/>
          <w:kern w:val="0"/>
          <w:sz w:val="32"/>
          <w:szCs w:val="32"/>
          <w:highlight w:val="none"/>
          <w:shd w:val="clear" w:color="auto" w:fill="FFFFFF"/>
          <w:lang w:val="en-US" w:eastAsia="zh-Hans"/>
        </w:rPr>
        <w:t>以及资产管理</w:t>
      </w:r>
      <w:r>
        <w:rPr>
          <w:rFonts w:hint="eastAsia" w:ascii="仿宋" w:hAnsi="仿宋" w:eastAsia="仿宋" w:cs="仿宋"/>
          <w:color w:val="auto"/>
          <w:kern w:val="0"/>
          <w:sz w:val="32"/>
          <w:szCs w:val="32"/>
          <w:highlight w:val="none"/>
          <w:shd w:val="clear" w:color="auto" w:fill="FFFFFF"/>
          <w:lang w:val="en-US" w:eastAsia="zh-CN"/>
        </w:rPr>
        <w:t>安全</w:t>
      </w:r>
      <w:r>
        <w:rPr>
          <w:rFonts w:hint="eastAsia" w:ascii="仿宋" w:hAnsi="仿宋" w:eastAsia="仿宋" w:cs="仿宋"/>
          <w:color w:val="auto"/>
          <w:kern w:val="0"/>
          <w:sz w:val="32"/>
          <w:szCs w:val="32"/>
          <w:highlight w:val="none"/>
          <w:shd w:val="clear" w:color="auto" w:fill="FFFFFF"/>
          <w:lang w:val="en-US" w:eastAsia="zh-Hans"/>
        </w:rPr>
        <w:t>性、固定资产利用率等内容。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（3）产出：用于考察年度</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部门年度工作实际完成率、完成及时率、质量达标率、重点工作办结率</w:t>
      </w:r>
      <w:r>
        <w:rPr>
          <w:rFonts w:hint="eastAsia" w:ascii="仿宋" w:hAnsi="仿宋" w:eastAsia="仿宋" w:cs="仿宋"/>
          <w:color w:val="auto"/>
          <w:kern w:val="0"/>
          <w:sz w:val="32"/>
          <w:szCs w:val="32"/>
          <w:highlight w:val="none"/>
          <w:shd w:val="clear" w:color="auto" w:fill="FFFFFF"/>
          <w:lang w:val="en-US" w:eastAsia="zh-Hans"/>
        </w:rPr>
        <w:t>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（4）效果：用于综合评价部门年度总体工作及资金投用所得</w:t>
      </w:r>
      <w:r>
        <w:rPr>
          <w:rFonts w:hint="eastAsia" w:ascii="仿宋" w:hAnsi="仿宋" w:eastAsia="仿宋" w:cs="仿宋"/>
          <w:color w:val="auto"/>
          <w:kern w:val="0"/>
          <w:sz w:val="32"/>
          <w:szCs w:val="32"/>
          <w:highlight w:val="none"/>
          <w:shd w:val="clear" w:color="auto" w:fill="FFFFFF"/>
          <w:lang w:val="en-US" w:eastAsia="zh-CN"/>
        </w:rPr>
        <w:t>部门履职</w:t>
      </w:r>
      <w:r>
        <w:rPr>
          <w:rFonts w:hint="eastAsia" w:ascii="仿宋" w:hAnsi="仿宋" w:eastAsia="仿宋" w:cs="仿宋"/>
          <w:color w:val="auto"/>
          <w:kern w:val="0"/>
          <w:sz w:val="32"/>
          <w:szCs w:val="32"/>
          <w:highlight w:val="none"/>
          <w:shd w:val="clear" w:color="auto" w:fill="FFFFFF"/>
          <w:lang w:val="en-US" w:eastAsia="zh-Hans"/>
        </w:rPr>
        <w:t>产生的</w:t>
      </w:r>
      <w:r>
        <w:rPr>
          <w:rFonts w:hint="eastAsia" w:ascii="仿宋" w:hAnsi="仿宋" w:eastAsia="仿宋" w:cs="仿宋"/>
          <w:color w:val="auto"/>
          <w:kern w:val="0"/>
          <w:sz w:val="32"/>
          <w:szCs w:val="32"/>
          <w:highlight w:val="none"/>
          <w:shd w:val="clear" w:color="auto" w:fill="FFFFFF"/>
          <w:lang w:val="en-US" w:eastAsia="zh-CN"/>
        </w:rPr>
        <w:t>经济效益、</w:t>
      </w:r>
      <w:r>
        <w:rPr>
          <w:rFonts w:hint="eastAsia" w:ascii="仿宋" w:hAnsi="仿宋" w:eastAsia="仿宋" w:cs="仿宋"/>
          <w:color w:val="auto"/>
          <w:kern w:val="0"/>
          <w:sz w:val="32"/>
          <w:szCs w:val="32"/>
          <w:highlight w:val="none"/>
          <w:shd w:val="clear" w:color="auto" w:fill="FFFFFF"/>
          <w:lang w:val="en-US" w:eastAsia="zh-Hans"/>
        </w:rPr>
        <w:t>社会效益、</w:t>
      </w:r>
      <w:r>
        <w:rPr>
          <w:rFonts w:hint="eastAsia" w:ascii="仿宋" w:hAnsi="仿宋" w:eastAsia="仿宋" w:cs="仿宋"/>
          <w:color w:val="auto"/>
          <w:kern w:val="0"/>
          <w:sz w:val="32"/>
          <w:szCs w:val="32"/>
          <w:highlight w:val="none"/>
          <w:shd w:val="clear" w:color="auto" w:fill="FFFFFF"/>
          <w:lang w:val="en-US" w:eastAsia="zh-CN"/>
        </w:rPr>
        <w:t>生态效益、可持续性影响</w:t>
      </w:r>
      <w:r>
        <w:rPr>
          <w:rFonts w:hint="eastAsia" w:ascii="仿宋" w:hAnsi="仿宋" w:eastAsia="仿宋" w:cs="仿宋"/>
          <w:color w:val="auto"/>
          <w:kern w:val="0"/>
          <w:sz w:val="32"/>
          <w:szCs w:val="32"/>
          <w:highlight w:val="none"/>
          <w:shd w:val="clear" w:color="auto" w:fill="FFFFFF"/>
          <w:lang w:val="en-US" w:eastAsia="zh-Hans"/>
        </w:rPr>
        <w:t>及社会公众满意度。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4、绩效评价的局限性</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bookmarkStart w:id="10" w:name="_Toc1318217999"/>
      <w:r>
        <w:rPr>
          <w:rFonts w:hint="eastAsia" w:ascii="仿宋" w:hAnsi="仿宋" w:eastAsia="仿宋" w:cs="仿宋"/>
          <w:color w:val="auto"/>
          <w:kern w:val="0"/>
          <w:sz w:val="32"/>
          <w:szCs w:val="32"/>
          <w:highlight w:val="none"/>
          <w:shd w:val="clear" w:color="auto" w:fill="FFFFFF"/>
          <w:lang w:val="en-US" w:eastAsia="zh-Hans"/>
        </w:rPr>
        <w:t>本次对</w:t>
      </w:r>
      <w:r>
        <w:rPr>
          <w:rFonts w:hint="eastAsia" w:ascii="仿宋" w:hAnsi="仿宋" w:eastAsia="仿宋" w:cs="仿宋"/>
          <w:color w:val="auto"/>
          <w:kern w:val="0"/>
          <w:sz w:val="32"/>
          <w:szCs w:val="32"/>
          <w:highlight w:val="none"/>
          <w:shd w:val="clear" w:color="auto" w:fill="FFFFFF"/>
          <w:lang w:val="en-US" w:eastAsia="zh-CN"/>
        </w:rPr>
        <w:t>新区农业农村局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年度部门整体支出绩效进行分析和评价打分的基础数据来源于其提供的202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w:t>
      </w:r>
      <w:r>
        <w:rPr>
          <w:rFonts w:hint="eastAsia" w:ascii="仿宋" w:hAnsi="仿宋" w:eastAsia="仿宋" w:cs="仿宋"/>
          <w:color w:val="auto"/>
          <w:kern w:val="0"/>
          <w:sz w:val="32"/>
          <w:szCs w:val="32"/>
          <w:highlight w:val="none"/>
          <w:shd w:val="clear" w:color="auto" w:fill="FFFFFF"/>
          <w:lang w:val="en-US" w:eastAsia="zh-CN"/>
        </w:rPr>
        <w:t>新区农业农村局</w:t>
      </w:r>
      <w:r>
        <w:rPr>
          <w:rFonts w:hint="eastAsia" w:ascii="仿宋" w:hAnsi="仿宋" w:eastAsia="仿宋" w:cs="仿宋"/>
          <w:color w:val="auto"/>
          <w:kern w:val="0"/>
          <w:sz w:val="32"/>
          <w:szCs w:val="32"/>
          <w:highlight w:val="none"/>
          <w:shd w:val="clear" w:color="auto" w:fill="FFFFFF"/>
          <w:lang w:val="en-US" w:eastAsia="zh-Hans"/>
        </w:rPr>
        <w:t>本级部门预算表、202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年度部门决算报表、</w:t>
      </w:r>
      <w:r>
        <w:rPr>
          <w:rFonts w:hint="eastAsia" w:ascii="仿宋" w:hAnsi="仿宋" w:eastAsia="仿宋" w:cs="仿宋"/>
          <w:color w:val="auto"/>
          <w:kern w:val="0"/>
          <w:sz w:val="32"/>
          <w:szCs w:val="32"/>
          <w:highlight w:val="none"/>
          <w:shd w:val="clear" w:color="auto" w:fill="FFFFFF"/>
          <w:lang w:val="en-US" w:eastAsia="zh-CN"/>
        </w:rPr>
        <w:t>新区农业农村局</w:t>
      </w:r>
      <w:r>
        <w:rPr>
          <w:rFonts w:hint="eastAsia" w:ascii="仿宋" w:hAnsi="仿宋" w:eastAsia="仿宋" w:cs="仿宋"/>
          <w:color w:val="auto"/>
          <w:kern w:val="0"/>
          <w:sz w:val="32"/>
          <w:szCs w:val="32"/>
          <w:highlight w:val="none"/>
          <w:shd w:val="clear" w:color="auto" w:fill="FFFFFF"/>
          <w:lang w:val="en-US" w:eastAsia="zh-Hans"/>
        </w:rPr>
        <w:t>提供的档案资料以及调查者反映的情况等资料，上述数据的完整性、真实性、准确性直接影响绩效评价结果。</w:t>
      </w:r>
      <w:bookmarkEnd w:id="1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color w:val="auto"/>
          <w:kern w:val="0"/>
          <w:sz w:val="32"/>
          <w:szCs w:val="32"/>
          <w:highlight w:val="none"/>
          <w:shd w:val="clear" w:color="auto" w:fill="FFFFFF"/>
          <w:lang w:val="en-US" w:eastAsia="zh-Hans"/>
        </w:rPr>
      </w:pPr>
      <w:bookmarkStart w:id="11" w:name="_Toc21754"/>
      <w:r>
        <w:rPr>
          <w:rFonts w:hint="eastAsia" w:ascii="楷体" w:hAnsi="楷体" w:eastAsia="楷体" w:cs="楷体"/>
          <w:b/>
          <w:bCs/>
          <w:color w:val="auto"/>
          <w:kern w:val="0"/>
          <w:sz w:val="32"/>
          <w:szCs w:val="32"/>
          <w:highlight w:val="none"/>
          <w:shd w:val="clear" w:color="auto" w:fill="FFFFFF"/>
          <w:lang w:val="en-US" w:eastAsia="zh-Hans"/>
        </w:rPr>
        <w:t>（四）评价工作过程</w:t>
      </w:r>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本次绩效评价工作主要分为前期准备、组织实施、</w:t>
      </w:r>
      <w:r>
        <w:rPr>
          <w:rFonts w:hint="eastAsia" w:ascii="仿宋" w:hAnsi="仿宋" w:eastAsia="仿宋" w:cs="仿宋"/>
          <w:color w:val="auto"/>
          <w:kern w:val="0"/>
          <w:sz w:val="32"/>
          <w:szCs w:val="32"/>
          <w:highlight w:val="none"/>
          <w:shd w:val="clear" w:color="auto" w:fill="FFFFFF"/>
          <w:lang w:val="en-US" w:eastAsia="zh-CN"/>
        </w:rPr>
        <w:t>报告撰写</w:t>
      </w:r>
      <w:r>
        <w:rPr>
          <w:rFonts w:hint="eastAsia" w:ascii="仿宋" w:hAnsi="仿宋" w:eastAsia="仿宋" w:cs="仿宋"/>
          <w:color w:val="auto"/>
          <w:kern w:val="0"/>
          <w:sz w:val="32"/>
          <w:szCs w:val="32"/>
          <w:highlight w:val="none"/>
          <w:shd w:val="clear" w:color="auto" w:fill="FFFFFF"/>
          <w:lang w:val="en-US" w:eastAsia="zh-Hans"/>
        </w:rPr>
        <w:t>以及资料整理归档四个阶段。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1.前期准备阶段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（1）项目启动。</w:t>
      </w:r>
      <w:r>
        <w:rPr>
          <w:rFonts w:hint="eastAsia" w:ascii="仿宋" w:hAnsi="仿宋" w:eastAsia="仿宋" w:cs="仿宋"/>
          <w:color w:val="auto"/>
          <w:kern w:val="0"/>
          <w:sz w:val="32"/>
          <w:szCs w:val="32"/>
          <w:highlight w:val="none"/>
          <w:shd w:val="clear" w:color="auto" w:fill="FFFFFF"/>
          <w:lang w:val="en-US" w:eastAsia="zh-CN"/>
        </w:rPr>
        <w:t>首先成立</w:t>
      </w:r>
      <w:r>
        <w:rPr>
          <w:rFonts w:hint="eastAsia" w:ascii="仿宋" w:hAnsi="仿宋" w:eastAsia="仿宋" w:cs="仿宋"/>
          <w:color w:val="auto"/>
          <w:kern w:val="0"/>
          <w:sz w:val="32"/>
          <w:szCs w:val="32"/>
          <w:highlight w:val="none"/>
          <w:shd w:val="clear" w:color="auto" w:fill="FFFFFF"/>
          <w:lang w:val="en-US" w:eastAsia="zh-Hans"/>
        </w:rPr>
        <w:t>评价小组，联络本次绩效评价的相关部门及人员，收集相关资料。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（2）开展前期调研并</w:t>
      </w:r>
      <w:r>
        <w:rPr>
          <w:rFonts w:hint="eastAsia" w:ascii="仿宋" w:hAnsi="仿宋" w:eastAsia="仿宋" w:cs="仿宋"/>
          <w:color w:val="auto"/>
          <w:kern w:val="0"/>
          <w:sz w:val="32"/>
          <w:szCs w:val="32"/>
          <w:highlight w:val="none"/>
          <w:shd w:val="clear" w:color="auto" w:fill="FFFFFF"/>
          <w:lang w:val="en-US" w:eastAsia="zh-CN"/>
        </w:rPr>
        <w:t>制定指标体系</w:t>
      </w:r>
      <w:r>
        <w:rPr>
          <w:rFonts w:hint="eastAsia" w:ascii="仿宋" w:hAnsi="仿宋" w:eastAsia="仿宋" w:cs="仿宋"/>
          <w:color w:val="auto"/>
          <w:kern w:val="0"/>
          <w:sz w:val="32"/>
          <w:szCs w:val="32"/>
          <w:highlight w:val="none"/>
          <w:shd w:val="clear" w:color="auto" w:fill="FFFFFF"/>
          <w:lang w:val="en-US" w:eastAsia="zh-Hans"/>
        </w:rPr>
        <w:t>。由评价小组成员与被评价部门进行充分沟通，了解部门的机构职能、职责划分、内设机构、下属预算单位等基本信息，并收集该部门202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年度内开展建设及运营监管项目的立项文件、预算安排、项目年度目标、工作实施计划、管理制度等文件资料。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根据部门实际情况和</w:t>
      </w:r>
      <w:r>
        <w:rPr>
          <w:rFonts w:hint="eastAsia" w:ascii="仿宋" w:hAnsi="仿宋" w:eastAsia="仿宋" w:cs="仿宋"/>
          <w:color w:val="auto"/>
          <w:kern w:val="0"/>
          <w:sz w:val="32"/>
          <w:szCs w:val="32"/>
          <w:highlight w:val="none"/>
          <w:shd w:val="clear" w:color="auto" w:fill="FFFFFF"/>
          <w:lang w:val="en-US" w:eastAsia="zh-CN"/>
        </w:rPr>
        <w:t>农业农村局</w:t>
      </w:r>
      <w:r>
        <w:rPr>
          <w:rFonts w:hint="eastAsia" w:ascii="仿宋" w:hAnsi="仿宋" w:eastAsia="仿宋" w:cs="仿宋"/>
          <w:color w:val="auto"/>
          <w:kern w:val="0"/>
          <w:sz w:val="32"/>
          <w:szCs w:val="32"/>
          <w:highlight w:val="none"/>
          <w:shd w:val="clear" w:color="auto" w:fill="FFFFFF"/>
          <w:lang w:val="en-US" w:eastAsia="zh-Hans"/>
        </w:rPr>
        <w:t>工作特点，形成绩效评价的总体思路，设计指标体系、问卷调查及访谈内容广泛听取意见、进行完善。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2.组织实施阶段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（1）数据收集和审核资料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评价小组根据评价工作需要和相关要求，多渠道收集基础信息资料，根据绩效目标设立的依据和调整情况，整理投入、过程、产出和</w:t>
      </w:r>
      <w:r>
        <w:rPr>
          <w:rFonts w:hint="eastAsia" w:ascii="仿宋" w:hAnsi="仿宋" w:eastAsia="仿宋" w:cs="仿宋"/>
          <w:color w:val="auto"/>
          <w:kern w:val="0"/>
          <w:sz w:val="32"/>
          <w:szCs w:val="32"/>
          <w:highlight w:val="none"/>
          <w:shd w:val="clear" w:color="auto" w:fill="FFFFFF"/>
          <w:lang w:val="en-US" w:eastAsia="zh-CN"/>
        </w:rPr>
        <w:t>效益</w:t>
      </w:r>
      <w:r>
        <w:rPr>
          <w:rFonts w:hint="eastAsia" w:ascii="仿宋" w:hAnsi="仿宋" w:eastAsia="仿宋" w:cs="仿宋"/>
          <w:color w:val="auto"/>
          <w:kern w:val="0"/>
          <w:sz w:val="32"/>
          <w:szCs w:val="32"/>
          <w:highlight w:val="none"/>
          <w:shd w:val="clear" w:color="auto" w:fill="FFFFFF"/>
          <w:lang w:val="en-US" w:eastAsia="zh-Hans"/>
        </w:rPr>
        <w:t>资料，相关业务和财务资料，管理措施及组织实施情况与绩效评价相关的计划标准、行业标准、历史标准等，以及其他必要的相关资料。在收集齐全的基础上对所有资料进行分类整理，对相关资料进行核实和分析，并要求预算单位对缺失的资料及时补充，对存在疑问的资料和数据进行解释和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及社会调查阶段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对部门单位及实施项目进行访谈、联系部门和项目单位组织人员进行社会调查，对有关情况和基础材料进行核实，掌握评价基础资料。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w:t>
      </w:r>
      <w:r>
        <w:rPr>
          <w:rFonts w:hint="eastAsia" w:ascii="仿宋" w:hAnsi="仿宋" w:eastAsia="仿宋" w:cs="仿宋"/>
          <w:b/>
          <w:bCs/>
          <w:color w:val="auto"/>
          <w:kern w:val="0"/>
          <w:sz w:val="32"/>
          <w:szCs w:val="32"/>
          <w:highlight w:val="none"/>
          <w:shd w:val="clear" w:color="auto" w:fill="FFFFFF"/>
          <w:lang w:val="en-US" w:eastAsia="zh-CN"/>
        </w:rPr>
        <w:t>报告撰写</w:t>
      </w:r>
      <w:r>
        <w:rPr>
          <w:rFonts w:hint="eastAsia" w:ascii="仿宋" w:hAnsi="仿宋" w:eastAsia="仿宋" w:cs="仿宋"/>
          <w:b/>
          <w:bCs/>
          <w:color w:val="auto"/>
          <w:kern w:val="0"/>
          <w:sz w:val="32"/>
          <w:szCs w:val="32"/>
          <w:highlight w:val="none"/>
          <w:shd w:val="clear" w:color="auto" w:fill="FFFFFF"/>
          <w:lang w:val="en-US" w:eastAsia="zh-Hans"/>
        </w:rPr>
        <w:t>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（1）综合分析评价。根据收集和审核的基础资料，结合现场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的有关情况，整理出绩效评价所需的资料和数据；按照评价工作方案确定的评价指标、评价标准和评价方法，对本部门的绩效情况进行全面的定量、定性分析和综合评价，并进行量化打分，根据评分结果确定相应档次，并形成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（2）撰写提交绩效评价报告。综合前期收集和审核的部门及项目资料、现场调研的结果，评价工作组对部门年度工作情况进行综合分析，并按照规定的文本格式和相关要求撰写评价报告。报告内容</w:t>
      </w:r>
      <w:r>
        <w:rPr>
          <w:rFonts w:hint="eastAsia" w:ascii="仿宋" w:hAnsi="仿宋" w:eastAsia="仿宋" w:cs="仿宋"/>
          <w:color w:val="auto"/>
          <w:kern w:val="0"/>
          <w:sz w:val="32"/>
          <w:szCs w:val="32"/>
          <w:highlight w:val="none"/>
          <w:shd w:val="clear" w:color="auto" w:fill="FFFFFF"/>
          <w:lang w:val="en-US" w:eastAsia="zh-CN"/>
        </w:rPr>
        <w:t>详实</w:t>
      </w:r>
      <w:r>
        <w:rPr>
          <w:rFonts w:hint="eastAsia" w:ascii="仿宋" w:hAnsi="仿宋" w:eastAsia="仿宋" w:cs="仿宋"/>
          <w:color w:val="auto"/>
          <w:kern w:val="0"/>
          <w:sz w:val="32"/>
          <w:szCs w:val="32"/>
          <w:highlight w:val="none"/>
          <w:shd w:val="clear" w:color="auto" w:fill="FFFFFF"/>
          <w:lang w:val="en-US" w:eastAsia="zh-Hans"/>
        </w:rPr>
        <w:t>，逻辑清晰，结论鲜明，依据真实、充分，底稿及附件齐全。评价报告在经过</w:t>
      </w:r>
      <w:r>
        <w:rPr>
          <w:rFonts w:hint="eastAsia" w:ascii="仿宋" w:hAnsi="仿宋" w:eastAsia="仿宋" w:cs="仿宋"/>
          <w:color w:val="auto"/>
          <w:kern w:val="0"/>
          <w:sz w:val="32"/>
          <w:szCs w:val="32"/>
          <w:highlight w:val="none"/>
          <w:shd w:val="clear" w:color="auto" w:fill="FFFFFF"/>
          <w:lang w:val="en-US" w:eastAsia="zh-CN"/>
        </w:rPr>
        <w:t>与被评价部门</w:t>
      </w:r>
      <w:r>
        <w:rPr>
          <w:rFonts w:hint="eastAsia" w:ascii="仿宋" w:hAnsi="仿宋" w:eastAsia="仿宋" w:cs="仿宋"/>
          <w:color w:val="auto"/>
          <w:kern w:val="0"/>
          <w:sz w:val="32"/>
          <w:szCs w:val="32"/>
          <w:highlight w:val="none"/>
          <w:shd w:val="clear" w:color="auto" w:fill="FFFFFF"/>
          <w:lang w:val="en-US" w:eastAsia="zh-Hans"/>
        </w:rPr>
        <w:t>沟通意见，修改完善绩效评价报告，及时提交</w:t>
      </w:r>
      <w:r>
        <w:rPr>
          <w:rFonts w:hint="eastAsia" w:ascii="仿宋" w:hAnsi="仿宋" w:eastAsia="仿宋" w:cs="仿宋"/>
          <w:color w:val="auto"/>
          <w:kern w:val="0"/>
          <w:sz w:val="32"/>
          <w:szCs w:val="32"/>
          <w:highlight w:val="none"/>
          <w:shd w:val="clear" w:color="auto" w:fill="FFFFFF"/>
          <w:lang w:val="en-US" w:eastAsia="zh-CN"/>
        </w:rPr>
        <w:t>委托方</w:t>
      </w:r>
      <w:r>
        <w:rPr>
          <w:rFonts w:hint="eastAsia" w:ascii="仿宋" w:hAnsi="仿宋" w:eastAsia="仿宋" w:cs="仿宋"/>
          <w:color w:val="auto"/>
          <w:kern w:val="0"/>
          <w:sz w:val="32"/>
          <w:szCs w:val="32"/>
          <w:highlight w:val="none"/>
          <w:shd w:val="clear" w:color="auto" w:fill="FFFFFF"/>
          <w:lang w:val="en-US" w:eastAsia="zh-Hans"/>
        </w:rPr>
        <w:t>确认。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4.资料整理阶段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绩效评价工作结束后，评价工作组将绩效评价过程中所涉及的材料（电子版、纸质版），及时收集和整理，并归档备查。同时，根据绩效评价结果，应相关要求，及时帮助被评价方就相关问题、建议积极落实结果应用，切实提升</w:t>
      </w:r>
      <w:r>
        <w:rPr>
          <w:rFonts w:hint="eastAsia" w:ascii="仿宋" w:hAnsi="仿宋" w:eastAsia="仿宋" w:cs="仿宋"/>
          <w:color w:val="auto"/>
          <w:kern w:val="0"/>
          <w:sz w:val="32"/>
          <w:szCs w:val="32"/>
          <w:highlight w:val="none"/>
          <w:shd w:val="clear" w:color="auto" w:fill="FFFFFF"/>
          <w:lang w:val="en-US" w:eastAsia="zh-CN"/>
        </w:rPr>
        <w:t>财政资金使用</w:t>
      </w:r>
      <w:r>
        <w:rPr>
          <w:rFonts w:hint="eastAsia" w:ascii="仿宋" w:hAnsi="仿宋" w:eastAsia="仿宋" w:cs="仿宋"/>
          <w:color w:val="auto"/>
          <w:kern w:val="0"/>
          <w:sz w:val="32"/>
          <w:szCs w:val="32"/>
          <w:highlight w:val="none"/>
          <w:shd w:val="clear" w:color="auto" w:fill="FFFFFF"/>
          <w:lang w:val="en-US" w:eastAsia="zh-Hans"/>
        </w:rPr>
        <w:t>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12" w:name="_Toc27023"/>
      <w:r>
        <w:rPr>
          <w:rFonts w:hint="eastAsia" w:ascii="黑体" w:hAnsi="黑体" w:eastAsia="黑体" w:cs="黑体"/>
          <w:b w:val="0"/>
          <w:bCs w:val="0"/>
          <w:color w:val="auto"/>
          <w:kern w:val="0"/>
          <w:sz w:val="32"/>
          <w:szCs w:val="32"/>
          <w:highlight w:val="none"/>
          <w:shd w:val="clear" w:color="auto" w:fill="FFFFFF"/>
          <w:lang w:val="en-US" w:eastAsia="zh-Hans"/>
        </w:rPr>
        <w:t>三、评价结论</w:t>
      </w:r>
      <w:bookmarkEnd w:id="1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通过对</w:t>
      </w:r>
      <w:r>
        <w:rPr>
          <w:rFonts w:hint="eastAsia" w:ascii="仿宋" w:hAnsi="仿宋" w:eastAsia="仿宋" w:cs="仿宋"/>
          <w:color w:val="auto"/>
          <w:kern w:val="0"/>
          <w:sz w:val="32"/>
          <w:szCs w:val="32"/>
          <w:highlight w:val="none"/>
          <w:shd w:val="clear" w:color="auto" w:fill="FFFFFF"/>
          <w:lang w:val="en-US" w:eastAsia="zh-CN"/>
        </w:rPr>
        <w:t>新区农业农村局</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相关</w:t>
      </w:r>
      <w:r>
        <w:rPr>
          <w:rFonts w:hint="eastAsia" w:ascii="仿宋" w:hAnsi="仿宋" w:eastAsia="仿宋" w:cs="仿宋"/>
          <w:color w:val="auto"/>
          <w:kern w:val="0"/>
          <w:sz w:val="32"/>
          <w:szCs w:val="32"/>
          <w:highlight w:val="none"/>
          <w:shd w:val="clear" w:color="auto" w:fill="FFFFFF"/>
          <w:lang w:val="en-US" w:eastAsia="zh-Hans"/>
        </w:rPr>
        <w:t>材料审核和现场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、评审等，从</w:t>
      </w:r>
      <w:r>
        <w:rPr>
          <w:rFonts w:hint="eastAsia" w:ascii="仿宋" w:hAnsi="仿宋" w:eastAsia="仿宋" w:cs="仿宋"/>
          <w:color w:val="auto"/>
          <w:kern w:val="0"/>
          <w:sz w:val="32"/>
          <w:szCs w:val="32"/>
          <w:highlight w:val="none"/>
          <w:shd w:val="clear" w:color="auto" w:fill="FFFFFF"/>
          <w:lang w:val="en-US" w:eastAsia="zh-CN"/>
        </w:rPr>
        <w:t>投入</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过程</w:t>
      </w:r>
      <w:r>
        <w:rPr>
          <w:rFonts w:hint="eastAsia" w:ascii="仿宋" w:hAnsi="仿宋" w:eastAsia="仿宋" w:cs="仿宋"/>
          <w:color w:val="auto"/>
          <w:kern w:val="0"/>
          <w:sz w:val="32"/>
          <w:szCs w:val="32"/>
          <w:highlight w:val="none"/>
          <w:shd w:val="clear" w:color="auto" w:fill="FFFFFF"/>
          <w:lang w:val="en-US" w:eastAsia="zh-Hans"/>
        </w:rPr>
        <w:t>、产出、</w:t>
      </w:r>
      <w:r>
        <w:rPr>
          <w:rFonts w:hint="eastAsia" w:ascii="仿宋" w:hAnsi="仿宋" w:eastAsia="仿宋" w:cs="仿宋"/>
          <w:color w:val="auto"/>
          <w:kern w:val="0"/>
          <w:sz w:val="32"/>
          <w:szCs w:val="32"/>
          <w:highlight w:val="none"/>
          <w:shd w:val="clear" w:color="auto" w:fill="FFFFFF"/>
          <w:lang w:val="en-US" w:eastAsia="zh-CN"/>
        </w:rPr>
        <w:t>效果</w:t>
      </w:r>
      <w:r>
        <w:rPr>
          <w:rFonts w:hint="eastAsia" w:ascii="仿宋" w:hAnsi="仿宋" w:eastAsia="仿宋" w:cs="仿宋"/>
          <w:color w:val="auto"/>
          <w:kern w:val="0"/>
          <w:sz w:val="32"/>
          <w:szCs w:val="32"/>
          <w:highlight w:val="none"/>
          <w:shd w:val="clear" w:color="auto" w:fill="FFFFFF"/>
          <w:lang w:val="en-US" w:eastAsia="zh-Hans"/>
        </w:rPr>
        <w:t>四个维度综合评价铜川市</w:t>
      </w:r>
      <w:r>
        <w:rPr>
          <w:rFonts w:hint="eastAsia" w:ascii="仿宋" w:hAnsi="仿宋" w:eastAsia="仿宋" w:cs="仿宋"/>
          <w:color w:val="auto"/>
          <w:kern w:val="0"/>
          <w:sz w:val="32"/>
          <w:szCs w:val="32"/>
          <w:highlight w:val="none"/>
          <w:shd w:val="clear" w:color="auto" w:fill="FFFFFF"/>
          <w:lang w:val="en-US" w:eastAsia="zh-CN"/>
        </w:rPr>
        <w:t>新区农业农村局</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年部门整体支出绩效，评价工作组认为：总体上</w:t>
      </w:r>
      <w:r>
        <w:rPr>
          <w:rFonts w:hint="eastAsia" w:ascii="仿宋" w:hAnsi="仿宋" w:eastAsia="仿宋" w:cs="仿宋"/>
          <w:color w:val="auto"/>
          <w:kern w:val="0"/>
          <w:sz w:val="32"/>
          <w:szCs w:val="32"/>
          <w:highlight w:val="none"/>
          <w:shd w:val="clear" w:color="auto" w:fill="FFFFFF"/>
          <w:lang w:val="en-US" w:eastAsia="zh-CN"/>
        </w:rPr>
        <w:t>新区农业农村局在职责履行和履职效益表现较好，但在投入、过程方面存在一定问题。评价结果分为优(</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分以上)、良(</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分)、中(</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CN"/>
        </w:rPr>
        <w:t>分) 和差(</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CN"/>
        </w:rPr>
        <w:t>分以下)四个等次。经综合分析，该部门整体支出综合评价得分为85.93分，绩效等级为“良”。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9"/>
        <w:rPr>
          <w:rFonts w:hint="eastAsia" w:ascii="仿宋" w:hAnsi="仿宋" w:eastAsia="仿宋" w:cs="仿宋"/>
          <w:b/>
          <w:bCs/>
          <w:color w:val="auto"/>
          <w:kern w:val="0"/>
          <w:sz w:val="28"/>
          <w:szCs w:val="28"/>
          <w:highlight w:val="none"/>
          <w:shd w:val="clear" w:color="auto" w:fill="FFFFFF"/>
          <w:lang w:val="en-US" w:eastAsia="zh-Hans"/>
        </w:rPr>
      </w:pPr>
      <w:r>
        <w:rPr>
          <w:rFonts w:hint="eastAsia" w:ascii="仿宋" w:hAnsi="仿宋" w:eastAsia="仿宋" w:cs="仿宋"/>
          <w:b/>
          <w:bCs/>
          <w:color w:val="auto"/>
          <w:kern w:val="0"/>
          <w:sz w:val="28"/>
          <w:szCs w:val="28"/>
          <w:highlight w:val="none"/>
          <w:shd w:val="clear" w:color="auto" w:fill="FFFFFF"/>
          <w:lang w:val="en-US" w:eastAsia="zh-Hans"/>
        </w:rPr>
        <w:t>表3-1 202</w:t>
      </w:r>
      <w:r>
        <w:rPr>
          <w:rFonts w:hint="eastAsia" w:ascii="仿宋" w:hAnsi="仿宋" w:eastAsia="仿宋" w:cs="仿宋"/>
          <w:b/>
          <w:bCs/>
          <w:color w:val="auto"/>
          <w:kern w:val="0"/>
          <w:sz w:val="28"/>
          <w:szCs w:val="28"/>
          <w:highlight w:val="none"/>
          <w:shd w:val="clear" w:color="auto" w:fill="FFFFFF"/>
          <w:lang w:val="en-US" w:eastAsia="zh-CN"/>
        </w:rPr>
        <w:t>1</w:t>
      </w:r>
      <w:r>
        <w:rPr>
          <w:rFonts w:hint="eastAsia" w:ascii="仿宋" w:hAnsi="仿宋" w:eastAsia="仿宋" w:cs="仿宋"/>
          <w:b/>
          <w:bCs/>
          <w:color w:val="auto"/>
          <w:kern w:val="0"/>
          <w:sz w:val="28"/>
          <w:szCs w:val="28"/>
          <w:highlight w:val="none"/>
          <w:shd w:val="clear" w:color="auto" w:fill="FFFFFF"/>
          <w:lang w:val="en-US" w:eastAsia="zh-Hans"/>
        </w:rPr>
        <w:t>年</w:t>
      </w:r>
      <w:r>
        <w:rPr>
          <w:rFonts w:hint="eastAsia" w:ascii="仿宋" w:hAnsi="仿宋" w:eastAsia="仿宋" w:cs="仿宋"/>
          <w:b/>
          <w:bCs/>
          <w:color w:val="auto"/>
          <w:kern w:val="0"/>
          <w:sz w:val="28"/>
          <w:szCs w:val="28"/>
          <w:highlight w:val="none"/>
          <w:shd w:val="clear" w:color="auto" w:fill="FFFFFF"/>
          <w:lang w:val="en-US" w:eastAsia="zh-CN"/>
        </w:rPr>
        <w:t>新区农业农村局</w:t>
      </w:r>
      <w:r>
        <w:rPr>
          <w:rFonts w:hint="eastAsia" w:ascii="仿宋" w:hAnsi="仿宋" w:eastAsia="仿宋" w:cs="仿宋"/>
          <w:b/>
          <w:bCs/>
          <w:color w:val="auto"/>
          <w:kern w:val="0"/>
          <w:sz w:val="28"/>
          <w:szCs w:val="28"/>
          <w:highlight w:val="none"/>
          <w:shd w:val="clear" w:color="auto" w:fill="FFFFFF"/>
          <w:lang w:val="en-US" w:eastAsia="zh-Hans"/>
        </w:rPr>
        <w:t>部门整体支出绩效</w:t>
      </w:r>
      <w:r>
        <w:rPr>
          <w:rFonts w:hint="eastAsia" w:ascii="仿宋" w:hAnsi="仿宋" w:eastAsia="仿宋" w:cs="仿宋"/>
          <w:b/>
          <w:bCs/>
          <w:color w:val="auto"/>
          <w:kern w:val="0"/>
          <w:sz w:val="28"/>
          <w:szCs w:val="28"/>
          <w:highlight w:val="none"/>
          <w:shd w:val="clear" w:color="auto" w:fill="FFFFFF"/>
          <w:lang w:val="en-US" w:eastAsia="zh-CN"/>
        </w:rPr>
        <w:t>评价得分</w:t>
      </w:r>
      <w:r>
        <w:rPr>
          <w:rFonts w:hint="eastAsia" w:ascii="仿宋" w:hAnsi="仿宋" w:eastAsia="仿宋" w:cs="仿宋"/>
          <w:b/>
          <w:bCs/>
          <w:color w:val="auto"/>
          <w:kern w:val="0"/>
          <w:sz w:val="28"/>
          <w:szCs w:val="28"/>
          <w:highlight w:val="none"/>
          <w:shd w:val="clear" w:color="auto" w:fill="FFFFFF"/>
          <w:lang w:val="en-US" w:eastAsia="zh-Hans"/>
        </w:rPr>
        <w:t>表</w:t>
      </w:r>
    </w:p>
    <w:tbl>
      <w:tblPr>
        <w:tblStyle w:val="15"/>
        <w:tblW w:w="4998" w:type="pct"/>
        <w:tblInd w:w="0" w:type="dxa"/>
        <w:shd w:val="clear" w:color="auto" w:fill="auto"/>
        <w:tblLayout w:type="autofit"/>
        <w:tblCellMar>
          <w:top w:w="0" w:type="dxa"/>
          <w:left w:w="0" w:type="dxa"/>
          <w:bottom w:w="0" w:type="dxa"/>
          <w:right w:w="0" w:type="dxa"/>
        </w:tblCellMar>
      </w:tblPr>
      <w:tblGrid>
        <w:gridCol w:w="2076"/>
        <w:gridCol w:w="2076"/>
        <w:gridCol w:w="2595"/>
        <w:gridCol w:w="2079"/>
      </w:tblGrid>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得分率</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决策</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3.6</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24</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22.33</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89.32</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35</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效益</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25</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100.00</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合计</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cs="宋体"/>
                <w:i w:val="0"/>
                <w:color w:val="000000"/>
                <w:kern w:val="0"/>
                <w:sz w:val="24"/>
                <w:szCs w:val="24"/>
                <w:u w:val="none"/>
                <w:lang w:val="en-US" w:eastAsia="zh-CN" w:bidi="ar"/>
              </w:rPr>
              <w:t>85.93</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cs="宋体"/>
                <w:i w:val="0"/>
                <w:color w:val="000000"/>
                <w:kern w:val="0"/>
                <w:sz w:val="24"/>
                <w:szCs w:val="24"/>
                <w:u w:val="none"/>
                <w:lang w:val="en-US" w:eastAsia="zh-CN" w:bidi="ar"/>
              </w:rPr>
              <w:t>85.93</w:t>
            </w:r>
            <w:r>
              <w:rPr>
                <w:rFonts w:hint="eastAsia" w:ascii="宋体" w:hAnsi="宋体" w:eastAsia="宋体" w:cs="宋体"/>
                <w:i w:val="0"/>
                <w:color w:val="000000"/>
                <w:kern w:val="0"/>
                <w:sz w:val="24"/>
                <w:szCs w:val="24"/>
                <w:u w:val="none"/>
                <w:lang w:val="en-US" w:eastAsia="zh-CN" w:bidi="ar"/>
              </w:rPr>
              <w:t>%</w:t>
            </w:r>
          </w:p>
        </w:tc>
      </w:tr>
      <w:tr>
        <w:tblPrEx>
          <w:shd w:val="clear" w:color="auto" w:fill="auto"/>
          <w:tblCellMar>
            <w:top w:w="0" w:type="dxa"/>
            <w:left w:w="0" w:type="dxa"/>
            <w:bottom w:w="0" w:type="dxa"/>
            <w:right w:w="0" w:type="dxa"/>
          </w:tblCellMar>
        </w:tblPrEx>
        <w:trPr>
          <w:trHeight w:val="45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绩效评价得分：</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cs="宋体"/>
                <w:i w:val="0"/>
                <w:color w:val="000000"/>
                <w:kern w:val="0"/>
                <w:sz w:val="24"/>
                <w:szCs w:val="24"/>
                <w:u w:val="none"/>
                <w:lang w:val="en-US" w:eastAsia="zh-CN" w:bidi="ar"/>
              </w:rPr>
              <w:t>85.93</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综合评价结果等级：</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良</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Hans"/>
        </w:rPr>
      </w:pPr>
      <w:bookmarkStart w:id="13" w:name="_Toc24355"/>
      <w:r>
        <w:rPr>
          <w:rFonts w:hint="eastAsia" w:ascii="黑体" w:hAnsi="黑体" w:eastAsia="黑体" w:cs="黑体"/>
          <w:b w:val="0"/>
          <w:bCs w:val="0"/>
          <w:color w:val="auto"/>
          <w:kern w:val="0"/>
          <w:sz w:val="32"/>
          <w:szCs w:val="32"/>
          <w:highlight w:val="none"/>
          <w:lang w:val="en-US" w:eastAsia="zh-Hans"/>
        </w:rPr>
        <w:t>四、绩效评价分析</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4" w:name="_Toc30110"/>
      <w:r>
        <w:rPr>
          <w:rFonts w:hint="eastAsia" w:ascii="楷体" w:hAnsi="楷体" w:eastAsia="楷体" w:cs="楷体"/>
          <w:b/>
          <w:bCs/>
          <w:color w:val="auto"/>
          <w:kern w:val="0"/>
          <w:sz w:val="32"/>
          <w:szCs w:val="32"/>
          <w:highlight w:val="none"/>
          <w:shd w:val="clear" w:color="auto" w:fill="FFFFFF"/>
          <w:lang w:val="en-US" w:eastAsia="zh-CN"/>
        </w:rPr>
        <w:t>（一）投入方面</w:t>
      </w:r>
      <w:bookmarkEnd w:id="1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目标设定和预算配置两方面内容</w:t>
      </w:r>
      <w:r>
        <w:rPr>
          <w:rFonts w:hint="eastAsia" w:ascii="仿宋" w:hAnsi="仿宋" w:eastAsia="仿宋" w:cs="仿宋"/>
          <w:color w:val="auto"/>
          <w:kern w:val="0"/>
          <w:sz w:val="32"/>
          <w:szCs w:val="32"/>
          <w:highlight w:val="none"/>
          <w:shd w:val="clear" w:color="auto" w:fill="FFFFFF"/>
          <w:lang w:val="en-US" w:eastAsia="zh-CN"/>
        </w:rPr>
        <w:t>，包括绩效目标合理性、</w:t>
      </w:r>
      <w:r>
        <w:rPr>
          <w:rFonts w:hint="eastAsia" w:ascii="仿宋" w:hAnsi="仿宋" w:eastAsia="仿宋" w:cs="仿宋"/>
          <w:color w:val="auto"/>
          <w:kern w:val="0"/>
          <w:sz w:val="32"/>
          <w:szCs w:val="32"/>
          <w:highlight w:val="none"/>
          <w:shd w:val="clear" w:color="auto" w:fill="FFFFFF"/>
          <w:lang w:val="en-US" w:eastAsia="zh-Hans"/>
        </w:rPr>
        <w:t>绩效指标明确性、在职人员控制率、“</w:t>
      </w:r>
      <w:r>
        <w:rPr>
          <w:rFonts w:hint="eastAsia" w:ascii="仿宋" w:hAnsi="仿宋" w:eastAsia="仿宋" w:cs="仿宋"/>
          <w:color w:val="auto"/>
          <w:kern w:val="0"/>
          <w:sz w:val="32"/>
          <w:szCs w:val="32"/>
          <w:highlight w:val="none"/>
          <w:shd w:val="clear" w:color="auto" w:fill="FFFFFF"/>
          <w:lang w:val="en-US" w:eastAsia="zh-CN"/>
        </w:rPr>
        <w:t>三公经费</w:t>
      </w:r>
      <w:r>
        <w:rPr>
          <w:rFonts w:hint="eastAsia" w:ascii="仿宋" w:hAnsi="仿宋" w:eastAsia="仿宋" w:cs="仿宋"/>
          <w:color w:val="auto"/>
          <w:kern w:val="0"/>
          <w:sz w:val="32"/>
          <w:szCs w:val="32"/>
          <w:highlight w:val="none"/>
          <w:shd w:val="clear" w:color="auto" w:fill="FFFFFF"/>
          <w:lang w:val="en-US" w:eastAsia="zh-Hans"/>
        </w:rPr>
        <w:t>”变动率、重点支出安排率</w:t>
      </w:r>
      <w:r>
        <w:rPr>
          <w:rFonts w:hint="eastAsia" w:ascii="仿宋" w:hAnsi="仿宋" w:eastAsia="仿宋" w:cs="仿宋"/>
          <w:color w:val="auto"/>
          <w:kern w:val="0"/>
          <w:sz w:val="32"/>
          <w:szCs w:val="32"/>
          <w:highlight w:val="none"/>
          <w:shd w:val="clear" w:color="auto" w:fill="FFFFFF"/>
          <w:lang w:val="en-US" w:eastAsia="zh-CN"/>
        </w:rPr>
        <w:t>等5个三级指标，指标权重15分，评价得分3.6分，得分率为24%。</w:t>
      </w:r>
    </w:p>
    <w:tbl>
      <w:tblPr>
        <w:tblStyle w:val="15"/>
        <w:tblW w:w="49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20" w:hRule="atLeast"/>
        </w:trPr>
        <w:tc>
          <w:tcPr>
            <w:tcW w:w="787"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一级指标</w:t>
            </w:r>
          </w:p>
        </w:tc>
        <w:tc>
          <w:tcPr>
            <w:tcW w:w="787"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二级指标</w:t>
            </w:r>
          </w:p>
        </w:tc>
        <w:tc>
          <w:tcPr>
            <w:tcW w:w="1485"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三级指标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指标分值</w:t>
            </w:r>
          </w:p>
        </w:tc>
        <w:tc>
          <w:tcPr>
            <w:tcW w:w="788"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restar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投入</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（15分）</w:t>
            </w:r>
          </w:p>
        </w:tc>
        <w:tc>
          <w:tcPr>
            <w:tcW w:w="787"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目标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设定</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restar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配置</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787" w:type="pct"/>
            <w:vMerge w:val="continue"/>
            <w:shd w:val="clear" w:color="auto" w:fill="auto"/>
            <w:noWrap/>
            <w:tcMar>
              <w:top w:w="10" w:type="dxa"/>
              <w:left w:w="10" w:type="dxa"/>
              <w:right w:w="10" w:type="dxa"/>
            </w:tcMar>
            <w:vAlign w:val="center"/>
          </w:tcPr>
          <w:p>
            <w:pPr>
              <w:rPr>
                <w:rFonts w:hint="eastAsia" w:ascii="仿宋" w:hAnsi="仿宋" w:eastAsia="仿宋" w:cs="仿宋"/>
                <w:i w:val="0"/>
                <w:color w:val="000000"/>
                <w:sz w:val="24"/>
                <w:szCs w:val="24"/>
                <w:u w:val="none"/>
              </w:rPr>
            </w:pPr>
          </w:p>
        </w:tc>
        <w:tc>
          <w:tcPr>
            <w:tcW w:w="787" w:type="pct"/>
            <w:vMerge w:val="continue"/>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w:t>
            </w: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385" w:type="dxa"/>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00" w:hRule="atLeast"/>
        </w:trPr>
        <w:tc>
          <w:tcPr>
            <w:tcW w:w="1574" w:type="pct"/>
            <w:gridSpan w:val="2"/>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15</w:t>
            </w:r>
          </w:p>
        </w:tc>
        <w:tc>
          <w:tcPr>
            <w:tcW w:w="788" w:type="pct"/>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3.6</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1.目标设定</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（1）绩效目标合理性</w:t>
      </w:r>
      <w:r>
        <w:rPr>
          <w:rFonts w:hint="eastAsia" w:ascii="仿宋" w:hAnsi="仿宋" w:eastAsia="仿宋" w:cs="仿宋"/>
          <w:color w:val="auto"/>
          <w:kern w:val="0"/>
          <w:sz w:val="32"/>
          <w:szCs w:val="32"/>
          <w:highlight w:val="none"/>
          <w:shd w:val="clear" w:color="auto"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根据新区农业农村局所报相关资料和现场座谈内容，2021年度部门编制了综合预算，针对专项业务经费设置项目支出绩效目标，并上报财政部门审核。但年初未制定部门整体支出绩效目标表。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结合项目支出绩效评价指标体系内容和评分标准，经综合评价，该项指标得分为0分。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（2）绩效指标明确性</w:t>
      </w:r>
      <w:r>
        <w:rPr>
          <w:rFonts w:hint="eastAsia" w:ascii="仿宋" w:hAnsi="仿宋" w:eastAsia="仿宋" w:cs="仿宋"/>
          <w:color w:val="auto"/>
          <w:kern w:val="0"/>
          <w:sz w:val="32"/>
          <w:szCs w:val="32"/>
          <w:highlight w:val="none"/>
          <w:shd w:val="clear" w:color="auto" w:fill="FFFFFF"/>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根据新区农业农村局所报相关资料和现场座谈内容，2021年度部门编制了综合预算，针对专项业务经费设置项目支出绩效目标，并上报财政部门审核。但年初未制定部门整体支出绩效目标表。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结合项目支出绩效评价指标体系内容和评分标准，经综合评价，该项指标得分为0分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2.预算配置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）在职人员控制率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农业农村局部门编制管理册中实有人数变动情况，部门2020年12月29日在职人员减少1名，由5名减少为4名，包括2名领导人员和2名非领导人员。截至2021年末，部门未有人员新增。部门编制数5名，实际在职人员4人。结合部门整体支出绩效评价指标体系内容和评分标准，经综合评价，该项指标得分为1.6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（2）“三公经费”变动率--2分。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根据新区农业农村局2021年度和2020年度部门预算公开内容，2021年本部门当年一般公共预算“三公”经费预算支出0.00万元，较上年持平。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结合部门整体支出绩效评价指标体系内容和评分标准，经综合评价，该项指标得分为2分。</w:t>
      </w:r>
      <w:bookmarkStart w:id="15" w:name="_Toc1682881084_WPSOffice_Level2"/>
      <w:bookmarkStart w:id="16" w:name="_Toc373329643_WPSOffice_Level2"/>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（3）重点支出安排率--4分。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新区农业农村局2021年度部门预算文件公开内容，年初编制预算额度279.44万元，其中基本支出60.94万元，项目支出总额218.5万元。部门2021年度重点安排支出183万元，重点支出安排率为83.75%。包括森林资源督察业务委托5万、森林资源管护技术服务5万元，人居环境工作10万元、果业推广培训工作5万元、森林防火工作5万、防汛抗旱工作10万、防灾减灾工作5万，资产清查工作15万，杨凌农高会工作8万、河湖长制工作5万元、供水工程维修养护76万，农业技术培训3万、农产品质量安全检测5万、消毒药品采购9万、扶贫产品交易会10万、水利扶贫技术服务7万。</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结合部门整体支出绩效评价指标体系内容和评分标准，经综合评价，该项指标得分为0分</w:t>
      </w:r>
      <w:r>
        <w:rPr>
          <w:rFonts w:hint="eastAsia" w:ascii="仿宋" w:hAnsi="仿宋" w:eastAsia="仿宋" w:cs="仿宋"/>
          <w:color w:val="auto"/>
          <w:kern w:val="0"/>
          <w:sz w:val="32"/>
          <w:szCs w:val="32"/>
          <w:highlight w:val="none"/>
          <w:shd w:val="clear" w:color="auto" w:fill="FFFFFF"/>
          <w:lang w:val="en-US" w:eastAsia="zh-CN" w:bidi="ar-SA"/>
        </w:rPr>
        <w:t>。</w:t>
      </w:r>
    </w:p>
    <w:bookmarkEnd w:id="15"/>
    <w:bookmarkEnd w:id="16"/>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 w:hAnsi="仿宋" w:eastAsia="仿宋" w:cs="仿宋"/>
          <w:color w:val="auto"/>
          <w:kern w:val="0"/>
          <w:sz w:val="32"/>
          <w:szCs w:val="32"/>
          <w:highlight w:val="none"/>
          <w:shd w:val="clear" w:color="auto" w:fill="FFFFFF"/>
          <w:lang w:val="en-US" w:eastAsia="zh-CN"/>
        </w:rPr>
      </w:pPr>
      <w:bookmarkStart w:id="17" w:name="_Toc22772"/>
      <w:r>
        <w:rPr>
          <w:rFonts w:hint="eastAsia" w:ascii="楷体" w:hAnsi="楷体" w:eastAsia="楷体" w:cs="楷体"/>
          <w:b/>
          <w:bCs/>
          <w:color w:val="auto"/>
          <w:kern w:val="0"/>
          <w:sz w:val="32"/>
          <w:szCs w:val="32"/>
          <w:highlight w:val="none"/>
          <w:shd w:val="clear" w:color="auto" w:fill="FFFFFF"/>
          <w:lang w:val="en-US" w:eastAsia="zh-CN"/>
        </w:rPr>
        <w:t>（二）过程管理</w:t>
      </w:r>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预算执行、预算管理和资产管理三方面内容</w:t>
      </w:r>
      <w:r>
        <w:rPr>
          <w:rFonts w:hint="eastAsia" w:ascii="仿宋" w:hAnsi="仿宋" w:eastAsia="仿宋" w:cs="仿宋"/>
          <w:color w:val="auto"/>
          <w:kern w:val="0"/>
          <w:sz w:val="32"/>
          <w:szCs w:val="32"/>
          <w:highlight w:val="none"/>
          <w:shd w:val="clear" w:color="auto" w:fill="FFFFFF"/>
          <w:lang w:val="en-US" w:eastAsia="zh-CN"/>
        </w:rPr>
        <w:t>，包括预算完成率、预算调整率、支付进度率、结转结余率、结转结余变动率、公用经费控制率、“三公经费”控制率、政府采购执行率、管理制度健全性、资金使用合规性、预决算信息公开性、运行监控和自评有效性、基础信息完善性、管理制度健全性、资产管理安全性、固定资产利用率等16个三级指标，指标权重25分，评价得分22.33分，得分率为89.32%。</w:t>
      </w:r>
    </w:p>
    <w:tbl>
      <w:tblPr>
        <w:tblStyle w:val="15"/>
        <w:tblW w:w="4975" w:type="pct"/>
        <w:tblInd w:w="0" w:type="dxa"/>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tblCellMar>
            <w:top w:w="0" w:type="dxa"/>
            <w:left w:w="0" w:type="dxa"/>
            <w:bottom w:w="0" w:type="dxa"/>
            <w:right w:w="0" w:type="dxa"/>
          </w:tblCellMar>
        </w:tblPrEx>
        <w:trPr>
          <w:trHeight w:val="520" w:hRule="atLeast"/>
        </w:trPr>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执行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0.26</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支付进度率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0.57</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0.6</w:t>
            </w:r>
          </w:p>
        </w:tc>
      </w:tr>
      <w:tr>
        <w:tblPrEx>
          <w:shd w:val="clear" w:color="auto" w:fill="auto"/>
          <w:tblCellMar>
            <w:top w:w="0" w:type="dxa"/>
            <w:left w:w="0" w:type="dxa"/>
            <w:bottom w:w="0" w:type="dxa"/>
            <w:right w:w="0" w:type="dxa"/>
          </w:tblCellMar>
        </w:tblPrEx>
        <w:trPr>
          <w:trHeight w:val="12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运行监控和自评有效性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基础信息完善性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0.9</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00" w:hRule="atLeast"/>
        </w:trPr>
        <w:tc>
          <w:tcPr>
            <w:tcW w:w="1574"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c>
          <w:tcPr>
            <w:tcW w:w="788"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22.33</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1.预算执行</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（1）预算完成率</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根据农业农村局所提供部门2021年度决算文件和决算数据内容，2021年度调整预算数为6123.26万元，2021年部门决算支出为5954.92万元。预算执行率为97.25%，大于95%。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2</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预算调整率--1分。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根据农业农村局所提供部门2021年度决算文件和决算数据内容，2021年度调整预算数为6123.26万元，年初预算数为1614.23万元。2021年度预算调整数为4509.03万元，预算调整率为73.64%。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结合部门整体支出绩效评价指标体系内容和评分标准，经综合评价，该项指标得分为0.26分。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（3）支付进度率--1分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新区农业农村局公共财政支出台账、2021年收入支出决算统计表等部门相关资料内容。部门2021年支出决算完成数为5954.92万元，2021年3月底，部门公共财政支出完成226.21万元，序时支出进度为1488.73万元，支付进度率为15.19%。以3月为时点，支付进度率得分为0.23分。2021年6月底，公共财政支出完成784.70万元，序时支出进度为2977.46万元，支付进度率为26.35%。以6月为时点，支付进度率得分为0.40分。2021年9月底，公共财政支出完成2203.95万元，序时支出进度为4466.19万元，支付进度率为49.35%。以9月为时点，支付进度率得分为0.74分。2021年11月底，公共财政支出完成3287.04万元，序时支出进度为5458.68万元，支付进度率为60.22%。以11月为时点，支付进度率得分为0.9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结合部门整体支出绩效评价指标体系内容和评分标准，经综合评价，该项指标得分为0.57分。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（4）结转结余率--1分。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根据农业农村局所提供部门2021年度决算文件和决算数据内容，2021年度结转结余资金为168.34万元，决算收入数为6123.26万元。结转结余率为2.75%。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5</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结转结余变动率--1分。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根据农业农村局所提供部门2021年度决算文件和决算数据内容，2021年度部门结转结余资金168.34万，2020年部门结转结余资金为1334.79万元。结转结余资金金额大比例降低</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（6）公用经费控制率--1分。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根据农业农村局所提供部门2021年度部门综合预算公开内容和决算文件、决算数据内容，2021年度实际公用经费支出总额为31.89万元。2021年初部门公用经费安排7万元。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公用经费控制率大于100%。结合部门整体支出绩效评价指标体系内容和评分标准，经综合评价，该项指标得分为0分。</w:t>
      </w:r>
    </w:p>
    <w:p>
      <w:pPr>
        <w:pStyle w:val="2"/>
        <w:numPr>
          <w:ilvl w:val="0"/>
          <w:numId w:val="0"/>
        </w:numPr>
        <w:ind w:firstLine="640" w:firstLineChars="200"/>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（7）“三公经费”控制率--1.5分。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根据新区农业农村局2021年度部门预算文件公开内容，2021年的一般公共预算“三公”经费预算支出0万元，年初未编制“三公经费”预算，年度实际支出为0。</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（8）政府采购执行率--1.5分。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根据农业农村局所提供部门2021年度部门决算文件、决算数据内容和采购项目核准书、采购合同等相关资料，2021年度政府实际采购金额为60.2万元，政府采购预算资金60.2万元。政府采购执行率为100%。</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根据新区农业农村据所报部门相关资料内容，部门制定了财务管理制度，包括内部牵制制度、预算管理、支出管理等内容，相关制度合法、合规、完整，相关制度有效执行。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资金使用合规性</w:t>
      </w:r>
      <w:r>
        <w:rPr>
          <w:rFonts w:hint="eastAsia" w:ascii="仿宋" w:hAnsi="仿宋" w:eastAsia="仿宋" w:cs="仿宋"/>
          <w:color w:val="auto"/>
          <w:kern w:val="0"/>
          <w:sz w:val="32"/>
          <w:szCs w:val="32"/>
          <w:highlight w:val="none"/>
          <w:shd w:val="clear" w:color="auto" w:fill="FFFFFF"/>
          <w:lang w:val="en-US" w:eastAsia="zh-CN"/>
        </w:rPr>
        <w:t>--2.5分。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所提供2021年各项费用支付明细表，支付明细表详细列明支付凭证号、指标文号、结算金额、收款人信息、资金性质、资金支出功能科目等相关信息，各项费用支出在年初预算批复用途，资金拨付有完整的审批程序和手续，年度不存在项目重大开支，不存在截留、挤占、挪用、虚列支出等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（3）预决算信息公开性--0.6分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部门按照财政部门相关要求，2021年3月15日完成部门2021年度综合预算公开，公开内容包括预算编制文件、年度工作任务计划、各项费用情况说明和部门整体绩效目标表、项目支出绩效目标表。2021年部门综合预算公开内容符合相关规定，在规定完成预算公开。根据财政要求，2022年10月完成部门上年度收支决算统计。</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结合部门整体支出绩效评价指标体系内容和评分标准，经综合评价，该项指标得分为0.6分。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（4）运行监控和自评有效性--3分。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新区农业农村据作为项目主管部门，按照财政部门相关要求，在年中开展了部门项目绩效运行监控。在2022年份根据2021年预算执行情况和绩效目标完成情况开展了项目绩效自评管理工作，并形成绩效自评报告，详细论述各项目支出的过程情况和产出情况。深入分析项目绩效情况。</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（5）基础信息完善</w:t>
      </w:r>
      <w:r>
        <w:rPr>
          <w:rFonts w:hint="eastAsia" w:ascii="仿宋" w:hAnsi="仿宋" w:eastAsia="仿宋" w:cs="仿宋"/>
          <w:color w:val="auto"/>
          <w:kern w:val="0"/>
          <w:sz w:val="32"/>
          <w:szCs w:val="32"/>
          <w:highlight w:val="none"/>
          <w:shd w:val="clear" w:color="auto" w:fill="FFFFFF"/>
          <w:lang w:val="en-US" w:eastAsia="zh-Hans"/>
        </w:rPr>
        <w:t>性</w:t>
      </w:r>
      <w:r>
        <w:rPr>
          <w:rFonts w:hint="eastAsia" w:ascii="仿宋" w:hAnsi="仿宋" w:eastAsia="仿宋" w:cs="仿宋"/>
          <w:color w:val="auto"/>
          <w:kern w:val="0"/>
          <w:sz w:val="32"/>
          <w:szCs w:val="32"/>
          <w:highlight w:val="none"/>
          <w:shd w:val="clear" w:color="auto" w:fill="FFFFFF"/>
          <w:lang w:val="en-US" w:eastAsia="zh-CN"/>
        </w:rPr>
        <w:t>--0.9分。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部门所提供相关资料内容和现场座谈，部门通过财政云系统实现预算数字管理，各项费用支出和相关会计信息上传财政云系统，有效保障会计信息的完整。部门根据年度工作内容和项目实施情况，做好相关资料归档、整理，形成了完整、真实的基础数据。基础数据信息和会计信息的真实、完整有效的支撑了部门预算管理工作的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结合部门整体支出绩效评价指标体系内容和评分标准，经综合评价，该项指标得分为0.9分。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3.资产管理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所提供相关资料内容，部门在财务管理制度中对固定资产的管理做了明确规定，建立了固定资产台账，由专人管理，对资产进行分项登记、编号，建立财产管理卡片。定期清查盘点，对资产的使用、购置和报废处置做出明确要求。资产管理制度合法合规、完整。相关资产管理制度得到有效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 得分为1.5分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资产管理</w:t>
      </w:r>
      <w:r>
        <w:rPr>
          <w:rFonts w:hint="eastAsia" w:ascii="仿宋" w:hAnsi="仿宋" w:eastAsia="仿宋" w:cs="仿宋"/>
          <w:color w:val="auto"/>
          <w:kern w:val="0"/>
          <w:sz w:val="32"/>
          <w:szCs w:val="32"/>
          <w:highlight w:val="none"/>
          <w:shd w:val="clear" w:color="auto" w:fill="FFFFFF"/>
          <w:lang w:val="en-US" w:eastAsia="zh-CN"/>
        </w:rPr>
        <w:t>安全</w:t>
      </w:r>
      <w:r>
        <w:rPr>
          <w:rFonts w:hint="eastAsia" w:ascii="仿宋" w:hAnsi="仿宋" w:eastAsia="仿宋" w:cs="仿宋"/>
          <w:color w:val="auto"/>
          <w:kern w:val="0"/>
          <w:sz w:val="32"/>
          <w:szCs w:val="32"/>
          <w:highlight w:val="none"/>
          <w:shd w:val="clear" w:color="auto" w:fill="FFFFFF"/>
          <w:lang w:val="en-US" w:eastAsia="zh-Hans"/>
        </w:rPr>
        <w:t>性</w:t>
      </w:r>
      <w:r>
        <w:rPr>
          <w:rFonts w:hint="eastAsia" w:ascii="仿宋" w:hAnsi="仿宋" w:eastAsia="仿宋" w:cs="仿宋"/>
          <w:color w:val="auto"/>
          <w:kern w:val="0"/>
          <w:sz w:val="32"/>
          <w:szCs w:val="32"/>
          <w:highlight w:val="none"/>
          <w:shd w:val="clear" w:color="auto" w:fill="FFFFFF"/>
          <w:lang w:val="en-US" w:eastAsia="zh-CN"/>
        </w:rPr>
        <w:t>--1.5分。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根据部门固定资产明细账内容，部门资产保存完整、相关资产多为办公用品、台式电脑、办公设备、等相关设备，资产配置合理 ，固定资产入账后定期折旧，资产管理合规，新增资产设备及时入账。资产有偿使用、处置按规定程序审批。资产收益及时、足额上缴财政。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结合部门整体支出绩效评价指标体系内容和评分标准，经综合评价，该项指标得分为1.5分</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固定资产利用率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根据部门2021年度固定资产总账和卡片明细账，部门固定资产总额85.84万元，实际在用固定资产总额85.84万元。固定资产利用率为100%。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8" w:name="_Toc21840"/>
      <w:r>
        <w:rPr>
          <w:rFonts w:hint="eastAsia" w:ascii="楷体" w:hAnsi="楷体" w:eastAsia="楷体" w:cs="楷体"/>
          <w:b/>
          <w:bCs/>
          <w:color w:val="auto"/>
          <w:kern w:val="0"/>
          <w:sz w:val="32"/>
          <w:szCs w:val="32"/>
          <w:highlight w:val="none"/>
          <w:shd w:val="clear" w:color="auto" w:fill="FFFFFF"/>
          <w:lang w:val="en-US" w:eastAsia="zh-CN"/>
        </w:rPr>
        <w:t>（三）产出方面</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该指标主要考核新区农业农村局2021年度职责履行的内容，包括部门年度工作完成率、完成及时率、质量达标率和重点工作办结率等4个三级指标，指标权重35分，评价得分35分，得分率为100%。</w:t>
      </w:r>
    </w:p>
    <w:tbl>
      <w:tblPr>
        <w:tblStyle w:val="15"/>
        <w:tblW w:w="4975" w:type="pct"/>
        <w:tblInd w:w="0" w:type="dxa"/>
        <w:shd w:val="clear" w:color="auto" w:fill="auto"/>
        <w:tblLayout w:type="autofit"/>
        <w:tblCellMar>
          <w:top w:w="0" w:type="dxa"/>
          <w:left w:w="0" w:type="dxa"/>
          <w:bottom w:w="0" w:type="dxa"/>
          <w:right w:w="0" w:type="dxa"/>
        </w:tblCellMar>
      </w:tblPr>
      <w:tblGrid>
        <w:gridCol w:w="1383"/>
        <w:gridCol w:w="1384"/>
        <w:gridCol w:w="2611"/>
        <w:gridCol w:w="2023"/>
        <w:gridCol w:w="1385"/>
      </w:tblGrid>
      <w:tr>
        <w:tblPrEx>
          <w:shd w:val="clear" w:color="auto" w:fill="auto"/>
          <w:tblCellMar>
            <w:top w:w="0" w:type="dxa"/>
            <w:left w:w="0" w:type="dxa"/>
            <w:bottom w:w="0" w:type="dxa"/>
            <w:right w:w="0" w:type="dxa"/>
          </w:tblCellMar>
        </w:tblPrEx>
        <w:trPr>
          <w:trHeight w:val="520" w:hRule="atLeast"/>
        </w:trPr>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78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7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300" w:hRule="atLeast"/>
        </w:trPr>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78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职责</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履行</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tblCellMar>
            <w:top w:w="0" w:type="dxa"/>
            <w:left w:w="0" w:type="dxa"/>
            <w:bottom w:w="0" w:type="dxa"/>
            <w:right w:w="0" w:type="dxa"/>
          </w:tblCellMar>
        </w:tblPrEx>
        <w:trPr>
          <w:trHeight w:val="300" w:hRule="atLeast"/>
        </w:trPr>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8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w:t>
            </w: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r>
      <w:tr>
        <w:tblPrEx>
          <w:tblCellMar>
            <w:top w:w="0" w:type="dxa"/>
            <w:left w:w="0" w:type="dxa"/>
            <w:bottom w:w="0" w:type="dxa"/>
            <w:right w:w="0" w:type="dxa"/>
          </w:tblCellMar>
        </w:tblPrEx>
        <w:trPr>
          <w:trHeight w:val="300" w:hRule="atLeast"/>
        </w:trPr>
        <w:tc>
          <w:tcPr>
            <w:tcW w:w="1574"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合计</w:t>
            </w:r>
          </w:p>
        </w:tc>
        <w:tc>
          <w:tcPr>
            <w:tcW w:w="148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15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1.实际完成</w:t>
      </w:r>
      <w:r>
        <w:rPr>
          <w:rFonts w:hint="eastAsia" w:ascii="仿宋" w:hAnsi="仿宋" w:eastAsia="仿宋" w:cs="仿宋"/>
          <w:color w:val="auto"/>
          <w:kern w:val="0"/>
          <w:sz w:val="32"/>
          <w:szCs w:val="32"/>
          <w:highlight w:val="none"/>
          <w:shd w:val="clear" w:color="auto" w:fill="FFFFFF"/>
          <w:lang w:val="en-US" w:eastAsia="zh-Hans"/>
        </w:rPr>
        <w:t>率</w:t>
      </w:r>
      <w:r>
        <w:rPr>
          <w:rFonts w:hint="eastAsia" w:ascii="仿宋" w:hAnsi="仿宋" w:eastAsia="仿宋" w:cs="仿宋"/>
          <w:color w:val="auto"/>
          <w:kern w:val="0"/>
          <w:sz w:val="32"/>
          <w:szCs w:val="32"/>
          <w:highlight w:val="none"/>
          <w:shd w:val="clear" w:color="auto" w:fill="FFFFFF"/>
          <w:lang w:val="en-US" w:eastAsia="zh-CN"/>
        </w:rPr>
        <w:t>--10分。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根据2021年度新区农业农村局部门综合预算公开内容，2021年度部门工作任务包括分解下达市政府下达的2021年重点区域造林绿化目标任务；继续做好镇域经济监测评价及2020年度考核工作、扎实开展 2020 年度农村集体资产清查；积极宣传引导土地有序流转，发展适度规模中药材种植面积；做好麦田果园管理、做好技术培训工作；确定年度农村供水巩固提升项目等5项工作内容，根据部门2021年度工作总结内容，年度内完成镇域经济监测评价、果业工作管理和培训、特色产业发展、加强水利建设、重点区域造林绿化和集体资产清查工作，年度工作计划全部完成。工作完成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结合部门整体支出绩效评价指标体系内容和评分标准，经综合评价，该项指标得分为10分。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19" w:name="_Toc1802972864_WPSOffice_Level2"/>
      <w:bookmarkStart w:id="20" w:name="_Toc1854215658_WPSOffice_Level2"/>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完成及时率</w:t>
      </w:r>
      <w:bookmarkEnd w:id="19"/>
      <w:bookmarkEnd w:id="20"/>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根据2021年度新区农业农村局部门综合预算公开内容，2021年度部门工作任务包括分解下达市政府下达的2021年重点区域造林绿化目标任务；继续做好镇域经济监测评价及2020年度考核工作、扎实开展 2020 年度农村集体资产清查；积极宣传引导土地有序流转，发展适度规模中药材种植面积；做好麦田果园管理、做好技术培训工作；确定年度农村供水巩固提升项目等5项工作内容，根据部门2021年度工作总结内容，年度内完成镇域经济监测评价、果业工作管理和培训、特色产业发展、加强水利建设、重点区域造林绿化和集体资产清查工作，年度工作计划全部完成。工作完成及时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1" w:name="_Toc1667362389_WPSOffice_Level2"/>
      <w:bookmarkStart w:id="22" w:name="_Toc1570666078_WPSOffice_Level2"/>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质量达标率</w:t>
      </w:r>
      <w:bookmarkEnd w:id="21"/>
      <w:bookmarkEnd w:id="22"/>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2021年度部门工作总结内容，年度第二季度和第三季度完成在野狐坡、牛村、张沟果业培训4场，实施果园机械化作业1万亩。完成水利投资1260万元。统筹整合财政涉农资金项目农村安全饮水巩固提升工程6个，完成重点区域造林绿化任务600亩，完成集体资产清查工作8558.89万元，完成36个村集体经济组织成员信息录入、审核、报送。积极开展镇域经济监测评价和2020年度考核工作。年度计划工作任务全部达标完成，质量达标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结合部门整体支出绩效评价指标体系内容和评分标准，经综合评价，该项指标得分为8分。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3" w:name="_Toc1464939341_WPSOffice_Level2"/>
      <w:bookmarkStart w:id="24" w:name="_Toc1742944595_WPSOffice_Level2"/>
      <w:r>
        <w:rPr>
          <w:rFonts w:hint="eastAsia" w:ascii="仿宋" w:hAnsi="仿宋" w:eastAsia="仿宋" w:cs="仿宋"/>
          <w:color w:val="auto"/>
          <w:kern w:val="0"/>
          <w:sz w:val="32"/>
          <w:szCs w:val="32"/>
          <w:highlight w:val="none"/>
          <w:shd w:val="clear" w:color="auto" w:fill="FFFFFF"/>
          <w:lang w:val="en-US" w:eastAsia="zh-CN"/>
        </w:rPr>
        <w:t>4.重点工作办结</w:t>
      </w:r>
      <w:r>
        <w:rPr>
          <w:rFonts w:hint="eastAsia" w:ascii="仿宋" w:hAnsi="仿宋" w:eastAsia="仿宋" w:cs="仿宋"/>
          <w:color w:val="auto"/>
          <w:kern w:val="0"/>
          <w:sz w:val="32"/>
          <w:szCs w:val="32"/>
          <w:highlight w:val="none"/>
          <w:shd w:val="clear" w:color="auto" w:fill="FFFFFF"/>
          <w:lang w:val="en-US" w:eastAsia="zh-Hans"/>
        </w:rPr>
        <w:t>率</w:t>
      </w:r>
      <w:bookmarkEnd w:id="23"/>
      <w:bookmarkEnd w:id="24"/>
      <w:r>
        <w:rPr>
          <w:rFonts w:hint="eastAsia" w:ascii="仿宋" w:hAnsi="仿宋" w:eastAsia="仿宋" w:cs="仿宋"/>
          <w:color w:val="auto"/>
          <w:kern w:val="0"/>
          <w:sz w:val="32"/>
          <w:szCs w:val="32"/>
          <w:highlight w:val="none"/>
          <w:shd w:val="clear" w:color="auto" w:fill="FFFFFF"/>
          <w:lang w:val="en-US" w:eastAsia="zh-CN"/>
        </w:rPr>
        <w:t>--9分。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所报相关资料内容和项目自评报告内容，2021年度部门重点工作任务包括樱桃栽培示范园建设、牛村农副产品加工厂建设、农副产品加工仓储物流交易中心配套设施建设、樱桃日光温室示范园项目、冯兰村饮水安全巩固提升、华原村饮水安全巩固提升、石仁村饮水安全巩固提升、赵家坡田沟组饮水安全巩固提升、野狐坡饮水安全巩固提升、王岩村饮水安全巩固提升、陈坪村六组灌溉设施改造工程、鱼塘村农田灌溉工程等12项重点工作，根据部门工作总结和项目绩效自评情况，12项重点工作全部在年度内完成。重点工作办结率为100%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25" w:name="_Toc23833"/>
      <w:r>
        <w:rPr>
          <w:rFonts w:hint="eastAsia" w:ascii="楷体" w:hAnsi="楷体" w:eastAsia="楷体" w:cs="楷体"/>
          <w:b/>
          <w:bCs/>
          <w:color w:val="auto"/>
          <w:kern w:val="0"/>
          <w:sz w:val="32"/>
          <w:szCs w:val="32"/>
          <w:highlight w:val="none"/>
          <w:shd w:val="clear" w:color="auto" w:fill="FFFFFF"/>
          <w:lang w:val="en-US" w:eastAsia="zh-CN"/>
        </w:rPr>
        <w:t>（四）效果方面</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该指标主要考核新区农业农村局履职效益的内容，包括经济效益、社会</w:t>
      </w:r>
      <w:r>
        <w:rPr>
          <w:rFonts w:hint="eastAsia" w:ascii="仿宋" w:hAnsi="仿宋" w:eastAsia="仿宋" w:cs="仿宋"/>
          <w:color w:val="auto"/>
          <w:kern w:val="0"/>
          <w:sz w:val="32"/>
          <w:szCs w:val="32"/>
          <w:highlight w:val="none"/>
          <w:shd w:val="clear" w:color="auto" w:fill="FFFFFF"/>
          <w:lang w:val="en-US" w:eastAsia="zh-Hans"/>
        </w:rPr>
        <w:t>效益、</w:t>
      </w:r>
      <w:r>
        <w:rPr>
          <w:rFonts w:hint="eastAsia" w:ascii="仿宋" w:hAnsi="仿宋" w:eastAsia="仿宋" w:cs="仿宋"/>
          <w:color w:val="auto"/>
          <w:kern w:val="0"/>
          <w:sz w:val="32"/>
          <w:szCs w:val="32"/>
          <w:highlight w:val="none"/>
          <w:shd w:val="clear" w:color="auto" w:fill="FFFFFF"/>
          <w:lang w:val="en-US" w:eastAsia="zh-CN"/>
        </w:rPr>
        <w:t>生态效益、可持续性影响</w:t>
      </w:r>
      <w:r>
        <w:rPr>
          <w:rFonts w:hint="eastAsia" w:ascii="仿宋" w:hAnsi="仿宋" w:eastAsia="仿宋" w:cs="仿宋"/>
          <w:color w:val="auto"/>
          <w:kern w:val="0"/>
          <w:sz w:val="32"/>
          <w:szCs w:val="32"/>
          <w:highlight w:val="none"/>
          <w:shd w:val="clear" w:color="auto" w:fill="FFFFFF"/>
          <w:lang w:val="en-US" w:eastAsia="zh-Hans"/>
        </w:rPr>
        <w:t>和社会公众满意度</w:t>
      </w:r>
      <w:r>
        <w:rPr>
          <w:rFonts w:hint="eastAsia" w:ascii="仿宋" w:hAnsi="仿宋" w:eastAsia="仿宋" w:cs="仿宋"/>
          <w:color w:val="auto"/>
          <w:kern w:val="0"/>
          <w:sz w:val="32"/>
          <w:szCs w:val="32"/>
          <w:highlight w:val="none"/>
          <w:shd w:val="clear" w:color="auto" w:fill="FFFFFF"/>
          <w:lang w:val="en-US" w:eastAsia="zh-CN"/>
        </w:rPr>
        <w:t>5个二级指标，进一步细化6个三级指标，指标权重25分，评价得分25分，得分率为100.00%。</w:t>
      </w:r>
    </w:p>
    <w:tbl>
      <w:tblPr>
        <w:tblStyle w:val="15"/>
        <w:tblW w:w="4975" w:type="pct"/>
        <w:tblInd w:w="0" w:type="dxa"/>
        <w:shd w:val="clear" w:color="auto" w:fill="auto"/>
        <w:tblLayout w:type="autofit"/>
        <w:tblCellMar>
          <w:top w:w="0" w:type="dxa"/>
          <w:left w:w="0" w:type="dxa"/>
          <w:bottom w:w="0" w:type="dxa"/>
          <w:right w:w="0" w:type="dxa"/>
        </w:tblCellMar>
      </w:tblPr>
      <w:tblGrid>
        <w:gridCol w:w="1747"/>
        <w:gridCol w:w="1747"/>
        <w:gridCol w:w="1798"/>
        <w:gridCol w:w="1747"/>
        <w:gridCol w:w="1747"/>
      </w:tblGrid>
      <w:tr>
        <w:tblPrEx>
          <w:tblCellMar>
            <w:top w:w="0" w:type="dxa"/>
            <w:left w:w="0" w:type="dxa"/>
            <w:bottom w:w="0" w:type="dxa"/>
            <w:right w:w="0" w:type="dxa"/>
          </w:tblCellMar>
        </w:tblPrEx>
        <w:trPr>
          <w:trHeight w:val="520" w:hRule="atLeast"/>
        </w:trPr>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tblCellMar>
            <w:top w:w="0" w:type="dxa"/>
            <w:left w:w="0" w:type="dxa"/>
            <w:bottom w:w="0" w:type="dxa"/>
            <w:right w:w="0" w:type="dxa"/>
          </w:tblCellMar>
        </w:tblPrEx>
        <w:trPr>
          <w:trHeight w:val="520" w:hRule="atLeast"/>
        </w:trPr>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w:t>
            </w:r>
          </w:p>
        </w:tc>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经济效益</w:t>
            </w:r>
          </w:p>
        </w:tc>
        <w:tc>
          <w:tcPr>
            <w:tcW w:w="1023" w:type="pct"/>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农村居民可支配收入</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全年粮食产量</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农村饮水安全</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生态效益</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改善人居环境</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推动乡村振兴</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78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满意度</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社会公众或服务对象满意度</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780" w:hRule="atLeast"/>
        </w:trPr>
        <w:tc>
          <w:tcPr>
            <w:tcW w:w="1988"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合计</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1.经济</w:t>
      </w:r>
      <w:r>
        <w:rPr>
          <w:rFonts w:hint="eastAsia" w:ascii="仿宋" w:hAnsi="仿宋" w:eastAsia="仿宋" w:cs="仿宋"/>
          <w:b/>
          <w:bCs/>
          <w:color w:val="auto"/>
          <w:kern w:val="0"/>
          <w:sz w:val="32"/>
          <w:szCs w:val="32"/>
          <w:highlight w:val="none"/>
          <w:shd w:val="clear" w:color="auto" w:fill="FFFFFF"/>
          <w:lang w:val="en-US" w:eastAsia="zh-Hans"/>
        </w:rPr>
        <w:t>效益</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（1）农村居民可支配收入--2分。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根据铜川市2021年度城市统计数据和2021年铜川市城乡居民收入调研报告内容，2021年全市农村居民人均可支配收入12248元。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（2）全年粮食产量--3分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根据新区农业农村局统计数据，2021年全年粮食产量0.61万吨。超过0.6万吨。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（1）农村饮水安全--5分。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根据农业农村局2021年度部门工作总结内容，2021年完成水利项目投资1260.33万元，完成总任务的126%，巩固提升农村饮水安全覆盖人口达到1.23万人，超过1万人。有效保障辖区农村居民用水安全。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结合部门整体支出绩效评价指标体系内容和评分标准，经综合评价，该项指标得分为5分。</w:t>
      </w:r>
    </w:p>
    <w:p>
      <w:pPr>
        <w:pStyle w:val="2"/>
        <w:ind w:left="0" w:leftChars="0" w:firstLine="643" w:firstLineChars="200"/>
        <w:rPr>
          <w:rFonts w:hint="default" w:ascii="仿宋" w:hAnsi="仿宋" w:eastAsia="仿宋" w:cs="仿宋"/>
          <w:b/>
          <w:bCs/>
          <w:color w:val="auto"/>
          <w:kern w:val="0"/>
          <w:sz w:val="32"/>
          <w:szCs w:val="32"/>
          <w:highlight w:val="none"/>
          <w:shd w:val="clear" w:color="auto" w:fill="FFFFFF"/>
          <w:lang w:val="en-US" w:eastAsia="zh-CN" w:bidi="ar-SA"/>
        </w:rPr>
      </w:pPr>
      <w:r>
        <w:rPr>
          <w:rFonts w:hint="eastAsia" w:ascii="仿宋" w:hAnsi="仿宋" w:eastAsia="仿宋" w:cs="仿宋"/>
          <w:b/>
          <w:bCs/>
          <w:color w:val="auto"/>
          <w:kern w:val="0"/>
          <w:sz w:val="32"/>
          <w:szCs w:val="32"/>
          <w:highlight w:val="none"/>
          <w:shd w:val="clear" w:color="auto" w:fill="FFFFFF"/>
          <w:lang w:val="en-US" w:eastAsia="zh-CN" w:bidi="ar-SA"/>
        </w:rPr>
        <w:t>3.生态效益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（1）改善人居环境--5分。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根据2021年铜川市生态环境状况公报内容，2021年铜川市PM2.5浓度改善率16.3%，空气质量优良天数287天，达标率78.6%，2021年环境空气质量综合指数为4.08，同比下降9.5%。</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结合部门整体支出绩效评价指标体系内容和评分标准，经综合评价，该项指标得分为5分</w:t>
      </w:r>
      <w:r>
        <w:rPr>
          <w:rFonts w:hint="eastAsia" w:ascii="仿宋" w:hAnsi="仿宋" w:eastAsia="仿宋" w:cs="仿宋"/>
          <w:color w:val="auto"/>
          <w:kern w:val="0"/>
          <w:sz w:val="32"/>
          <w:szCs w:val="32"/>
          <w:highlight w:val="none"/>
          <w:shd w:val="clear" w:color="auto" w:fill="FFFFFF"/>
          <w:lang w:val="en-US" w:eastAsia="zh-CN" w:bidi="ar-SA"/>
        </w:rPr>
        <w:t>。</w:t>
      </w:r>
    </w:p>
    <w:p>
      <w:pPr>
        <w:pStyle w:val="2"/>
        <w:ind w:left="0" w:leftChars="0" w:firstLine="643" w:firstLineChars="200"/>
        <w:rPr>
          <w:rFonts w:hint="default" w:ascii="仿宋" w:hAnsi="仿宋" w:eastAsia="仿宋" w:cs="仿宋"/>
          <w:b/>
          <w:bCs/>
          <w:color w:val="auto"/>
          <w:kern w:val="0"/>
          <w:sz w:val="32"/>
          <w:szCs w:val="32"/>
          <w:highlight w:val="none"/>
          <w:shd w:val="clear" w:color="auto" w:fill="FFFFFF"/>
          <w:lang w:val="en-US" w:eastAsia="zh-CN" w:bidi="ar-SA"/>
        </w:rPr>
      </w:pPr>
      <w:r>
        <w:rPr>
          <w:rFonts w:hint="eastAsia" w:ascii="仿宋" w:hAnsi="仿宋" w:eastAsia="仿宋" w:cs="仿宋"/>
          <w:b/>
          <w:bCs/>
          <w:color w:val="auto"/>
          <w:kern w:val="0"/>
          <w:sz w:val="32"/>
          <w:szCs w:val="32"/>
          <w:highlight w:val="none"/>
          <w:shd w:val="clear" w:color="auto" w:fill="FFFFFF"/>
          <w:lang w:val="en-US" w:eastAsia="zh-CN" w:bidi="ar-SA"/>
        </w:rPr>
        <w:t>4.可持续影响</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（1）推动乡村振兴--5分。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通过部门所报相关资料和网络资源收集，2021年度铜川市新区未发生农村公路、市政道路施工过程中的施工安全事故，辖区内农村危房改造政策稳步推进，加强隐患房屋重点排查力度。有效保障施工安全和农村居住安全，为新区范围内居民居住和工程建设提供了持续的安全保障。</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default" w:ascii="仿宋" w:hAnsi="仿宋" w:eastAsia="仿宋" w:cs="仿宋"/>
          <w:color w:val="auto"/>
          <w:kern w:val="0"/>
          <w:sz w:val="32"/>
          <w:szCs w:val="32"/>
          <w:highlight w:val="none"/>
          <w:shd w:val="clear" w:color="auto" w:fill="FFFFFF"/>
          <w:lang w:val="en-US" w:eastAsia="zh-CN" w:bidi="ar-SA"/>
        </w:rPr>
        <w:t>结合部门整体支出绩效评价指标体系内容和评分标准，经综合评价，该项指标得分为5分</w:t>
      </w:r>
      <w:r>
        <w:rPr>
          <w:rFonts w:hint="eastAsia" w:ascii="仿宋" w:hAnsi="仿宋" w:eastAsia="仿宋" w:cs="仿宋"/>
          <w:color w:val="auto"/>
          <w:kern w:val="0"/>
          <w:sz w:val="32"/>
          <w:szCs w:val="32"/>
          <w:highlight w:val="none"/>
          <w:shd w:val="clear" w:color="auto" w:fill="FFFFFF"/>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5.服务对象</w:t>
      </w:r>
      <w:r>
        <w:rPr>
          <w:rFonts w:hint="eastAsia" w:ascii="仿宋" w:hAnsi="仿宋" w:eastAsia="仿宋" w:cs="仿宋"/>
          <w:b/>
          <w:bCs/>
          <w:color w:val="auto"/>
          <w:kern w:val="0"/>
          <w:sz w:val="32"/>
          <w:szCs w:val="32"/>
          <w:highlight w:val="none"/>
          <w:shd w:val="clear" w:color="auto" w:fill="FFFFFF"/>
          <w:lang w:val="en-US" w:eastAsia="zh-Hans"/>
        </w:rPr>
        <w:t>满意度</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对于服务对象满意度的评价，主要评价受益群众的满意度情况。针对社会群众发放30分调查问卷，回收30分，调查问卷有效率为100%，调查问卷经汇总统计后，按照如下方式计算分值：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①Ai=（Q1+Q2）/30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Ai（i=1、2、3、…7）:调查问卷中的第i个题项满意度比例。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Q1:同一对象问卷调查中的对应问题的满意份数。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Q2:同一对象问卷调查中的对应问题的较满意分数。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②M=(A1+A2+A3+A4+A5+A6+A7)/7(i=1、2</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7)</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M:服务对象满意度比例。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根据调查问卷收集情况相关数据和满意度调查分值计算公式统计如下：</w:t>
      </w:r>
    </w:p>
    <w:p>
      <w:pPr>
        <w:pStyle w:val="2"/>
        <w:rPr>
          <w:rFonts w:hint="eastAsia" w:ascii="仿宋" w:hAnsi="仿宋" w:eastAsia="仿宋" w:cs="仿宋"/>
          <w:color w:val="auto"/>
          <w:kern w:val="0"/>
          <w:sz w:val="32"/>
          <w:szCs w:val="32"/>
          <w:highlight w:val="none"/>
          <w:shd w:val="clear" w:color="auto" w:fill="FFFFFF"/>
          <w:lang w:val="en-US" w:eastAsia="zh-CN"/>
        </w:rPr>
      </w:pPr>
    </w:p>
    <w:p>
      <w:pPr>
        <w:pStyle w:val="2"/>
        <w:rPr>
          <w:rFonts w:hint="eastAsia" w:ascii="仿宋" w:hAnsi="仿宋" w:eastAsia="仿宋" w:cs="仿宋"/>
          <w:color w:val="auto"/>
          <w:kern w:val="0"/>
          <w:sz w:val="32"/>
          <w:szCs w:val="32"/>
          <w:highlight w:val="none"/>
          <w:shd w:val="clear" w:color="auto" w:fill="FFFFFF"/>
          <w:lang w:val="en-US" w:eastAsia="zh-CN"/>
        </w:rPr>
      </w:pPr>
    </w:p>
    <w:p>
      <w:pPr>
        <w:pStyle w:val="2"/>
        <w:rPr>
          <w:rFonts w:hint="eastAsia" w:ascii="仿宋" w:hAnsi="仿宋" w:eastAsia="仿宋" w:cs="仿宋"/>
          <w:color w:val="auto"/>
          <w:kern w:val="0"/>
          <w:sz w:val="32"/>
          <w:szCs w:val="32"/>
          <w:highlight w:val="none"/>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表4-1  受益群众满意度调查问卷统计表</w:t>
      </w:r>
    </w:p>
    <w:tbl>
      <w:tblPr>
        <w:tblStyle w:val="15"/>
        <w:tblW w:w="4953" w:type="pct"/>
        <w:tblInd w:w="0" w:type="dxa"/>
        <w:shd w:val="clear" w:color="auto" w:fill="auto"/>
        <w:tblLayout w:type="autofit"/>
        <w:tblCellMar>
          <w:top w:w="0" w:type="dxa"/>
          <w:left w:w="0" w:type="dxa"/>
          <w:bottom w:w="0" w:type="dxa"/>
          <w:right w:w="0" w:type="dxa"/>
        </w:tblCellMar>
      </w:tblPr>
      <w:tblGrid>
        <w:gridCol w:w="3903"/>
        <w:gridCol w:w="1262"/>
        <w:gridCol w:w="854"/>
        <w:gridCol w:w="987"/>
        <w:gridCol w:w="870"/>
        <w:gridCol w:w="871"/>
      </w:tblGrid>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问题项</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满意度比例</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比较满意</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一般</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不满意</w:t>
            </w:r>
          </w:p>
        </w:tc>
      </w:tr>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您对新区农业农村工作整体效果感觉怎么样？</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100.00%</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29</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您觉得农村道路改善效果感觉怎么样？</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96.67%</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28</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您觉得新区农村居住环境感觉怎么样？</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93.33%</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28</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您觉得农村公共服务水平感觉怎么样？</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96.67%</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27</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您觉得农村饮水安全保障感觉怎么样？</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96.67%</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29</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kern w:val="0"/>
                <w:sz w:val="24"/>
                <w:szCs w:val="24"/>
                <w:u w:val="none"/>
                <w:lang w:val="en-US" w:eastAsia="zh-CN" w:bidi="ar"/>
              </w:rPr>
              <w:t>您觉得对农林牧渔业的产业推动力度感觉怎么样？</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100.00%</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28</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r>
        <w:tblPrEx>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kern w:val="0"/>
                <w:sz w:val="24"/>
                <w:szCs w:val="24"/>
                <w:u w:val="none"/>
                <w:lang w:val="en-US" w:eastAsia="zh-CN" w:bidi="ar"/>
              </w:rPr>
              <w:t>您觉得农村生态文明建设效果感觉怎么样？</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100.00%</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29</w:t>
            </w: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500" w:hRule="atLeast"/>
        </w:trPr>
        <w:tc>
          <w:tcPr>
            <w:tcW w:w="223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满意度</w:t>
            </w:r>
          </w:p>
        </w:tc>
        <w:tc>
          <w:tcPr>
            <w:tcW w:w="72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97.62%</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6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49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根据绩效评价指标体系和满意度调查问卷数据统计情况和分值计算公式，新区农业农村局受益群众满意度指标得分为5分。</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26" w:name="_Toc16209"/>
      <w:r>
        <w:rPr>
          <w:rFonts w:hint="eastAsia" w:ascii="黑体" w:hAnsi="黑体" w:eastAsia="黑体" w:cs="黑体"/>
          <w:b w:val="0"/>
          <w:bCs w:val="0"/>
          <w:color w:val="auto"/>
          <w:kern w:val="0"/>
          <w:sz w:val="32"/>
          <w:szCs w:val="32"/>
          <w:highlight w:val="none"/>
          <w:shd w:val="clear" w:color="auto" w:fill="FFFFFF"/>
          <w:lang w:val="en-US" w:eastAsia="zh-CN"/>
        </w:rPr>
        <w:t>主要经验及做法</w:t>
      </w:r>
      <w:bookmarkEnd w:id="26"/>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通过对于2021年度新区农业农村局部门整体支出从目标设定、预算配置、预算执行、预算管理、资产管理、职责履行和经济效益、社会效益、生态效益、可持续影响、社会公众或服务对象满意度九个方面进行全面绩效评价，部门在如下方面有明显的突破和表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部门职责履行产出良好。2021年度内完成镇域经济监测评价、果业工作管理和培训、特色产业发展、加强水利建设、重点区域造林绿化和集体资产清查工作，部门年度工作任务全部完成。樱桃栽培示范园建设、牛村农副产品加工厂建设、农副产品加工仓储物流交易中心配套设施建设、樱桃日光温室示范园项目、冯兰村饮水安全巩固提升、华原村饮水安全巩固提升、石仁村饮水安全巩固提升、赵家坡田沟组饮水安全巩固提升、野狐坡饮水安全巩固提升、王岩村饮水安全巩固提升、陈坪村六组灌溉设施改造工程、鱼塘村农田灌溉工程等12项重点工作全部及时保质保量完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履职效益显著。通过部门履职，推动农村居民人均可支配收入同比增长11.8%，农林牧渔业产值增加，全年粮食产量明显增加。有效保障农村饮水安全达一万人次以上完成水利项目投资目标任务，及时完成头筹整合财政涉农资金支付，为各项农村供水巩固提升工程的顺利建设提供资金保障，确保全区农村供水工程良性运行。通过“厕所革命”工作开展，有效改善农村人居环境和空气质量优良度，助推美丽乡村建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27" w:name="_Toc7003"/>
      <w:bookmarkStart w:id="28" w:name="_Toc1742944595_WPSOffice_Level3"/>
      <w:bookmarkStart w:id="29" w:name="_Toc1464939341_WPSOffice_Level3"/>
      <w:bookmarkStart w:id="30" w:name="_Toc315842793_WPSOffice_Level2"/>
      <w:r>
        <w:rPr>
          <w:rFonts w:hint="eastAsia" w:ascii="黑体" w:hAnsi="黑体" w:eastAsia="黑体" w:cs="黑体"/>
          <w:b w:val="0"/>
          <w:bCs w:val="0"/>
          <w:color w:val="auto"/>
          <w:kern w:val="0"/>
          <w:sz w:val="32"/>
          <w:szCs w:val="32"/>
          <w:highlight w:val="none"/>
          <w:shd w:val="clear" w:color="auto" w:fill="FFFFFF"/>
          <w:lang w:val="en-US" w:eastAsia="zh-CN"/>
        </w:rPr>
        <w:t>六、存在的问题</w:t>
      </w:r>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绩效目标管理工作有待加强</w:t>
      </w:r>
    </w:p>
    <w:bookmarkEnd w:id="28"/>
    <w:bookmarkEnd w:id="29"/>
    <w:bookmarkEnd w:id="30"/>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2021年度部门整体绩效评价结果，部门年初编制部门综合预算内容和专项项目预算，同步编制和申报项目支出绩效目标。但未编制部门整体支出绩效目标体系，未根据部门中长期发展规划和部门职责，制定部门年度绩效目标。主要原因在于部门对绩效目标管理的重视程度和认知程度不足。随着预算绩效管理工作的不断完善，目前已完成项目绩效目标的全覆盖，但对于部门整体绩效目标的设定和管理有待加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预算执行管理有待强化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部门在年度预算执行过程中，部门预算调整率达到73.64%。相关预算调整数据主要体现在部门年度决算数据和文件中，未发现预算调整的相关批复文件等资料。年度预算执行过程中，资金支付进度率有待提升，按照3月底、6月底、9月底和11月底四个时间节点序时支付进度为标准，时间段内的实际支付进度率全部低于100%，第一个季度支付进度率最低，之后逐渐增加。</w:t>
      </w:r>
      <w:r>
        <w:rPr>
          <w:rFonts w:hint="eastAsia" w:ascii="仿宋" w:hAnsi="仿宋" w:eastAsia="仿宋" w:cs="仿宋"/>
          <w:color w:val="auto"/>
          <w:kern w:val="0"/>
          <w:sz w:val="32"/>
          <w:szCs w:val="32"/>
          <w:highlight w:val="none"/>
          <w:shd w:val="clear" w:color="auto" w:fill="FFFFFF"/>
          <w:lang w:val="en-US" w:eastAsia="zh-CN"/>
        </w:rPr>
        <w:tab/>
      </w:r>
      <w:r>
        <w:rPr>
          <w:rFonts w:hint="eastAsia" w:ascii="仿宋" w:hAnsi="仿宋" w:eastAsia="仿宋" w:cs="仿宋"/>
          <w:color w:val="auto"/>
          <w:kern w:val="0"/>
          <w:sz w:val="32"/>
          <w:szCs w:val="32"/>
          <w:highlight w:val="none"/>
          <w:shd w:val="clear" w:color="auto" w:fill="FFFFFF"/>
          <w:lang w:val="en-US" w:eastAsia="zh-CN"/>
        </w:rPr>
        <w:t>主要原因在于一是部门年初对于预算编制的合理性控制需进一步提升，相关预算编制多以历史标准为主，对年度工作计划所涉及的预算安排和资金测算重视度不足，预算执行过程中，发生的预算调整，多以临时性、突发性任务引起。二是在预算执行过程中缺乏合理的资金支付进度计划，对资金的合理进度支付缺乏系统的管理，绩效运行和预算执行监控力度不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w:t>
      </w: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部门公用经费控制需进一步提升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2021年度部门公用经费支出预算数为7万元，年终决算时，年度公用经费支出决算数据为31.89万元，公用经费相比年初预算安排，预算调整较大，实际支出较大幅度超出年初预算安排。主要原因在于部门对于运行成本控制的力度和措施有待提升，成本管理相关制度和体制机制有待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31" w:name="_Toc28892"/>
      <w:r>
        <w:rPr>
          <w:rFonts w:hint="eastAsia" w:ascii="黑体" w:hAnsi="黑体" w:eastAsia="黑体" w:cs="黑体"/>
          <w:b w:val="0"/>
          <w:bCs w:val="0"/>
          <w:color w:val="auto"/>
          <w:kern w:val="0"/>
          <w:sz w:val="32"/>
          <w:szCs w:val="32"/>
          <w:highlight w:val="none"/>
          <w:shd w:val="clear" w:color="auto" w:fill="FFFFFF"/>
          <w:lang w:val="en-US" w:eastAsia="zh-CN"/>
        </w:rPr>
        <w:t>七</w:t>
      </w:r>
      <w:r>
        <w:rPr>
          <w:rFonts w:hint="eastAsia" w:ascii="黑体" w:hAnsi="黑体" w:eastAsia="黑体" w:cs="黑体"/>
          <w:b w:val="0"/>
          <w:bCs w:val="0"/>
          <w:color w:val="auto"/>
          <w:kern w:val="0"/>
          <w:sz w:val="32"/>
          <w:szCs w:val="32"/>
          <w:highlight w:val="none"/>
          <w:shd w:val="clear" w:color="auto" w:fill="FFFFFF"/>
          <w:lang w:val="en-US" w:eastAsia="zh-Hans"/>
        </w:rPr>
        <w:t>、相关建议</w:t>
      </w:r>
      <w:bookmarkEnd w:id="3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bookmarkStart w:id="32" w:name="_Toc842199943_WPSOffice_Level2"/>
      <w:bookmarkStart w:id="33" w:name="_Toc994383943_WPSOffice_Level2"/>
      <w:bookmarkStart w:id="34" w:name="_Toc1462379935_WPSOffice_Level2"/>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强化绩效目标管理，树立绩效管理理念</w:t>
      </w:r>
      <w:r>
        <w:rPr>
          <w:rFonts w:hint="eastAsia" w:ascii="楷体" w:hAnsi="楷体" w:eastAsia="楷体" w:cs="楷体"/>
          <w:b/>
          <w:bCs/>
          <w:color w:val="auto"/>
          <w:kern w:val="0"/>
          <w:sz w:val="32"/>
          <w:szCs w:val="32"/>
          <w:highlight w:val="none"/>
          <w:shd w:val="clear" w:color="auto" w:fill="FFFFFF"/>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预算部门加强绩效目标管理工作，成立部门预算绩效管理工作组，为实施全过程预算绩效管理做好组织保障和人员配置。做好部门相关人员预算绩效管理培训工作，重点加强绩效目标管理培训，掌握绩效目标设定原则和设定标准，充分考量绩效目标内容全面性、目标合理性、指标明确性、数据可得性等多方面，加强部门内部绩效目标自审核，提升绩效目标的科学性、完整性。强化预算部门融合预算绩效管理思想，不断提升预算绩效管理意识，建立“支出必问效”的财政支出理念，不断提升财政支出效率、优化财政支出结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加强预算执行监控，完善预算调整工作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预算部门建立健全预算执行监控体制机制，针对预算执行进度和绩效目标实现程度开展监控，落实部门预算执行监控主体责任，加强部门“日常监控”+“重点监控”双监控机制，定期进行预算执行监控分析。主要从两个方面和维度进行监控，一是预算执行进度和绩效目标实现程度。二是对部门预算调整和年初预算偏离情况进行系统监控，根据预算调整内容，按照预算绩效管理相关政策文件、管理办法实行规范管理。对于需要做资金调整的项目尽快及时调整，并同步调整预算和绩效目标内容。财政部门加强对预算部门重点监控，对出现预算执行偏差严重情况，重点监控，分析原因，督促整改，后续进行重点监控和定期汇报。通过预算执行监控机制，不断提升预算资金使用效率，优化财政支出结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加强部门成本控制，落实“过紧日子”思想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建议部门不断加强“公用经费”、“会议费”、“三公经费”等费用支出控制，避免出现超预算支出、过度支出等情况。</w:t>
      </w:r>
      <w:bookmarkEnd w:id="32"/>
      <w:bookmarkEnd w:id="33"/>
      <w:bookmarkEnd w:id="34"/>
      <w:r>
        <w:rPr>
          <w:rFonts w:hint="eastAsia" w:ascii="仿宋" w:hAnsi="仿宋" w:eastAsia="仿宋" w:cs="仿宋"/>
          <w:color w:val="auto"/>
          <w:kern w:val="0"/>
          <w:sz w:val="32"/>
          <w:szCs w:val="32"/>
          <w:highlight w:val="none"/>
          <w:shd w:val="clear" w:color="auto" w:fill="FFFFFF"/>
          <w:lang w:val="en-US" w:eastAsia="zh-CN"/>
        </w:rPr>
        <w:t>在保部门运转的基础上，合理控制运行成本支出，增加重点项目、重点工作支出安排，提升财政资金使用效益。</w:t>
      </w: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5" w:name="_Toc7790"/>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sectPr>
          <w:footerReference r:id="rId5" w:type="default"/>
          <w:pgSz w:w="11910" w:h="16840"/>
          <w:pgMar w:top="2098" w:right="1474" w:bottom="1984" w:left="1587" w:header="1017" w:footer="1206" w:gutter="0"/>
          <w:pgNumType w:fmt="numberInDash"/>
          <w:cols w:equalWidth="0" w:num="1">
            <w:col w:w="8810"/>
          </w:cols>
          <w:docGrid w:linePitch="326" w:charSpace="0"/>
        </w:sect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r>
        <w:rPr>
          <w:rFonts w:hint="eastAsia" w:ascii="黑体" w:hAnsi="黑体" w:eastAsia="黑体" w:cs="黑体"/>
          <w:color w:val="auto"/>
          <w:kern w:val="0"/>
          <w:sz w:val="32"/>
          <w:szCs w:val="32"/>
          <w:highlight w:val="none"/>
          <w:shd w:val="clear" w:color="auto" w:fill="FFFFFF"/>
          <w:lang w:val="en-US" w:eastAsia="zh-CN"/>
        </w:rPr>
        <w:t>附件1评价工作底稿</w:t>
      </w:r>
      <w:bookmarkEnd w:id="35"/>
    </w:p>
    <w:p>
      <w:pPr>
        <w:pStyle w:val="2"/>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rPr>
          <w:rFonts w:hint="eastAsia" w:ascii="宋体" w:hAnsi="宋体" w:eastAsia="宋体" w:cs="宋体"/>
          <w:b/>
          <w:bCs/>
          <w:color w:val="auto"/>
          <w:kern w:val="0"/>
          <w:sz w:val="36"/>
          <w:szCs w:val="36"/>
          <w:highlight w:val="none"/>
          <w:shd w:val="clear" w:color="auto" w:fill="FFFFFF"/>
          <w:lang w:val="en-US" w:eastAsia="zh-Hans"/>
        </w:rPr>
      </w:pPr>
      <w:r>
        <w:rPr>
          <w:rFonts w:hint="eastAsia" w:ascii="宋体" w:hAnsi="宋体" w:eastAsia="宋体" w:cs="宋体"/>
          <w:b/>
          <w:bCs/>
          <w:color w:val="auto"/>
          <w:kern w:val="0"/>
          <w:sz w:val="36"/>
          <w:szCs w:val="36"/>
          <w:highlight w:val="none"/>
          <w:shd w:val="clear" w:color="auto" w:fill="FFFFFF"/>
          <w:lang w:val="en-US" w:eastAsia="zh-Hans"/>
        </w:rPr>
        <w:t>202</w:t>
      </w:r>
      <w:r>
        <w:rPr>
          <w:rFonts w:hint="eastAsia" w:cs="宋体"/>
          <w:b/>
          <w:bCs/>
          <w:color w:val="auto"/>
          <w:kern w:val="0"/>
          <w:sz w:val="36"/>
          <w:szCs w:val="36"/>
          <w:highlight w:val="none"/>
          <w:shd w:val="clear" w:color="auto" w:fill="FFFFFF"/>
          <w:lang w:val="en-US" w:eastAsia="zh-CN"/>
        </w:rPr>
        <w:t>1</w:t>
      </w:r>
      <w:r>
        <w:rPr>
          <w:rFonts w:hint="eastAsia" w:ascii="宋体" w:hAnsi="宋体" w:eastAsia="宋体" w:cs="宋体"/>
          <w:b/>
          <w:bCs/>
          <w:color w:val="auto"/>
          <w:kern w:val="0"/>
          <w:sz w:val="36"/>
          <w:szCs w:val="36"/>
          <w:highlight w:val="none"/>
          <w:shd w:val="clear" w:color="auto" w:fill="FFFFFF"/>
          <w:lang w:val="en-US" w:eastAsia="zh-Hans"/>
        </w:rPr>
        <w:t>年度铜川市</w:t>
      </w:r>
      <w:r>
        <w:rPr>
          <w:rFonts w:hint="eastAsia" w:cs="宋体"/>
          <w:b/>
          <w:bCs/>
          <w:color w:val="auto"/>
          <w:kern w:val="0"/>
          <w:sz w:val="36"/>
          <w:szCs w:val="36"/>
          <w:highlight w:val="none"/>
          <w:shd w:val="clear" w:color="auto" w:fill="FFFFFF"/>
          <w:lang w:val="en-US" w:eastAsia="zh-CN"/>
        </w:rPr>
        <w:t>新区农业农村局部门</w:t>
      </w:r>
      <w:r>
        <w:rPr>
          <w:rFonts w:hint="eastAsia" w:ascii="宋体" w:hAnsi="宋体" w:eastAsia="宋体" w:cs="宋体"/>
          <w:b/>
          <w:bCs/>
          <w:color w:val="auto"/>
          <w:kern w:val="0"/>
          <w:sz w:val="36"/>
          <w:szCs w:val="36"/>
          <w:highlight w:val="none"/>
          <w:shd w:val="clear" w:color="auto" w:fill="FFFFFF"/>
          <w:lang w:val="en-US" w:eastAsia="zh-Hans"/>
        </w:rPr>
        <w:t>整体支出</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pPr>
      <w:r>
        <w:rPr>
          <w:rFonts w:hint="eastAsia" w:ascii="宋体" w:hAnsi="宋体" w:eastAsia="宋体" w:cs="宋体"/>
          <w:b/>
          <w:bCs/>
          <w:color w:val="auto"/>
          <w:kern w:val="0"/>
          <w:sz w:val="36"/>
          <w:szCs w:val="36"/>
          <w:highlight w:val="none"/>
          <w:shd w:val="clear" w:color="auto" w:fill="FFFFFF"/>
          <w:lang w:val="en-US" w:eastAsia="zh-Hans"/>
        </w:rPr>
        <w:t>绩效评价</w:t>
      </w:r>
      <w:r>
        <w:rPr>
          <w:rFonts w:hint="eastAsia" w:cs="宋体"/>
          <w:b/>
          <w:bCs/>
          <w:color w:val="auto"/>
          <w:kern w:val="0"/>
          <w:sz w:val="36"/>
          <w:szCs w:val="36"/>
          <w:highlight w:val="none"/>
          <w:shd w:val="clear" w:color="auto" w:fill="FFFFFF"/>
          <w:lang w:val="en-US" w:eastAsia="zh-CN"/>
        </w:rPr>
        <w:t>打</w:t>
      </w:r>
      <w:r>
        <w:rPr>
          <w:rFonts w:hint="eastAsia" w:ascii="宋体" w:hAnsi="宋体" w:eastAsia="宋体" w:cs="宋体"/>
          <w:b/>
          <w:bCs/>
          <w:color w:val="auto"/>
          <w:kern w:val="0"/>
          <w:sz w:val="36"/>
          <w:szCs w:val="36"/>
          <w:highlight w:val="none"/>
          <w:shd w:val="clear" w:color="auto" w:fill="FFFFFF"/>
          <w:lang w:val="en-US" w:eastAsia="zh-Hans"/>
        </w:rPr>
        <w:t>分表</w:t>
      </w:r>
    </w:p>
    <w:tbl>
      <w:tblPr>
        <w:tblStyle w:val="15"/>
        <w:tblW w:w="4998" w:type="pct"/>
        <w:tblInd w:w="0" w:type="dxa"/>
        <w:shd w:val="clear" w:color="auto" w:fill="auto"/>
        <w:tblLayout w:type="autofit"/>
        <w:tblCellMar>
          <w:top w:w="0" w:type="dxa"/>
          <w:left w:w="0" w:type="dxa"/>
          <w:bottom w:w="0" w:type="dxa"/>
          <w:right w:w="0" w:type="dxa"/>
        </w:tblCellMar>
      </w:tblPr>
      <w:tblGrid>
        <w:gridCol w:w="1755"/>
        <w:gridCol w:w="1755"/>
        <w:gridCol w:w="1806"/>
        <w:gridCol w:w="1755"/>
        <w:gridCol w:w="1755"/>
      </w:tblGrid>
      <w:tr>
        <w:tblPrEx>
          <w:tblCellMar>
            <w:top w:w="0" w:type="dxa"/>
            <w:left w:w="0" w:type="dxa"/>
            <w:bottom w:w="0" w:type="dxa"/>
            <w:right w:w="0" w:type="dxa"/>
          </w:tblCellMar>
        </w:tblPrEx>
        <w:trPr>
          <w:trHeight w:val="520" w:hRule="atLeast"/>
        </w:trPr>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一级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4"/>
                <w:szCs w:val="24"/>
                <w:u w:val="none"/>
                <w:lang w:val="en-US" w:eastAsia="zh-CN" w:bidi="ar"/>
              </w:rPr>
            </w:pPr>
            <w:r>
              <w:rPr>
                <w:rFonts w:hint="eastAsia" w:ascii="仿宋" w:hAnsi="仿宋" w:eastAsia="仿宋" w:cs="仿宋"/>
                <w:b/>
                <w:i w:val="0"/>
                <w:color w:val="000000"/>
                <w:kern w:val="0"/>
                <w:sz w:val="24"/>
                <w:szCs w:val="24"/>
                <w:u w:val="none"/>
                <w:lang w:val="en-US" w:eastAsia="zh-CN" w:bidi="ar"/>
              </w:rPr>
              <w:t>二级</w:t>
            </w:r>
          </w:p>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三级指标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指标分值</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评价得分</w:t>
            </w:r>
          </w:p>
        </w:tc>
      </w:tr>
      <w:tr>
        <w:tblPrEx>
          <w:shd w:val="clear" w:color="auto" w:fill="auto"/>
          <w:tblCellMar>
            <w:top w:w="0" w:type="dxa"/>
            <w:left w:w="0" w:type="dxa"/>
            <w:bottom w:w="0" w:type="dxa"/>
            <w:right w:w="0" w:type="dxa"/>
          </w:tblCellMar>
        </w:tblPrEx>
        <w:trPr>
          <w:trHeight w:val="520" w:hRule="atLeast"/>
        </w:trPr>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投入</w:t>
            </w:r>
          </w:p>
        </w:tc>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目标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设定</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配置</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w:t>
            </w:r>
          </w:p>
        </w:tc>
      </w:tr>
      <w:tr>
        <w:tblPrEx>
          <w:shd w:val="clear" w:color="auto" w:fill="auto"/>
          <w:tblCellMar>
            <w:top w:w="0" w:type="dxa"/>
            <w:left w:w="0" w:type="dxa"/>
            <w:bottom w:w="0" w:type="dxa"/>
            <w:right w:w="0" w:type="dxa"/>
          </w:tblCellMar>
        </w:tblPrEx>
        <w:trPr>
          <w:trHeight w:val="78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20" w:hRule="atLeast"/>
        </w:trPr>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执行</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0.26</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支付进度率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0.57</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78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r>
      <w:tr>
        <w:tblPrEx>
          <w:shd w:val="clear" w:color="auto" w:fill="auto"/>
          <w:tblCellMar>
            <w:top w:w="0" w:type="dxa"/>
            <w:left w:w="0" w:type="dxa"/>
            <w:bottom w:w="0" w:type="dxa"/>
            <w:right w:w="0" w:type="dxa"/>
          </w:tblCellMar>
        </w:tblPrEx>
        <w:trPr>
          <w:trHeight w:val="78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运行监控和自评有效性</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基础信息完善性</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0.9</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20" w:hRule="atLeast"/>
        </w:trPr>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职责</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履行</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r>
      <w:tr>
        <w:tblPrEx>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r>
      <w:tr>
        <w:tblPrEx>
          <w:shd w:val="clear" w:color="auto" w:fill="auto"/>
          <w:tblCellMar>
            <w:top w:w="0" w:type="dxa"/>
            <w:left w:w="0" w:type="dxa"/>
            <w:bottom w:w="0" w:type="dxa"/>
            <w:right w:w="0" w:type="dxa"/>
          </w:tblCellMar>
        </w:tblPrEx>
        <w:trPr>
          <w:trHeight w:val="520" w:hRule="atLeast"/>
        </w:trPr>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w:t>
            </w:r>
          </w:p>
        </w:tc>
        <w:tc>
          <w:tcPr>
            <w:tcW w:w="99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经济效益</w:t>
            </w:r>
          </w:p>
        </w:tc>
        <w:tc>
          <w:tcPr>
            <w:tcW w:w="1023" w:type="pct"/>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农村居民可支配收入</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全年粮食产量</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农村饮水安全</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生态效益</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改善人居环境</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52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推动乡村振兴</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780" w:hRule="atLeast"/>
        </w:trPr>
        <w:tc>
          <w:tcPr>
            <w:tcW w:w="99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满意度</w:t>
            </w:r>
          </w:p>
        </w:tc>
        <w:tc>
          <w:tcPr>
            <w:tcW w:w="102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社会公众或服务对象满意度</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300" w:hRule="atLeast"/>
        </w:trPr>
        <w:tc>
          <w:tcPr>
            <w:tcW w:w="3011"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lang w:val="en-US" w:eastAsia="zh-CN" w:bidi="ar"/>
              </w:rPr>
              <w:t>合计</w:t>
            </w:r>
          </w:p>
        </w:tc>
        <w:tc>
          <w:tcPr>
            <w:tcW w:w="99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99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85.93 </w:t>
            </w:r>
          </w:p>
        </w:tc>
      </w:tr>
    </w:tbl>
    <w:p>
      <w:pPr>
        <w:pStyle w:val="2"/>
        <w:ind w:left="0" w:leftChars="0" w:firstLine="0" w:firstLineChars="0"/>
        <w:sectPr>
          <w:pgSz w:w="11910" w:h="16840"/>
          <w:pgMar w:top="2098" w:right="1474" w:bottom="1984" w:left="1587" w:header="1017" w:footer="1206" w:gutter="0"/>
          <w:pgNumType w:fmt="numberInDash"/>
          <w:cols w:equalWidth="0" w:num="1">
            <w:col w:w="8810"/>
          </w:cols>
          <w:docGrid w:linePitch="326" w:charSpace="0"/>
        </w:sect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6" w:name="_Toc2728"/>
      <w:bookmarkStart w:id="37" w:name="_Toc1721938646_WPSOffice_Level2"/>
      <w:bookmarkStart w:id="38" w:name="_Toc2079370722_WPSOffice_Level2"/>
      <w:bookmarkStart w:id="39" w:name="_Toc13811"/>
      <w:r>
        <w:rPr>
          <w:rFonts w:hint="eastAsia" w:ascii="黑体" w:hAnsi="黑体" w:eastAsia="黑体" w:cs="黑体"/>
          <w:color w:val="auto"/>
          <w:kern w:val="0"/>
          <w:sz w:val="32"/>
          <w:szCs w:val="32"/>
          <w:highlight w:val="none"/>
          <w:shd w:val="clear" w:color="auto" w:fill="FFFFFF"/>
          <w:lang w:val="en-US" w:eastAsia="zh-CN"/>
        </w:rPr>
        <w:t>附件2 问题清单</w:t>
      </w:r>
      <w:bookmarkEnd w:id="36"/>
    </w:p>
    <w:p>
      <w:pPr>
        <w:pStyle w:val="2"/>
        <w:rPr>
          <w:rFonts w:hint="eastAsia"/>
          <w:lang w:val="en-US" w:eastAsia="zh-CN"/>
        </w:rPr>
      </w:pP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铜川市新区2021年度农业农村局部门整体</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default"/>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绩效评价</w:t>
      </w:r>
      <w:r>
        <w:rPr>
          <w:rFonts w:hint="eastAsia" w:ascii="宋体" w:hAnsi="宋体" w:eastAsia="宋体" w:cs="宋体"/>
          <w:b/>
          <w:bCs/>
          <w:color w:val="auto"/>
          <w:kern w:val="0"/>
          <w:sz w:val="36"/>
          <w:szCs w:val="36"/>
          <w:highlight w:val="none"/>
          <w:shd w:val="clear" w:color="auto" w:fill="FFFFFF"/>
          <w:lang w:val="en-US" w:eastAsia="zh-CN"/>
        </w:rPr>
        <w:t>问题清单</w:t>
      </w:r>
    </w:p>
    <w:tbl>
      <w:tblPr>
        <w:tblStyle w:val="15"/>
        <w:tblW w:w="5013" w:type="pct"/>
        <w:tblInd w:w="-257" w:type="dxa"/>
        <w:tblLayout w:type="autofit"/>
        <w:tblCellMar>
          <w:top w:w="0" w:type="dxa"/>
          <w:left w:w="108" w:type="dxa"/>
          <w:bottom w:w="0" w:type="dxa"/>
          <w:right w:w="108" w:type="dxa"/>
        </w:tblCellMar>
      </w:tblPr>
      <w:tblGrid>
        <w:gridCol w:w="2703"/>
        <w:gridCol w:w="780"/>
        <w:gridCol w:w="5566"/>
      </w:tblGrid>
      <w:tr>
        <w:tblPrEx>
          <w:tblCellMar>
            <w:top w:w="0" w:type="dxa"/>
            <w:left w:w="108" w:type="dxa"/>
            <w:bottom w:w="0" w:type="dxa"/>
            <w:right w:w="108" w:type="dxa"/>
          </w:tblCellMar>
        </w:tblPrEx>
        <w:trPr>
          <w:trHeight w:val="520" w:hRule="atLeast"/>
        </w:trPr>
        <w:tc>
          <w:tcPr>
            <w:tcW w:w="149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问题分类</w:t>
            </w: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问题描述</w:t>
            </w:r>
          </w:p>
        </w:tc>
      </w:tr>
      <w:tr>
        <w:tblPrEx>
          <w:tblCellMar>
            <w:top w:w="0" w:type="dxa"/>
            <w:left w:w="108" w:type="dxa"/>
            <w:bottom w:w="0" w:type="dxa"/>
            <w:right w:w="108" w:type="dxa"/>
          </w:tblCellMar>
        </w:tblPrEx>
        <w:trPr>
          <w:trHeight w:val="570" w:hRule="atLeast"/>
        </w:trPr>
        <w:tc>
          <w:tcPr>
            <w:tcW w:w="1493" w:type="pct"/>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投入存在的问题</w:t>
            </w: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未设定部门整体支出绩效目标。</w:t>
            </w:r>
          </w:p>
        </w:tc>
      </w:tr>
      <w:tr>
        <w:tblPrEx>
          <w:tblCellMar>
            <w:top w:w="0" w:type="dxa"/>
            <w:left w:w="108" w:type="dxa"/>
            <w:bottom w:w="0" w:type="dxa"/>
            <w:right w:w="108" w:type="dxa"/>
          </w:tblCellMar>
        </w:tblPrEx>
        <w:trPr>
          <w:trHeight w:val="570" w:hRule="atLeast"/>
        </w:trPr>
        <w:tc>
          <w:tcPr>
            <w:tcW w:w="1493" w:type="pct"/>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重点工作支出安排有待加强</w:t>
            </w:r>
          </w:p>
        </w:tc>
      </w:tr>
      <w:tr>
        <w:tblPrEx>
          <w:tblCellMar>
            <w:top w:w="0" w:type="dxa"/>
            <w:left w:w="108" w:type="dxa"/>
            <w:bottom w:w="0" w:type="dxa"/>
            <w:right w:w="108" w:type="dxa"/>
          </w:tblCellMar>
        </w:tblPrEx>
        <w:trPr>
          <w:trHeight w:val="570" w:hRule="atLeast"/>
        </w:trPr>
        <w:tc>
          <w:tcPr>
            <w:tcW w:w="1493"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过程存在的问题</w:t>
            </w: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预算执行监控有待加强。预算调整比例较高，支付进度较慢</w:t>
            </w:r>
          </w:p>
        </w:tc>
      </w:tr>
      <w:tr>
        <w:tblPrEx>
          <w:tblCellMar>
            <w:top w:w="0" w:type="dxa"/>
            <w:left w:w="108" w:type="dxa"/>
            <w:bottom w:w="0" w:type="dxa"/>
            <w:right w:w="108" w:type="dxa"/>
          </w:tblCellMar>
        </w:tblPrEx>
        <w:trPr>
          <w:trHeight w:val="570" w:hRule="atLeast"/>
        </w:trPr>
        <w:tc>
          <w:tcPr>
            <w:tcW w:w="149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公用经费支出控制力度不足</w:t>
            </w:r>
          </w:p>
        </w:tc>
      </w:tr>
    </w:tbl>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sectPr>
          <w:footerReference r:id="rId6" w:type="default"/>
          <w:pgSz w:w="11910" w:h="16840"/>
          <w:pgMar w:top="2098" w:right="1474" w:bottom="1984" w:left="1587" w:header="1017" w:footer="1206" w:gutter="0"/>
          <w:pgNumType w:fmt="numberInDash"/>
          <w:cols w:equalWidth="0" w:num="1">
            <w:col w:w="8810"/>
          </w:cols>
        </w:sectPr>
      </w:pPr>
    </w:p>
    <w:p>
      <w:pPr>
        <w:widowControl w:val="0"/>
        <w:numPr>
          <w:ilvl w:val="0"/>
          <w:numId w:val="0"/>
        </w:numPr>
        <w:jc w:val="both"/>
        <w:outlineLvl w:val="9"/>
        <w:rPr>
          <w:rFonts w:hint="eastAsia" w:cs="宋体"/>
          <w:b/>
          <w:bCs/>
          <w:color w:val="auto"/>
          <w:kern w:val="0"/>
          <w:sz w:val="36"/>
          <w:szCs w:val="36"/>
          <w:highlight w:val="none"/>
          <w:shd w:val="clear" w:color="auto" w:fill="FFFFFF"/>
          <w:lang w:val="en-US" w:eastAsia="zh-CN"/>
        </w:rPr>
      </w:pPr>
      <w:r>
        <w:rPr>
          <w:rFonts w:hint="eastAsia" w:cs="宋体"/>
          <w:b/>
          <w:bCs/>
          <w:color w:val="auto"/>
          <w:kern w:val="0"/>
          <w:sz w:val="36"/>
          <w:szCs w:val="36"/>
          <w:highlight w:val="none"/>
          <w:shd w:val="clear" w:color="auto" w:fill="FFFFFF"/>
          <w:lang w:val="en-US" w:eastAsia="zh-CN"/>
        </w:rPr>
        <w:t xml:space="preserve">附件3 </w:t>
      </w:r>
    </w:p>
    <w:p>
      <w:pPr>
        <w:widowControl w:val="0"/>
        <w:numPr>
          <w:ilvl w:val="0"/>
          <w:numId w:val="0"/>
        </w:numPr>
        <w:jc w:val="center"/>
        <w:outlineLvl w:val="9"/>
        <w:rPr>
          <w:rFonts w:hint="eastAsia" w:ascii="宋体" w:hAnsi="宋体" w:eastAsia="宋体" w:cs="宋体"/>
          <w:b/>
          <w:bCs/>
          <w:color w:val="auto"/>
          <w:kern w:val="0"/>
          <w:sz w:val="36"/>
          <w:szCs w:val="36"/>
          <w:highlight w:val="none"/>
          <w:shd w:val="clear" w:color="auto" w:fill="FFFFFF"/>
          <w:lang w:val="en-US" w:eastAsia="zh-Hans"/>
        </w:rPr>
      </w:pPr>
      <w:r>
        <w:rPr>
          <w:rFonts w:hint="eastAsia" w:ascii="宋体" w:hAnsi="宋体" w:eastAsia="宋体" w:cs="宋体"/>
          <w:b/>
          <w:bCs/>
          <w:color w:val="auto"/>
          <w:kern w:val="0"/>
          <w:sz w:val="36"/>
          <w:szCs w:val="36"/>
          <w:highlight w:val="none"/>
          <w:shd w:val="clear" w:color="auto" w:fill="FFFFFF"/>
          <w:lang w:val="en-US" w:eastAsia="zh-Hans"/>
        </w:rPr>
        <w:t>202</w:t>
      </w:r>
      <w:r>
        <w:rPr>
          <w:rFonts w:hint="eastAsia" w:cs="宋体"/>
          <w:b/>
          <w:bCs/>
          <w:color w:val="auto"/>
          <w:kern w:val="0"/>
          <w:sz w:val="36"/>
          <w:szCs w:val="36"/>
          <w:highlight w:val="none"/>
          <w:shd w:val="clear" w:color="auto" w:fill="FFFFFF"/>
          <w:lang w:val="en-US" w:eastAsia="zh-CN"/>
        </w:rPr>
        <w:t>1</w:t>
      </w:r>
      <w:r>
        <w:rPr>
          <w:rFonts w:hint="eastAsia" w:ascii="宋体" w:hAnsi="宋体" w:eastAsia="宋体" w:cs="宋体"/>
          <w:b/>
          <w:bCs/>
          <w:color w:val="auto"/>
          <w:kern w:val="0"/>
          <w:sz w:val="36"/>
          <w:szCs w:val="36"/>
          <w:highlight w:val="none"/>
          <w:shd w:val="clear" w:color="auto" w:fill="FFFFFF"/>
          <w:lang w:val="en-US" w:eastAsia="zh-Hans"/>
        </w:rPr>
        <w:t>年度</w:t>
      </w:r>
      <w:r>
        <w:rPr>
          <w:rFonts w:hint="eastAsia" w:ascii="宋体" w:hAnsi="宋体" w:eastAsia="宋体" w:cs="宋体"/>
          <w:b/>
          <w:bCs/>
          <w:color w:val="auto"/>
          <w:kern w:val="0"/>
          <w:sz w:val="36"/>
          <w:szCs w:val="36"/>
          <w:highlight w:val="none"/>
          <w:shd w:val="clear" w:color="auto" w:fill="FFFFFF"/>
          <w:lang w:val="en-US" w:eastAsia="zh-CN"/>
        </w:rPr>
        <w:t>铜川市新区</w:t>
      </w:r>
      <w:r>
        <w:rPr>
          <w:rFonts w:hint="eastAsia" w:cs="宋体"/>
          <w:b/>
          <w:bCs/>
          <w:color w:val="auto"/>
          <w:kern w:val="0"/>
          <w:sz w:val="36"/>
          <w:szCs w:val="36"/>
          <w:highlight w:val="none"/>
          <w:shd w:val="clear" w:color="auto" w:fill="FFFFFF"/>
          <w:lang w:val="en-US" w:eastAsia="zh-CN"/>
        </w:rPr>
        <w:t>农业农村局</w:t>
      </w:r>
      <w:r>
        <w:rPr>
          <w:rFonts w:hint="eastAsia" w:ascii="宋体" w:hAnsi="宋体" w:eastAsia="宋体" w:cs="宋体"/>
          <w:b/>
          <w:bCs/>
          <w:color w:val="auto"/>
          <w:kern w:val="0"/>
          <w:sz w:val="36"/>
          <w:szCs w:val="36"/>
          <w:highlight w:val="none"/>
          <w:shd w:val="clear" w:color="auto" w:fill="FFFFFF"/>
          <w:lang w:val="en-US" w:eastAsia="zh-CN"/>
        </w:rPr>
        <w:t>部门</w:t>
      </w:r>
      <w:r>
        <w:rPr>
          <w:rFonts w:hint="eastAsia" w:ascii="宋体" w:hAnsi="宋体" w:eastAsia="宋体" w:cs="宋体"/>
          <w:b/>
          <w:bCs/>
          <w:color w:val="auto"/>
          <w:kern w:val="0"/>
          <w:sz w:val="36"/>
          <w:szCs w:val="36"/>
          <w:highlight w:val="none"/>
          <w:shd w:val="clear" w:color="auto" w:fill="FFFFFF"/>
          <w:lang w:val="en-US" w:eastAsia="zh-Hans"/>
        </w:rPr>
        <w:t>整体</w:t>
      </w:r>
    </w:p>
    <w:p>
      <w:pPr>
        <w:widowControl w:val="0"/>
        <w:numPr>
          <w:ilvl w:val="0"/>
          <w:numId w:val="0"/>
        </w:numPr>
        <w:jc w:val="center"/>
        <w:outlineLvl w:val="9"/>
        <w:rPr>
          <w:rFonts w:hint="eastAsia" w:cs="宋体"/>
          <w:b/>
          <w:bCs/>
          <w:color w:val="auto"/>
          <w:kern w:val="0"/>
          <w:sz w:val="36"/>
          <w:szCs w:val="36"/>
          <w:highlight w:val="none"/>
          <w:shd w:val="clear" w:color="auto" w:fill="FFFFFF"/>
          <w:lang w:val="en-US" w:eastAsia="zh-CN"/>
        </w:rPr>
      </w:pPr>
      <w:r>
        <w:rPr>
          <w:rFonts w:hint="eastAsia" w:ascii="宋体" w:hAnsi="宋体" w:eastAsia="宋体" w:cs="宋体"/>
          <w:b/>
          <w:bCs/>
          <w:color w:val="auto"/>
          <w:kern w:val="0"/>
          <w:sz w:val="36"/>
          <w:szCs w:val="36"/>
          <w:highlight w:val="none"/>
          <w:shd w:val="clear" w:color="auto" w:fill="FFFFFF"/>
          <w:lang w:val="en-US" w:eastAsia="zh-CN"/>
        </w:rPr>
        <w:t>绩效评价</w:t>
      </w:r>
      <w:r>
        <w:rPr>
          <w:rFonts w:hint="eastAsia" w:cs="宋体"/>
          <w:b/>
          <w:bCs/>
          <w:color w:val="auto"/>
          <w:kern w:val="0"/>
          <w:sz w:val="36"/>
          <w:szCs w:val="36"/>
          <w:highlight w:val="none"/>
          <w:shd w:val="clear" w:color="auto" w:fill="FFFFFF"/>
          <w:lang w:val="en-US" w:eastAsia="zh-CN"/>
        </w:rPr>
        <w:t>指标体系</w:t>
      </w:r>
    </w:p>
    <w:tbl>
      <w:tblPr>
        <w:tblStyle w:val="15"/>
        <w:tblW w:w="4998" w:type="pct"/>
        <w:tblInd w:w="0" w:type="dxa"/>
        <w:shd w:val="clear" w:color="auto" w:fill="auto"/>
        <w:tblLayout w:type="autofit"/>
        <w:tblCellMar>
          <w:top w:w="0" w:type="dxa"/>
          <w:left w:w="0" w:type="dxa"/>
          <w:bottom w:w="0" w:type="dxa"/>
          <w:right w:w="0" w:type="dxa"/>
        </w:tblCellMar>
      </w:tblPr>
      <w:tblGrid>
        <w:gridCol w:w="898"/>
        <w:gridCol w:w="899"/>
        <w:gridCol w:w="899"/>
        <w:gridCol w:w="2262"/>
        <w:gridCol w:w="2969"/>
        <w:gridCol w:w="899"/>
      </w:tblGrid>
      <w:tr>
        <w:tblPrEx>
          <w:shd w:val="clear" w:color="auto" w:fill="auto"/>
          <w:tblCellMar>
            <w:top w:w="0" w:type="dxa"/>
            <w:left w:w="0" w:type="dxa"/>
            <w:bottom w:w="0" w:type="dxa"/>
            <w:right w:w="0" w:type="dxa"/>
          </w:tblCellMar>
        </w:tblPrEx>
        <w:trPr>
          <w:trHeight w:val="520" w:hRule="atLeast"/>
        </w:trPr>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kern w:val="0"/>
                <w:sz w:val="20"/>
                <w:szCs w:val="20"/>
                <w:u w:val="none"/>
                <w:lang w:val="en-US" w:eastAsia="zh-CN" w:bidi="ar"/>
              </w:rPr>
            </w:pPr>
            <w:r>
              <w:rPr>
                <w:rFonts w:hint="default" w:ascii="楷体_GB2312" w:hAnsi="宋体" w:eastAsia="楷体_GB2312" w:cs="楷体_GB2312"/>
                <w:b/>
                <w:i w:val="0"/>
                <w:color w:val="000000"/>
                <w:kern w:val="0"/>
                <w:sz w:val="20"/>
                <w:szCs w:val="20"/>
                <w:u w:val="none"/>
                <w:lang w:val="en-US" w:eastAsia="zh-CN" w:bidi="ar"/>
              </w:rPr>
              <w:t>一级</w:t>
            </w:r>
          </w:p>
          <w:p>
            <w:pPr>
              <w:keepNext w:val="0"/>
              <w:keepLines w:val="0"/>
              <w:widowControl/>
              <w:suppressLineNumbers w:val="0"/>
              <w:jc w:val="center"/>
              <w:textAlignment w:val="center"/>
              <w:rPr>
                <w:rFonts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kern w:val="0"/>
                <w:sz w:val="20"/>
                <w:szCs w:val="20"/>
                <w:u w:val="none"/>
                <w:lang w:val="en-US" w:eastAsia="zh-CN" w:bidi="ar"/>
              </w:rPr>
            </w:pPr>
            <w:r>
              <w:rPr>
                <w:rFonts w:hint="default" w:ascii="楷体_GB2312" w:hAnsi="宋体" w:eastAsia="楷体_GB2312" w:cs="楷体_GB2312"/>
                <w:b/>
                <w:i w:val="0"/>
                <w:color w:val="000000"/>
                <w:kern w:val="0"/>
                <w:sz w:val="20"/>
                <w:szCs w:val="20"/>
                <w:u w:val="none"/>
                <w:lang w:val="en-US" w:eastAsia="zh-CN" w:bidi="ar"/>
              </w:rPr>
              <w:t>二级</w:t>
            </w:r>
          </w:p>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三级指标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指标解释</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评分标准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20"/>
                <w:szCs w:val="20"/>
                <w:u w:val="none"/>
              </w:rPr>
            </w:pPr>
            <w:r>
              <w:rPr>
                <w:rFonts w:hint="default" w:ascii="楷体_GB2312" w:hAnsi="宋体" w:eastAsia="楷体_GB2312" w:cs="楷体_GB2312"/>
                <w:b/>
                <w:i w:val="0"/>
                <w:color w:val="000000"/>
                <w:kern w:val="0"/>
                <w:sz w:val="20"/>
                <w:szCs w:val="20"/>
                <w:u w:val="none"/>
                <w:lang w:val="en-US" w:eastAsia="zh-CN" w:bidi="ar"/>
              </w:rPr>
              <w:t>指标分值</w:t>
            </w:r>
          </w:p>
        </w:tc>
      </w:tr>
      <w:tr>
        <w:tblPrEx>
          <w:shd w:val="clear" w:color="auto" w:fill="auto"/>
          <w:tblCellMar>
            <w:top w:w="0" w:type="dxa"/>
            <w:left w:w="0" w:type="dxa"/>
            <w:bottom w:w="0" w:type="dxa"/>
            <w:right w:w="0" w:type="dxa"/>
          </w:tblCellMar>
        </w:tblPrEx>
        <w:trPr>
          <w:trHeight w:val="1560" w:hRule="atLeast"/>
        </w:trPr>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投入</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目标</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设定</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绩效目标合理性</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部门（单位）所设立的整体绩效目标依据充分，符合客观实际，用以反映和考核部门（单位）整体绩效目标与部门履职、年度工作任务的相符性情况。</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1.符合国家法律法规、国民经济和社会发展总体规划；（1分）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2.符合部门“三定”方案确定的职责；（1分）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3.符合部门制定的中长期实施规划。（1分）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234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绩效指标明确性</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部门（单位）依据整体绩效目标所设定的绩效指标清晰、细化、可衡量，用以反映和考核部门（单位）整体绩效目标的明细化情况。</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1.将部门整体的绩效目标细化分解为具体的工作任务；（1分）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2.通过清晰、可衡量的指标值予以体现。（1分）                                   3.与部门年度的任务数或计划数相对应；（1分）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4.与本年度部门预算资金相匹配。（1分）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w:t>
            </w:r>
          </w:p>
        </w:tc>
      </w:tr>
      <w:tr>
        <w:tblPrEx>
          <w:shd w:val="clear" w:color="auto" w:fill="auto"/>
          <w:tblCellMar>
            <w:top w:w="0" w:type="dxa"/>
            <w:left w:w="0" w:type="dxa"/>
            <w:bottom w:w="0" w:type="dxa"/>
            <w:right w:w="0" w:type="dxa"/>
          </w:tblCellMar>
        </w:tblPrEx>
        <w:trPr>
          <w:trHeight w:val="234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default" w:ascii="楷体_GB2312" w:hAnsi="宋体" w:eastAsia="楷体_GB2312" w:cs="楷体_GB2312"/>
                <w:i w:val="0"/>
                <w:color w:val="000000"/>
                <w:sz w:val="20"/>
                <w:szCs w:val="20"/>
                <w:u w:val="none"/>
              </w:rPr>
            </w:pP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配置</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在职人员控制率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部门（单位）本年度实际在职人员数与编制数的比率，用以反映和考核部门（单位）对人员成本的控制程度。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在职人员控制率=（在职人员数/编制数）×100%。</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在职人员数：部门（单位）实际在职人数，以财政部确定的部门决算编制口径为准。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编制数：机构编制部门核定批复的部门（单位）的人员编制数。                                                                                                                                                                       得分=在职人员控制率*2分，此项最高得2分。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208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“三公经费”变动率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部门（单位）本年度“三公经费”预算数与上年度“三公经费”预算数的变动比率，用以反映和考核部门（单位）对控制重点行政成本的努力程度。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“三公经费”变动率=[（本年度“三公经费”总额-上年度“三公经费”总额）/上年度“三公经费”总额]×100%。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“三公经费”：年度预算安排的因公出国（境）费、公务车辆购置及运行费和公务招待费。                                                                                                                                                       得分=“三公经费”变动率*2分。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338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重点支出安排率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部门（单位）本年度预算安排的重点项目支出与部门项目总支出的比率，用以反映和考核部门（单位）对履行主要职责或完成重点任务的保障程度。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重点支出安排率=（重点项目支出/项目总支出）×100%。</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重点项目支出：部门（单位）年度预算安排的，与本部门履职和发展密切相关、具有明显社会和经济影响、党委政府关心或社会比较关注的项目支出总额。</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项目总支出：部门（单位）年度预算安排的项目支出总额。                                                          重点支出安排率大于等于95%的，得满分；完成率小于等于85%的，得0分；完成率在95%-85%之间的，按公式计算得分，得分=重点支出安排率*4分。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w:t>
            </w:r>
          </w:p>
        </w:tc>
      </w:tr>
      <w:tr>
        <w:tblPrEx>
          <w:shd w:val="clear" w:color="auto" w:fill="auto"/>
          <w:tblCellMar>
            <w:top w:w="0" w:type="dxa"/>
            <w:left w:w="0" w:type="dxa"/>
            <w:bottom w:w="0" w:type="dxa"/>
            <w:right w:w="0" w:type="dxa"/>
          </w:tblCellMar>
        </w:tblPrEx>
        <w:trPr>
          <w:trHeight w:val="2860" w:hRule="atLeast"/>
        </w:trPr>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过程</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执行</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预算完成率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 xml:space="preserve"> </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预算完成率=（决算完成数/预算数）×100%。</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决算完成数：部门（单位）本年度实际完成的支出数。</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预算数：财政部门批复的本年度部门（单位）预算数。                                                                                 预算完成率大于等于95%的，得满分；完成率小于等于85%的，得0分；完成率在95%-85%之间的，按公式计算得分，得分=预算完成率*1.5分，此项最高得1.5分。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w:t>
            </w:r>
          </w:p>
        </w:tc>
      </w:tr>
      <w:tr>
        <w:tblPrEx>
          <w:shd w:val="clear" w:color="auto" w:fill="auto"/>
          <w:tblCellMar>
            <w:top w:w="0" w:type="dxa"/>
            <w:left w:w="0" w:type="dxa"/>
            <w:bottom w:w="0" w:type="dxa"/>
            <w:right w:w="0" w:type="dxa"/>
          </w:tblCellMar>
        </w:tblPrEx>
        <w:trPr>
          <w:trHeight w:val="208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预算调整率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部门（单位）本年度预算调整数与预算数的比率，用以反映和考核部门（单位）预算的调整程度。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预算调整率=（预算调整数/预算数）×100%。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预算调整数：部门（单位）在本年度内涉及预算的追加、追减或结构调整的资金总和（因落实国家政策、发生不可抗力、上级部门或本级党委政府临时交办而产生的调整除外）。                                                               得分=（1-预算调整率）×1分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w:t>
            </w:r>
          </w:p>
        </w:tc>
      </w:tr>
      <w:tr>
        <w:tblPrEx>
          <w:shd w:val="clear" w:color="auto" w:fill="auto"/>
          <w:tblCellMar>
            <w:top w:w="0" w:type="dxa"/>
            <w:left w:w="0" w:type="dxa"/>
            <w:bottom w:w="0" w:type="dxa"/>
            <w:right w:w="0" w:type="dxa"/>
          </w:tblCellMar>
        </w:tblPrEx>
        <w:trPr>
          <w:trHeight w:val="260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支付进度率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部门（单位）实际支付进度与既定支付进度的比率，用以反映和考核部门（单位）预算执行的及时性和均衡性程度。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支付进度率=（公共财政支出进度/序时支出进度）×100%。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 xml:space="preserve">                                                         以3月、6月、9月、11月为时点，用每个时点月底的公共财政支出进度与其序时支出进度的比率。部门实际支出进度大于序时支出进度时，得满分；小于序时支出进度时，按公式计算得分，得分=支付进度率×1.5分。以四个时点平均分为最终得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w:t>
            </w:r>
          </w:p>
        </w:tc>
      </w:tr>
      <w:tr>
        <w:tblPrEx>
          <w:shd w:val="clear" w:color="auto" w:fill="auto"/>
          <w:tblCellMar>
            <w:top w:w="0" w:type="dxa"/>
            <w:left w:w="0" w:type="dxa"/>
            <w:bottom w:w="0" w:type="dxa"/>
            <w:right w:w="0" w:type="dxa"/>
          </w:tblCellMar>
        </w:tblPrEx>
        <w:trPr>
          <w:trHeight w:val="2600" w:hRule="atLeast"/>
        </w:trPr>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过程</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预算执行</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结转结余率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部门（单位）本年度结转结余总额与支出预算数的比率，用以反映和考核部门（单位）对本年度结转结余资金的实际控制程度。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结转结余率=结转结余总额/决算收入数×100%。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结转结余总额：部门（单位）本年度的结转资金与结余资金之和（以决算数为准）。                                                      结转结余率小于或等于5%的，得满分；结转结余率大于或等于15%的，得0分；结转结余率在5%-15%之间的，按公式计算得分，得分=（15%-结转结余率)÷（15%-5%）×1分。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w:t>
            </w:r>
          </w:p>
        </w:tc>
      </w:tr>
      <w:tr>
        <w:tblPrEx>
          <w:shd w:val="clear" w:color="auto" w:fill="auto"/>
          <w:tblCellMar>
            <w:top w:w="0" w:type="dxa"/>
            <w:left w:w="0" w:type="dxa"/>
            <w:bottom w:w="0" w:type="dxa"/>
            <w:right w:w="0" w:type="dxa"/>
          </w:tblCellMar>
        </w:tblPrEx>
        <w:trPr>
          <w:trHeight w:val="234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结转结余变动率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部门（单位）本年度结转结余资金总额与上年度结转结余资金总额的变动比率，用以反映和考核部门（单位）对控制结转结余资金的努力程度。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结转结余变动率=[（本年度累计结转结余资金总额-上年度累计结转结余资金总额）/上年度累计结转结余资金总额]×100%。                                                                                                              结转结余变动率小于或等于5%的，得满分；大于或等于15%的，得0分；在5%-15%之间的，按公式计算得分，得分=（15%-结转结余变动率)÷（15%-5%）×1分。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w:t>
            </w:r>
          </w:p>
        </w:tc>
      </w:tr>
      <w:tr>
        <w:tblPrEx>
          <w:shd w:val="clear" w:color="auto" w:fill="auto"/>
          <w:tblCellMar>
            <w:top w:w="0" w:type="dxa"/>
            <w:left w:w="0" w:type="dxa"/>
            <w:bottom w:w="0" w:type="dxa"/>
            <w:right w:w="0" w:type="dxa"/>
          </w:tblCellMar>
        </w:tblPrEx>
        <w:trPr>
          <w:trHeight w:val="156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公用经费控制率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部门（单位）本年度实际支出的公用经费总额与预算安排的公用经费总额的比率，用以反映和考核部门（单位）对机构运转成本的实际控制程度。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公用经费控制率=（实际支出公用经费总额/预算安排公用经费总额）×100%。                                                       公用经费控制率小于或等于100%的得满分，否则得0分。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w:t>
            </w:r>
          </w:p>
        </w:tc>
      </w:tr>
      <w:tr>
        <w:tblPrEx>
          <w:shd w:val="clear" w:color="auto" w:fill="auto"/>
          <w:tblCellMar>
            <w:top w:w="0" w:type="dxa"/>
            <w:left w:w="0" w:type="dxa"/>
            <w:bottom w:w="0" w:type="dxa"/>
            <w:right w:w="0" w:type="dxa"/>
          </w:tblCellMar>
        </w:tblPrEx>
        <w:trPr>
          <w:trHeight w:val="156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“三公经费”控制率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部门（单位）本年度“三公经费”实际支出数与预算安排数的比率，用以反映和考核部门（单位）对“三公经费”的实际控制程度。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“三公经费”控制率=（“三公经费”实际支出数/“三公经费”预算安排数）×100%。                                                     部门三公经费控制率小于或等于100%时，得满分，控制率大于100%的，得0分。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w:t>
            </w:r>
          </w:p>
        </w:tc>
      </w:tr>
      <w:tr>
        <w:tblPrEx>
          <w:shd w:val="clear" w:color="auto" w:fill="auto"/>
          <w:tblCellMar>
            <w:top w:w="0" w:type="dxa"/>
            <w:left w:w="0" w:type="dxa"/>
            <w:bottom w:w="0" w:type="dxa"/>
            <w:right w:w="0" w:type="dxa"/>
          </w:tblCellMar>
        </w:tblPrEx>
        <w:trPr>
          <w:trHeight w:val="260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政府采购执行率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部门（单位）本年度实际政府采购金额与年初政府采购预算的比率，用以反映和考核部门（单位）政府采购预算执行情况。</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政府采购执行率=（实际政府采购金额/政府采购预算数）×100%；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政府采购预算：采购机关根据事业发展计划和行政任务编制的、并经过规定程序批准的年度政府采购计划。                                                 政府采购执行率大于等于95%的，得满分；执行率在70%-95%的，按公式计算得分得分=（[政府采购预算完成率-70%]÷（95%-70%）×分值；小于等于70%的，得0分。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w:t>
            </w:r>
          </w:p>
        </w:tc>
      </w:tr>
      <w:tr>
        <w:tblPrEx>
          <w:shd w:val="clear" w:color="auto" w:fill="auto"/>
          <w:tblCellMar>
            <w:top w:w="0" w:type="dxa"/>
            <w:left w:w="0" w:type="dxa"/>
            <w:bottom w:w="0" w:type="dxa"/>
            <w:right w:w="0" w:type="dxa"/>
          </w:tblCellMar>
        </w:tblPrEx>
        <w:trPr>
          <w:trHeight w:val="208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预算</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管理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管理制度健全性</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部门（单位）为加强预算管理、规范财务行为而制定的管理制度健全完整，用以反映和考核部门（单位）预算管理制度对完成主要职责或促进事业发展的保障情况。</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1.已制定或具有预算资金管理办法、内部财务管理制度、会计核算制度等管理制度；（1分）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2.相关管理制度合法、合规、完整；（1分）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3.相关管理制度得到有效执行。（1分）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312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资金使用合规性</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部门（单位）使用预算资金符合相关的预算财务管理制度的规定，用以反映和考核部门（单位）预算资金的规范运行情况。</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1.符合国家财经法规和财务管理制度规定以及有关专项资金管理办法的规定；（0.5分）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2.资金的拨付有完整的审批程序和手续；（0.5分）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3.项目的重大开支经过评估论证；（0.5分）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4.符合部门预算批复的用途；（0.5分）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5.不存在截留、挤占、挪用、虚列支出等情况。（0.5分）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2.5</w:t>
            </w:r>
          </w:p>
        </w:tc>
      </w:tr>
      <w:tr>
        <w:tblPrEx>
          <w:shd w:val="clear" w:color="auto" w:fill="auto"/>
          <w:tblCellMar>
            <w:top w:w="0" w:type="dxa"/>
            <w:left w:w="0" w:type="dxa"/>
            <w:bottom w:w="0" w:type="dxa"/>
            <w:right w:w="0" w:type="dxa"/>
          </w:tblCellMar>
        </w:tblPrEx>
        <w:trPr>
          <w:trHeight w:val="208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预决算信息公开性</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部门（单位）是否按照政府信息公开有关规定公开相关预决算信息，用以反映和考核部门（单位）预决算管理的公开透明情况。</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1.是否按规定内容公开预决算信息；（0.3分）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2.是否按规定时限公开预决算信息。（0.3）</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预决算信息是指与部门预算、执行、决算、监督、绩效等管理相关的信息。</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0.6</w:t>
            </w:r>
          </w:p>
        </w:tc>
      </w:tr>
      <w:tr>
        <w:tblPrEx>
          <w:shd w:val="clear" w:color="auto" w:fill="auto"/>
          <w:tblCellMar>
            <w:top w:w="0" w:type="dxa"/>
            <w:left w:w="0" w:type="dxa"/>
            <w:bottom w:w="0" w:type="dxa"/>
            <w:right w:w="0" w:type="dxa"/>
          </w:tblCellMar>
        </w:tblPrEx>
        <w:trPr>
          <w:trHeight w:val="104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运行监控和自评有效性</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项目主管单位按照绩效运行监控和绩效自评管理要求开展相关工作。</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1.项目主管单位开展绩效运行监控工作，按时完整报送资料；（1.5分）                                                                                                                                                                           2.项目主管单位开展绩效自评管理工作，按时完整报送资料。（1.5分）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182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基础信息完善性</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部门（单位）基础信息完善，用以反映和考核基础信息对预算管理工作的支撑情况。</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1.基础数据信息和会计信息资料真实；（0.3分）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2.基础数据信息和会计信息资料完整；（0.3分）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3.基础数据信息和会计信息资料准确。（0.3分）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0.9</w:t>
            </w:r>
          </w:p>
        </w:tc>
      </w:tr>
      <w:tr>
        <w:tblPrEx>
          <w:shd w:val="clear" w:color="auto" w:fill="auto"/>
          <w:tblCellMar>
            <w:top w:w="0" w:type="dxa"/>
            <w:left w:w="0" w:type="dxa"/>
            <w:bottom w:w="0" w:type="dxa"/>
            <w:right w:w="0" w:type="dxa"/>
          </w:tblCellMar>
        </w:tblPrEx>
        <w:trPr>
          <w:trHeight w:val="1820" w:hRule="atLeast"/>
        </w:trPr>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过   程</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资产</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管理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管理制度健全性</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部门（单位）为加强资产管理、规范资产管理行为而制定的管理制度健全完整，用以反映和考核部门（单位）资产管理制度对完成主要职责或促进社会发展的保障情况。</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1.已制定或具有资产管理制度；（0.5分）                                                                                                                                                                                                2.相关资金管理制度合法、合规、完整；（0.5分）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3.相关资产管理制度得到有效执行。（0.5分）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w:t>
            </w:r>
          </w:p>
        </w:tc>
      </w:tr>
      <w:tr>
        <w:tblPrEx>
          <w:shd w:val="clear" w:color="auto" w:fill="auto"/>
          <w:tblCellMar>
            <w:top w:w="0" w:type="dxa"/>
            <w:left w:w="0" w:type="dxa"/>
            <w:bottom w:w="0" w:type="dxa"/>
            <w:right w:w="0" w:type="dxa"/>
          </w:tblCellMar>
        </w:tblPrEx>
        <w:trPr>
          <w:trHeight w:val="208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资产管理安全性</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部门（单位）的资产保存完整、使用合规、配置合理、处置规范、收入及时足额上缴，用以反映和考核部门（单位）资产安全运行情况。</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1.资产保存完整；（0.3分）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2.资产配置合理；（0.3分）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3.资产处置规范；（0.3分）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4.资产账务管理合规，帐实相符；（0.3分）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5.资产有偿使用及处置收入及时足额上缴。（0.3分）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1.5</w:t>
            </w:r>
          </w:p>
        </w:tc>
      </w:tr>
      <w:tr>
        <w:tblPrEx>
          <w:shd w:val="clear" w:color="auto" w:fill="auto"/>
          <w:tblCellMar>
            <w:top w:w="0" w:type="dxa"/>
            <w:left w:w="0" w:type="dxa"/>
            <w:bottom w:w="0" w:type="dxa"/>
            <w:right w:w="0" w:type="dxa"/>
          </w:tblCellMar>
        </w:tblPrEx>
        <w:trPr>
          <w:trHeight w:val="130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固定资产利用率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部门（单位）实际在用固定资产总额与所有固定资产总额的比率，用以反映和考核部门（单位）固定资产使用效率程度。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固定资产利用率=（实际在用固定资产总额/所有固定资产总额）×100%。                                                                                                                                                                    得分=固定资产利用率×2分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2340" w:hRule="atLeast"/>
        </w:trPr>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产出</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职责</w:t>
            </w:r>
          </w:p>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履行</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实际完成率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部门（单位）履行职责而实际完成工作数与计划工作数的比率，用以反映和考核部门（单位）履职工作任务目标的实现程度。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实际完成率=（实际完成工作数/计划工作数）×100%。</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实际完成工作数：一定时期（年度或规划期）内部门（单位）实际完成工作任务的数量。</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计划工作数：部门（单位）整体绩效目标确定的一定时期（年度或规划期）内预计完成工作任务的数量。                                                                                                                                         得分=实际完成率×10分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10</w:t>
            </w:r>
          </w:p>
        </w:tc>
      </w:tr>
      <w:tr>
        <w:tblPrEx>
          <w:shd w:val="clear" w:color="auto" w:fill="auto"/>
          <w:tblCellMar>
            <w:top w:w="0" w:type="dxa"/>
            <w:left w:w="0" w:type="dxa"/>
            <w:bottom w:w="0" w:type="dxa"/>
            <w:right w:w="0" w:type="dxa"/>
          </w:tblCellMar>
        </w:tblPrEx>
        <w:trPr>
          <w:trHeight w:val="156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完成及时率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部门（单位）在规定时限内及时完成的实际工作数与计划工作数的比率,用以反映和考核部门履职时效目标的实现程度。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完成及时率=（及时完成实际工作数/计划工作数）×100%。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及时完成实际工作数：部门（单位）按照整体绩效目标确定的时限实际完成的工作任务数量。                                                                                                                                                    得分=完成及时率×8分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8</w:t>
            </w:r>
          </w:p>
        </w:tc>
      </w:tr>
      <w:tr>
        <w:tblPrEx>
          <w:shd w:val="clear" w:color="auto" w:fill="auto"/>
          <w:tblCellMar>
            <w:top w:w="0" w:type="dxa"/>
            <w:left w:w="0" w:type="dxa"/>
            <w:bottom w:w="0" w:type="dxa"/>
            <w:right w:w="0" w:type="dxa"/>
          </w:tblCellMar>
        </w:tblPrEx>
        <w:trPr>
          <w:trHeight w:val="156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质量达标率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达到质量标准（绩效标准值）的实际工作数与计划工作数的比率,用以反映和考核部门履职质量目标的实现程度。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质量达标率=（质量达标实际工作数/计划工作数）×100%。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质量达标实际工作数：一定时期（年度或规划期）内部门（单位）实际完成工作数中达到部门绩效目标要求（绩效标准值）的工作任务数量。</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8</w:t>
            </w:r>
          </w:p>
        </w:tc>
      </w:tr>
      <w:tr>
        <w:tblPrEx>
          <w:shd w:val="clear" w:color="auto" w:fill="auto"/>
          <w:tblCellMar>
            <w:top w:w="0" w:type="dxa"/>
            <w:left w:w="0" w:type="dxa"/>
            <w:bottom w:w="0" w:type="dxa"/>
            <w:right w:w="0" w:type="dxa"/>
          </w:tblCellMar>
        </w:tblPrEx>
        <w:trPr>
          <w:trHeight w:val="130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重点工作办结率</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部门（单位）年度重点工作实际完成数与交办或下达数的比率，用以反映部门（单位）对重点工作的办理落实程度。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重点工作办结率=（重点工作实际完成数/交办或下达数）×100%。</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重点工作是指党委、政府、人大、相关部门交办或下达的工作任务。</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9</w:t>
            </w:r>
          </w:p>
        </w:tc>
      </w:tr>
      <w:tr>
        <w:tblPrEx>
          <w:shd w:val="clear" w:color="auto" w:fill="auto"/>
          <w:tblCellMar>
            <w:top w:w="0" w:type="dxa"/>
            <w:left w:w="0" w:type="dxa"/>
            <w:bottom w:w="0" w:type="dxa"/>
            <w:right w:w="0" w:type="dxa"/>
          </w:tblCellMar>
        </w:tblPrEx>
        <w:trPr>
          <w:trHeight w:val="1040" w:hRule="atLeast"/>
        </w:trPr>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效果</w:t>
            </w:r>
          </w:p>
        </w:tc>
        <w:tc>
          <w:tcPr>
            <w:tcW w:w="50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经济效益</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农村居民可支配收入</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部门履职对农村居民可支配收入推动作用。主要反映和考核部门履职产生地经济效益</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2021年度农村居民可支配收入达到9614元，得满分。未达到要求，按比例得分。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104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全年粮食产量</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部门履职对农村居民全年粮食产量贡献作用。主要反映和考核部门履职产生地经济效益</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2021年度全年粮食产量达到0.6万吨，得满分。未达到要求，按比例得分。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104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社会效益</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农村饮水安全</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部门履职对农村居民饮水安全地保障。主要反映和考核部门履职产生的社会效益</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2021年度通过实施农村供水巩固提升工程，实现巩固提升农村饮水安全人口达到1万人以上得满分。未达到要求，按比例得分。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w:t>
            </w:r>
          </w:p>
        </w:tc>
      </w:tr>
      <w:tr>
        <w:tblPrEx>
          <w:shd w:val="clear" w:color="auto" w:fill="auto"/>
          <w:tblCellMar>
            <w:top w:w="0" w:type="dxa"/>
            <w:left w:w="0" w:type="dxa"/>
            <w:bottom w:w="0" w:type="dxa"/>
            <w:right w:w="0" w:type="dxa"/>
          </w:tblCellMar>
        </w:tblPrEx>
        <w:trPr>
          <w:trHeight w:val="78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生态效益</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改善人居环境</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部门履职对农村人居环境的改善。主要反映和考核部门履职产生的生态效益</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有效改善空气质量，降低空气质量综合指数，得满分。否则不得分。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w:t>
            </w:r>
          </w:p>
        </w:tc>
      </w:tr>
      <w:tr>
        <w:tblPrEx>
          <w:shd w:val="clear" w:color="auto" w:fill="auto"/>
          <w:tblCellMar>
            <w:top w:w="0" w:type="dxa"/>
            <w:left w:w="0" w:type="dxa"/>
            <w:bottom w:w="0" w:type="dxa"/>
            <w:right w:w="0" w:type="dxa"/>
          </w:tblCellMar>
        </w:tblPrEx>
        <w:trPr>
          <w:trHeight w:val="104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可持续影响</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推动乡村振兴</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部门履职助推乡村振兴。主要反映和考核部门履职产生的生态效益</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2021年度铜川市新区未发生农村公路、市政道路施工过程中的施工安全事故或居住安全事故，得满分。否则不得分。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w:t>
            </w:r>
          </w:p>
        </w:tc>
      </w:tr>
      <w:tr>
        <w:tblPrEx>
          <w:shd w:val="clear" w:color="auto" w:fill="auto"/>
          <w:tblCellMar>
            <w:top w:w="0" w:type="dxa"/>
            <w:left w:w="0" w:type="dxa"/>
            <w:bottom w:w="0" w:type="dxa"/>
            <w:right w:w="0" w:type="dxa"/>
          </w:tblCellMar>
        </w:tblPrEx>
        <w:trPr>
          <w:trHeight w:val="2080" w:hRule="atLeast"/>
        </w:trPr>
        <w:tc>
          <w:tcPr>
            <w:tcW w:w="509"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楷体_GB2312" w:hAnsi="宋体" w:eastAsia="楷体_GB2312" w:cs="楷体_GB2312"/>
                <w:i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ind w:firstLine="200" w:firstLineChars="10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满意度</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社会公众或服务对象满意度</w:t>
            </w:r>
          </w:p>
        </w:tc>
        <w:tc>
          <w:tcPr>
            <w:tcW w:w="127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社会公众或部门（单位）的服务对象对部门履职效果的满意程度。</w:t>
            </w:r>
          </w:p>
        </w:tc>
        <w:tc>
          <w:tcPr>
            <w:tcW w:w="168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社会公众或服务对象是指部门（单位）履行职责而影响到的部门、群体或个人。一般采取社会调查的方式。                                                                                                                                              1. 100%≥满意度＞90%为满意；（5分）                                                                                                                                                                                                    2. 90%≥满意度＞80%；（3分）</w:t>
            </w:r>
          </w:p>
          <w:p>
            <w:pPr>
              <w:keepNext w:val="0"/>
              <w:keepLines w:val="0"/>
              <w:widowControl/>
              <w:suppressLineNumbers w:val="0"/>
              <w:jc w:val="left"/>
              <w:textAlignment w:val="center"/>
              <w:rPr>
                <w:rFonts w:hint="default" w:ascii="楷体_GB2312" w:hAnsi="宋体" w:eastAsia="楷体_GB2312" w:cs="楷体_GB2312"/>
                <w:i w:val="0"/>
                <w:color w:val="000000"/>
                <w:kern w:val="0"/>
                <w:sz w:val="20"/>
                <w:szCs w:val="20"/>
                <w:u w:val="none"/>
                <w:lang w:val="en-US" w:eastAsia="zh-CN" w:bidi="ar"/>
              </w:rPr>
            </w:pPr>
            <w:r>
              <w:rPr>
                <w:rFonts w:hint="default" w:ascii="楷体_GB2312" w:hAnsi="宋体" w:eastAsia="楷体_GB2312" w:cs="楷体_GB2312"/>
                <w:i w:val="0"/>
                <w:color w:val="000000"/>
                <w:kern w:val="0"/>
                <w:sz w:val="20"/>
                <w:szCs w:val="20"/>
                <w:u w:val="none"/>
                <w:lang w:val="en-US" w:eastAsia="zh-CN" w:bidi="ar"/>
              </w:rPr>
              <w:t>3. 80%≥满意度≥60%；（1分）</w:t>
            </w:r>
          </w:p>
          <w:p>
            <w:pPr>
              <w:keepNext w:val="0"/>
              <w:keepLines w:val="0"/>
              <w:widowControl/>
              <w:suppressLineNumbers w:val="0"/>
              <w:jc w:val="left"/>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4. 满意度＜60%不得分。（0分）</w:t>
            </w: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5</w:t>
            </w:r>
          </w:p>
        </w:tc>
      </w:tr>
      <w:tr>
        <w:tblPrEx>
          <w:tblCellMar>
            <w:top w:w="0" w:type="dxa"/>
            <w:left w:w="0" w:type="dxa"/>
            <w:bottom w:w="0" w:type="dxa"/>
            <w:right w:w="0" w:type="dxa"/>
          </w:tblCellMar>
        </w:tblPrEx>
        <w:trPr>
          <w:trHeight w:val="300" w:hRule="atLeast"/>
        </w:trPr>
        <w:tc>
          <w:tcPr>
            <w:tcW w:w="2808" w:type="pct"/>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合计</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hint="eastAsia" w:ascii="宋体" w:hAnsi="宋体" w:eastAsia="宋体" w:cs="宋体"/>
                <w:i w:val="0"/>
                <w:color w:val="000000"/>
                <w:sz w:val="24"/>
                <w:szCs w:val="24"/>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楷体_GB2312" w:hAnsi="宋体" w:eastAsia="楷体_GB2312" w:cs="楷体_GB2312"/>
                <w:i w:val="0"/>
                <w:color w:val="000000"/>
                <w:sz w:val="20"/>
                <w:szCs w:val="20"/>
                <w:u w:val="none"/>
              </w:rPr>
            </w:pPr>
            <w:r>
              <w:rPr>
                <w:rFonts w:hint="default" w:ascii="楷体_GB2312" w:hAnsi="宋体" w:eastAsia="楷体_GB2312" w:cs="楷体_GB2312"/>
                <w:i w:val="0"/>
                <w:color w:val="000000"/>
                <w:kern w:val="0"/>
                <w:sz w:val="20"/>
                <w:szCs w:val="20"/>
                <w:u w:val="none"/>
                <w:lang w:val="en-US" w:eastAsia="zh-CN" w:bidi="ar"/>
              </w:rPr>
              <w:t>100</w:t>
            </w:r>
          </w:p>
        </w:tc>
      </w:tr>
    </w:tbl>
    <w:p>
      <w:pPr>
        <w:pStyle w:val="2"/>
        <w:ind w:left="0" w:leftChars="0" w:firstLine="0" w:firstLineChars="0"/>
        <w:rPr>
          <w:rFonts w:hint="eastAsia" w:cs="宋体"/>
          <w:b/>
          <w:bCs/>
          <w:color w:val="auto"/>
          <w:kern w:val="0"/>
          <w:sz w:val="36"/>
          <w:szCs w:val="36"/>
          <w:highlight w:val="none"/>
          <w:shd w:val="clear" w:color="auto" w:fill="FFFFFF"/>
          <w:lang w:val="en-US" w:eastAsia="zh-CN"/>
        </w:rPr>
        <w:sectPr>
          <w:pgSz w:w="11910" w:h="16840"/>
          <w:pgMar w:top="2098" w:right="1474" w:bottom="1984" w:left="1587" w:header="1017" w:footer="1206" w:gutter="0"/>
          <w:pgNumType w:fmt="numberInDash"/>
          <w:cols w:equalWidth="0" w:num="1">
            <w:col w:w="8810"/>
          </w:cols>
        </w:sectPr>
      </w:pPr>
    </w:p>
    <w:bookmarkEnd w:id="37"/>
    <w:bookmarkEnd w:id="38"/>
    <w:bookmarkEnd w:id="39"/>
    <w:p>
      <w:pPr>
        <w:spacing w:before="120" w:beforeLines="50" w:after="120" w:afterLines="50" w:line="360" w:lineRule="auto"/>
        <w:outlineLvl w:val="9"/>
        <w:rPr>
          <w:rFonts w:hint="eastAsia"/>
          <w:highlight w:val="none"/>
          <w:lang w:eastAsia="zh-Hans"/>
        </w:rPr>
      </w:pPr>
    </w:p>
    <w:sectPr>
      <w:headerReference r:id="rId7" w:type="default"/>
      <w:pgSz w:w="11910" w:h="16840"/>
      <w:pgMar w:top="2098" w:right="1474" w:bottom="1984" w:left="1587" w:header="1017" w:footer="1206" w:gutter="0"/>
      <w:pgNumType w:fmt="numberInDash"/>
      <w:cols w:equalWidth="0" w:num="1">
        <w:col w:w="8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DejaVu Sans">
    <w:altName w:val="Times New Roman"/>
    <w:panose1 w:val="02020603050405020304"/>
    <w:charset w:val="00"/>
    <w:family w:val="roman"/>
    <w:pitch w:val="default"/>
    <w:sig w:usb0="00000000" w:usb1="00000000" w:usb2="00000008" w:usb3="00000000" w:csb0="0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
    <w:altName w:val="宋体"/>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spacing w:before="0" w:line="14" w:lineRule="auto"/>
      <w:ind w:left="0"/>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spacing w:before="0"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7BD52"/>
    <w:multiLevelType w:val="singleLevel"/>
    <w:tmpl w:val="8CB7BD52"/>
    <w:lvl w:ilvl="0" w:tentative="0">
      <w:start w:val="2"/>
      <w:numFmt w:val="decimal"/>
      <w:suff w:val="nothing"/>
      <w:lvlText w:val="（%1）"/>
      <w:lvlJc w:val="left"/>
    </w:lvl>
  </w:abstractNum>
  <w:abstractNum w:abstractNumId="1">
    <w:nsid w:val="699CFC09"/>
    <w:multiLevelType w:val="singleLevel"/>
    <w:tmpl w:val="699CFC09"/>
    <w:lvl w:ilvl="0" w:tentative="0">
      <w:start w:val="1"/>
      <w:numFmt w:val="chineseCounting"/>
      <w:suff w:val="space"/>
      <w:lvlText w:val="%1、"/>
      <w:lvlJc w:val="left"/>
      <w:rPr>
        <w:rFonts w:hint="eastAsia"/>
      </w:rPr>
    </w:lvl>
  </w:abstractNum>
  <w:abstractNum w:abstractNumId="2">
    <w:nsid w:val="70F3CFB0"/>
    <w:multiLevelType w:val="singleLevel"/>
    <w:tmpl w:val="70F3CFB0"/>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hZGQ2ZGMxODE1ZWZmNTNlZjVlMmFhYzZmNzU3YzAifQ=="/>
  </w:docVars>
  <w:rsids>
    <w:rsidRoot w:val="D779509E"/>
    <w:rsid w:val="000012FE"/>
    <w:rsid w:val="00033DCF"/>
    <w:rsid w:val="000A4298"/>
    <w:rsid w:val="000C18C9"/>
    <w:rsid w:val="00135EF6"/>
    <w:rsid w:val="00136F12"/>
    <w:rsid w:val="00193A3E"/>
    <w:rsid w:val="001A570D"/>
    <w:rsid w:val="001C51AB"/>
    <w:rsid w:val="00262AA9"/>
    <w:rsid w:val="00277917"/>
    <w:rsid w:val="002B1E7D"/>
    <w:rsid w:val="003D0043"/>
    <w:rsid w:val="00420C10"/>
    <w:rsid w:val="00447529"/>
    <w:rsid w:val="004709C6"/>
    <w:rsid w:val="00475D62"/>
    <w:rsid w:val="004B344F"/>
    <w:rsid w:val="004C51A4"/>
    <w:rsid w:val="004F7D6F"/>
    <w:rsid w:val="00525570"/>
    <w:rsid w:val="00546BF5"/>
    <w:rsid w:val="00563C88"/>
    <w:rsid w:val="0057025D"/>
    <w:rsid w:val="005B05EB"/>
    <w:rsid w:val="005C5E71"/>
    <w:rsid w:val="00643454"/>
    <w:rsid w:val="006A3C6A"/>
    <w:rsid w:val="006B6C4F"/>
    <w:rsid w:val="006B789A"/>
    <w:rsid w:val="006F65A7"/>
    <w:rsid w:val="00763DE0"/>
    <w:rsid w:val="00780296"/>
    <w:rsid w:val="007B41AD"/>
    <w:rsid w:val="007C3CAD"/>
    <w:rsid w:val="00851E6F"/>
    <w:rsid w:val="00893CA6"/>
    <w:rsid w:val="008E5AF9"/>
    <w:rsid w:val="00910385"/>
    <w:rsid w:val="009523D1"/>
    <w:rsid w:val="00960C52"/>
    <w:rsid w:val="009613AB"/>
    <w:rsid w:val="00970B18"/>
    <w:rsid w:val="009870FD"/>
    <w:rsid w:val="009E4828"/>
    <w:rsid w:val="009F30A0"/>
    <w:rsid w:val="00A32055"/>
    <w:rsid w:val="00A35DDB"/>
    <w:rsid w:val="00A47C8B"/>
    <w:rsid w:val="00A80360"/>
    <w:rsid w:val="00AA4420"/>
    <w:rsid w:val="00AD16A7"/>
    <w:rsid w:val="00B03739"/>
    <w:rsid w:val="00B707ED"/>
    <w:rsid w:val="00B9048D"/>
    <w:rsid w:val="00BA0D97"/>
    <w:rsid w:val="00BA691D"/>
    <w:rsid w:val="00C068CC"/>
    <w:rsid w:val="00C36E68"/>
    <w:rsid w:val="00C43B5A"/>
    <w:rsid w:val="00C76FBD"/>
    <w:rsid w:val="00C94E20"/>
    <w:rsid w:val="00CE1753"/>
    <w:rsid w:val="00D71E77"/>
    <w:rsid w:val="00D925A8"/>
    <w:rsid w:val="00DA1C50"/>
    <w:rsid w:val="00DD1C49"/>
    <w:rsid w:val="00E03C8C"/>
    <w:rsid w:val="00E21638"/>
    <w:rsid w:val="00EB2C85"/>
    <w:rsid w:val="00F43C4D"/>
    <w:rsid w:val="00FA78FE"/>
    <w:rsid w:val="014E6F2D"/>
    <w:rsid w:val="015E6B70"/>
    <w:rsid w:val="016C782E"/>
    <w:rsid w:val="018777BB"/>
    <w:rsid w:val="01B7514A"/>
    <w:rsid w:val="01E82D68"/>
    <w:rsid w:val="02C91315"/>
    <w:rsid w:val="0329694A"/>
    <w:rsid w:val="03763AF9"/>
    <w:rsid w:val="037954DB"/>
    <w:rsid w:val="03FD3C8E"/>
    <w:rsid w:val="041A57B3"/>
    <w:rsid w:val="044779A9"/>
    <w:rsid w:val="04956E50"/>
    <w:rsid w:val="04E356F0"/>
    <w:rsid w:val="05706033"/>
    <w:rsid w:val="05B04835"/>
    <w:rsid w:val="05C76026"/>
    <w:rsid w:val="05C77A61"/>
    <w:rsid w:val="05E0082C"/>
    <w:rsid w:val="05FD20FC"/>
    <w:rsid w:val="061F613C"/>
    <w:rsid w:val="06364AC5"/>
    <w:rsid w:val="066731F5"/>
    <w:rsid w:val="06767EE0"/>
    <w:rsid w:val="06A76340"/>
    <w:rsid w:val="07596AFB"/>
    <w:rsid w:val="078B3248"/>
    <w:rsid w:val="07AFA6BE"/>
    <w:rsid w:val="07C1430F"/>
    <w:rsid w:val="07C2597F"/>
    <w:rsid w:val="07E92068"/>
    <w:rsid w:val="08440002"/>
    <w:rsid w:val="0880581D"/>
    <w:rsid w:val="08E156A4"/>
    <w:rsid w:val="08E763B1"/>
    <w:rsid w:val="09282892"/>
    <w:rsid w:val="09381814"/>
    <w:rsid w:val="09B75971"/>
    <w:rsid w:val="09D5139F"/>
    <w:rsid w:val="0A0E6F09"/>
    <w:rsid w:val="0A300905"/>
    <w:rsid w:val="0A541ADF"/>
    <w:rsid w:val="0A753250"/>
    <w:rsid w:val="0ACC7640"/>
    <w:rsid w:val="0AF76836"/>
    <w:rsid w:val="0B08550F"/>
    <w:rsid w:val="0B575902"/>
    <w:rsid w:val="0B5C6090"/>
    <w:rsid w:val="0B7752FB"/>
    <w:rsid w:val="0BDC27C2"/>
    <w:rsid w:val="0C105AEF"/>
    <w:rsid w:val="0C2B3DE6"/>
    <w:rsid w:val="0C632B33"/>
    <w:rsid w:val="0CB1757F"/>
    <w:rsid w:val="0CED0034"/>
    <w:rsid w:val="0CFC1745"/>
    <w:rsid w:val="0D310454"/>
    <w:rsid w:val="0D44070F"/>
    <w:rsid w:val="0D8D3876"/>
    <w:rsid w:val="0DB3038F"/>
    <w:rsid w:val="0DDE22FC"/>
    <w:rsid w:val="0DE26B97"/>
    <w:rsid w:val="0DEA6DBD"/>
    <w:rsid w:val="0DED0A90"/>
    <w:rsid w:val="0E325784"/>
    <w:rsid w:val="0E3A028A"/>
    <w:rsid w:val="0E7C7AE0"/>
    <w:rsid w:val="0E8A62E7"/>
    <w:rsid w:val="0EA13B8C"/>
    <w:rsid w:val="0F182F0B"/>
    <w:rsid w:val="0F446D5E"/>
    <w:rsid w:val="0F7221FC"/>
    <w:rsid w:val="0F9D5B98"/>
    <w:rsid w:val="0FA5679E"/>
    <w:rsid w:val="0FB6670F"/>
    <w:rsid w:val="103857B0"/>
    <w:rsid w:val="104D2379"/>
    <w:rsid w:val="10537D9F"/>
    <w:rsid w:val="10654BC8"/>
    <w:rsid w:val="10707038"/>
    <w:rsid w:val="10C01577"/>
    <w:rsid w:val="10C67A5F"/>
    <w:rsid w:val="11250954"/>
    <w:rsid w:val="114C4A28"/>
    <w:rsid w:val="120704DD"/>
    <w:rsid w:val="12407B51"/>
    <w:rsid w:val="126C79C9"/>
    <w:rsid w:val="12804956"/>
    <w:rsid w:val="12A07F1B"/>
    <w:rsid w:val="12B25490"/>
    <w:rsid w:val="13292527"/>
    <w:rsid w:val="13776976"/>
    <w:rsid w:val="13D70B3C"/>
    <w:rsid w:val="13EF2888"/>
    <w:rsid w:val="14B50AFC"/>
    <w:rsid w:val="14BC12BD"/>
    <w:rsid w:val="14C63493"/>
    <w:rsid w:val="14E922E3"/>
    <w:rsid w:val="1513305A"/>
    <w:rsid w:val="156163BD"/>
    <w:rsid w:val="15913ACC"/>
    <w:rsid w:val="159C452D"/>
    <w:rsid w:val="15DE418A"/>
    <w:rsid w:val="16017D11"/>
    <w:rsid w:val="163300CC"/>
    <w:rsid w:val="163460BC"/>
    <w:rsid w:val="16425049"/>
    <w:rsid w:val="16A134CE"/>
    <w:rsid w:val="16C96F93"/>
    <w:rsid w:val="171133F3"/>
    <w:rsid w:val="17382826"/>
    <w:rsid w:val="17513854"/>
    <w:rsid w:val="176F2D8B"/>
    <w:rsid w:val="179B56FF"/>
    <w:rsid w:val="17BB19F6"/>
    <w:rsid w:val="184833AC"/>
    <w:rsid w:val="18587C33"/>
    <w:rsid w:val="18DF219F"/>
    <w:rsid w:val="190C4AB7"/>
    <w:rsid w:val="191B665E"/>
    <w:rsid w:val="19716DA1"/>
    <w:rsid w:val="1A19496A"/>
    <w:rsid w:val="1A4F1286"/>
    <w:rsid w:val="1A591792"/>
    <w:rsid w:val="1A7365CF"/>
    <w:rsid w:val="1A783987"/>
    <w:rsid w:val="1AD204DE"/>
    <w:rsid w:val="1AD65B30"/>
    <w:rsid w:val="1B0C1BB0"/>
    <w:rsid w:val="1B143312"/>
    <w:rsid w:val="1B2B1B0F"/>
    <w:rsid w:val="1B4968E8"/>
    <w:rsid w:val="1B4C1B81"/>
    <w:rsid w:val="1B5B356A"/>
    <w:rsid w:val="1B82655F"/>
    <w:rsid w:val="1B884599"/>
    <w:rsid w:val="1BE50B84"/>
    <w:rsid w:val="1C0254E8"/>
    <w:rsid w:val="1C440A92"/>
    <w:rsid w:val="1C6C3DB9"/>
    <w:rsid w:val="1C816DB5"/>
    <w:rsid w:val="1CA10911"/>
    <w:rsid w:val="1CA55000"/>
    <w:rsid w:val="1CC30C5A"/>
    <w:rsid w:val="1CC85C7A"/>
    <w:rsid w:val="1CDF6E50"/>
    <w:rsid w:val="1D274E35"/>
    <w:rsid w:val="1D311AD8"/>
    <w:rsid w:val="1DFE7366"/>
    <w:rsid w:val="1E1C526B"/>
    <w:rsid w:val="1E6D2384"/>
    <w:rsid w:val="1E7D37A1"/>
    <w:rsid w:val="1E80293A"/>
    <w:rsid w:val="1ED77E4D"/>
    <w:rsid w:val="1EDA1CAA"/>
    <w:rsid w:val="1EE10438"/>
    <w:rsid w:val="1F5A653C"/>
    <w:rsid w:val="1F98298D"/>
    <w:rsid w:val="1FC5557E"/>
    <w:rsid w:val="1FCE652E"/>
    <w:rsid w:val="1FED0E93"/>
    <w:rsid w:val="203C75C9"/>
    <w:rsid w:val="208D2567"/>
    <w:rsid w:val="20983D56"/>
    <w:rsid w:val="21216934"/>
    <w:rsid w:val="21346671"/>
    <w:rsid w:val="217B0B87"/>
    <w:rsid w:val="21E44818"/>
    <w:rsid w:val="223C43FE"/>
    <w:rsid w:val="22911CA3"/>
    <w:rsid w:val="23484DA8"/>
    <w:rsid w:val="23546255"/>
    <w:rsid w:val="23760F4A"/>
    <w:rsid w:val="23926449"/>
    <w:rsid w:val="23DB6624"/>
    <w:rsid w:val="23E059E6"/>
    <w:rsid w:val="23F11418"/>
    <w:rsid w:val="23F52926"/>
    <w:rsid w:val="23FB3A65"/>
    <w:rsid w:val="24485925"/>
    <w:rsid w:val="245836A7"/>
    <w:rsid w:val="24661512"/>
    <w:rsid w:val="246B040E"/>
    <w:rsid w:val="24786622"/>
    <w:rsid w:val="247F1BFC"/>
    <w:rsid w:val="24FE4594"/>
    <w:rsid w:val="250C675E"/>
    <w:rsid w:val="251C38FE"/>
    <w:rsid w:val="251E6154"/>
    <w:rsid w:val="25761DD0"/>
    <w:rsid w:val="25A42DC0"/>
    <w:rsid w:val="25B84E4B"/>
    <w:rsid w:val="25C62D01"/>
    <w:rsid w:val="25CC5E57"/>
    <w:rsid w:val="25CF71A4"/>
    <w:rsid w:val="2602774C"/>
    <w:rsid w:val="26175D3C"/>
    <w:rsid w:val="261841F8"/>
    <w:rsid w:val="26675F9C"/>
    <w:rsid w:val="26687BC1"/>
    <w:rsid w:val="266D4FC8"/>
    <w:rsid w:val="270742FB"/>
    <w:rsid w:val="27323C04"/>
    <w:rsid w:val="27944151"/>
    <w:rsid w:val="27DE13CD"/>
    <w:rsid w:val="27DE7AF8"/>
    <w:rsid w:val="28061A88"/>
    <w:rsid w:val="285D136B"/>
    <w:rsid w:val="28964888"/>
    <w:rsid w:val="28D6709F"/>
    <w:rsid w:val="28F9256E"/>
    <w:rsid w:val="28FD0B24"/>
    <w:rsid w:val="291B6739"/>
    <w:rsid w:val="292D7338"/>
    <w:rsid w:val="29526988"/>
    <w:rsid w:val="296D689E"/>
    <w:rsid w:val="297D4346"/>
    <w:rsid w:val="29E26ED7"/>
    <w:rsid w:val="2A185AAA"/>
    <w:rsid w:val="2A2B053E"/>
    <w:rsid w:val="2AA62052"/>
    <w:rsid w:val="2AEF620D"/>
    <w:rsid w:val="2B004A03"/>
    <w:rsid w:val="2B667741"/>
    <w:rsid w:val="2B952DC9"/>
    <w:rsid w:val="2B9C7A00"/>
    <w:rsid w:val="2C1B65AB"/>
    <w:rsid w:val="2C266A13"/>
    <w:rsid w:val="2C2D5BE9"/>
    <w:rsid w:val="2C413F15"/>
    <w:rsid w:val="2C484ADF"/>
    <w:rsid w:val="2C863B0A"/>
    <w:rsid w:val="2D7711F4"/>
    <w:rsid w:val="2D7E5D38"/>
    <w:rsid w:val="2DB2412B"/>
    <w:rsid w:val="2DBA2C9C"/>
    <w:rsid w:val="2DFE1003"/>
    <w:rsid w:val="2E125EE8"/>
    <w:rsid w:val="2E127055"/>
    <w:rsid w:val="2E2D4431"/>
    <w:rsid w:val="2E636917"/>
    <w:rsid w:val="2E8D72B0"/>
    <w:rsid w:val="2E937434"/>
    <w:rsid w:val="2EDD13FD"/>
    <w:rsid w:val="2EF608E5"/>
    <w:rsid w:val="2EFF4609"/>
    <w:rsid w:val="2F4078ED"/>
    <w:rsid w:val="2F436126"/>
    <w:rsid w:val="2F5D2AAD"/>
    <w:rsid w:val="2F5F0DD2"/>
    <w:rsid w:val="2F895979"/>
    <w:rsid w:val="2F963B68"/>
    <w:rsid w:val="2FAF3FA5"/>
    <w:rsid w:val="2FB61835"/>
    <w:rsid w:val="2FE81203"/>
    <w:rsid w:val="30002233"/>
    <w:rsid w:val="301A49E7"/>
    <w:rsid w:val="304C2229"/>
    <w:rsid w:val="30891D2F"/>
    <w:rsid w:val="30AB434B"/>
    <w:rsid w:val="30B94BC4"/>
    <w:rsid w:val="30DD69AA"/>
    <w:rsid w:val="315F23CD"/>
    <w:rsid w:val="31D411F6"/>
    <w:rsid w:val="3216747E"/>
    <w:rsid w:val="324F10BD"/>
    <w:rsid w:val="3255427B"/>
    <w:rsid w:val="32E813AE"/>
    <w:rsid w:val="32F62F6C"/>
    <w:rsid w:val="32FF0698"/>
    <w:rsid w:val="33344C0B"/>
    <w:rsid w:val="33A30157"/>
    <w:rsid w:val="33BC0FA8"/>
    <w:rsid w:val="343217EE"/>
    <w:rsid w:val="34371F3F"/>
    <w:rsid w:val="34446958"/>
    <w:rsid w:val="344554F3"/>
    <w:rsid w:val="344E1E03"/>
    <w:rsid w:val="34592AF6"/>
    <w:rsid w:val="34CF7A80"/>
    <w:rsid w:val="34EB417E"/>
    <w:rsid w:val="3522609B"/>
    <w:rsid w:val="357445C6"/>
    <w:rsid w:val="358950ED"/>
    <w:rsid w:val="35AA2847"/>
    <w:rsid w:val="35BD038B"/>
    <w:rsid w:val="35C46A8B"/>
    <w:rsid w:val="35F57C0E"/>
    <w:rsid w:val="36121383"/>
    <w:rsid w:val="36190C78"/>
    <w:rsid w:val="36607590"/>
    <w:rsid w:val="36820561"/>
    <w:rsid w:val="36CD592E"/>
    <w:rsid w:val="36E62DA0"/>
    <w:rsid w:val="3747685D"/>
    <w:rsid w:val="375D844E"/>
    <w:rsid w:val="37C63DFA"/>
    <w:rsid w:val="38247311"/>
    <w:rsid w:val="383B3A62"/>
    <w:rsid w:val="383F05AD"/>
    <w:rsid w:val="388536F6"/>
    <w:rsid w:val="38AE3781"/>
    <w:rsid w:val="38DB6D55"/>
    <w:rsid w:val="38F47CA6"/>
    <w:rsid w:val="390A46C3"/>
    <w:rsid w:val="393775B4"/>
    <w:rsid w:val="3940552D"/>
    <w:rsid w:val="39452513"/>
    <w:rsid w:val="39830796"/>
    <w:rsid w:val="39942F29"/>
    <w:rsid w:val="39BE2D40"/>
    <w:rsid w:val="39E735EB"/>
    <w:rsid w:val="39FC04BC"/>
    <w:rsid w:val="3A2C5419"/>
    <w:rsid w:val="3A5B4EA8"/>
    <w:rsid w:val="3A5F60E2"/>
    <w:rsid w:val="3A766500"/>
    <w:rsid w:val="3A8E4210"/>
    <w:rsid w:val="3A9C475D"/>
    <w:rsid w:val="3AC31978"/>
    <w:rsid w:val="3AFB625F"/>
    <w:rsid w:val="3B091EF2"/>
    <w:rsid w:val="3B3310D4"/>
    <w:rsid w:val="3B882245"/>
    <w:rsid w:val="3BC14E56"/>
    <w:rsid w:val="3BCB389C"/>
    <w:rsid w:val="3BF87FC2"/>
    <w:rsid w:val="3BFE92E6"/>
    <w:rsid w:val="3C1F6E45"/>
    <w:rsid w:val="3C5D7628"/>
    <w:rsid w:val="3C7E08AD"/>
    <w:rsid w:val="3C8C47A8"/>
    <w:rsid w:val="3C925432"/>
    <w:rsid w:val="3CA774F5"/>
    <w:rsid w:val="3CAA50ED"/>
    <w:rsid w:val="3CD576EC"/>
    <w:rsid w:val="3CEE7F7E"/>
    <w:rsid w:val="3D4D580B"/>
    <w:rsid w:val="3D767E1F"/>
    <w:rsid w:val="3D982F80"/>
    <w:rsid w:val="3DB362DB"/>
    <w:rsid w:val="3DCF3C04"/>
    <w:rsid w:val="3DF84D4A"/>
    <w:rsid w:val="3DFD758E"/>
    <w:rsid w:val="3E971C2C"/>
    <w:rsid w:val="3EBF4761"/>
    <w:rsid w:val="3ED87201"/>
    <w:rsid w:val="3EE02645"/>
    <w:rsid w:val="3EF35958"/>
    <w:rsid w:val="3EF83F8F"/>
    <w:rsid w:val="3F3123B0"/>
    <w:rsid w:val="3F4C3C76"/>
    <w:rsid w:val="3F5A6BDC"/>
    <w:rsid w:val="3F72FB8E"/>
    <w:rsid w:val="3F857BF7"/>
    <w:rsid w:val="3FB80B02"/>
    <w:rsid w:val="3FCF87E2"/>
    <w:rsid w:val="3FE4F30A"/>
    <w:rsid w:val="3FEA7C05"/>
    <w:rsid w:val="3FED7CA3"/>
    <w:rsid w:val="3FFDE92B"/>
    <w:rsid w:val="401671AA"/>
    <w:rsid w:val="408E2BEB"/>
    <w:rsid w:val="40934335"/>
    <w:rsid w:val="40B225AE"/>
    <w:rsid w:val="40C800AC"/>
    <w:rsid w:val="40E404D8"/>
    <w:rsid w:val="411A31F7"/>
    <w:rsid w:val="416B6FE1"/>
    <w:rsid w:val="41FE0CE6"/>
    <w:rsid w:val="42127509"/>
    <w:rsid w:val="42134965"/>
    <w:rsid w:val="42A725A6"/>
    <w:rsid w:val="42BB7FAC"/>
    <w:rsid w:val="42D22654"/>
    <w:rsid w:val="43427F96"/>
    <w:rsid w:val="43DD6659"/>
    <w:rsid w:val="43F00A88"/>
    <w:rsid w:val="440C1A62"/>
    <w:rsid w:val="441F27E8"/>
    <w:rsid w:val="442E6626"/>
    <w:rsid w:val="44AF72AA"/>
    <w:rsid w:val="453F6242"/>
    <w:rsid w:val="45410BEF"/>
    <w:rsid w:val="454D3391"/>
    <w:rsid w:val="457202BD"/>
    <w:rsid w:val="45980D6F"/>
    <w:rsid w:val="45995097"/>
    <w:rsid w:val="45B07BCD"/>
    <w:rsid w:val="45B15AFC"/>
    <w:rsid w:val="45D65E43"/>
    <w:rsid w:val="45F13BAE"/>
    <w:rsid w:val="45FEEC7A"/>
    <w:rsid w:val="46087030"/>
    <w:rsid w:val="46327DEB"/>
    <w:rsid w:val="46431B5C"/>
    <w:rsid w:val="465034C7"/>
    <w:rsid w:val="466677DA"/>
    <w:rsid w:val="46685015"/>
    <w:rsid w:val="467D76E6"/>
    <w:rsid w:val="46CE74F7"/>
    <w:rsid w:val="47586DE9"/>
    <w:rsid w:val="47AA4550"/>
    <w:rsid w:val="47AE2D1A"/>
    <w:rsid w:val="47D83DA2"/>
    <w:rsid w:val="483779F8"/>
    <w:rsid w:val="4841622C"/>
    <w:rsid w:val="48A94735"/>
    <w:rsid w:val="495A275A"/>
    <w:rsid w:val="4966280A"/>
    <w:rsid w:val="497046E6"/>
    <w:rsid w:val="499D6C40"/>
    <w:rsid w:val="49A04D73"/>
    <w:rsid w:val="49E40A38"/>
    <w:rsid w:val="49F62F02"/>
    <w:rsid w:val="49F83792"/>
    <w:rsid w:val="4AA449D8"/>
    <w:rsid w:val="4AE740B0"/>
    <w:rsid w:val="4AED00BD"/>
    <w:rsid w:val="4B4C0B57"/>
    <w:rsid w:val="4BB739C4"/>
    <w:rsid w:val="4C0A41FE"/>
    <w:rsid w:val="4C544D34"/>
    <w:rsid w:val="4D434595"/>
    <w:rsid w:val="4D4A1762"/>
    <w:rsid w:val="4D750090"/>
    <w:rsid w:val="4D9B160E"/>
    <w:rsid w:val="4DB847AB"/>
    <w:rsid w:val="4DC5726B"/>
    <w:rsid w:val="4DEE2383"/>
    <w:rsid w:val="4E180AAD"/>
    <w:rsid w:val="4E3D5C6A"/>
    <w:rsid w:val="4E401BA3"/>
    <w:rsid w:val="4E744B01"/>
    <w:rsid w:val="4EEA5B73"/>
    <w:rsid w:val="4EEB1428"/>
    <w:rsid w:val="4F150B43"/>
    <w:rsid w:val="4F1D6068"/>
    <w:rsid w:val="4F311BAF"/>
    <w:rsid w:val="4F5376AB"/>
    <w:rsid w:val="4F7F1927"/>
    <w:rsid w:val="4FB753CF"/>
    <w:rsid w:val="4FCD5443"/>
    <w:rsid w:val="4FEF641E"/>
    <w:rsid w:val="50316C0A"/>
    <w:rsid w:val="5069215F"/>
    <w:rsid w:val="50775897"/>
    <w:rsid w:val="50A1408A"/>
    <w:rsid w:val="50AC2D0F"/>
    <w:rsid w:val="50B204D7"/>
    <w:rsid w:val="50CB6BAB"/>
    <w:rsid w:val="51060167"/>
    <w:rsid w:val="51257538"/>
    <w:rsid w:val="5144716F"/>
    <w:rsid w:val="51975976"/>
    <w:rsid w:val="520B7E90"/>
    <w:rsid w:val="52280045"/>
    <w:rsid w:val="525F00E3"/>
    <w:rsid w:val="527C456F"/>
    <w:rsid w:val="52993572"/>
    <w:rsid w:val="52C94A24"/>
    <w:rsid w:val="52E577DB"/>
    <w:rsid w:val="531B02FB"/>
    <w:rsid w:val="531C4BE8"/>
    <w:rsid w:val="536A1860"/>
    <w:rsid w:val="539C678F"/>
    <w:rsid w:val="539E2F31"/>
    <w:rsid w:val="53AC44AB"/>
    <w:rsid w:val="53DE2EAE"/>
    <w:rsid w:val="53DE689E"/>
    <w:rsid w:val="542820A7"/>
    <w:rsid w:val="54493BC0"/>
    <w:rsid w:val="545C4A7B"/>
    <w:rsid w:val="546623FD"/>
    <w:rsid w:val="54CE491A"/>
    <w:rsid w:val="54F91522"/>
    <w:rsid w:val="550A5A6C"/>
    <w:rsid w:val="552E27A5"/>
    <w:rsid w:val="556C4F7B"/>
    <w:rsid w:val="56160AE4"/>
    <w:rsid w:val="564E228B"/>
    <w:rsid w:val="56A61FE8"/>
    <w:rsid w:val="56A70057"/>
    <w:rsid w:val="56C41FE1"/>
    <w:rsid w:val="56CF3B57"/>
    <w:rsid w:val="56DB676E"/>
    <w:rsid w:val="56EF0626"/>
    <w:rsid w:val="5707272C"/>
    <w:rsid w:val="57323AEE"/>
    <w:rsid w:val="573937E1"/>
    <w:rsid w:val="57675951"/>
    <w:rsid w:val="579328B7"/>
    <w:rsid w:val="57A83FB3"/>
    <w:rsid w:val="57AE0D7D"/>
    <w:rsid w:val="57B6441C"/>
    <w:rsid w:val="580876A4"/>
    <w:rsid w:val="58432E17"/>
    <w:rsid w:val="58576E0C"/>
    <w:rsid w:val="586100EB"/>
    <w:rsid w:val="58A77221"/>
    <w:rsid w:val="58D42924"/>
    <w:rsid w:val="58D75F64"/>
    <w:rsid w:val="58DE6357"/>
    <w:rsid w:val="59151653"/>
    <w:rsid w:val="59155C76"/>
    <w:rsid w:val="593B2FB5"/>
    <w:rsid w:val="596155CD"/>
    <w:rsid w:val="597619CB"/>
    <w:rsid w:val="5A3D527E"/>
    <w:rsid w:val="5A4C209B"/>
    <w:rsid w:val="5A5D00D0"/>
    <w:rsid w:val="5A9B0EC0"/>
    <w:rsid w:val="5AF202DB"/>
    <w:rsid w:val="5AF36B25"/>
    <w:rsid w:val="5B1C4FC1"/>
    <w:rsid w:val="5B5F8D84"/>
    <w:rsid w:val="5B7E99B1"/>
    <w:rsid w:val="5BB160B9"/>
    <w:rsid w:val="5BBC5FA1"/>
    <w:rsid w:val="5BC17349"/>
    <w:rsid w:val="5BEF5BA4"/>
    <w:rsid w:val="5C03659B"/>
    <w:rsid w:val="5C1944E7"/>
    <w:rsid w:val="5C476A03"/>
    <w:rsid w:val="5C701DAF"/>
    <w:rsid w:val="5CC003C5"/>
    <w:rsid w:val="5CC03254"/>
    <w:rsid w:val="5CD36FB4"/>
    <w:rsid w:val="5CEA675A"/>
    <w:rsid w:val="5D443C68"/>
    <w:rsid w:val="5D4F69A5"/>
    <w:rsid w:val="5D5B032C"/>
    <w:rsid w:val="5D845F7E"/>
    <w:rsid w:val="5D852A13"/>
    <w:rsid w:val="5E6F2728"/>
    <w:rsid w:val="5E8500B8"/>
    <w:rsid w:val="5EAA3A0A"/>
    <w:rsid w:val="5EDF2B36"/>
    <w:rsid w:val="5F16422C"/>
    <w:rsid w:val="5F186462"/>
    <w:rsid w:val="5F283E0F"/>
    <w:rsid w:val="5F363017"/>
    <w:rsid w:val="5F396915"/>
    <w:rsid w:val="602521ED"/>
    <w:rsid w:val="60293898"/>
    <w:rsid w:val="603E5B2B"/>
    <w:rsid w:val="606A4797"/>
    <w:rsid w:val="60A02D1C"/>
    <w:rsid w:val="60E9232C"/>
    <w:rsid w:val="61164DA4"/>
    <w:rsid w:val="6154274D"/>
    <w:rsid w:val="619C127E"/>
    <w:rsid w:val="61E2013C"/>
    <w:rsid w:val="61EE3D90"/>
    <w:rsid w:val="62367FF4"/>
    <w:rsid w:val="62464D15"/>
    <w:rsid w:val="62663B03"/>
    <w:rsid w:val="628F52BA"/>
    <w:rsid w:val="62B742C2"/>
    <w:rsid w:val="62D95169"/>
    <w:rsid w:val="62EB0B21"/>
    <w:rsid w:val="633036EE"/>
    <w:rsid w:val="63A56B8C"/>
    <w:rsid w:val="63B81771"/>
    <w:rsid w:val="63C4604E"/>
    <w:rsid w:val="63CD2F02"/>
    <w:rsid w:val="640B490F"/>
    <w:rsid w:val="64282A7D"/>
    <w:rsid w:val="642C1B5F"/>
    <w:rsid w:val="644867EA"/>
    <w:rsid w:val="645F5F1F"/>
    <w:rsid w:val="66124ABB"/>
    <w:rsid w:val="6655583A"/>
    <w:rsid w:val="66782B50"/>
    <w:rsid w:val="66797031"/>
    <w:rsid w:val="668E6D55"/>
    <w:rsid w:val="66B62AAF"/>
    <w:rsid w:val="66B63F0F"/>
    <w:rsid w:val="67171FE6"/>
    <w:rsid w:val="67365440"/>
    <w:rsid w:val="677C10DD"/>
    <w:rsid w:val="67AA26A2"/>
    <w:rsid w:val="67AF2C39"/>
    <w:rsid w:val="68702643"/>
    <w:rsid w:val="687A4C34"/>
    <w:rsid w:val="687C1128"/>
    <w:rsid w:val="68A64087"/>
    <w:rsid w:val="68D9613A"/>
    <w:rsid w:val="69296815"/>
    <w:rsid w:val="69740BF3"/>
    <w:rsid w:val="697A1AE8"/>
    <w:rsid w:val="69852D69"/>
    <w:rsid w:val="69CD5350"/>
    <w:rsid w:val="69E96E42"/>
    <w:rsid w:val="69EF5E36"/>
    <w:rsid w:val="69F10A19"/>
    <w:rsid w:val="6A0E2CAA"/>
    <w:rsid w:val="6A312F47"/>
    <w:rsid w:val="6A541877"/>
    <w:rsid w:val="6A5B0688"/>
    <w:rsid w:val="6A6D435E"/>
    <w:rsid w:val="6A9768D5"/>
    <w:rsid w:val="6B416891"/>
    <w:rsid w:val="6B730ADB"/>
    <w:rsid w:val="6B973F54"/>
    <w:rsid w:val="6BB82F93"/>
    <w:rsid w:val="6BC81445"/>
    <w:rsid w:val="6BE66DBF"/>
    <w:rsid w:val="6BFC559A"/>
    <w:rsid w:val="6C735685"/>
    <w:rsid w:val="6C907842"/>
    <w:rsid w:val="6CA12127"/>
    <w:rsid w:val="6CE74ADB"/>
    <w:rsid w:val="6D0A1AB7"/>
    <w:rsid w:val="6D23490B"/>
    <w:rsid w:val="6D2D2F65"/>
    <w:rsid w:val="6D6D126F"/>
    <w:rsid w:val="6D7F079A"/>
    <w:rsid w:val="6D7F0B21"/>
    <w:rsid w:val="6D89420F"/>
    <w:rsid w:val="6DA51B0D"/>
    <w:rsid w:val="6DE425DD"/>
    <w:rsid w:val="6DFF493C"/>
    <w:rsid w:val="6E1E0067"/>
    <w:rsid w:val="6E3103DE"/>
    <w:rsid w:val="6E9F7D57"/>
    <w:rsid w:val="6EFC2E3B"/>
    <w:rsid w:val="6F2D403A"/>
    <w:rsid w:val="6F686B2C"/>
    <w:rsid w:val="6F95430A"/>
    <w:rsid w:val="6FAF9792"/>
    <w:rsid w:val="6FCB6674"/>
    <w:rsid w:val="6FDA1680"/>
    <w:rsid w:val="6FDF92CE"/>
    <w:rsid w:val="6FED039D"/>
    <w:rsid w:val="6FEE0A49"/>
    <w:rsid w:val="6FF62692"/>
    <w:rsid w:val="6FFB20AD"/>
    <w:rsid w:val="6FFE7D7E"/>
    <w:rsid w:val="703F39D2"/>
    <w:rsid w:val="706A2D4C"/>
    <w:rsid w:val="70954FF6"/>
    <w:rsid w:val="70E456DE"/>
    <w:rsid w:val="70EA4B85"/>
    <w:rsid w:val="70EB2596"/>
    <w:rsid w:val="71200E30"/>
    <w:rsid w:val="71296B94"/>
    <w:rsid w:val="71537B1E"/>
    <w:rsid w:val="71826C7B"/>
    <w:rsid w:val="718568D4"/>
    <w:rsid w:val="719271D0"/>
    <w:rsid w:val="71DF59C4"/>
    <w:rsid w:val="723914B4"/>
    <w:rsid w:val="72BC7438"/>
    <w:rsid w:val="72C826B7"/>
    <w:rsid w:val="72D60E3E"/>
    <w:rsid w:val="72EA3CA9"/>
    <w:rsid w:val="73180AD2"/>
    <w:rsid w:val="7353633E"/>
    <w:rsid w:val="737E14FB"/>
    <w:rsid w:val="73954CE5"/>
    <w:rsid w:val="73A77236"/>
    <w:rsid w:val="73B76B14"/>
    <w:rsid w:val="73CE05C8"/>
    <w:rsid w:val="74027120"/>
    <w:rsid w:val="7440414A"/>
    <w:rsid w:val="74597322"/>
    <w:rsid w:val="74B37547"/>
    <w:rsid w:val="74EBB814"/>
    <w:rsid w:val="74F42793"/>
    <w:rsid w:val="75092ABC"/>
    <w:rsid w:val="750D7E98"/>
    <w:rsid w:val="751F5C31"/>
    <w:rsid w:val="75499311"/>
    <w:rsid w:val="756E67ED"/>
    <w:rsid w:val="75B118FB"/>
    <w:rsid w:val="75FB5E58"/>
    <w:rsid w:val="76117975"/>
    <w:rsid w:val="7632520E"/>
    <w:rsid w:val="765615F1"/>
    <w:rsid w:val="76622199"/>
    <w:rsid w:val="76712296"/>
    <w:rsid w:val="767652A8"/>
    <w:rsid w:val="76A82910"/>
    <w:rsid w:val="76E807EC"/>
    <w:rsid w:val="76FD7797"/>
    <w:rsid w:val="77192D56"/>
    <w:rsid w:val="777079AD"/>
    <w:rsid w:val="77DFB228"/>
    <w:rsid w:val="77F932E0"/>
    <w:rsid w:val="78646262"/>
    <w:rsid w:val="78874BB4"/>
    <w:rsid w:val="78946A6F"/>
    <w:rsid w:val="78CF4C8A"/>
    <w:rsid w:val="78CF590A"/>
    <w:rsid w:val="7913706C"/>
    <w:rsid w:val="794B7D9C"/>
    <w:rsid w:val="799338DA"/>
    <w:rsid w:val="799C6B9D"/>
    <w:rsid w:val="799F3238"/>
    <w:rsid w:val="79BD41C2"/>
    <w:rsid w:val="7A3B36A9"/>
    <w:rsid w:val="7A401A3A"/>
    <w:rsid w:val="7A611CBD"/>
    <w:rsid w:val="7AD061B2"/>
    <w:rsid w:val="7AE918CD"/>
    <w:rsid w:val="7B3303F3"/>
    <w:rsid w:val="7B6833E5"/>
    <w:rsid w:val="7B9D0E88"/>
    <w:rsid w:val="7BE17CCF"/>
    <w:rsid w:val="7BFBA993"/>
    <w:rsid w:val="7BFBAB29"/>
    <w:rsid w:val="7C10559B"/>
    <w:rsid w:val="7C3471C4"/>
    <w:rsid w:val="7D033001"/>
    <w:rsid w:val="7D500092"/>
    <w:rsid w:val="7D584CA2"/>
    <w:rsid w:val="7D5C3245"/>
    <w:rsid w:val="7D6925E9"/>
    <w:rsid w:val="7D6F453F"/>
    <w:rsid w:val="7DCB1578"/>
    <w:rsid w:val="7DFB7239"/>
    <w:rsid w:val="7DFD5226"/>
    <w:rsid w:val="7E1D7FA5"/>
    <w:rsid w:val="7E2969CB"/>
    <w:rsid w:val="7E3A1FB9"/>
    <w:rsid w:val="7E515F86"/>
    <w:rsid w:val="7E5B2F60"/>
    <w:rsid w:val="7ECD4EAB"/>
    <w:rsid w:val="7ED43DD4"/>
    <w:rsid w:val="7F023C68"/>
    <w:rsid w:val="7F027446"/>
    <w:rsid w:val="7F104911"/>
    <w:rsid w:val="7F3C5DB2"/>
    <w:rsid w:val="7F50607E"/>
    <w:rsid w:val="7F5724B5"/>
    <w:rsid w:val="7F5E96C4"/>
    <w:rsid w:val="7F73122C"/>
    <w:rsid w:val="7F7F9C3C"/>
    <w:rsid w:val="7F854EFC"/>
    <w:rsid w:val="7F8963F8"/>
    <w:rsid w:val="7FBF5E51"/>
    <w:rsid w:val="7FD2F7DB"/>
    <w:rsid w:val="7FF65F05"/>
    <w:rsid w:val="7FFC03A8"/>
    <w:rsid w:val="7FFDD5E0"/>
    <w:rsid w:val="7FFFD2A8"/>
    <w:rsid w:val="97BF568E"/>
    <w:rsid w:val="97FF0C9B"/>
    <w:rsid w:val="A65BFCF2"/>
    <w:rsid w:val="AD3F6BA7"/>
    <w:rsid w:val="AEBF24CF"/>
    <w:rsid w:val="BEFEAF53"/>
    <w:rsid w:val="BF9B9E8B"/>
    <w:rsid w:val="BFEF0A90"/>
    <w:rsid w:val="BFFB8A96"/>
    <w:rsid w:val="BFFBC8E2"/>
    <w:rsid w:val="CF5FAA61"/>
    <w:rsid w:val="CFFDE188"/>
    <w:rsid w:val="D779509E"/>
    <w:rsid w:val="DAE98030"/>
    <w:rsid w:val="DBFC2DAC"/>
    <w:rsid w:val="DEF79C17"/>
    <w:rsid w:val="DFFD4476"/>
    <w:rsid w:val="E3F31B5A"/>
    <w:rsid w:val="E77FB029"/>
    <w:rsid w:val="E7FF7D65"/>
    <w:rsid w:val="E7FFFCB9"/>
    <w:rsid w:val="EBFB0AF1"/>
    <w:rsid w:val="ECFE597C"/>
    <w:rsid w:val="EEC5936D"/>
    <w:rsid w:val="EF7F6E0E"/>
    <w:rsid w:val="EFAFA580"/>
    <w:rsid w:val="EFE31AD5"/>
    <w:rsid w:val="EFF7C251"/>
    <w:rsid w:val="EFFC0CE8"/>
    <w:rsid w:val="F5F6466D"/>
    <w:rsid w:val="F77EABDF"/>
    <w:rsid w:val="FAE43EF2"/>
    <w:rsid w:val="FAFF6502"/>
    <w:rsid w:val="FC963BD8"/>
    <w:rsid w:val="FDE81FC7"/>
    <w:rsid w:val="FDFF782F"/>
    <w:rsid w:val="FEBF9360"/>
    <w:rsid w:val="FEC0D99D"/>
    <w:rsid w:val="FECF7BEC"/>
    <w:rsid w:val="FF075838"/>
    <w:rsid w:val="FF5F9900"/>
    <w:rsid w:val="FFDFC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qFormat/>
    <w:uiPriority w:val="0"/>
    <w:pPr>
      <w:widowControl w:val="0"/>
      <w:autoSpaceDE w:val="0"/>
      <w:autoSpaceDN w:val="0"/>
      <w:ind w:left="860"/>
      <w:outlineLvl w:val="0"/>
    </w:pPr>
    <w:rPr>
      <w:rFonts w:ascii="微软雅黑" w:hAnsi="微软雅黑" w:eastAsia="微软雅黑" w:cs="微软雅黑"/>
      <w:b/>
      <w:bCs/>
      <w:sz w:val="32"/>
      <w:szCs w:val="32"/>
    </w:rPr>
  </w:style>
  <w:style w:type="paragraph" w:styleId="4">
    <w:name w:val="heading 2"/>
    <w:basedOn w:val="1"/>
    <w:next w:val="1"/>
    <w:unhideWhenUsed/>
    <w:qFormat/>
    <w:uiPriority w:val="0"/>
    <w:pPr>
      <w:keepNext/>
      <w:keepLines/>
      <w:widowControl w:val="0"/>
      <w:autoSpaceDE w:val="0"/>
      <w:autoSpaceDN w:val="0"/>
      <w:spacing w:before="260" w:after="260" w:line="416" w:lineRule="auto"/>
      <w:outlineLvl w:val="1"/>
    </w:pPr>
    <w:rPr>
      <w:rFonts w:ascii="Arial" w:hAnsi="Arial" w:eastAsia="黑体"/>
      <w:b/>
      <w:bCs/>
      <w:sz w:val="32"/>
      <w:szCs w:val="32"/>
    </w:rPr>
  </w:style>
  <w:style w:type="paragraph" w:styleId="5">
    <w:name w:val="heading 3"/>
    <w:basedOn w:val="1"/>
    <w:next w:val="1"/>
    <w:unhideWhenUsed/>
    <w:qFormat/>
    <w:uiPriority w:val="0"/>
    <w:pPr>
      <w:widowControl w:val="0"/>
      <w:autoSpaceDE w:val="0"/>
      <w:autoSpaceDN w:val="0"/>
      <w:ind w:left="1093"/>
      <w:outlineLvl w:val="2"/>
    </w:pPr>
    <w:rPr>
      <w:rFonts w:ascii="微软雅黑" w:hAnsi="微软雅黑" w:eastAsia="微软雅黑" w:cs="微软雅黑"/>
      <w:b/>
      <w:bCs/>
      <w:sz w:val="28"/>
      <w:szCs w:val="28"/>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autoSpaceDE w:val="0"/>
      <w:autoSpaceDN w:val="0"/>
      <w:spacing w:before="190"/>
      <w:ind w:left="220"/>
    </w:pPr>
    <w:rPr>
      <w:sz w:val="32"/>
      <w:szCs w:val="32"/>
    </w:rPr>
  </w:style>
  <w:style w:type="paragraph" w:styleId="6">
    <w:name w:val="annotation text"/>
    <w:basedOn w:val="1"/>
    <w:link w:val="29"/>
    <w:qFormat/>
    <w:uiPriority w:val="0"/>
  </w:style>
  <w:style w:type="paragraph" w:styleId="7">
    <w:name w:val="toc 3"/>
    <w:basedOn w:val="1"/>
    <w:next w:val="1"/>
    <w:qFormat/>
    <w:uiPriority w:val="0"/>
    <w:pPr>
      <w:ind w:left="840" w:leftChars="400"/>
    </w:pPr>
  </w:style>
  <w:style w:type="paragraph" w:styleId="8">
    <w:name w:val="footer"/>
    <w:basedOn w:val="1"/>
    <w:qFormat/>
    <w:uiPriority w:val="0"/>
    <w:pPr>
      <w:widowControl w:val="0"/>
      <w:tabs>
        <w:tab w:val="center" w:pos="4153"/>
        <w:tab w:val="right" w:pos="8306"/>
      </w:tabs>
      <w:autoSpaceDE w:val="0"/>
      <w:autoSpaceDN w:val="0"/>
      <w:snapToGrid w:val="0"/>
    </w:pPr>
    <w:rPr>
      <w:sz w:val="18"/>
      <w:szCs w:val="22"/>
    </w:rPr>
  </w:style>
  <w:style w:type="paragraph" w:styleId="9">
    <w:name w:val="header"/>
    <w:basedOn w:val="1"/>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autoSpaceDE w:val="0"/>
      <w:autoSpaceDN w:val="0"/>
      <w:snapToGrid w:val="0"/>
      <w:jc w:val="both"/>
    </w:pPr>
    <w:rPr>
      <w:rFonts w:ascii="DejaVu Sans" w:hAnsi="DejaVu Sans"/>
      <w:sz w:val="18"/>
      <w:szCs w:val="22"/>
    </w:rPr>
  </w:style>
  <w:style w:type="paragraph" w:styleId="10">
    <w:name w:val="toc 1"/>
    <w:basedOn w:val="1"/>
    <w:next w:val="1"/>
    <w:qFormat/>
    <w:uiPriority w:val="0"/>
    <w:pPr>
      <w:widowControl w:val="0"/>
      <w:autoSpaceDE w:val="0"/>
      <w:autoSpaceDN w:val="0"/>
      <w:spacing w:before="119"/>
      <w:ind w:left="220"/>
    </w:pPr>
    <w:rPr>
      <w:rFonts w:ascii="微软雅黑" w:hAnsi="微软雅黑" w:eastAsia="微软雅黑" w:cs="微软雅黑"/>
      <w:b/>
      <w:bCs/>
      <w:sz w:val="20"/>
      <w:szCs w:val="20"/>
    </w:rPr>
  </w:style>
  <w:style w:type="paragraph" w:styleId="11">
    <w:name w:val="toc 2"/>
    <w:basedOn w:val="1"/>
    <w:next w:val="1"/>
    <w:qFormat/>
    <w:uiPriority w:val="0"/>
    <w:pPr>
      <w:widowControl w:val="0"/>
      <w:autoSpaceDE w:val="0"/>
      <w:autoSpaceDN w:val="0"/>
      <w:spacing w:before="183"/>
      <w:ind w:left="779"/>
    </w:pPr>
    <w:rPr>
      <w:sz w:val="20"/>
      <w:szCs w:val="20"/>
    </w:rPr>
  </w:style>
  <w:style w:type="paragraph" w:styleId="12">
    <w:name w:val="Normal (Web)"/>
    <w:basedOn w:val="1"/>
    <w:unhideWhenUsed/>
    <w:qFormat/>
    <w:uiPriority w:val="99"/>
    <w:pPr>
      <w:spacing w:before="100" w:beforeAutospacing="1" w:after="100" w:afterAutospacing="1"/>
    </w:pPr>
  </w:style>
  <w:style w:type="paragraph" w:styleId="13">
    <w:name w:val="Title"/>
    <w:basedOn w:val="1"/>
    <w:qFormat/>
    <w:uiPriority w:val="0"/>
    <w:pPr>
      <w:widowControl w:val="0"/>
      <w:autoSpaceDE w:val="0"/>
      <w:autoSpaceDN w:val="0"/>
      <w:spacing w:before="21"/>
      <w:ind w:left="1964" w:right="784" w:hanging="1282"/>
    </w:pPr>
    <w:rPr>
      <w:rFonts w:ascii="黑体" w:hAnsi="黑体" w:eastAsia="黑体" w:cs="黑体"/>
      <w:b/>
      <w:bCs/>
      <w:sz w:val="56"/>
      <w:szCs w:val="56"/>
    </w:rPr>
  </w:style>
  <w:style w:type="paragraph" w:styleId="14">
    <w:name w:val="annotation subject"/>
    <w:basedOn w:val="6"/>
    <w:next w:val="6"/>
    <w:link w:val="30"/>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qFormat/>
    <w:uiPriority w:val="0"/>
    <w:rPr>
      <w:color w:val="800080"/>
      <w:u w:val="single"/>
    </w:rPr>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paragraph" w:customStyle="1" w:styleId="21">
    <w:name w:val="列表段落1"/>
    <w:basedOn w:val="1"/>
    <w:qFormat/>
    <w:uiPriority w:val="1"/>
    <w:pPr>
      <w:widowControl w:val="0"/>
      <w:autoSpaceDE w:val="0"/>
      <w:autoSpaceDN w:val="0"/>
      <w:spacing w:before="190"/>
      <w:ind w:left="1182" w:hanging="323"/>
    </w:pPr>
    <w:rPr>
      <w:sz w:val="22"/>
      <w:szCs w:val="22"/>
    </w:rPr>
  </w:style>
  <w:style w:type="paragraph" w:customStyle="1" w:styleId="22">
    <w:name w:val="Table Paragraph"/>
    <w:basedOn w:val="1"/>
    <w:qFormat/>
    <w:uiPriority w:val="1"/>
    <w:pPr>
      <w:widowControl w:val="0"/>
      <w:autoSpaceDE w:val="0"/>
      <w:autoSpaceDN w:val="0"/>
    </w:pPr>
    <w:rPr>
      <w:sz w:val="22"/>
      <w:szCs w:val="22"/>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6">
    <w:name w:val="列出段落1"/>
    <w:basedOn w:val="1"/>
    <w:qFormat/>
    <w:uiPriority w:val="34"/>
    <w:pPr>
      <w:widowControl w:val="0"/>
      <w:autoSpaceDE w:val="0"/>
      <w:autoSpaceDN w:val="0"/>
      <w:ind w:firstLine="420" w:firstLineChars="200"/>
    </w:pPr>
    <w:rPr>
      <w:sz w:val="22"/>
      <w:szCs w:val="22"/>
    </w:rPr>
  </w:style>
  <w:style w:type="character" w:customStyle="1" w:styleId="27">
    <w:name w:val="apple-converted-space"/>
    <w:basedOn w:val="17"/>
    <w:qFormat/>
    <w:uiPriority w:val="0"/>
  </w:style>
  <w:style w:type="paragraph" w:customStyle="1" w:styleId="28">
    <w:name w:val="List Paragraph"/>
    <w:basedOn w:val="1"/>
    <w:qFormat/>
    <w:uiPriority w:val="99"/>
    <w:pPr>
      <w:widowControl w:val="0"/>
      <w:autoSpaceDE w:val="0"/>
      <w:autoSpaceDN w:val="0"/>
      <w:ind w:firstLine="420" w:firstLineChars="200"/>
    </w:pPr>
    <w:rPr>
      <w:sz w:val="22"/>
      <w:szCs w:val="22"/>
    </w:rPr>
  </w:style>
  <w:style w:type="character" w:customStyle="1" w:styleId="29">
    <w:name w:val="批注文字 字符"/>
    <w:basedOn w:val="17"/>
    <w:link w:val="6"/>
    <w:qFormat/>
    <w:uiPriority w:val="0"/>
    <w:rPr>
      <w:rFonts w:ascii="宋体" w:hAnsi="宋体" w:cs="宋体"/>
      <w:sz w:val="24"/>
      <w:szCs w:val="24"/>
    </w:rPr>
  </w:style>
  <w:style w:type="character" w:customStyle="1" w:styleId="30">
    <w:name w:val="批注主题 字符"/>
    <w:basedOn w:val="29"/>
    <w:link w:val="14"/>
    <w:qFormat/>
    <w:uiPriority w:val="0"/>
    <w:rPr>
      <w:rFonts w:ascii="宋体" w:hAnsi="宋体" w:cs="宋体"/>
      <w:b/>
      <w:bCs/>
      <w:sz w:val="24"/>
      <w:szCs w:val="24"/>
    </w:rPr>
  </w:style>
  <w:style w:type="character" w:customStyle="1" w:styleId="31">
    <w:name w:val="font11"/>
    <w:basedOn w:val="17"/>
    <w:qFormat/>
    <w:uiPriority w:val="0"/>
    <w:rPr>
      <w:rFonts w:hint="default" w:ascii="仿宋_GB2312" w:eastAsia="仿宋_GB2312" w:cs="仿宋_GB2312"/>
      <w:color w:val="000000"/>
      <w:sz w:val="24"/>
      <w:szCs w:val="24"/>
      <w:u w:val="none"/>
    </w:rPr>
  </w:style>
  <w:style w:type="character" w:customStyle="1" w:styleId="32">
    <w:name w:val="font01"/>
    <w:basedOn w:val="1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20793</Words>
  <Characters>22352</Characters>
  <Lines>226</Lines>
  <Paragraphs>63</Paragraphs>
  <TotalTime>3</TotalTime>
  <ScaleCrop>false</ScaleCrop>
  <LinksUpToDate>false</LinksUpToDate>
  <CharactersWithSpaces>24541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2021-07-29T07:54:00Z</dcterms:created>
  <dc:creator>michaelzhang</dc:creator>
  <cp:lastModifiedBy>℉™</cp:lastModifiedBy>
  <dcterms:modified xsi:type="dcterms:W3CDTF">2022-10-31T01:37:10Z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8569F57E886743CFBF8F065686E960A4</vt:lpwstr>
  </property>
</Properties>
</file>