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spacing w:before="0" w:line="360" w:lineRule="auto"/>
        <w:ind w:left="0" w:right="0" w:firstLine="0"/>
        <w:jc w:val="center"/>
        <w:rPr>
          <w:rFonts w:hint="eastAsia" w:ascii="楷体" w:hAnsi="楷体" w:eastAsia="楷体" w:cs="楷体"/>
          <w:sz w:val="36"/>
          <w:szCs w:val="36"/>
          <w:highlight w:val="none"/>
        </w:rPr>
      </w:pPr>
    </w:p>
    <w:p>
      <w:pPr>
        <w:jc w:val="center"/>
        <w:rPr>
          <w:rFonts w:hint="eastAsia" w:ascii="楷体" w:hAnsi="楷体" w:eastAsia="楷体" w:cs="楷体"/>
          <w:b/>
          <w:color w:val="auto"/>
          <w:sz w:val="36"/>
          <w:szCs w:val="36"/>
          <w:highlight w:val="none"/>
          <w:lang w:val="en-US" w:eastAsia="zh-CN"/>
        </w:rPr>
      </w:pPr>
      <w:r>
        <w:rPr>
          <w:rFonts w:hint="eastAsia" w:ascii="楷体" w:hAnsi="楷体" w:eastAsia="楷体" w:cs="楷体"/>
          <w:b/>
          <w:color w:val="auto"/>
          <w:sz w:val="36"/>
          <w:szCs w:val="36"/>
          <w:highlight w:val="none"/>
        </w:rPr>
        <w:t>铜川市</w:t>
      </w:r>
      <w:r>
        <w:rPr>
          <w:rFonts w:hint="eastAsia" w:ascii="楷体" w:hAnsi="楷体" w:eastAsia="楷体" w:cs="楷体"/>
          <w:b/>
          <w:color w:val="auto"/>
          <w:sz w:val="36"/>
          <w:szCs w:val="36"/>
          <w:highlight w:val="none"/>
          <w:lang w:val="en-US" w:eastAsia="zh-CN"/>
        </w:rPr>
        <w:t>新区2021年度住房建设和交通运输局</w:t>
      </w:r>
    </w:p>
    <w:p>
      <w:pPr>
        <w:jc w:val="center"/>
        <w:rPr>
          <w:rFonts w:hint="default" w:ascii="楷体" w:hAnsi="楷体" w:eastAsia="楷体" w:cs="楷体"/>
          <w:b/>
          <w:color w:val="auto"/>
          <w:sz w:val="36"/>
          <w:szCs w:val="36"/>
          <w:highlight w:val="none"/>
          <w:lang w:val="en-US" w:eastAsia="zh-CN"/>
        </w:rPr>
      </w:pPr>
      <w:r>
        <w:rPr>
          <w:rFonts w:hint="eastAsia" w:ascii="楷体" w:hAnsi="楷体" w:eastAsia="楷体" w:cs="楷体"/>
          <w:b/>
          <w:color w:val="auto"/>
          <w:sz w:val="36"/>
          <w:szCs w:val="36"/>
          <w:highlight w:val="none"/>
          <w:lang w:val="en-US" w:eastAsia="zh-CN"/>
        </w:rPr>
        <w:t>部门整体支出</w:t>
      </w:r>
    </w:p>
    <w:p>
      <w:pPr>
        <w:jc w:val="center"/>
        <w:rPr>
          <w:rFonts w:hint="eastAsia" w:ascii="黑体" w:hAnsi="黑体" w:eastAsia="黑体" w:cs="黑体"/>
          <w:b/>
          <w:color w:val="auto"/>
          <w:sz w:val="56"/>
          <w:szCs w:val="56"/>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1200" w:lineRule="exact"/>
        <w:jc w:val="center"/>
        <w:textAlignment w:val="auto"/>
        <w:rPr>
          <w:rFonts w:hint="eastAsia" w:ascii="黑体" w:hAnsi="黑体" w:eastAsia="黑体" w:cs="黑体"/>
          <w:b/>
          <w:color w:val="auto"/>
          <w:sz w:val="72"/>
          <w:szCs w:val="72"/>
          <w:highlight w:val="none"/>
          <w:lang w:val="en-US" w:eastAsia="zh-CN"/>
        </w:rPr>
      </w:pPr>
      <w:r>
        <w:rPr>
          <w:rFonts w:hint="eastAsia" w:ascii="黑体" w:hAnsi="黑体" w:eastAsia="黑体" w:cs="黑体"/>
          <w:b/>
          <w:color w:val="auto"/>
          <w:sz w:val="72"/>
          <w:szCs w:val="72"/>
          <w:highlight w:val="none"/>
          <w:lang w:val="en-US" w:eastAsia="zh-CN"/>
        </w:rPr>
        <w:t>绩 效 评 价 报 告</w:t>
      </w:r>
    </w:p>
    <w:p>
      <w:pPr>
        <w:jc w:val="both"/>
        <w:rPr>
          <w:rFonts w:hint="eastAsia" w:ascii="方正小标宋简体" w:hAnsi="宋体" w:eastAsia="方正小标宋简体"/>
          <w:b/>
          <w:color w:val="auto"/>
          <w:sz w:val="44"/>
          <w:szCs w:val="44"/>
          <w:highlight w:val="none"/>
          <w:lang w:val="en-US" w:eastAsia="zh-CN"/>
        </w:rPr>
      </w:pPr>
    </w:p>
    <w:p>
      <w:pPr>
        <w:jc w:val="both"/>
        <w:rPr>
          <w:rFonts w:hint="eastAsia" w:ascii="方正小标宋简体" w:hAnsi="宋体" w:eastAsia="方正小标宋简体"/>
          <w:b/>
          <w:color w:val="auto"/>
          <w:sz w:val="44"/>
          <w:szCs w:val="44"/>
          <w:highlight w:val="none"/>
          <w:lang w:val="en-US" w:eastAsia="zh-CN"/>
        </w:rPr>
      </w:pPr>
    </w:p>
    <w:p>
      <w:pPr>
        <w:jc w:val="both"/>
        <w:rPr>
          <w:rFonts w:hint="eastAsia" w:ascii="方正小标宋简体" w:hAnsi="宋体" w:eastAsia="方正小标宋简体"/>
          <w:b/>
          <w:color w:val="auto"/>
          <w:sz w:val="44"/>
          <w:szCs w:val="44"/>
          <w:highlight w:val="none"/>
          <w:lang w:val="en-US" w:eastAsia="zh-CN"/>
        </w:rPr>
      </w:pPr>
    </w:p>
    <w:p>
      <w:pPr>
        <w:jc w:val="both"/>
        <w:rPr>
          <w:rFonts w:hint="eastAsia" w:ascii="方正小标宋简体" w:hAnsi="宋体" w:eastAsia="方正小标宋简体"/>
          <w:b/>
          <w:color w:val="auto"/>
          <w:sz w:val="44"/>
          <w:szCs w:val="44"/>
          <w:highlight w:val="none"/>
          <w:lang w:val="en-US" w:eastAsia="zh-CN"/>
        </w:rPr>
      </w:pPr>
    </w:p>
    <w:p>
      <w:pPr>
        <w:jc w:val="both"/>
        <w:rPr>
          <w:rFonts w:hint="default" w:ascii="仿宋_GB2312" w:hAnsi="仿宋_GB2312" w:eastAsia="仿宋_GB2312" w:cs="仿宋_GB2312"/>
          <w:b w:val="0"/>
          <w:bCs/>
          <w:color w:val="auto"/>
          <w:sz w:val="32"/>
          <w:szCs w:val="32"/>
          <w:highlight w:val="none"/>
          <w:u w:val="none"/>
          <w:lang w:val="en-US"/>
        </w:rPr>
      </w:pPr>
      <w:r>
        <w:rPr>
          <w:rFonts w:hint="eastAsia" w:ascii="楷体" w:hAnsi="楷体" w:eastAsia="楷体" w:cs="楷体"/>
          <w:b w:val="0"/>
          <w:bCs/>
          <w:color w:val="auto"/>
          <w:sz w:val="32"/>
          <w:szCs w:val="32"/>
          <w:highlight w:val="none"/>
          <w:u w:val="none"/>
          <w:lang w:val="en-US" w:eastAsia="zh-CN"/>
        </w:rPr>
        <w:t xml:space="preserve">        </w:t>
      </w:r>
    </w:p>
    <w:p>
      <w:pPr>
        <w:ind w:firstLine="640" w:firstLineChars="200"/>
        <w:jc w:val="both"/>
        <w:rPr>
          <w:rFonts w:hint="default" w:ascii="楷体" w:hAnsi="楷体" w:eastAsia="楷体" w:cs="楷体"/>
          <w:b w:val="0"/>
          <w:bCs/>
          <w:color w:val="auto"/>
          <w:sz w:val="32"/>
          <w:szCs w:val="32"/>
          <w:highlight w:val="none"/>
          <w:u w:val="none"/>
          <w:lang w:val="en-US" w:eastAsia="zh-CN"/>
        </w:rPr>
      </w:pPr>
      <w:r>
        <w:rPr>
          <w:rFonts w:hint="eastAsia" w:ascii="楷体" w:hAnsi="楷体" w:eastAsia="楷体" w:cs="楷体"/>
          <w:b w:val="0"/>
          <w:bCs/>
          <w:color w:val="auto"/>
          <w:sz w:val="32"/>
          <w:szCs w:val="32"/>
          <w:highlight w:val="none"/>
          <w:u w:val="none"/>
          <w:lang w:val="en-US" w:eastAsia="zh-CN"/>
        </w:rPr>
        <w:t>项目单位</w:t>
      </w:r>
      <w:r>
        <w:rPr>
          <w:rFonts w:hint="eastAsia" w:ascii="仿宋_GB2312" w:hAnsi="仿宋_GB2312" w:eastAsia="仿宋_GB2312" w:cs="仿宋_GB2312"/>
          <w:b w:val="0"/>
          <w:bCs/>
          <w:color w:val="auto"/>
          <w:sz w:val="32"/>
          <w:szCs w:val="32"/>
          <w:highlight w:val="none"/>
          <w:u w:val="none"/>
          <w:lang w:val="en-US" w:eastAsia="zh-CN"/>
        </w:rPr>
        <w:t>：</w:t>
      </w:r>
      <w:r>
        <w:rPr>
          <w:rFonts w:hint="eastAsia" w:ascii="楷体" w:hAnsi="楷体" w:eastAsia="楷体" w:cs="楷体"/>
          <w:b w:val="0"/>
          <w:bCs/>
          <w:color w:val="auto"/>
          <w:sz w:val="32"/>
          <w:szCs w:val="32"/>
          <w:highlight w:val="none"/>
          <w:u w:val="none"/>
          <w:lang w:val="en-US" w:eastAsia="zh-CN"/>
        </w:rPr>
        <w:t xml:space="preserve">铜川市新区住房建设和交通运输局         </w:t>
      </w:r>
    </w:p>
    <w:p>
      <w:pPr>
        <w:ind w:firstLine="640" w:firstLineChars="200"/>
        <w:jc w:val="both"/>
        <w:rPr>
          <w:rFonts w:hint="eastAsia" w:ascii="楷体" w:hAnsi="楷体" w:eastAsia="楷体" w:cs="楷体"/>
          <w:b w:val="0"/>
          <w:bCs/>
          <w:color w:val="auto"/>
          <w:sz w:val="32"/>
          <w:szCs w:val="32"/>
          <w:highlight w:val="none"/>
          <w:u w:val="none"/>
          <w:lang w:val="en-US" w:eastAsia="zh-CN"/>
        </w:rPr>
      </w:pPr>
      <w:r>
        <w:rPr>
          <w:rFonts w:hint="eastAsia" w:ascii="楷体" w:hAnsi="楷体" w:eastAsia="楷体" w:cs="楷体"/>
          <w:b w:val="0"/>
          <w:bCs/>
          <w:color w:val="auto"/>
          <w:sz w:val="32"/>
          <w:szCs w:val="32"/>
          <w:highlight w:val="none"/>
          <w:u w:val="none"/>
          <w:lang w:val="en-US" w:eastAsia="zh-CN"/>
        </w:rPr>
        <w:t>组织单位</w:t>
      </w:r>
      <w:r>
        <w:rPr>
          <w:rFonts w:hint="eastAsia" w:ascii="仿宋_GB2312" w:hAnsi="仿宋_GB2312" w:eastAsia="仿宋_GB2312" w:cs="仿宋_GB2312"/>
          <w:b w:val="0"/>
          <w:bCs/>
          <w:color w:val="auto"/>
          <w:sz w:val="32"/>
          <w:szCs w:val="32"/>
          <w:highlight w:val="none"/>
          <w:u w:val="none"/>
          <w:lang w:val="en-US" w:eastAsia="zh-CN"/>
        </w:rPr>
        <w:t>：</w:t>
      </w:r>
      <w:r>
        <w:rPr>
          <w:rFonts w:hint="eastAsia" w:ascii="楷体" w:hAnsi="楷体" w:eastAsia="楷体" w:cs="楷体"/>
          <w:b w:val="0"/>
          <w:bCs/>
          <w:color w:val="auto"/>
          <w:sz w:val="32"/>
          <w:szCs w:val="32"/>
          <w:highlight w:val="none"/>
          <w:u w:val="none"/>
          <w:lang w:val="en-US" w:eastAsia="zh-CN"/>
        </w:rPr>
        <w:t xml:space="preserve">铜川市新区财政局 </w:t>
      </w:r>
    </w:p>
    <w:p>
      <w:pPr>
        <w:ind w:firstLine="640" w:firstLineChars="200"/>
        <w:jc w:val="both"/>
        <w:rPr>
          <w:rFonts w:hint="eastAsia" w:ascii="楷体" w:hAnsi="楷体" w:eastAsia="楷体" w:cs="楷体"/>
          <w:b w:val="0"/>
          <w:bCs/>
          <w:color w:val="auto"/>
          <w:sz w:val="32"/>
          <w:szCs w:val="32"/>
          <w:highlight w:val="none"/>
          <w:u w:val="none"/>
          <w:lang w:val="en-US" w:eastAsia="zh-CN"/>
        </w:rPr>
      </w:pPr>
      <w:r>
        <w:rPr>
          <w:rFonts w:hint="eastAsia" w:ascii="楷体" w:hAnsi="楷体" w:eastAsia="楷体" w:cs="楷体"/>
          <w:b w:val="0"/>
          <w:bCs/>
          <w:color w:val="auto"/>
          <w:sz w:val="32"/>
          <w:szCs w:val="32"/>
          <w:highlight w:val="none"/>
          <w:u w:val="none"/>
          <w:lang w:val="en-US" w:eastAsia="zh-CN"/>
        </w:rPr>
        <w:t>评价机构</w:t>
      </w:r>
      <w:r>
        <w:rPr>
          <w:rFonts w:hint="eastAsia" w:ascii="仿宋_GB2312" w:hAnsi="仿宋_GB2312" w:eastAsia="仿宋_GB2312" w:cs="仿宋_GB2312"/>
          <w:b w:val="0"/>
          <w:bCs/>
          <w:color w:val="auto"/>
          <w:sz w:val="32"/>
          <w:szCs w:val="32"/>
          <w:highlight w:val="none"/>
          <w:u w:val="none"/>
          <w:lang w:val="en-US" w:eastAsia="zh-CN"/>
        </w:rPr>
        <w:t>：</w:t>
      </w:r>
      <w:r>
        <w:rPr>
          <w:rFonts w:hint="eastAsia" w:ascii="楷体" w:hAnsi="楷体" w:eastAsia="楷体" w:cs="楷体"/>
          <w:b w:val="0"/>
          <w:bCs/>
          <w:color w:val="auto"/>
          <w:sz w:val="32"/>
          <w:szCs w:val="32"/>
          <w:highlight w:val="none"/>
          <w:u w:val="none"/>
          <w:lang w:val="en-US" w:eastAsia="zh-CN"/>
        </w:rPr>
        <w:t>深圳市万德公共咨询有限公司</w:t>
      </w:r>
    </w:p>
    <w:p>
      <w:pPr>
        <w:ind w:firstLine="640" w:firstLineChars="200"/>
        <w:jc w:val="both"/>
        <w:rPr>
          <w:rFonts w:hint="default" w:ascii="楷体" w:hAnsi="楷体" w:eastAsia="楷体" w:cs="楷体"/>
          <w:b w:val="0"/>
          <w:bCs/>
          <w:color w:val="auto"/>
          <w:sz w:val="32"/>
          <w:szCs w:val="32"/>
          <w:highlight w:val="none"/>
          <w:u w:val="none"/>
          <w:lang w:val="en-US" w:eastAsia="zh-CN"/>
        </w:rPr>
      </w:pPr>
      <w:r>
        <w:rPr>
          <w:rFonts w:hint="eastAsia" w:ascii="楷体" w:hAnsi="楷体" w:eastAsia="楷体" w:cs="楷体"/>
          <w:b w:val="0"/>
          <w:bCs/>
          <w:color w:val="auto"/>
          <w:sz w:val="32"/>
          <w:szCs w:val="32"/>
          <w:highlight w:val="none"/>
          <w:u w:val="none"/>
          <w:lang w:val="en-US" w:eastAsia="zh-CN"/>
        </w:rPr>
        <w:t>报告编号：铜新评审-08</w:t>
      </w:r>
    </w:p>
    <w:p>
      <w:pPr>
        <w:ind w:firstLine="640" w:firstLineChars="200"/>
        <w:jc w:val="both"/>
        <w:rPr>
          <w:rFonts w:hint="eastAsia" w:ascii="楷体" w:hAnsi="楷体" w:eastAsia="楷体" w:cs="楷体"/>
          <w:b w:val="0"/>
          <w:bCs/>
          <w:color w:val="auto"/>
          <w:sz w:val="32"/>
          <w:szCs w:val="32"/>
          <w:highlight w:val="none"/>
          <w:u w:val="none"/>
          <w:lang w:val="en-US" w:eastAsia="zh-CN"/>
        </w:rPr>
      </w:pPr>
      <w:r>
        <w:rPr>
          <w:rFonts w:hint="eastAsia" w:ascii="楷体" w:hAnsi="楷体" w:eastAsia="楷体" w:cs="楷体"/>
          <w:b w:val="0"/>
          <w:bCs/>
          <w:color w:val="auto"/>
          <w:sz w:val="32"/>
          <w:szCs w:val="32"/>
          <w:highlight w:val="none"/>
          <w:u w:val="none"/>
          <w:lang w:val="en-US" w:eastAsia="zh-CN"/>
        </w:rPr>
        <w:t xml:space="preserve">编制日期：2022年10月    </w:t>
      </w:r>
    </w:p>
    <w:p>
      <w:pPr>
        <w:ind w:firstLine="640" w:firstLineChars="200"/>
        <w:jc w:val="both"/>
        <w:rPr>
          <w:rFonts w:hint="eastAsia" w:ascii="楷体" w:hAnsi="楷体" w:eastAsia="楷体" w:cs="楷体"/>
          <w:b w:val="0"/>
          <w:bCs/>
          <w:color w:val="auto"/>
          <w:sz w:val="32"/>
          <w:szCs w:val="32"/>
          <w:highlight w:val="none"/>
          <w:u w:val="none"/>
          <w:lang w:val="en-US" w:eastAsia="zh-CN"/>
        </w:rPr>
      </w:pPr>
    </w:p>
    <w:p>
      <w:pPr>
        <w:ind w:firstLine="640" w:firstLineChars="200"/>
        <w:jc w:val="both"/>
        <w:rPr>
          <w:rFonts w:hint="default" w:ascii="楷体" w:hAnsi="楷体" w:eastAsia="楷体" w:cs="楷体"/>
          <w:b w:val="0"/>
          <w:bCs/>
          <w:color w:val="auto"/>
          <w:sz w:val="32"/>
          <w:szCs w:val="32"/>
          <w:highlight w:val="none"/>
          <w:u w:val="none"/>
          <w:lang w:val="en-US" w:eastAsia="zh-CN"/>
        </w:rPr>
      </w:pPr>
    </w:p>
    <w:p>
      <w:pPr>
        <w:jc w:val="both"/>
        <w:rPr>
          <w:rFonts w:hint="default" w:ascii="仿宋_GB2312" w:hAnsi="仿宋_GB2312" w:eastAsia="仿宋_GB2312" w:cs="仿宋_GB2312"/>
          <w:b w:val="0"/>
          <w:bCs/>
          <w:color w:val="auto"/>
          <w:sz w:val="32"/>
          <w:szCs w:val="32"/>
          <w:highlight w:val="none"/>
          <w:u w:val="none"/>
          <w:lang w:val="en-US" w:eastAsia="zh-CN"/>
        </w:rPr>
        <w:sectPr>
          <w:pgSz w:w="11906" w:h="16838"/>
          <w:pgMar w:top="2098" w:right="1474" w:bottom="1984" w:left="1587" w:header="851" w:footer="992" w:gutter="0"/>
          <w:pgNumType w:fmt="decimal" w:start="1"/>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beforeLines="0" w:afterLines="0" w:line="600" w:lineRule="exact"/>
        <w:ind w:left="0" w:leftChars="0" w:right="0" w:rightChars="0" w:firstLine="0" w:firstLineChars="0"/>
        <w:jc w:val="center"/>
        <w:textAlignment w:val="auto"/>
        <w:rPr>
          <w:rFonts w:hint="eastAsia"/>
          <w:b/>
          <w:bCs/>
          <w:color w:val="auto"/>
          <w:sz w:val="36"/>
          <w:szCs w:val="36"/>
          <w:highlight w:val="none"/>
          <w:lang w:val="en-US" w:eastAsia="zh-CN"/>
        </w:rPr>
      </w:pPr>
      <w:r>
        <w:rPr>
          <w:rFonts w:hint="eastAsia" w:ascii="宋体" w:hAnsi="宋体"/>
          <w:b/>
          <w:bCs/>
          <w:color w:val="auto"/>
          <w:sz w:val="36"/>
          <w:szCs w:val="36"/>
          <w:highlight w:val="none"/>
          <w:lang w:val="en-US" w:eastAsia="zh-CN"/>
        </w:rPr>
        <w:t>铜川市</w:t>
      </w:r>
      <w:r>
        <w:rPr>
          <w:rFonts w:hint="eastAsia"/>
          <w:b/>
          <w:bCs/>
          <w:color w:val="auto"/>
          <w:sz w:val="36"/>
          <w:szCs w:val="36"/>
          <w:highlight w:val="none"/>
          <w:lang w:val="en-US" w:eastAsia="zh-CN"/>
        </w:rPr>
        <w:t>新区</w:t>
      </w:r>
      <w:r>
        <w:rPr>
          <w:rFonts w:hint="eastAsia" w:ascii="宋体" w:hAnsi="宋体"/>
          <w:b/>
          <w:bCs/>
          <w:color w:val="auto"/>
          <w:sz w:val="36"/>
          <w:szCs w:val="36"/>
          <w:highlight w:val="none"/>
          <w:lang w:val="en-US" w:eastAsia="zh-CN"/>
        </w:rPr>
        <w:t>202</w:t>
      </w:r>
      <w:r>
        <w:rPr>
          <w:rFonts w:hint="eastAsia"/>
          <w:b/>
          <w:bCs/>
          <w:color w:val="auto"/>
          <w:sz w:val="36"/>
          <w:szCs w:val="36"/>
          <w:highlight w:val="none"/>
          <w:lang w:val="en-US" w:eastAsia="zh-CN"/>
        </w:rPr>
        <w:t>1</w:t>
      </w:r>
      <w:r>
        <w:rPr>
          <w:rFonts w:hint="eastAsia" w:ascii="宋体" w:hAnsi="宋体"/>
          <w:b/>
          <w:bCs/>
          <w:color w:val="auto"/>
          <w:sz w:val="36"/>
          <w:szCs w:val="36"/>
          <w:highlight w:val="none"/>
          <w:lang w:val="en-US" w:eastAsia="zh-CN"/>
        </w:rPr>
        <w:t>年度</w:t>
      </w:r>
      <w:r>
        <w:rPr>
          <w:rFonts w:hint="eastAsia"/>
          <w:b/>
          <w:bCs/>
          <w:color w:val="auto"/>
          <w:sz w:val="36"/>
          <w:szCs w:val="36"/>
          <w:highlight w:val="none"/>
          <w:lang w:val="en-US" w:eastAsia="zh-CN"/>
        </w:rPr>
        <w:t>住房建设和交通运输局</w:t>
      </w:r>
    </w:p>
    <w:p>
      <w:pPr>
        <w:keepNext w:val="0"/>
        <w:keepLines w:val="0"/>
        <w:pageBreakBefore w:val="0"/>
        <w:widowControl w:val="0"/>
        <w:kinsoku/>
        <w:wordWrap/>
        <w:overflowPunct/>
        <w:topLinePunct w:val="0"/>
        <w:autoSpaceDE/>
        <w:autoSpaceDN/>
        <w:bidi w:val="0"/>
        <w:adjustRightInd/>
        <w:snapToGrid/>
        <w:spacing w:beforeLines="0" w:afterLines="0" w:line="600" w:lineRule="exact"/>
        <w:ind w:left="0" w:leftChars="0" w:right="0" w:rightChars="0" w:firstLine="0" w:firstLineChars="0"/>
        <w:jc w:val="center"/>
        <w:textAlignment w:val="auto"/>
        <w:rPr>
          <w:rFonts w:hint="eastAsia" w:ascii="宋体" w:hAnsi="宋体" w:eastAsia="宋体" w:cs="宋体"/>
          <w:b/>
          <w:bCs/>
          <w:color w:val="auto"/>
          <w:kern w:val="2"/>
          <w:sz w:val="36"/>
          <w:szCs w:val="36"/>
          <w:highlight w:val="none"/>
        </w:rPr>
      </w:pPr>
      <w:r>
        <w:rPr>
          <w:rFonts w:hint="eastAsia" w:ascii="宋体" w:hAnsi="宋体"/>
          <w:b/>
          <w:bCs/>
          <w:color w:val="auto"/>
          <w:sz w:val="36"/>
          <w:szCs w:val="36"/>
          <w:highlight w:val="none"/>
          <w:lang w:val="en-US" w:eastAsia="zh-CN"/>
        </w:rPr>
        <w:t>部门整体支出重点绩效评价总览</w:t>
      </w:r>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0"/>
        <w:gridCol w:w="2042"/>
        <w:gridCol w:w="1726"/>
        <w:gridCol w:w="30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000" w:type="pct"/>
            <w:gridSpan w:val="4"/>
            <w:noWrap w:val="0"/>
            <w:vAlign w:val="center"/>
          </w:tcPr>
          <w:p>
            <w:pPr>
              <w:keepNext w:val="0"/>
              <w:keepLines w:val="0"/>
              <w:widowControl/>
              <w:suppressLineNumbers w:val="0"/>
              <w:jc w:val="center"/>
              <w:textAlignment w:val="center"/>
              <w:rPr>
                <w:rFonts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一、项目预算资金安排和使用情况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项目名称</w:t>
            </w:r>
          </w:p>
        </w:tc>
        <w:tc>
          <w:tcPr>
            <w:tcW w:w="3758" w:type="pct"/>
            <w:gridSpan w:val="3"/>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新区2021年度住房建设和交通运输局部门整体支出绩效评价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实施单位</w:t>
            </w:r>
          </w:p>
        </w:tc>
        <w:tc>
          <w:tcPr>
            <w:tcW w:w="3758" w:type="pct"/>
            <w:gridSpan w:val="3"/>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铜川市新区住房建设和交通运输局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主管处室</w:t>
            </w:r>
          </w:p>
        </w:tc>
        <w:tc>
          <w:tcPr>
            <w:tcW w:w="1131"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铜川市新区财政局农财科</w:t>
            </w:r>
          </w:p>
        </w:tc>
        <w:tc>
          <w:tcPr>
            <w:tcW w:w="956"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主管部门</w:t>
            </w:r>
          </w:p>
        </w:tc>
        <w:tc>
          <w:tcPr>
            <w:tcW w:w="1670"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sz w:val="24"/>
                <w:szCs w:val="24"/>
                <w:highlight w:val="none"/>
                <w:u w:val="none"/>
                <w:lang w:val="en-US" w:eastAsia="zh-CN"/>
              </w:rPr>
              <w:t>铜川市新区住房建设和交通运输局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年度预算资金安排</w:t>
            </w:r>
          </w:p>
        </w:tc>
        <w:tc>
          <w:tcPr>
            <w:tcW w:w="3758" w:type="pct"/>
            <w:gridSpan w:val="3"/>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11828.89万元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其中</w:t>
            </w:r>
          </w:p>
        </w:tc>
        <w:tc>
          <w:tcPr>
            <w:tcW w:w="3758" w:type="pct"/>
            <w:gridSpan w:val="3"/>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财政资金11828.89万元（100%）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年度实际支出</w:t>
            </w:r>
          </w:p>
        </w:tc>
        <w:tc>
          <w:tcPr>
            <w:tcW w:w="3758" w:type="pct"/>
            <w:gridSpan w:val="3"/>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kern w:val="0"/>
                <w:sz w:val="24"/>
                <w:szCs w:val="24"/>
                <w:highlight w:val="none"/>
                <w:u w:val="none"/>
                <w:lang w:val="en-US" w:eastAsia="zh-CN" w:bidi="ar"/>
              </w:rPr>
              <w:t>年度支出11748.26万元，占比99.32%%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000" w:type="pct"/>
            <w:gridSpan w:val="4"/>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二、绩效目标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绩效目标</w:t>
            </w:r>
          </w:p>
        </w:tc>
        <w:tc>
          <w:tcPr>
            <w:tcW w:w="3758" w:type="pct"/>
            <w:gridSpan w:val="3"/>
            <w:noWrap w:val="0"/>
            <w:vAlign w:val="center"/>
          </w:tcPr>
          <w:p>
            <w:pPr>
              <w:keepNext w:val="0"/>
              <w:keepLines w:val="0"/>
              <w:widowControl/>
              <w:suppressLineNumbers w:val="0"/>
              <w:ind w:firstLineChars="200"/>
              <w:jc w:val="left"/>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在工委管委会的正确领导和上级部门的坚强领导下，围绕学习贯彻习近平总书记“七一”和来陕考察重要讲话、重要指示精神，聚焦市委、市政府工作安排，认真落实新区党工委、管委会重点工作要求，加强党建和党风廉政建设，稳步推进市政工程，保障群众住房安全，规范市政设施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主要指标</w:t>
            </w:r>
          </w:p>
        </w:tc>
        <w:tc>
          <w:tcPr>
            <w:tcW w:w="3758" w:type="pct"/>
            <w:gridSpan w:val="3"/>
            <w:noWrap w:val="0"/>
            <w:vAlign w:val="center"/>
          </w:tcPr>
          <w:p>
            <w:pPr>
              <w:keepNext w:val="0"/>
              <w:keepLines w:val="0"/>
              <w:widowControl/>
              <w:suppressLineNumbers w:val="0"/>
              <w:ind w:firstLineChars="200"/>
              <w:jc w:val="left"/>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工作完成率、质量达标率、完成及时率、重点工作办结率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trPr>
        <w:tc>
          <w:tcPr>
            <w:tcW w:w="1241" w:type="pct"/>
            <w:noWrap w:val="0"/>
            <w:vAlign w:val="center"/>
          </w:tcPr>
          <w:p>
            <w:pPr>
              <w:keepNext w:val="0"/>
              <w:keepLines w:val="0"/>
              <w:widowControl/>
              <w:suppressLineNumbers w:val="0"/>
              <w:ind w:firstLineChars="200"/>
              <w:jc w:val="both"/>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完成情况</w:t>
            </w:r>
          </w:p>
        </w:tc>
        <w:tc>
          <w:tcPr>
            <w:tcW w:w="3758" w:type="pct"/>
            <w:gridSpan w:val="3"/>
            <w:noWrap w:val="0"/>
            <w:vAlign w:val="center"/>
          </w:tcPr>
          <w:p>
            <w:pPr>
              <w:keepNext w:val="0"/>
              <w:keepLines w:val="0"/>
              <w:widowControl/>
              <w:suppressLineNumbers w:val="0"/>
              <w:ind w:firstLine="480" w:firstLineChars="200"/>
              <w:jc w:val="left"/>
              <w:textAlignment w:val="center"/>
              <w:rPr>
                <w:rFonts w:hint="default"/>
                <w:lang w:val="en-US" w:eastAsia="zh-CN"/>
              </w:rPr>
            </w:pPr>
            <w:r>
              <w:rPr>
                <w:rFonts w:hint="eastAsia" w:ascii="仿宋" w:hAnsi="仿宋" w:eastAsia="仿宋" w:cs="仿宋"/>
                <w:i w:val="0"/>
                <w:iCs w:val="0"/>
                <w:color w:val="000000"/>
                <w:sz w:val="24"/>
                <w:szCs w:val="24"/>
                <w:highlight w:val="none"/>
                <w:u w:val="none"/>
                <w:lang w:val="en-US" w:eastAsia="zh-CN"/>
              </w:rPr>
              <w:t>2021年度部门完成党风廉政建设，积极办理拟建工程前期手续，重视农村公路建设及隐患治理，做好交通项目服务保障，不断优化新区营商环境，理顺物业管理体制，完成市域社会治理。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5000" w:type="pct"/>
            <w:gridSpan w:val="4"/>
            <w:noWrap w:val="0"/>
            <w:vAlign w:val="center"/>
          </w:tcPr>
          <w:p>
            <w:pPr>
              <w:keepNext w:val="0"/>
              <w:keepLines w:val="0"/>
              <w:widowControl/>
              <w:suppressLineNumbers w:val="0"/>
              <w:ind w:firstLineChars="20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三、综合评价结论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vMerge w:val="restart"/>
            <w:noWrap w:val="0"/>
            <w:vAlign w:val="center"/>
          </w:tcPr>
          <w:p>
            <w:pPr>
              <w:keepNext w:val="0"/>
              <w:keepLines w:val="0"/>
              <w:widowControl/>
              <w:suppressLineNumbers w:val="0"/>
              <w:ind w:firstLineChars="20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经综合评价表明，部门履职整体表现良好，综合评分为88.14分，绩效等级为“良”。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vMerge w:val="continue"/>
            <w:noWrap w:val="0"/>
            <w:vAlign w:val="center"/>
          </w:tcPr>
          <w:p>
            <w:pPr>
              <w:jc w:val="center"/>
              <w:rPr>
                <w:rFonts w:hint="eastAsia" w:ascii="仿宋" w:hAnsi="仿宋" w:eastAsia="仿宋" w:cs="仿宋"/>
                <w:i w:val="0"/>
                <w:iCs w:val="0"/>
                <w:color w:val="000000"/>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vMerge w:val="continue"/>
            <w:noWrap w:val="0"/>
            <w:vAlign w:val="center"/>
          </w:tcPr>
          <w:p>
            <w:pPr>
              <w:jc w:val="center"/>
              <w:rPr>
                <w:rFonts w:hint="eastAsia" w:ascii="仿宋" w:hAnsi="仿宋" w:eastAsia="仿宋" w:cs="仿宋"/>
                <w:i w:val="0"/>
                <w:iCs w:val="0"/>
                <w:color w:val="000000"/>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000" w:type="pct"/>
            <w:gridSpan w:val="4"/>
            <w:vMerge w:val="continue"/>
            <w:noWrap w:val="0"/>
            <w:vAlign w:val="center"/>
          </w:tcPr>
          <w:p>
            <w:pPr>
              <w:jc w:val="center"/>
              <w:rPr>
                <w:rFonts w:hint="eastAsia" w:ascii="仿宋" w:hAnsi="仿宋" w:eastAsia="仿宋" w:cs="仿宋"/>
                <w:i w:val="0"/>
                <w:iCs w:val="0"/>
                <w:color w:val="000000"/>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noWrap w:val="0"/>
            <w:vAlign w:val="center"/>
          </w:tcPr>
          <w:p>
            <w:pPr>
              <w:keepNext w:val="0"/>
              <w:keepLines w:val="0"/>
              <w:widowControl/>
              <w:suppressLineNumbers w:val="0"/>
              <w:ind w:firstLineChars="20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四、主要经验及做法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5000" w:type="pct"/>
            <w:gridSpan w:val="4"/>
            <w:noWrap w:val="0"/>
            <w:vAlign w:val="center"/>
          </w:tcPr>
          <w:p>
            <w:pPr>
              <w:keepNext w:val="0"/>
              <w:keepLines w:val="0"/>
              <w:widowControl/>
              <w:suppressLineNumbers w:val="0"/>
              <w:ind w:firstLine="480" w:firstLineChars="200"/>
              <w:jc w:val="left"/>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1.预算执行良好。2021年度部门履职期间，年度实现预算完全执行，财政资金充分使用。预算执行期间，按照3月底、6月底、9月底、11月底四个时间节点评估预算执行进度，预算执行进度效果良好，资金按计划进度有效支付。2.部门履职产出明显。部门年度履职完成市政道路建设进度，协调推进手续办理；抓好农村公路建设，做好交通项目服务保障；加快实施建筑工地复工，强化安全生产意识；进一步理顺物业管理体制，提升物业服务水平；完成房屋安全排查整治工作，确保群众住房安全；加快推进生活垃圾分类，建设建筑垃圾填埋场等各项年度任务计划和任务。3.履职效益显著。通过部门履职，有效推动辖区内居民人均可支配收入不断增加，新增地方固定资产投资超过40亿元。通过扬尘治理，有效改善空气质量，改善居住环境，空气质量优良天数不断增加，空气质量综合指数有效降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noWrap w:val="0"/>
            <w:vAlign w:val="center"/>
          </w:tcPr>
          <w:p>
            <w:pPr>
              <w:keepNext w:val="0"/>
              <w:keepLines w:val="0"/>
              <w:widowControl/>
              <w:suppressLineNumbers w:val="0"/>
              <w:ind w:firstLineChars="20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五、存在主要问题及有关建议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4"/>
            <w:noWrap w:val="0"/>
            <w:vAlign w:val="center"/>
          </w:tcPr>
          <w:p>
            <w:pPr>
              <w:keepNext w:val="0"/>
              <w:keepLines w:val="0"/>
              <w:widowControl/>
              <w:suppressLineNumbers w:val="0"/>
              <w:ind w:firstLine="480" w:firstLineChars="200"/>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 xml:space="preserve">存在问题：1.绩效目标管理工作有待加强。2.部门公用经费控制需进一步提升。3.政府采购执行有待加强。                            </w:t>
            </w:r>
          </w:p>
          <w:p>
            <w:pPr>
              <w:keepNext w:val="0"/>
              <w:keepLines w:val="0"/>
              <w:widowControl/>
              <w:suppressLineNumbers w:val="0"/>
              <w:ind w:firstLine="480" w:firstLineChars="200"/>
              <w:jc w:val="left"/>
              <w:textAlignment w:val="center"/>
              <w:rPr>
                <w:rFonts w:hint="default"/>
                <w:lang w:val="en-US" w:eastAsia="zh-CN"/>
              </w:rPr>
            </w:pPr>
            <w:r>
              <w:rPr>
                <w:rFonts w:hint="eastAsia" w:ascii="仿宋" w:hAnsi="仿宋" w:eastAsia="仿宋" w:cs="仿宋"/>
                <w:i w:val="0"/>
                <w:iCs w:val="0"/>
                <w:color w:val="000000"/>
                <w:sz w:val="24"/>
                <w:szCs w:val="24"/>
                <w:highlight w:val="none"/>
                <w:u w:val="none"/>
                <w:lang w:val="en-US" w:eastAsia="zh-CN"/>
              </w:rPr>
              <w:t>相关建议：1.强化绩效目标设置。2.加强部门成本控制，落实“过紧日子”思想。3.强化部门采购管理，做好部门采购计划编制。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noWrap w:val="0"/>
            <w:vAlign w:val="center"/>
          </w:tcPr>
          <w:p>
            <w:pPr>
              <w:keepNext w:val="0"/>
              <w:keepLines w:val="0"/>
              <w:widowControl/>
              <w:suppressLineNumbers w:val="0"/>
              <w:ind w:firstLineChars="20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六、综合评价得分和等级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一级指标</w:t>
            </w:r>
          </w:p>
        </w:tc>
        <w:tc>
          <w:tcPr>
            <w:tcW w:w="113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分值</w:t>
            </w:r>
          </w:p>
        </w:tc>
        <w:tc>
          <w:tcPr>
            <w:tcW w:w="956"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得分</w:t>
            </w:r>
          </w:p>
        </w:tc>
        <w:tc>
          <w:tcPr>
            <w:tcW w:w="1670"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投入</w:t>
            </w:r>
          </w:p>
        </w:tc>
        <w:tc>
          <w:tcPr>
            <w:tcW w:w="2042" w:type="dxa"/>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color w:val="000000"/>
                <w:kern w:val="0"/>
                <w:sz w:val="24"/>
                <w:szCs w:val="24"/>
                <w:u w:val="none"/>
                <w:lang w:val="en-US" w:eastAsia="zh-CN" w:bidi="ar"/>
              </w:rPr>
              <w:t>15</w:t>
            </w:r>
          </w:p>
        </w:tc>
        <w:tc>
          <w:tcPr>
            <w:tcW w:w="1726" w:type="dxa"/>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color w:val="000000"/>
                <w:kern w:val="0"/>
                <w:sz w:val="24"/>
                <w:szCs w:val="24"/>
                <w:u w:val="none"/>
                <w:lang w:val="en-US" w:eastAsia="zh-CN" w:bidi="ar"/>
              </w:rPr>
              <w:t>7.62</w:t>
            </w:r>
          </w:p>
        </w:tc>
        <w:tc>
          <w:tcPr>
            <w:tcW w:w="3018"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cs="宋体"/>
                <w:i w:val="0"/>
                <w:color w:val="000000"/>
                <w:kern w:val="0"/>
                <w:sz w:val="24"/>
                <w:szCs w:val="24"/>
                <w:u w:val="none"/>
                <w:lang w:val="en-US" w:eastAsia="zh-CN" w:bidi="ar"/>
              </w:rPr>
              <w:t>50.8</w:t>
            </w:r>
            <w:r>
              <w:rPr>
                <w:rFonts w:hint="eastAsia" w:ascii="宋体" w:hAnsi="宋体" w:eastAsia="宋体" w:cs="宋体"/>
                <w:i w:val="0"/>
                <w:color w:val="000000"/>
                <w:kern w:val="0"/>
                <w:sz w:val="24"/>
                <w:szCs w:val="24"/>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过程</w:t>
            </w:r>
          </w:p>
        </w:tc>
        <w:tc>
          <w:tcPr>
            <w:tcW w:w="2042" w:type="dxa"/>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color w:val="000000"/>
                <w:kern w:val="0"/>
                <w:sz w:val="24"/>
                <w:szCs w:val="24"/>
                <w:u w:val="none"/>
                <w:lang w:val="en-US" w:eastAsia="zh-CN" w:bidi="ar"/>
              </w:rPr>
              <w:t>25</w:t>
            </w:r>
          </w:p>
        </w:tc>
        <w:tc>
          <w:tcPr>
            <w:tcW w:w="1726" w:type="dxa"/>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color w:val="000000"/>
                <w:kern w:val="0"/>
                <w:sz w:val="24"/>
                <w:szCs w:val="24"/>
                <w:u w:val="none"/>
                <w:lang w:val="en-US" w:eastAsia="zh-CN" w:bidi="ar"/>
              </w:rPr>
              <w:t>20.52</w:t>
            </w:r>
          </w:p>
        </w:tc>
        <w:tc>
          <w:tcPr>
            <w:tcW w:w="3018"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cs="宋体"/>
                <w:i w:val="0"/>
                <w:color w:val="000000"/>
                <w:kern w:val="0"/>
                <w:sz w:val="24"/>
                <w:szCs w:val="24"/>
                <w:u w:val="none"/>
                <w:lang w:val="en-US" w:eastAsia="zh-CN" w:bidi="ar"/>
              </w:rPr>
              <w:t>82.08</w:t>
            </w:r>
            <w:r>
              <w:rPr>
                <w:rFonts w:hint="eastAsia" w:ascii="宋体" w:hAnsi="宋体" w:eastAsia="宋体" w:cs="宋体"/>
                <w:i w:val="0"/>
                <w:color w:val="000000"/>
                <w:kern w:val="0"/>
                <w:sz w:val="24"/>
                <w:szCs w:val="24"/>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产出</w:t>
            </w:r>
          </w:p>
        </w:tc>
        <w:tc>
          <w:tcPr>
            <w:tcW w:w="2042" w:type="dxa"/>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color w:val="000000"/>
                <w:kern w:val="0"/>
                <w:sz w:val="24"/>
                <w:szCs w:val="24"/>
                <w:u w:val="none"/>
                <w:lang w:val="en-US" w:eastAsia="zh-CN" w:bidi="ar"/>
              </w:rPr>
              <w:t>35</w:t>
            </w:r>
          </w:p>
        </w:tc>
        <w:tc>
          <w:tcPr>
            <w:tcW w:w="1726" w:type="dxa"/>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color w:val="000000"/>
                <w:kern w:val="0"/>
                <w:sz w:val="24"/>
                <w:szCs w:val="24"/>
                <w:u w:val="none"/>
                <w:lang w:val="en-US" w:eastAsia="zh-CN" w:bidi="ar"/>
              </w:rPr>
              <w:t>35</w:t>
            </w:r>
          </w:p>
        </w:tc>
        <w:tc>
          <w:tcPr>
            <w:tcW w:w="3018"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cs="宋体"/>
                <w:i w:val="0"/>
                <w:color w:val="000000"/>
                <w:kern w:val="0"/>
                <w:sz w:val="24"/>
                <w:szCs w:val="24"/>
                <w:u w:val="none"/>
                <w:lang w:val="en-US" w:eastAsia="zh-CN" w:bidi="ar"/>
              </w:rPr>
              <w:t>100.00</w:t>
            </w:r>
            <w:r>
              <w:rPr>
                <w:rFonts w:hint="eastAsia" w:ascii="宋体" w:hAnsi="宋体" w:eastAsia="宋体" w:cs="宋体"/>
                <w:i w:val="0"/>
                <w:color w:val="000000"/>
                <w:kern w:val="0"/>
                <w:sz w:val="24"/>
                <w:szCs w:val="24"/>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效果</w:t>
            </w:r>
          </w:p>
        </w:tc>
        <w:tc>
          <w:tcPr>
            <w:tcW w:w="2042" w:type="dxa"/>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color w:val="000000"/>
                <w:kern w:val="0"/>
                <w:sz w:val="24"/>
                <w:szCs w:val="24"/>
                <w:u w:val="none"/>
                <w:lang w:val="en-US" w:eastAsia="zh-CN" w:bidi="ar"/>
              </w:rPr>
              <w:t>25</w:t>
            </w:r>
          </w:p>
        </w:tc>
        <w:tc>
          <w:tcPr>
            <w:tcW w:w="1726" w:type="dxa"/>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color w:val="000000"/>
                <w:kern w:val="0"/>
                <w:sz w:val="24"/>
                <w:szCs w:val="24"/>
                <w:u w:val="none"/>
                <w:lang w:val="en-US" w:eastAsia="zh-CN" w:bidi="ar"/>
              </w:rPr>
              <w:t>25</w:t>
            </w:r>
          </w:p>
        </w:tc>
        <w:tc>
          <w:tcPr>
            <w:tcW w:w="3018"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cs="宋体"/>
                <w:i w:val="0"/>
                <w:color w:val="000000"/>
                <w:kern w:val="0"/>
                <w:sz w:val="24"/>
                <w:szCs w:val="24"/>
                <w:u w:val="none"/>
                <w:lang w:val="en-US" w:eastAsia="zh-CN" w:bidi="ar"/>
              </w:rPr>
              <w:t>100.00</w:t>
            </w:r>
            <w:r>
              <w:rPr>
                <w:rFonts w:hint="eastAsia" w:ascii="宋体" w:hAnsi="宋体" w:eastAsia="宋体" w:cs="宋体"/>
                <w:i w:val="0"/>
                <w:color w:val="000000"/>
                <w:kern w:val="0"/>
                <w:sz w:val="24"/>
                <w:szCs w:val="24"/>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合计</w:t>
            </w:r>
          </w:p>
        </w:tc>
        <w:tc>
          <w:tcPr>
            <w:tcW w:w="2042"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color w:val="000000"/>
                <w:kern w:val="0"/>
                <w:sz w:val="24"/>
                <w:szCs w:val="24"/>
                <w:u w:val="none"/>
                <w:lang w:val="en-US" w:eastAsia="zh-CN" w:bidi="ar"/>
              </w:rPr>
              <w:t>100</w:t>
            </w:r>
          </w:p>
        </w:tc>
        <w:tc>
          <w:tcPr>
            <w:tcW w:w="1726" w:type="dxa"/>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cs="宋体"/>
                <w:i w:val="0"/>
                <w:color w:val="000000"/>
                <w:kern w:val="0"/>
                <w:sz w:val="24"/>
                <w:szCs w:val="24"/>
                <w:u w:val="none"/>
                <w:lang w:val="en-US" w:eastAsia="zh-CN" w:bidi="ar"/>
              </w:rPr>
              <w:t>88.14</w:t>
            </w:r>
          </w:p>
        </w:tc>
        <w:tc>
          <w:tcPr>
            <w:tcW w:w="3018"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cs="宋体"/>
                <w:i w:val="0"/>
                <w:color w:val="000000"/>
                <w:kern w:val="0"/>
                <w:sz w:val="24"/>
                <w:szCs w:val="24"/>
                <w:u w:val="none"/>
                <w:lang w:val="en-US" w:eastAsia="zh-CN" w:bidi="ar"/>
              </w:rPr>
              <w:t>88.14</w:t>
            </w:r>
            <w:r>
              <w:rPr>
                <w:rFonts w:hint="eastAsia" w:ascii="宋体" w:hAnsi="宋体" w:eastAsia="宋体" w:cs="宋体"/>
                <w:i w:val="0"/>
                <w:color w:val="000000"/>
                <w:kern w:val="0"/>
                <w:sz w:val="24"/>
                <w:szCs w:val="24"/>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绩效评价得分：</w:t>
            </w:r>
          </w:p>
        </w:tc>
        <w:tc>
          <w:tcPr>
            <w:tcW w:w="1131"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cs="宋体"/>
                <w:i w:val="0"/>
                <w:color w:val="000000"/>
                <w:kern w:val="0"/>
                <w:sz w:val="24"/>
                <w:szCs w:val="24"/>
                <w:u w:val="none"/>
                <w:lang w:val="en-US" w:eastAsia="zh-CN" w:bidi="ar"/>
              </w:rPr>
              <w:t>88.14</w:t>
            </w:r>
          </w:p>
        </w:tc>
        <w:tc>
          <w:tcPr>
            <w:tcW w:w="956"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综合评价结果等级：</w:t>
            </w:r>
          </w:p>
        </w:tc>
        <w:tc>
          <w:tcPr>
            <w:tcW w:w="1670"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良</w:t>
            </w:r>
          </w:p>
        </w:tc>
      </w:tr>
    </w:tbl>
    <w:p>
      <w:pPr>
        <w:pStyle w:val="2"/>
        <w:rPr>
          <w:rFonts w:hint="eastAsia"/>
        </w:rPr>
        <w:sectPr>
          <w:headerReference r:id="rId3" w:type="default"/>
          <w:footerReference r:id="rId4" w:type="default"/>
          <w:pgSz w:w="11910" w:h="16840"/>
          <w:pgMar w:top="2098" w:right="1474" w:bottom="1984" w:left="1587" w:header="1017" w:footer="1206" w:gutter="0"/>
          <w:pgNumType w:fmt="numberInDash" w:start="1"/>
          <w:cols w:equalWidth="0" w:num="1">
            <w:col w:w="8810"/>
          </w:cols>
        </w:sectPr>
      </w:pPr>
    </w:p>
    <w:p>
      <w:pPr>
        <w:keepNext w:val="0"/>
        <w:keepLines w:val="0"/>
        <w:pageBreakBefore w:val="0"/>
        <w:widowControl/>
        <w:shd w:val="clear" w:color="auto" w:fill="FFFFFF"/>
        <w:kinsoku/>
        <w:wordWrap/>
        <w:overflowPunct/>
        <w:topLinePunct w:val="0"/>
        <w:autoSpaceDE/>
        <w:autoSpaceDN/>
        <w:bidi w:val="0"/>
        <w:adjustRightInd/>
        <w:snapToGrid/>
        <w:spacing w:before="480" w:after="360"/>
        <w:jc w:val="center"/>
        <w:textAlignment w:val="auto"/>
        <w:outlineLvl w:val="0"/>
        <w:rPr>
          <w:rFonts w:hint="eastAsia" w:ascii="宋体" w:hAnsi="宋体" w:eastAsia="宋体" w:cs="宋体"/>
          <w:color w:val="auto"/>
          <w:kern w:val="0"/>
          <w:sz w:val="36"/>
          <w:szCs w:val="36"/>
          <w:highlight w:val="none"/>
          <w:lang w:val="en-US" w:eastAsia="zh-CN"/>
        </w:rPr>
      </w:pPr>
      <w:bookmarkStart w:id="0" w:name="_Toc11411"/>
      <w:r>
        <w:rPr>
          <w:rFonts w:hint="eastAsia" w:ascii="宋体" w:hAnsi="宋体" w:eastAsia="宋体" w:cs="宋体"/>
          <w:b/>
          <w:sz w:val="36"/>
          <w:szCs w:val="36"/>
          <w:highlight w:val="none"/>
          <w:lang w:val="en-US" w:eastAsia="zh-Hans"/>
        </w:rPr>
        <w:t>摘</w:t>
      </w:r>
      <w:r>
        <w:rPr>
          <w:rFonts w:hint="eastAsia" w:ascii="宋体" w:hAnsi="宋体" w:eastAsia="宋体" w:cs="宋体"/>
          <w:b/>
          <w:sz w:val="36"/>
          <w:szCs w:val="36"/>
          <w:highlight w:val="none"/>
          <w:lang w:eastAsia="zh-Hans"/>
        </w:rPr>
        <w:t xml:space="preserve"> </w:t>
      </w:r>
      <w:r>
        <w:rPr>
          <w:rFonts w:hint="eastAsia" w:ascii="宋体" w:hAnsi="宋体" w:eastAsia="宋体" w:cs="宋体"/>
          <w:b/>
          <w:sz w:val="36"/>
          <w:szCs w:val="36"/>
          <w:highlight w:val="none"/>
          <w:lang w:val="en-US" w:eastAsia="zh-Hans"/>
        </w:rPr>
        <w:t>要</w:t>
      </w:r>
      <w:bookmarkEnd w:id="0"/>
    </w:p>
    <w:p>
      <w:pPr>
        <w:keepNext w:val="0"/>
        <w:keepLines w:val="0"/>
        <w:pageBreakBefore w:val="0"/>
        <w:widowControl w:val="0"/>
        <w:numPr>
          <w:ilvl w:val="0"/>
          <w:numId w:val="1"/>
        </w:numPr>
        <w:kinsoku/>
        <w:wordWrap/>
        <w:overflowPunct/>
        <w:topLinePunct w:val="0"/>
        <w:autoSpaceDE/>
        <w:autoSpaceDN/>
        <w:bidi w:val="0"/>
        <w:adjustRightInd/>
        <w:snapToGrid/>
        <w:spacing w:line="640" w:lineRule="exact"/>
        <w:ind w:firstLine="640" w:firstLineChars="200"/>
        <w:jc w:val="both"/>
        <w:textAlignment w:val="auto"/>
        <w:rPr>
          <w:rFonts w:hint="default" w:ascii="黑体" w:hAnsi="黑体" w:eastAsia="黑体" w:cs="黑体"/>
          <w:color w:val="auto"/>
          <w:kern w:val="0"/>
          <w:sz w:val="32"/>
          <w:szCs w:val="32"/>
          <w:highlight w:val="none"/>
          <w:lang w:val="en-US" w:eastAsia="zh-CN"/>
        </w:rPr>
      </w:pPr>
      <w:r>
        <w:rPr>
          <w:rFonts w:hint="eastAsia" w:ascii="黑体" w:hAnsi="黑体" w:eastAsia="黑体" w:cs="黑体"/>
          <w:color w:val="auto"/>
          <w:kern w:val="0"/>
          <w:sz w:val="32"/>
          <w:szCs w:val="32"/>
          <w:highlight w:val="none"/>
          <w:lang w:val="en-US" w:eastAsia="zh-CN"/>
        </w:rPr>
        <w:t>基本情况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 w:eastAsia="仿宋_GB2312" w:cs="宋体"/>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为规范政府部门财政支出预算管理，考核财政资金预期绩效目标的实现程度和综合效果，更好地优化资源配置，切实提高财政资金的使用效益，进一步提升预算部门的行政效能，根据铜川市新区财政局《关于开展2021年新区项目和部门整体支出绩效自评及重点项目绩效评价</w:t>
      </w:r>
      <w:r>
        <w:rPr>
          <w:rFonts w:hint="eastAsia" w:ascii="仿宋" w:hAnsi="仿宋" w:eastAsia="仿宋" w:cs="仿宋"/>
          <w:color w:val="auto"/>
          <w:kern w:val="0"/>
          <w:sz w:val="32"/>
          <w:szCs w:val="32"/>
          <w:highlight w:val="none"/>
          <w:lang w:val="en-US" w:eastAsia="zh-Hans"/>
        </w:rPr>
        <w:t>工作</w:t>
      </w:r>
      <w:r>
        <w:rPr>
          <w:rFonts w:hint="eastAsia" w:ascii="仿宋" w:hAnsi="仿宋" w:eastAsia="仿宋" w:cs="仿宋"/>
          <w:color w:val="auto"/>
          <w:kern w:val="0"/>
          <w:sz w:val="32"/>
          <w:szCs w:val="32"/>
          <w:highlight w:val="none"/>
          <w:lang w:val="en-US" w:eastAsia="zh-CN"/>
        </w:rPr>
        <w:t>的通知》文件要求，从投入、过程、产出、效果四个维度对新区住房建设和交通运输局2021年度部门整体支出进行绩效评价。经过资料审查、数据采集、现场访谈、社会调查等评价程序，运用科学、合理的绩效评价方法，形成本绩效评价报告</w:t>
      </w:r>
      <w:r>
        <w:rPr>
          <w:rFonts w:hint="eastAsia" w:ascii="仿宋_GB2312" w:hAnsi="仿宋" w:eastAsia="仿宋_GB2312" w:cs="宋体"/>
          <w:color w:val="auto"/>
          <w:kern w:val="0"/>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eastAsia" w:ascii="黑体" w:hAnsi="黑体" w:eastAsia="黑体" w:cs="黑体"/>
          <w:color w:val="auto"/>
          <w:kern w:val="0"/>
          <w:sz w:val="32"/>
          <w:szCs w:val="32"/>
          <w:highlight w:val="none"/>
          <w:lang w:val="en-US" w:eastAsia="zh-Hans"/>
        </w:rPr>
      </w:pPr>
      <w:r>
        <w:rPr>
          <w:rFonts w:hint="eastAsia" w:ascii="黑体" w:hAnsi="黑体" w:eastAsia="黑体" w:cs="黑体"/>
          <w:color w:val="auto"/>
          <w:kern w:val="0"/>
          <w:sz w:val="32"/>
          <w:szCs w:val="32"/>
          <w:highlight w:val="none"/>
          <w:lang w:val="en-US" w:eastAsia="zh-Hans"/>
        </w:rPr>
        <w:t>二</w:t>
      </w:r>
      <w:r>
        <w:rPr>
          <w:rFonts w:hint="default" w:ascii="黑体" w:hAnsi="黑体" w:eastAsia="黑体" w:cs="黑体"/>
          <w:color w:val="auto"/>
          <w:kern w:val="0"/>
          <w:sz w:val="32"/>
          <w:szCs w:val="32"/>
          <w:highlight w:val="none"/>
          <w:lang w:eastAsia="zh-Hans"/>
        </w:rPr>
        <w:t>、</w:t>
      </w:r>
      <w:r>
        <w:rPr>
          <w:rFonts w:hint="eastAsia" w:ascii="黑体" w:hAnsi="黑体" w:eastAsia="黑体" w:cs="黑体"/>
          <w:color w:val="auto"/>
          <w:kern w:val="0"/>
          <w:sz w:val="32"/>
          <w:szCs w:val="32"/>
          <w:highlight w:val="none"/>
          <w:lang w:val="en-US" w:eastAsia="zh-Hans"/>
        </w:rPr>
        <w:t>综合评价结论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 w:eastAsia="仿宋_GB2312" w:cs="宋体"/>
          <w:color w:val="auto"/>
          <w:kern w:val="0"/>
          <w:sz w:val="32"/>
          <w:szCs w:val="32"/>
          <w:highlight w:val="none"/>
          <w:lang w:val="en-US" w:eastAsia="zh-Hans"/>
        </w:rPr>
      </w:pPr>
      <w:r>
        <w:rPr>
          <w:rFonts w:hint="eastAsia" w:ascii="仿宋_GB2312" w:hAnsi="仿宋" w:eastAsia="仿宋_GB2312" w:cs="宋体"/>
          <w:color w:val="auto"/>
          <w:kern w:val="0"/>
          <w:sz w:val="32"/>
          <w:szCs w:val="32"/>
          <w:highlight w:val="none"/>
          <w:lang w:val="en-US" w:eastAsia="zh-Hans"/>
        </w:rPr>
        <w:t>综合分析表明</w:t>
      </w:r>
      <w:r>
        <w:rPr>
          <w:rFonts w:hint="default" w:ascii="仿宋_GB2312" w:hAnsi="仿宋" w:eastAsia="仿宋_GB2312" w:cs="宋体"/>
          <w:color w:val="auto"/>
          <w:kern w:val="0"/>
          <w:sz w:val="32"/>
          <w:szCs w:val="32"/>
          <w:highlight w:val="none"/>
          <w:lang w:eastAsia="zh-Hans"/>
        </w:rPr>
        <w:t>，</w:t>
      </w:r>
      <w:r>
        <w:rPr>
          <w:rFonts w:hint="eastAsia" w:ascii="仿宋_GB2312" w:hAnsi="仿宋" w:eastAsia="仿宋_GB2312" w:cs="宋体"/>
          <w:color w:val="auto"/>
          <w:kern w:val="0"/>
          <w:sz w:val="32"/>
          <w:szCs w:val="32"/>
          <w:highlight w:val="none"/>
          <w:lang w:val="en-US" w:eastAsia="zh-Hans"/>
        </w:rPr>
        <w:t>总体上</w:t>
      </w:r>
      <w:r>
        <w:rPr>
          <w:rFonts w:hint="eastAsia" w:ascii="仿宋_GB2312" w:hAnsi="仿宋" w:eastAsia="仿宋_GB2312" w:cs="宋体"/>
          <w:color w:val="auto"/>
          <w:kern w:val="0"/>
          <w:sz w:val="32"/>
          <w:szCs w:val="32"/>
          <w:highlight w:val="none"/>
          <w:lang w:val="en-US" w:eastAsia="zh-CN"/>
        </w:rPr>
        <w:t>新区住房建设和交通运输局</w:t>
      </w:r>
      <w:r>
        <w:rPr>
          <w:rFonts w:hint="eastAsia" w:ascii="仿宋_GB2312" w:hAnsi="仿宋" w:eastAsia="仿宋_GB2312" w:cs="宋体"/>
          <w:color w:val="auto"/>
          <w:kern w:val="0"/>
          <w:sz w:val="32"/>
          <w:szCs w:val="32"/>
          <w:highlight w:val="none"/>
          <w:lang w:val="en-US" w:eastAsia="zh-Hans"/>
        </w:rPr>
        <w:t>在</w:t>
      </w:r>
      <w:r>
        <w:rPr>
          <w:rFonts w:hint="eastAsia" w:ascii="仿宋_GB2312" w:hAnsi="仿宋" w:eastAsia="仿宋_GB2312" w:cs="宋体"/>
          <w:color w:val="auto"/>
          <w:kern w:val="0"/>
          <w:sz w:val="32"/>
          <w:szCs w:val="32"/>
          <w:highlight w:val="none"/>
          <w:lang w:val="en-US" w:eastAsia="zh-CN"/>
        </w:rPr>
        <w:t>履职效益</w:t>
      </w:r>
      <w:r>
        <w:rPr>
          <w:rFonts w:hint="eastAsia" w:ascii="仿宋_GB2312" w:hAnsi="仿宋" w:eastAsia="仿宋_GB2312" w:cs="宋体"/>
          <w:color w:val="auto"/>
          <w:kern w:val="0"/>
          <w:sz w:val="32"/>
          <w:szCs w:val="32"/>
          <w:highlight w:val="none"/>
          <w:lang w:val="en-US" w:eastAsia="zh-Hans"/>
        </w:rPr>
        <w:t>方面表现较好，但在投入</w:t>
      </w:r>
      <w:r>
        <w:rPr>
          <w:rFonts w:hint="eastAsia" w:ascii="仿宋_GB2312" w:hAnsi="仿宋" w:eastAsia="仿宋_GB2312" w:cs="宋体"/>
          <w:color w:val="auto"/>
          <w:kern w:val="0"/>
          <w:sz w:val="32"/>
          <w:szCs w:val="32"/>
          <w:highlight w:val="none"/>
          <w:lang w:val="en-US" w:eastAsia="zh-CN"/>
        </w:rPr>
        <w:t>、</w:t>
      </w:r>
      <w:r>
        <w:rPr>
          <w:rFonts w:hint="eastAsia" w:ascii="仿宋_GB2312" w:hAnsi="仿宋" w:eastAsia="仿宋_GB2312" w:cs="宋体"/>
          <w:color w:val="auto"/>
          <w:kern w:val="0"/>
          <w:sz w:val="32"/>
          <w:szCs w:val="32"/>
          <w:highlight w:val="none"/>
          <w:lang w:val="en-US" w:eastAsia="zh-Hans"/>
        </w:rPr>
        <w:t>过程</w:t>
      </w:r>
      <w:r>
        <w:rPr>
          <w:rFonts w:hint="eastAsia" w:ascii="仿宋_GB2312" w:hAnsi="仿宋" w:eastAsia="仿宋_GB2312" w:cs="宋体"/>
          <w:color w:val="auto"/>
          <w:kern w:val="0"/>
          <w:sz w:val="32"/>
          <w:szCs w:val="32"/>
          <w:highlight w:val="none"/>
          <w:lang w:val="en-US" w:eastAsia="zh-CN"/>
        </w:rPr>
        <w:t>和职责履行</w:t>
      </w:r>
      <w:r>
        <w:rPr>
          <w:rFonts w:hint="eastAsia" w:ascii="仿宋_GB2312" w:hAnsi="仿宋" w:eastAsia="仿宋_GB2312" w:cs="宋体"/>
          <w:color w:val="auto"/>
          <w:kern w:val="0"/>
          <w:sz w:val="32"/>
          <w:szCs w:val="32"/>
          <w:highlight w:val="none"/>
          <w:lang w:val="en-US" w:eastAsia="zh-Hans"/>
        </w:rPr>
        <w:t>方面存在一定问题。参照陕西省省级部门整体支出绩效评价管理办法及铜川市市级部门预算绩效目标管理暂行办法，评价结果分为优(</w:t>
      </w:r>
      <w:r>
        <w:rPr>
          <w:rFonts w:hint="default" w:ascii="仿宋_GB2312" w:hAnsi="仿宋" w:eastAsia="仿宋_GB2312" w:cs="宋体"/>
          <w:color w:val="auto"/>
          <w:kern w:val="0"/>
          <w:sz w:val="32"/>
          <w:szCs w:val="32"/>
          <w:highlight w:val="none"/>
          <w:lang w:eastAsia="zh-Hans"/>
        </w:rPr>
        <w:t>90</w:t>
      </w:r>
      <w:r>
        <w:rPr>
          <w:rFonts w:hint="eastAsia" w:ascii="仿宋_GB2312" w:hAnsi="仿宋" w:eastAsia="仿宋_GB2312" w:cs="宋体"/>
          <w:color w:val="auto"/>
          <w:kern w:val="0"/>
          <w:sz w:val="32"/>
          <w:szCs w:val="32"/>
          <w:highlight w:val="none"/>
          <w:lang w:val="en-US" w:eastAsia="zh-Hans"/>
        </w:rPr>
        <w:t>分以上)、良(8</w:t>
      </w:r>
      <w:r>
        <w:rPr>
          <w:rFonts w:hint="default" w:ascii="仿宋_GB2312" w:hAnsi="仿宋" w:eastAsia="仿宋_GB2312" w:cs="宋体"/>
          <w:color w:val="auto"/>
          <w:kern w:val="0"/>
          <w:sz w:val="32"/>
          <w:szCs w:val="32"/>
          <w:highlight w:val="none"/>
          <w:lang w:eastAsia="zh-Hans"/>
        </w:rPr>
        <w:t>0</w:t>
      </w:r>
      <w:r>
        <w:rPr>
          <w:rFonts w:hint="eastAsia" w:ascii="仿宋_GB2312" w:hAnsi="仿宋" w:eastAsia="仿宋_GB2312" w:cs="宋体"/>
          <w:color w:val="auto"/>
          <w:kern w:val="0"/>
          <w:sz w:val="32"/>
          <w:szCs w:val="32"/>
          <w:highlight w:val="none"/>
          <w:lang w:val="en-US" w:eastAsia="zh-Hans"/>
        </w:rPr>
        <w:t>含-</w:t>
      </w:r>
      <w:r>
        <w:rPr>
          <w:rFonts w:hint="default" w:ascii="仿宋_GB2312" w:hAnsi="仿宋" w:eastAsia="仿宋_GB2312" w:cs="宋体"/>
          <w:color w:val="auto"/>
          <w:kern w:val="0"/>
          <w:sz w:val="32"/>
          <w:szCs w:val="32"/>
          <w:highlight w:val="none"/>
          <w:lang w:eastAsia="zh-Hans"/>
        </w:rPr>
        <w:t>9</w:t>
      </w:r>
      <w:r>
        <w:rPr>
          <w:rFonts w:hint="eastAsia" w:ascii="仿宋_GB2312" w:hAnsi="仿宋" w:eastAsia="仿宋_GB2312" w:cs="宋体"/>
          <w:color w:val="auto"/>
          <w:kern w:val="0"/>
          <w:sz w:val="32"/>
          <w:szCs w:val="32"/>
          <w:highlight w:val="none"/>
          <w:lang w:val="en-US" w:eastAsia="zh-Hans"/>
        </w:rPr>
        <w:t>0分)、中(</w:t>
      </w:r>
      <w:r>
        <w:rPr>
          <w:rFonts w:hint="default" w:ascii="仿宋_GB2312" w:hAnsi="仿宋" w:eastAsia="仿宋_GB2312" w:cs="宋体"/>
          <w:color w:val="auto"/>
          <w:kern w:val="0"/>
          <w:sz w:val="32"/>
          <w:szCs w:val="32"/>
          <w:highlight w:val="none"/>
          <w:lang w:eastAsia="zh-Hans"/>
        </w:rPr>
        <w:t>60</w:t>
      </w:r>
      <w:r>
        <w:rPr>
          <w:rFonts w:hint="eastAsia" w:ascii="仿宋_GB2312" w:hAnsi="仿宋" w:eastAsia="仿宋_GB2312" w:cs="宋体"/>
          <w:color w:val="auto"/>
          <w:kern w:val="0"/>
          <w:sz w:val="32"/>
          <w:szCs w:val="32"/>
          <w:highlight w:val="none"/>
          <w:lang w:val="en-US" w:eastAsia="zh-Hans"/>
        </w:rPr>
        <w:t>含-</w:t>
      </w:r>
      <w:r>
        <w:rPr>
          <w:rFonts w:hint="default" w:ascii="仿宋_GB2312" w:hAnsi="仿宋" w:eastAsia="仿宋_GB2312" w:cs="宋体"/>
          <w:color w:val="auto"/>
          <w:kern w:val="0"/>
          <w:sz w:val="32"/>
          <w:szCs w:val="32"/>
          <w:highlight w:val="none"/>
          <w:lang w:eastAsia="zh-Hans"/>
        </w:rPr>
        <w:t>8</w:t>
      </w:r>
      <w:r>
        <w:rPr>
          <w:rFonts w:hint="eastAsia" w:ascii="仿宋_GB2312" w:hAnsi="仿宋" w:eastAsia="仿宋_GB2312" w:cs="宋体"/>
          <w:color w:val="auto"/>
          <w:kern w:val="0"/>
          <w:sz w:val="32"/>
          <w:szCs w:val="32"/>
          <w:highlight w:val="none"/>
          <w:lang w:val="en-US" w:eastAsia="zh-Hans"/>
        </w:rPr>
        <w:t>0分) 和差(</w:t>
      </w:r>
      <w:r>
        <w:rPr>
          <w:rFonts w:hint="default" w:ascii="仿宋_GB2312" w:hAnsi="仿宋" w:eastAsia="仿宋_GB2312" w:cs="宋体"/>
          <w:color w:val="auto"/>
          <w:kern w:val="0"/>
          <w:sz w:val="32"/>
          <w:szCs w:val="32"/>
          <w:highlight w:val="none"/>
          <w:lang w:eastAsia="zh-Hans"/>
        </w:rPr>
        <w:t>60</w:t>
      </w:r>
      <w:r>
        <w:rPr>
          <w:rFonts w:hint="eastAsia" w:ascii="仿宋_GB2312" w:hAnsi="仿宋" w:eastAsia="仿宋_GB2312" w:cs="宋体"/>
          <w:color w:val="auto"/>
          <w:kern w:val="0"/>
          <w:sz w:val="32"/>
          <w:szCs w:val="32"/>
          <w:highlight w:val="none"/>
          <w:lang w:val="en-US" w:eastAsia="zh-Hans"/>
        </w:rPr>
        <w:t>分以下)四个等次。经综合分析，该部门整体支出综合评价得分为</w:t>
      </w:r>
      <w:r>
        <w:rPr>
          <w:rFonts w:hint="eastAsia" w:ascii="仿宋_GB2312" w:hAnsi="仿宋" w:eastAsia="仿宋_GB2312" w:cs="宋体"/>
          <w:color w:val="auto"/>
          <w:kern w:val="0"/>
          <w:sz w:val="32"/>
          <w:szCs w:val="32"/>
          <w:highlight w:val="none"/>
          <w:lang w:val="en-US" w:eastAsia="zh-CN"/>
        </w:rPr>
        <w:t>88.14</w:t>
      </w:r>
      <w:r>
        <w:rPr>
          <w:rFonts w:hint="eastAsia" w:ascii="仿宋_GB2312" w:hAnsi="仿宋" w:eastAsia="仿宋_GB2312" w:cs="宋体"/>
          <w:color w:val="auto"/>
          <w:kern w:val="0"/>
          <w:sz w:val="32"/>
          <w:szCs w:val="32"/>
          <w:highlight w:val="none"/>
          <w:lang w:val="en-US" w:eastAsia="zh-Hans"/>
        </w:rPr>
        <w:t>分，绩效等级为“</w:t>
      </w:r>
      <w:r>
        <w:rPr>
          <w:rFonts w:hint="eastAsia" w:ascii="仿宋_GB2312" w:hAnsi="仿宋" w:eastAsia="仿宋_GB2312" w:cs="宋体"/>
          <w:color w:val="auto"/>
          <w:kern w:val="0"/>
          <w:sz w:val="32"/>
          <w:szCs w:val="32"/>
          <w:highlight w:val="none"/>
          <w:lang w:val="en-US" w:eastAsia="zh-CN"/>
        </w:rPr>
        <w:t>良</w:t>
      </w:r>
      <w:r>
        <w:rPr>
          <w:rFonts w:hint="eastAsia" w:ascii="仿宋_GB2312" w:hAnsi="仿宋" w:eastAsia="仿宋_GB2312" w:cs="宋体"/>
          <w:color w:val="auto"/>
          <w:kern w:val="0"/>
          <w:sz w:val="32"/>
          <w:szCs w:val="32"/>
          <w:highlight w:val="none"/>
          <w:lang w:val="en-US"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eastAsia" w:ascii="黑体" w:hAnsi="黑体" w:eastAsia="黑体" w:cs="黑体"/>
          <w:color w:val="auto"/>
          <w:kern w:val="0"/>
          <w:sz w:val="32"/>
          <w:szCs w:val="32"/>
          <w:highlight w:val="none"/>
          <w:lang w:val="en-US" w:eastAsia="zh-Hans"/>
        </w:rPr>
      </w:pPr>
      <w:r>
        <w:rPr>
          <w:rFonts w:hint="eastAsia" w:ascii="黑体" w:hAnsi="黑体" w:eastAsia="黑体" w:cs="黑体"/>
          <w:color w:val="auto"/>
          <w:kern w:val="0"/>
          <w:sz w:val="32"/>
          <w:szCs w:val="32"/>
          <w:highlight w:val="none"/>
          <w:lang w:val="en-US" w:eastAsia="zh-Hans"/>
        </w:rPr>
        <w:t>三</w:t>
      </w:r>
      <w:r>
        <w:rPr>
          <w:rFonts w:hint="default" w:ascii="黑体" w:hAnsi="黑体" w:eastAsia="黑体" w:cs="黑体"/>
          <w:color w:val="auto"/>
          <w:kern w:val="0"/>
          <w:sz w:val="32"/>
          <w:szCs w:val="32"/>
          <w:highlight w:val="none"/>
          <w:lang w:eastAsia="zh-Hans"/>
        </w:rPr>
        <w:t>、</w:t>
      </w:r>
      <w:r>
        <w:rPr>
          <w:rFonts w:hint="eastAsia" w:ascii="黑体" w:hAnsi="黑体" w:eastAsia="黑体" w:cs="黑体"/>
          <w:color w:val="auto"/>
          <w:kern w:val="0"/>
          <w:sz w:val="32"/>
          <w:szCs w:val="32"/>
          <w:highlight w:val="none"/>
          <w:lang w:val="en-US" w:eastAsia="zh-Hans"/>
        </w:rPr>
        <w:t>主要经验及做法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bidi="ar-SA"/>
        </w:rPr>
        <w:t>1.预算执行良好。2021年度部门履职期间，年度实现预算完全执行，财政资金充分使用。预算执行期间，按照3月底、6月底、9月底、11月底四个时间节点评估预算执行进度，预算执行进度效果良好，资金按计划进度有效支付</w:t>
      </w:r>
      <w:r>
        <w:rPr>
          <w:rFonts w:hint="eastAsia" w:ascii="仿宋" w:hAnsi="仿宋" w:eastAsia="仿宋" w:cs="仿宋"/>
          <w:color w:val="auto"/>
          <w:kern w:val="0"/>
          <w:sz w:val="32"/>
          <w:szCs w:val="32"/>
          <w:highlight w:val="none"/>
          <w:shd w:val="clear" w:color="auto" w:fill="FFFFFF"/>
          <w:lang w:val="en-US" w:eastAsia="zh-CN"/>
        </w:rPr>
        <w:t>。</w:t>
      </w:r>
    </w:p>
    <w:p>
      <w:pPr>
        <w:pStyle w:val="2"/>
        <w:keepNext w:val="0"/>
        <w:keepLines w:val="0"/>
        <w:pageBreakBefore w:val="0"/>
        <w:widowControl w:val="0"/>
        <w:kinsoku/>
        <w:wordWrap/>
        <w:overflowPunct/>
        <w:topLinePunct w:val="0"/>
        <w:autoSpaceDE w:val="0"/>
        <w:autoSpaceDN w:val="0"/>
        <w:bidi w:val="0"/>
        <w:adjustRightInd/>
        <w:snapToGrid/>
        <w:spacing w:before="0" w:line="600" w:lineRule="exact"/>
        <w:ind w:left="0" w:leftChars="0"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2.部门履职产出明显。部门年度履职完成市政道路建设进度，协调推进手续办理；抓好农村公路建设，做好交通项目服务保障；加快实施建筑工地复工，强化安全生产意识；进一步理顺物业管理体制，提升物业服务水平；完成房屋安全排查整治工作，确保群众住房安全；加快推进生活垃圾分类，建设建筑垃圾填埋场等各项年度任务计划和任务。</w:t>
      </w:r>
    </w:p>
    <w:p>
      <w:pPr>
        <w:pStyle w:val="3"/>
        <w:keepNext w:val="0"/>
        <w:keepLines w:val="0"/>
        <w:pageBreakBefore w:val="0"/>
        <w:kinsoku/>
        <w:wordWrap/>
        <w:overflowPunct/>
        <w:topLinePunct w:val="0"/>
        <w:bidi w:val="0"/>
        <w:adjustRightInd/>
        <w:snapToGrid/>
        <w:spacing w:line="600" w:lineRule="exact"/>
        <w:ind w:left="0" w:leftChars="0" w:firstLine="640" w:firstLineChars="200"/>
        <w:textAlignment w:val="auto"/>
        <w:rPr>
          <w:rFonts w:hint="default"/>
          <w:lang w:val="en-US" w:eastAsia="zh-Hans"/>
        </w:rPr>
      </w:pPr>
      <w:r>
        <w:rPr>
          <w:rFonts w:hint="eastAsia" w:ascii="仿宋" w:hAnsi="仿宋" w:eastAsia="仿宋" w:cs="仿宋"/>
          <w:color w:val="auto"/>
          <w:kern w:val="0"/>
          <w:sz w:val="32"/>
          <w:szCs w:val="32"/>
          <w:highlight w:val="none"/>
          <w:shd w:val="clear" w:color="auto" w:fill="FFFFFF"/>
          <w:lang w:val="en-US" w:eastAsia="zh-CN" w:bidi="ar-SA"/>
        </w:rPr>
        <w:t>3.履职效益显著。通过部门履职，有效推动辖区内居民人均可支配收入不断增加，新增地方固定资产投资超过40亿元。通过扬尘治理，有效改善空气质量，改善居住环境，空气质量优良天数不断增加，空气质量综合指数有效降低。部门履职期间，未发生发生农村公路、市政道路施工过程中的施工安全事故，有效保障施工安全和农村居住安全，为新区范围内居民居住和工程建设提供了持续的安全保障。</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eastAsia" w:ascii="黑体" w:hAnsi="黑体" w:eastAsia="黑体" w:cs="黑体"/>
          <w:color w:val="auto"/>
          <w:kern w:val="0"/>
          <w:sz w:val="32"/>
          <w:szCs w:val="32"/>
          <w:highlight w:val="none"/>
          <w:lang w:val="en-US" w:eastAsia="zh-Hans"/>
        </w:rPr>
      </w:pPr>
      <w:r>
        <w:rPr>
          <w:rFonts w:hint="eastAsia" w:ascii="黑体" w:hAnsi="黑体" w:eastAsia="黑体" w:cs="黑体"/>
          <w:color w:val="auto"/>
          <w:kern w:val="0"/>
          <w:sz w:val="32"/>
          <w:szCs w:val="32"/>
          <w:highlight w:val="none"/>
          <w:lang w:val="en-US" w:eastAsia="zh-Hans"/>
        </w:rPr>
        <w:t>四</w:t>
      </w:r>
      <w:r>
        <w:rPr>
          <w:rFonts w:hint="default" w:ascii="黑体" w:hAnsi="黑体" w:eastAsia="黑体" w:cs="黑体"/>
          <w:color w:val="auto"/>
          <w:kern w:val="0"/>
          <w:sz w:val="32"/>
          <w:szCs w:val="32"/>
          <w:highlight w:val="none"/>
          <w:lang w:eastAsia="zh-Hans"/>
        </w:rPr>
        <w:t>、</w:t>
      </w:r>
      <w:r>
        <w:rPr>
          <w:rFonts w:hint="eastAsia" w:ascii="黑体" w:hAnsi="黑体" w:eastAsia="黑体" w:cs="黑体"/>
          <w:color w:val="auto"/>
          <w:kern w:val="0"/>
          <w:sz w:val="32"/>
          <w:szCs w:val="32"/>
          <w:highlight w:val="none"/>
          <w:lang w:val="en-US" w:eastAsia="zh-Hans"/>
        </w:rPr>
        <w:t>存在的问题及建议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eastAsia" w:ascii="楷体" w:hAnsi="楷体" w:eastAsia="楷体" w:cs="楷体"/>
          <w:b/>
          <w:bCs/>
          <w:color w:val="auto"/>
          <w:kern w:val="0"/>
          <w:sz w:val="32"/>
          <w:szCs w:val="32"/>
          <w:highlight w:val="none"/>
          <w:lang w:val="en-US" w:eastAsia="zh-Hans"/>
        </w:rPr>
      </w:pPr>
      <w:r>
        <w:rPr>
          <w:rFonts w:hint="eastAsia" w:ascii="楷体" w:hAnsi="楷体" w:eastAsia="楷体" w:cs="楷体"/>
          <w:b/>
          <w:bCs/>
          <w:color w:val="auto"/>
          <w:kern w:val="0"/>
          <w:sz w:val="32"/>
          <w:szCs w:val="32"/>
          <w:highlight w:val="none"/>
          <w:lang w:eastAsia="zh-Hans"/>
        </w:rPr>
        <w:t>（</w:t>
      </w:r>
      <w:r>
        <w:rPr>
          <w:rFonts w:hint="eastAsia" w:ascii="楷体" w:hAnsi="楷体" w:eastAsia="楷体" w:cs="楷体"/>
          <w:b/>
          <w:bCs/>
          <w:color w:val="auto"/>
          <w:kern w:val="0"/>
          <w:sz w:val="32"/>
          <w:szCs w:val="32"/>
          <w:highlight w:val="none"/>
          <w:lang w:val="en-US" w:eastAsia="zh-Hans"/>
        </w:rPr>
        <w:t>一</w:t>
      </w:r>
      <w:r>
        <w:rPr>
          <w:rFonts w:hint="eastAsia" w:ascii="楷体" w:hAnsi="楷体" w:eastAsia="楷体" w:cs="楷体"/>
          <w:b/>
          <w:bCs/>
          <w:color w:val="auto"/>
          <w:kern w:val="0"/>
          <w:sz w:val="32"/>
          <w:szCs w:val="32"/>
          <w:highlight w:val="none"/>
          <w:lang w:eastAsia="zh-Hans"/>
        </w:rPr>
        <w:t>）</w:t>
      </w:r>
      <w:r>
        <w:rPr>
          <w:rFonts w:hint="eastAsia" w:ascii="楷体" w:hAnsi="楷体" w:eastAsia="楷体" w:cs="楷体"/>
          <w:b/>
          <w:bCs/>
          <w:color w:val="auto"/>
          <w:kern w:val="0"/>
          <w:sz w:val="32"/>
          <w:szCs w:val="32"/>
          <w:highlight w:val="none"/>
          <w:lang w:val="en-US" w:eastAsia="zh-Hans"/>
        </w:rPr>
        <w:t>存在的问题</w:t>
      </w:r>
    </w:p>
    <w:p>
      <w:pPr>
        <w:pStyle w:val="2"/>
        <w:keepNext w:val="0"/>
        <w:keepLines w:val="0"/>
        <w:pageBreakBefore w:val="0"/>
        <w:widowControl w:val="0"/>
        <w:kinsoku/>
        <w:wordWrap/>
        <w:overflowPunct/>
        <w:topLinePunct w:val="0"/>
        <w:autoSpaceDE w:val="0"/>
        <w:autoSpaceDN w:val="0"/>
        <w:bidi w:val="0"/>
        <w:adjustRightInd/>
        <w:snapToGrid/>
        <w:spacing w:before="190" w:line="240" w:lineRule="auto"/>
        <w:ind w:left="0" w:leftChars="0" w:right="0" w:rightChars="0" w:firstLine="643" w:firstLineChars="200"/>
        <w:jc w:val="left"/>
        <w:textAlignment w:val="auto"/>
        <w:outlineLvl w:val="9"/>
        <w:rPr>
          <w:rFonts w:hint="eastAsia" w:ascii="仿宋" w:hAnsi="仿宋" w:eastAsia="仿宋" w:cs="仿宋"/>
          <w:b/>
          <w:bCs/>
          <w:color w:val="auto"/>
          <w:kern w:val="0"/>
          <w:sz w:val="32"/>
          <w:szCs w:val="32"/>
          <w:highlight w:val="none"/>
          <w:shd w:val="clear" w:color="auto" w:fill="FFFFFF"/>
          <w:lang w:val="en-US" w:eastAsia="zh-Hans" w:bidi="ar-SA"/>
        </w:rPr>
      </w:pPr>
      <w:r>
        <w:rPr>
          <w:rFonts w:hint="default" w:ascii="仿宋" w:hAnsi="仿宋" w:eastAsia="仿宋" w:cs="仿宋"/>
          <w:b/>
          <w:bCs/>
          <w:color w:val="auto"/>
          <w:kern w:val="0"/>
          <w:sz w:val="32"/>
          <w:szCs w:val="32"/>
          <w:highlight w:val="none"/>
          <w:shd w:val="clear" w:color="auto" w:fill="FFFFFF"/>
          <w:lang w:val="en-US" w:eastAsia="zh-Hans" w:bidi="ar-SA"/>
        </w:rPr>
        <w:t>1</w:t>
      </w:r>
      <w:r>
        <w:rPr>
          <w:rFonts w:hint="eastAsia" w:ascii="仿宋" w:hAnsi="仿宋" w:eastAsia="仿宋" w:cs="仿宋"/>
          <w:b/>
          <w:bCs/>
          <w:color w:val="auto"/>
          <w:kern w:val="0"/>
          <w:sz w:val="32"/>
          <w:szCs w:val="32"/>
          <w:highlight w:val="none"/>
          <w:shd w:val="clear" w:color="auto" w:fill="FFFFFF"/>
          <w:lang w:val="en-US" w:eastAsia="zh-Hans" w:bidi="ar-SA"/>
        </w:rPr>
        <w:t>.</w:t>
      </w:r>
      <w:r>
        <w:rPr>
          <w:rFonts w:hint="eastAsia" w:ascii="楷体" w:hAnsi="楷体" w:eastAsia="楷体" w:cs="楷体"/>
          <w:b/>
          <w:bCs/>
          <w:color w:val="auto"/>
          <w:kern w:val="0"/>
          <w:sz w:val="32"/>
          <w:szCs w:val="32"/>
          <w:highlight w:val="none"/>
          <w:shd w:val="clear" w:color="auto" w:fill="FFFFFF"/>
          <w:lang w:val="en-US" w:eastAsia="zh-CN"/>
        </w:rPr>
        <w:t>绩效目标管理工作有待加强</w:t>
      </w:r>
      <w:r>
        <w:rPr>
          <w:rFonts w:hint="eastAsia" w:ascii="仿宋" w:hAnsi="仿宋" w:eastAsia="仿宋" w:cs="仿宋"/>
          <w:b/>
          <w:bCs/>
          <w:color w:val="auto"/>
          <w:kern w:val="0"/>
          <w:sz w:val="32"/>
          <w:szCs w:val="32"/>
          <w:highlight w:val="none"/>
          <w:shd w:val="clear" w:color="auto" w:fill="FFFFFF"/>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 w:eastAsia="仿宋_GB2312" w:cs="宋体"/>
          <w:color w:val="auto"/>
          <w:kern w:val="0"/>
          <w:sz w:val="32"/>
          <w:szCs w:val="32"/>
          <w:highlight w:val="none"/>
          <w:lang w:eastAsia="zh-Hans"/>
        </w:rPr>
      </w:pPr>
      <w:r>
        <w:rPr>
          <w:rFonts w:hint="eastAsia" w:ascii="仿宋" w:hAnsi="仿宋" w:eastAsia="仿宋" w:cs="仿宋"/>
          <w:color w:val="auto"/>
          <w:kern w:val="0"/>
          <w:sz w:val="32"/>
          <w:szCs w:val="32"/>
          <w:highlight w:val="none"/>
          <w:shd w:val="clear" w:color="auto" w:fill="FFFFFF"/>
          <w:lang w:val="en-US" w:eastAsia="zh-CN"/>
        </w:rPr>
        <w:t>部门年初编制部门综合预算时，未同步编制部门整体支出绩效目标体系，未根据部门中长期发展规划和部门职责，制定部门年度绩效目标。</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190" w:line="240" w:lineRule="auto"/>
        <w:ind w:right="0" w:rightChars="0" w:firstLine="643" w:firstLineChars="200"/>
        <w:jc w:val="left"/>
        <w:textAlignment w:val="auto"/>
        <w:outlineLvl w:val="9"/>
        <w:rPr>
          <w:rFonts w:hint="eastAsia" w:ascii="仿宋" w:hAnsi="仿宋" w:eastAsia="仿宋" w:cs="仿宋"/>
          <w:b/>
          <w:bCs/>
          <w:color w:val="auto"/>
          <w:kern w:val="0"/>
          <w:sz w:val="32"/>
          <w:szCs w:val="32"/>
          <w:highlight w:val="none"/>
          <w:shd w:val="clear" w:color="auto" w:fill="FFFFFF"/>
          <w:lang w:val="en-US" w:eastAsia="zh-Hans" w:bidi="ar-SA"/>
        </w:rPr>
      </w:pPr>
      <w:r>
        <w:rPr>
          <w:rFonts w:hint="eastAsia" w:ascii="楷体" w:hAnsi="楷体" w:eastAsia="楷体" w:cs="楷体"/>
          <w:b/>
          <w:bCs/>
          <w:color w:val="auto"/>
          <w:kern w:val="0"/>
          <w:sz w:val="32"/>
          <w:szCs w:val="32"/>
          <w:highlight w:val="none"/>
          <w:shd w:val="clear" w:color="auto" w:fill="FFFFFF"/>
          <w:lang w:val="en-US" w:eastAsia="zh-CN"/>
        </w:rPr>
        <w:t>2.部门公用经费控制需进一步提升</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right="0" w:rightChars="0" w:firstLine="640" w:firstLineChars="200"/>
        <w:jc w:val="left"/>
        <w:textAlignment w:val="auto"/>
        <w:outlineLvl w:val="9"/>
        <w:rPr>
          <w:rFonts w:hint="eastAsia" w:ascii="仿宋" w:hAnsi="仿宋" w:eastAsia="仿宋" w:cs="仿宋"/>
          <w:b/>
          <w:bCs/>
          <w:color w:val="auto"/>
          <w:kern w:val="0"/>
          <w:sz w:val="32"/>
          <w:szCs w:val="32"/>
          <w:highlight w:val="none"/>
          <w:shd w:val="clear" w:color="auto" w:fill="FFFFFF"/>
          <w:lang w:val="en-US" w:eastAsia="zh-Hans" w:bidi="ar-SA"/>
        </w:rPr>
      </w:pPr>
      <w:r>
        <w:rPr>
          <w:rFonts w:hint="eastAsia" w:ascii="仿宋" w:hAnsi="仿宋" w:eastAsia="仿宋" w:cs="仿宋"/>
          <w:color w:val="auto"/>
          <w:kern w:val="0"/>
          <w:sz w:val="32"/>
          <w:szCs w:val="32"/>
          <w:highlight w:val="none"/>
          <w:shd w:val="clear" w:color="auto" w:fill="FFFFFF"/>
          <w:lang w:val="en-US" w:eastAsia="zh-CN"/>
        </w:rPr>
        <w:t>2021年度部门公用经费支出预算数为51.15万元，年终决算时，年度公用经费支出决算数据为118.46万元，公用经费相比年初预算安排，预算调整较大，实际支出较大幅度超出年初预算安排。</w:t>
      </w:r>
      <w:r>
        <w:rPr>
          <w:rFonts w:hint="eastAsia" w:ascii="仿宋" w:hAnsi="仿宋" w:eastAsia="仿宋" w:cs="仿宋"/>
          <w:color w:val="auto"/>
          <w:kern w:val="0"/>
          <w:sz w:val="32"/>
          <w:szCs w:val="32"/>
          <w:highlight w:val="none"/>
          <w:shd w:val="clear" w:color="auto" w:fill="FFFFFF"/>
          <w:lang w:val="en-US" w:eastAsia="zh-CN" w:bidi="ar-SA"/>
        </w:rPr>
        <w:t>。</w:t>
      </w:r>
    </w:p>
    <w:p>
      <w:pPr>
        <w:pStyle w:val="2"/>
        <w:keepNext w:val="0"/>
        <w:keepLines w:val="0"/>
        <w:pageBreakBefore w:val="0"/>
        <w:widowControl w:val="0"/>
        <w:kinsoku/>
        <w:wordWrap/>
        <w:overflowPunct/>
        <w:topLinePunct w:val="0"/>
        <w:autoSpaceDE w:val="0"/>
        <w:autoSpaceDN w:val="0"/>
        <w:bidi w:val="0"/>
        <w:adjustRightInd/>
        <w:snapToGrid/>
        <w:spacing w:before="190" w:line="240" w:lineRule="auto"/>
        <w:ind w:left="0" w:leftChars="0" w:right="0" w:rightChars="0" w:firstLine="643" w:firstLineChars="200"/>
        <w:jc w:val="left"/>
        <w:textAlignment w:val="auto"/>
        <w:outlineLvl w:val="9"/>
        <w:rPr>
          <w:rFonts w:hint="eastAsia" w:ascii="仿宋_GB2312" w:hAnsi="仿宋" w:eastAsia="仿宋_GB2312" w:cs="宋体"/>
          <w:b/>
          <w:bCs/>
          <w:color w:val="auto"/>
          <w:kern w:val="0"/>
          <w:sz w:val="32"/>
          <w:szCs w:val="32"/>
          <w:highlight w:val="none"/>
          <w:lang w:val="en-US" w:eastAsia="zh-CN" w:bidi="ar-SA"/>
        </w:rPr>
      </w:pPr>
      <w:r>
        <w:rPr>
          <w:rFonts w:hint="eastAsia" w:ascii="楷体" w:hAnsi="楷体" w:eastAsia="楷体" w:cs="楷体"/>
          <w:b/>
          <w:bCs/>
          <w:color w:val="auto"/>
          <w:kern w:val="0"/>
          <w:sz w:val="32"/>
          <w:szCs w:val="32"/>
          <w:highlight w:val="none"/>
          <w:shd w:val="clear" w:color="auto" w:fill="FFFFFF"/>
          <w:lang w:val="en-US" w:eastAsia="zh-CN"/>
        </w:rPr>
        <w:t>3.政府采购执行有待加强</w:t>
      </w:r>
      <w:r>
        <w:rPr>
          <w:rFonts w:hint="eastAsia" w:ascii="仿宋_GB2312" w:hAnsi="仿宋" w:eastAsia="仿宋_GB2312" w:cs="宋体"/>
          <w:b/>
          <w:bCs/>
          <w:color w:val="auto"/>
          <w:kern w:val="0"/>
          <w:sz w:val="32"/>
          <w:szCs w:val="32"/>
          <w:highlight w:val="none"/>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 w:eastAsia="仿宋_GB2312" w:cs="宋体"/>
          <w:color w:val="auto"/>
          <w:kern w:val="0"/>
          <w:sz w:val="32"/>
          <w:szCs w:val="32"/>
          <w:highlight w:val="none"/>
          <w:lang w:val="en-US" w:eastAsia="zh-Hans"/>
        </w:rPr>
      </w:pPr>
      <w:r>
        <w:rPr>
          <w:rFonts w:hint="eastAsia" w:ascii="仿宋" w:hAnsi="仿宋" w:eastAsia="仿宋" w:cs="仿宋"/>
          <w:color w:val="auto"/>
          <w:kern w:val="0"/>
          <w:sz w:val="32"/>
          <w:szCs w:val="32"/>
          <w:highlight w:val="none"/>
          <w:shd w:val="clear" w:color="auto" w:fill="FFFFFF"/>
          <w:lang w:val="en-US" w:eastAsia="zh-CN" w:bidi="ar-SA"/>
        </w:rPr>
        <w:t>2021年度部门政府采购执行力度不足，经核准的采购计划，采购执行率不足，实际采购金额相比与采购计划预算出现偏离，政府采购执行管理有待提升</w:t>
      </w:r>
      <w:r>
        <w:rPr>
          <w:rFonts w:hint="default" w:ascii="仿宋_GB2312" w:hAnsi="仿宋" w:eastAsia="仿宋_GB2312" w:cs="宋体"/>
          <w:color w:val="auto"/>
          <w:kern w:val="0"/>
          <w:sz w:val="32"/>
          <w:szCs w:val="32"/>
          <w:highlight w:val="none"/>
          <w:lang w:val="en-US"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eastAsia" w:ascii="楷体" w:hAnsi="楷体" w:eastAsia="楷体" w:cs="楷体"/>
          <w:b/>
          <w:bCs/>
          <w:color w:val="auto"/>
          <w:kern w:val="0"/>
          <w:sz w:val="32"/>
          <w:szCs w:val="32"/>
          <w:highlight w:val="none"/>
          <w:lang w:eastAsia="zh-Hans"/>
        </w:rPr>
      </w:pPr>
      <w:r>
        <w:rPr>
          <w:rFonts w:hint="default" w:ascii="楷体" w:hAnsi="楷体" w:eastAsia="楷体" w:cs="楷体"/>
          <w:b/>
          <w:bCs/>
          <w:color w:val="auto"/>
          <w:kern w:val="0"/>
          <w:sz w:val="32"/>
          <w:szCs w:val="32"/>
          <w:highlight w:val="none"/>
          <w:lang w:eastAsia="zh-Hans"/>
        </w:rPr>
        <w:t>（</w:t>
      </w:r>
      <w:r>
        <w:rPr>
          <w:rFonts w:hint="eastAsia" w:ascii="楷体" w:hAnsi="楷体" w:eastAsia="楷体" w:cs="楷体"/>
          <w:b/>
          <w:bCs/>
          <w:color w:val="auto"/>
          <w:kern w:val="0"/>
          <w:sz w:val="32"/>
          <w:szCs w:val="32"/>
          <w:highlight w:val="none"/>
          <w:lang w:val="en-US" w:eastAsia="zh-Hans"/>
        </w:rPr>
        <w:t>二</w:t>
      </w:r>
      <w:r>
        <w:rPr>
          <w:rFonts w:hint="default" w:ascii="楷体" w:hAnsi="楷体" w:eastAsia="楷体" w:cs="楷体"/>
          <w:b/>
          <w:bCs/>
          <w:color w:val="auto"/>
          <w:kern w:val="0"/>
          <w:sz w:val="32"/>
          <w:szCs w:val="32"/>
          <w:highlight w:val="none"/>
          <w:lang w:eastAsia="zh-Hans"/>
        </w:rPr>
        <w:t>）</w:t>
      </w:r>
      <w:r>
        <w:rPr>
          <w:rFonts w:hint="eastAsia" w:ascii="楷体" w:hAnsi="楷体" w:eastAsia="楷体" w:cs="楷体"/>
          <w:b/>
          <w:bCs/>
          <w:color w:val="auto"/>
          <w:kern w:val="0"/>
          <w:sz w:val="32"/>
          <w:szCs w:val="32"/>
          <w:highlight w:val="none"/>
          <w:lang w:val="en-US" w:eastAsia="zh-Hans"/>
        </w:rPr>
        <w:t>有关建议</w:t>
      </w:r>
    </w:p>
    <w:p>
      <w:pPr>
        <w:pStyle w:val="2"/>
        <w:keepNext w:val="0"/>
        <w:keepLines w:val="0"/>
        <w:pageBreakBefore w:val="0"/>
        <w:widowControl w:val="0"/>
        <w:kinsoku/>
        <w:wordWrap/>
        <w:overflowPunct/>
        <w:topLinePunct w:val="0"/>
        <w:autoSpaceDE w:val="0"/>
        <w:autoSpaceDN w:val="0"/>
        <w:bidi w:val="0"/>
        <w:adjustRightInd/>
        <w:snapToGrid/>
        <w:spacing w:before="0" w:line="600" w:lineRule="exact"/>
        <w:ind w:left="0" w:leftChars="0" w:right="0" w:rightChars="0" w:firstLine="643" w:firstLineChars="200"/>
        <w:jc w:val="left"/>
        <w:textAlignment w:val="auto"/>
        <w:outlineLvl w:val="9"/>
        <w:rPr>
          <w:rFonts w:hint="default" w:ascii="仿宋_GB2312" w:hAnsi="仿宋_GB2312" w:eastAsia="仿宋_GB2312" w:cs="仿宋_GB2312"/>
          <w:b/>
          <w:bCs/>
          <w:color w:val="auto"/>
          <w:kern w:val="0"/>
          <w:sz w:val="32"/>
          <w:szCs w:val="32"/>
          <w:highlight w:val="none"/>
          <w:lang w:eastAsia="zh-Hans"/>
        </w:rPr>
      </w:pPr>
      <w:r>
        <w:rPr>
          <w:rFonts w:hint="default" w:ascii="仿宋" w:hAnsi="仿宋" w:eastAsia="仿宋" w:cs="仿宋"/>
          <w:b/>
          <w:bCs/>
          <w:color w:val="auto"/>
          <w:kern w:val="0"/>
          <w:sz w:val="32"/>
          <w:szCs w:val="32"/>
          <w:highlight w:val="none"/>
          <w:shd w:val="clear" w:color="auto" w:fill="FFFFFF"/>
          <w:lang w:val="en-US" w:eastAsia="zh-Hans" w:bidi="ar-SA"/>
        </w:rPr>
        <w:t>1</w:t>
      </w:r>
      <w:r>
        <w:rPr>
          <w:rFonts w:hint="eastAsia" w:ascii="仿宋" w:hAnsi="仿宋" w:eastAsia="仿宋" w:cs="仿宋"/>
          <w:b/>
          <w:bCs/>
          <w:color w:val="auto"/>
          <w:kern w:val="0"/>
          <w:sz w:val="32"/>
          <w:szCs w:val="32"/>
          <w:highlight w:val="none"/>
          <w:shd w:val="clear" w:color="auto" w:fill="FFFFFF"/>
          <w:lang w:val="en-US" w:eastAsia="zh-Hans" w:bidi="ar-SA"/>
        </w:rPr>
        <w:t>.</w:t>
      </w:r>
      <w:r>
        <w:rPr>
          <w:rFonts w:hint="eastAsia" w:ascii="楷体" w:hAnsi="楷体" w:eastAsia="楷体" w:cs="楷体"/>
          <w:b/>
          <w:bCs/>
          <w:color w:val="auto"/>
          <w:kern w:val="0"/>
          <w:sz w:val="32"/>
          <w:szCs w:val="32"/>
          <w:highlight w:val="none"/>
          <w:shd w:val="clear" w:color="auto" w:fill="FFFFFF"/>
          <w:lang w:val="en-US" w:eastAsia="zh-CN"/>
        </w:rPr>
        <w:t>强化绩效目标设置</w:t>
      </w:r>
      <w:r>
        <w:rPr>
          <w:rFonts w:hint="eastAsia" w:ascii="仿宋" w:hAnsi="仿宋" w:eastAsia="仿宋" w:cs="仿宋"/>
          <w:b/>
          <w:bCs/>
          <w:color w:val="auto"/>
          <w:kern w:val="0"/>
          <w:sz w:val="32"/>
          <w:szCs w:val="32"/>
          <w:highlight w:val="none"/>
          <w:shd w:val="clear" w:color="auto" w:fill="FFFFFF"/>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 w:eastAsia="仿宋_GB2312" w:cs="宋体"/>
          <w:color w:val="auto"/>
          <w:kern w:val="0"/>
          <w:sz w:val="32"/>
          <w:szCs w:val="32"/>
          <w:highlight w:val="none"/>
          <w:lang w:val="en-US" w:eastAsia="zh-Hans"/>
        </w:rPr>
      </w:pPr>
      <w:r>
        <w:rPr>
          <w:rFonts w:hint="eastAsia" w:ascii="仿宋" w:hAnsi="仿宋" w:eastAsia="仿宋" w:cs="仿宋"/>
          <w:color w:val="auto"/>
          <w:kern w:val="0"/>
          <w:sz w:val="32"/>
          <w:szCs w:val="32"/>
          <w:highlight w:val="none"/>
          <w:shd w:val="clear" w:color="auto" w:fill="FFFFFF"/>
          <w:lang w:val="en-US" w:eastAsia="zh-CN"/>
        </w:rPr>
        <w:t>加强绩效目标管理工作，成立部门预算绩效管理工作组，为实施全过程预算绩效管理做好组织保障和人员配置。做好部门相关人员预算绩效管理培训工作，重点加强绩效目标管理培训，掌握绩效目标设定原则和设定标准，充分考量绩效目标内容全面性、目标合理性、指标明确性、数据可得性等多方面，加强部门内部绩效目标自审核，提升绩效目标的科学性、完整性</w:t>
      </w:r>
      <w:r>
        <w:rPr>
          <w:rFonts w:hint="default" w:ascii="仿宋_GB2312" w:hAnsi="仿宋" w:eastAsia="仿宋_GB2312" w:cs="宋体"/>
          <w:color w:val="auto"/>
          <w:kern w:val="0"/>
          <w:sz w:val="32"/>
          <w:szCs w:val="32"/>
          <w:highlight w:val="none"/>
          <w:lang w:val="en-US" w:eastAsia="zh-Hans"/>
        </w:rPr>
        <w:t>。</w:t>
      </w:r>
    </w:p>
    <w:p>
      <w:pPr>
        <w:pStyle w:val="2"/>
        <w:rPr>
          <w:rFonts w:hint="default"/>
          <w:lang w:eastAsia="zh-Hans"/>
        </w:rPr>
      </w:pPr>
    </w:p>
    <w:p>
      <w:pPr>
        <w:pStyle w:val="2"/>
        <w:keepNext w:val="0"/>
        <w:keepLines w:val="0"/>
        <w:pageBreakBefore w:val="0"/>
        <w:widowControl w:val="0"/>
        <w:kinsoku/>
        <w:wordWrap/>
        <w:overflowPunct/>
        <w:topLinePunct w:val="0"/>
        <w:autoSpaceDE w:val="0"/>
        <w:autoSpaceDN w:val="0"/>
        <w:bidi w:val="0"/>
        <w:adjustRightInd/>
        <w:snapToGrid/>
        <w:spacing w:before="190" w:line="240" w:lineRule="auto"/>
        <w:ind w:left="0" w:leftChars="0" w:right="0" w:rightChars="0" w:firstLine="643" w:firstLineChars="200"/>
        <w:jc w:val="left"/>
        <w:textAlignment w:val="auto"/>
        <w:outlineLvl w:val="9"/>
        <w:rPr>
          <w:rFonts w:hint="default" w:ascii="仿宋" w:hAnsi="仿宋" w:eastAsia="仿宋" w:cs="仿宋"/>
          <w:b/>
          <w:bCs/>
          <w:color w:val="auto"/>
          <w:kern w:val="0"/>
          <w:sz w:val="32"/>
          <w:szCs w:val="32"/>
          <w:highlight w:val="none"/>
          <w:shd w:val="clear" w:color="auto" w:fill="FFFFFF"/>
          <w:lang w:val="en-US" w:eastAsia="zh-Hans" w:bidi="ar-SA"/>
        </w:rPr>
      </w:pPr>
      <w:r>
        <w:rPr>
          <w:rFonts w:hint="eastAsia" w:ascii="仿宋" w:hAnsi="仿宋" w:eastAsia="仿宋" w:cs="仿宋"/>
          <w:b/>
          <w:bCs/>
          <w:color w:val="auto"/>
          <w:kern w:val="0"/>
          <w:sz w:val="32"/>
          <w:szCs w:val="32"/>
          <w:highlight w:val="none"/>
          <w:shd w:val="clear" w:color="auto" w:fill="FFFFFF"/>
          <w:lang w:val="en-US" w:eastAsia="zh-CN" w:bidi="ar-SA"/>
        </w:rPr>
        <w:t>2</w:t>
      </w:r>
      <w:r>
        <w:rPr>
          <w:rFonts w:hint="eastAsia" w:ascii="仿宋" w:hAnsi="仿宋" w:eastAsia="仿宋" w:cs="仿宋"/>
          <w:b/>
          <w:bCs/>
          <w:color w:val="auto"/>
          <w:kern w:val="0"/>
          <w:sz w:val="32"/>
          <w:szCs w:val="32"/>
          <w:highlight w:val="none"/>
          <w:shd w:val="clear" w:color="auto" w:fill="FFFFFF"/>
          <w:lang w:val="en-US" w:eastAsia="zh-Hans" w:bidi="ar-SA"/>
        </w:rPr>
        <w:t>.加强部门成本控制，落实“过紧日子”思想</w:t>
      </w:r>
      <w:r>
        <w:rPr>
          <w:rFonts w:hint="eastAsia" w:ascii="仿宋" w:hAnsi="仿宋" w:eastAsia="仿宋" w:cs="仿宋"/>
          <w:b/>
          <w:bCs/>
          <w:color w:val="auto"/>
          <w:kern w:val="0"/>
          <w:sz w:val="32"/>
          <w:szCs w:val="32"/>
          <w:highlight w:val="none"/>
          <w:shd w:val="clear" w:color="auto" w:fill="FFFFFF"/>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 w:eastAsia="仿宋_GB2312" w:cs="宋体"/>
          <w:color w:val="auto"/>
          <w:kern w:val="0"/>
          <w:sz w:val="32"/>
          <w:szCs w:val="32"/>
          <w:highlight w:val="none"/>
          <w:lang w:eastAsia="zh-Hans"/>
        </w:rPr>
      </w:pPr>
      <w:r>
        <w:rPr>
          <w:rFonts w:hint="eastAsia" w:ascii="仿宋" w:hAnsi="仿宋" w:eastAsia="仿宋" w:cs="仿宋"/>
          <w:color w:val="auto"/>
          <w:kern w:val="0"/>
          <w:sz w:val="32"/>
          <w:szCs w:val="32"/>
          <w:highlight w:val="none"/>
          <w:shd w:val="clear" w:color="auto" w:fill="FFFFFF"/>
          <w:lang w:val="en-US" w:eastAsia="zh-CN"/>
        </w:rPr>
        <w:t>建议部门不断加强“公用经费”、“三公经费”等费用支出控制，在保障工作效率和服务效果的基础上，提升重点行政运行成本的努力程度。不断完善财务管理制度，建立部门成本管控制度和管理机制，提升部门成本管控力度，优化财政资源分配结构</w:t>
      </w:r>
      <w:r>
        <w:rPr>
          <w:rFonts w:hint="default" w:ascii="仿宋_GB2312" w:hAnsi="仿宋" w:eastAsia="仿宋_GB2312" w:cs="宋体"/>
          <w:color w:val="auto"/>
          <w:kern w:val="0"/>
          <w:sz w:val="32"/>
          <w:szCs w:val="32"/>
          <w:highlight w:val="none"/>
          <w:lang w:eastAsia="zh-Hans"/>
        </w:rPr>
        <w:t>。</w:t>
      </w:r>
    </w:p>
    <w:p>
      <w:pPr>
        <w:pStyle w:val="2"/>
        <w:numPr>
          <w:ilvl w:val="0"/>
          <w:numId w:val="0"/>
        </w:numPr>
        <w:ind w:firstLine="643" w:firstLineChars="200"/>
        <w:rPr>
          <w:rFonts w:hint="eastAsia" w:ascii="楷体" w:hAnsi="楷体" w:eastAsia="楷体" w:cs="楷体"/>
          <w:b/>
          <w:bCs/>
          <w:color w:val="auto"/>
          <w:kern w:val="0"/>
          <w:sz w:val="32"/>
          <w:szCs w:val="32"/>
          <w:highlight w:val="none"/>
          <w:shd w:val="clear" w:color="auto" w:fill="FFFFFF"/>
          <w:lang w:val="en-US" w:eastAsia="zh-CN" w:bidi="ar-SA"/>
        </w:rPr>
      </w:pPr>
      <w:r>
        <w:rPr>
          <w:rFonts w:hint="eastAsia" w:ascii="楷体" w:hAnsi="楷体" w:eastAsia="楷体" w:cs="楷体"/>
          <w:b/>
          <w:bCs/>
          <w:color w:val="auto"/>
          <w:kern w:val="0"/>
          <w:sz w:val="32"/>
          <w:szCs w:val="32"/>
          <w:highlight w:val="none"/>
          <w:shd w:val="clear" w:color="auto" w:fill="FFFFFF"/>
          <w:lang w:val="en-US" w:eastAsia="zh-CN" w:bidi="ar-SA"/>
        </w:rPr>
        <w:t>3.强化部门采购管理，做好部门采购计划编制</w:t>
      </w:r>
    </w:p>
    <w:p>
      <w:pPr>
        <w:pStyle w:val="2"/>
        <w:keepNext w:val="0"/>
        <w:keepLines w:val="0"/>
        <w:pageBreakBefore w:val="0"/>
        <w:widowControl w:val="0"/>
        <w:kinsoku/>
        <w:wordWrap/>
        <w:overflowPunct/>
        <w:topLinePunct w:val="0"/>
        <w:autoSpaceDE w:val="0"/>
        <w:autoSpaceDN w:val="0"/>
        <w:bidi w:val="0"/>
        <w:adjustRightInd/>
        <w:snapToGrid/>
        <w:spacing w:before="0" w:line="600" w:lineRule="exact"/>
        <w:ind w:left="0" w:firstLine="640" w:firstLineChars="200"/>
        <w:textAlignment w:val="auto"/>
        <w:rPr>
          <w:rFonts w:hint="default" w:ascii="仿宋" w:hAnsi="仿宋" w:eastAsia="仿宋" w:cs="仿宋"/>
          <w:color w:val="auto"/>
          <w:kern w:val="0"/>
          <w:sz w:val="32"/>
          <w:szCs w:val="32"/>
          <w:highlight w:val="none"/>
          <w:shd w:val="clear" w:color="auto" w:fill="FFFFFF"/>
          <w:lang w:val="en-US" w:eastAsia="zh-Hans" w:bidi="ar-SA"/>
        </w:rPr>
      </w:pPr>
      <w:r>
        <w:rPr>
          <w:rFonts w:hint="eastAsia" w:ascii="仿宋" w:hAnsi="仿宋" w:eastAsia="仿宋" w:cs="仿宋"/>
          <w:color w:val="auto"/>
          <w:kern w:val="0"/>
          <w:sz w:val="32"/>
          <w:szCs w:val="32"/>
          <w:highlight w:val="none"/>
          <w:shd w:val="clear" w:color="auto" w:fill="FFFFFF"/>
          <w:lang w:val="en-US" w:eastAsia="zh-CN" w:bidi="ar-SA"/>
        </w:rPr>
        <w:t>建议部门年初系统梳理年度目标和工作任务，对标部门基础数据和信息支撑。梳理部门采购需求清单，评估采购计划合理性，开展深入市场调研，提升采购预算编制合理性和可行性，提高资金使用效率，优化财政资源配置。</w:t>
      </w:r>
    </w:p>
    <w:p>
      <w:pPr>
        <w:pStyle w:val="2"/>
        <w:rPr>
          <w:rFonts w:hint="default" w:ascii="仿宋_GB2312" w:hAnsi="仿宋" w:eastAsia="仿宋_GB2312" w:cs="宋体"/>
          <w:color w:val="auto"/>
          <w:kern w:val="0"/>
          <w:sz w:val="32"/>
          <w:szCs w:val="32"/>
          <w:highlight w:val="none"/>
          <w:lang w:eastAsia="zh-Hans"/>
        </w:rPr>
      </w:pPr>
    </w:p>
    <w:p>
      <w:pPr>
        <w:pStyle w:val="2"/>
        <w:rPr>
          <w:rFonts w:hint="default" w:ascii="仿宋_GB2312" w:hAnsi="仿宋" w:eastAsia="仿宋_GB2312" w:cs="宋体"/>
          <w:color w:val="auto"/>
          <w:kern w:val="0"/>
          <w:sz w:val="32"/>
          <w:szCs w:val="32"/>
          <w:highlight w:val="none"/>
          <w:lang w:eastAsia="zh-Hans"/>
        </w:rPr>
      </w:pPr>
    </w:p>
    <w:p>
      <w:pPr>
        <w:pStyle w:val="2"/>
        <w:rPr>
          <w:rFonts w:hint="default" w:ascii="仿宋_GB2312" w:hAnsi="仿宋" w:eastAsia="仿宋_GB2312" w:cs="宋体"/>
          <w:color w:val="auto"/>
          <w:kern w:val="0"/>
          <w:sz w:val="32"/>
          <w:szCs w:val="32"/>
          <w:highlight w:val="none"/>
          <w:lang w:eastAsia="zh-Hans"/>
        </w:rPr>
      </w:pPr>
    </w:p>
    <w:p>
      <w:pPr>
        <w:pStyle w:val="2"/>
        <w:rPr>
          <w:rFonts w:hint="default" w:ascii="仿宋_GB2312" w:hAnsi="仿宋" w:eastAsia="仿宋_GB2312" w:cs="宋体"/>
          <w:color w:val="auto"/>
          <w:kern w:val="0"/>
          <w:sz w:val="32"/>
          <w:szCs w:val="32"/>
          <w:highlight w:val="none"/>
          <w:lang w:eastAsia="zh-Hans"/>
        </w:rPr>
      </w:pPr>
    </w:p>
    <w:p>
      <w:pPr>
        <w:pStyle w:val="2"/>
        <w:rPr>
          <w:rFonts w:hint="default" w:ascii="仿宋_GB2312" w:hAnsi="仿宋" w:eastAsia="仿宋_GB2312" w:cs="宋体"/>
          <w:color w:val="auto"/>
          <w:kern w:val="0"/>
          <w:sz w:val="32"/>
          <w:szCs w:val="32"/>
          <w:highlight w:val="none"/>
          <w:lang w:eastAsia="zh-Hans"/>
        </w:rPr>
      </w:pPr>
    </w:p>
    <w:p>
      <w:pPr>
        <w:pStyle w:val="2"/>
        <w:rPr>
          <w:rFonts w:hint="default" w:ascii="仿宋_GB2312" w:hAnsi="仿宋" w:eastAsia="仿宋_GB2312" w:cs="宋体"/>
          <w:color w:val="auto"/>
          <w:kern w:val="0"/>
          <w:sz w:val="32"/>
          <w:szCs w:val="32"/>
          <w:highlight w:val="none"/>
          <w:lang w:eastAsia="zh-Hans"/>
        </w:rPr>
      </w:pPr>
    </w:p>
    <w:p>
      <w:pPr>
        <w:pStyle w:val="2"/>
        <w:rPr>
          <w:rFonts w:hint="default" w:ascii="仿宋_GB2312" w:hAnsi="仿宋" w:eastAsia="仿宋_GB2312" w:cs="宋体"/>
          <w:color w:val="auto"/>
          <w:kern w:val="0"/>
          <w:sz w:val="32"/>
          <w:szCs w:val="32"/>
          <w:highlight w:val="none"/>
          <w:lang w:eastAsia="zh-Hans"/>
        </w:rPr>
      </w:pPr>
    </w:p>
    <w:p>
      <w:pPr>
        <w:pStyle w:val="2"/>
        <w:rPr>
          <w:rFonts w:hint="default" w:ascii="仿宋_GB2312" w:hAnsi="仿宋" w:eastAsia="仿宋_GB2312" w:cs="宋体"/>
          <w:color w:val="auto"/>
          <w:kern w:val="0"/>
          <w:sz w:val="32"/>
          <w:szCs w:val="32"/>
          <w:highlight w:val="none"/>
          <w:lang w:eastAsia="zh-Hans"/>
        </w:rPr>
      </w:pPr>
    </w:p>
    <w:p>
      <w:pPr>
        <w:keepNext w:val="0"/>
        <w:keepLines w:val="0"/>
        <w:pageBreakBefore w:val="0"/>
        <w:shd w:val="clear" w:color="auto" w:fill="FFFFFF"/>
        <w:kinsoku/>
        <w:wordWrap/>
        <w:overflowPunct/>
        <w:topLinePunct w:val="0"/>
        <w:autoSpaceDE/>
        <w:autoSpaceDN/>
        <w:bidi w:val="0"/>
        <w:adjustRightInd/>
        <w:snapToGrid/>
        <w:spacing w:line="600" w:lineRule="exact"/>
        <w:jc w:val="center"/>
        <w:textAlignment w:val="auto"/>
        <w:outlineLvl w:val="9"/>
        <w:rPr>
          <w:rFonts w:hint="eastAsia" w:ascii="方正小标宋" w:hAnsi="方正小标宋" w:eastAsia="方正小标宋" w:cs="方正小标宋"/>
          <w:b/>
          <w:sz w:val="36"/>
          <w:highlight w:val="none"/>
        </w:rPr>
      </w:pPr>
    </w:p>
    <w:p>
      <w:pPr>
        <w:pStyle w:val="2"/>
        <w:rPr>
          <w:rFonts w:hint="eastAsia" w:ascii="方正小标宋" w:hAnsi="方正小标宋" w:eastAsia="方正小标宋" w:cs="方正小标宋"/>
          <w:b/>
          <w:sz w:val="36"/>
          <w:highlight w:val="none"/>
        </w:rPr>
      </w:pPr>
    </w:p>
    <w:p>
      <w:pPr>
        <w:pStyle w:val="2"/>
        <w:rPr>
          <w:rFonts w:hint="eastAsia" w:ascii="方正小标宋" w:hAnsi="方正小标宋" w:eastAsia="方正小标宋" w:cs="方正小标宋"/>
          <w:b/>
          <w:sz w:val="36"/>
          <w:highlight w:val="none"/>
        </w:rPr>
      </w:pPr>
    </w:p>
    <w:p>
      <w:pPr>
        <w:keepNext w:val="0"/>
        <w:keepLines w:val="0"/>
        <w:pageBreakBefore w:val="0"/>
        <w:shd w:val="clear" w:color="auto" w:fill="FFFFFF"/>
        <w:kinsoku/>
        <w:wordWrap/>
        <w:overflowPunct/>
        <w:topLinePunct w:val="0"/>
        <w:autoSpaceDE/>
        <w:autoSpaceDN/>
        <w:bidi w:val="0"/>
        <w:adjustRightInd/>
        <w:snapToGrid/>
        <w:spacing w:line="600" w:lineRule="exact"/>
        <w:jc w:val="center"/>
        <w:textAlignment w:val="auto"/>
        <w:outlineLvl w:val="9"/>
        <w:rPr>
          <w:rFonts w:hint="eastAsia" w:ascii="方正小标宋" w:hAnsi="方正小标宋" w:eastAsia="方正小标宋" w:cs="方正小标宋"/>
          <w:b/>
          <w:sz w:val="36"/>
          <w:highlight w:val="none"/>
        </w:rPr>
      </w:pPr>
      <w:r>
        <w:rPr>
          <w:rFonts w:hint="eastAsia" w:ascii="方正小标宋" w:hAnsi="方正小标宋" w:eastAsia="方正小标宋" w:cs="方正小标宋"/>
          <w:b/>
          <w:sz w:val="36"/>
          <w:highlight w:val="none"/>
        </w:rPr>
        <w:t>铜川市</w:t>
      </w:r>
      <w:r>
        <w:rPr>
          <w:rFonts w:hint="eastAsia" w:ascii="方正小标宋" w:hAnsi="方正小标宋" w:eastAsia="方正小标宋" w:cs="方正小标宋"/>
          <w:b/>
          <w:sz w:val="36"/>
          <w:highlight w:val="none"/>
          <w:lang w:val="en-US" w:eastAsia="zh-CN"/>
        </w:rPr>
        <w:t>新区2021年度住房建设和交通运输局</w:t>
      </w:r>
      <w:r>
        <w:rPr>
          <w:rFonts w:hint="eastAsia" w:ascii="方正小标宋" w:hAnsi="方正小标宋" w:eastAsia="方正小标宋" w:cs="方正小标宋"/>
          <w:b/>
          <w:sz w:val="36"/>
          <w:highlight w:val="none"/>
        </w:rPr>
        <w:t>部门</w:t>
      </w:r>
    </w:p>
    <w:p>
      <w:pPr>
        <w:keepNext w:val="0"/>
        <w:keepLines w:val="0"/>
        <w:pageBreakBefore w:val="0"/>
        <w:shd w:val="clear" w:color="auto" w:fill="FFFFFF"/>
        <w:kinsoku/>
        <w:wordWrap/>
        <w:overflowPunct/>
        <w:topLinePunct w:val="0"/>
        <w:autoSpaceDE/>
        <w:autoSpaceDN/>
        <w:bidi w:val="0"/>
        <w:adjustRightInd/>
        <w:snapToGrid/>
        <w:spacing w:line="600" w:lineRule="exact"/>
        <w:jc w:val="center"/>
        <w:textAlignment w:val="auto"/>
        <w:outlineLvl w:val="9"/>
        <w:rPr>
          <w:rFonts w:hint="eastAsia" w:ascii="方正小标宋" w:hAnsi="方正小标宋" w:eastAsia="方正小标宋" w:cs="方正小标宋"/>
          <w:b/>
          <w:sz w:val="36"/>
          <w:highlight w:val="none"/>
        </w:rPr>
      </w:pPr>
      <w:r>
        <w:rPr>
          <w:rFonts w:hint="eastAsia" w:ascii="方正小标宋" w:hAnsi="方正小标宋" w:eastAsia="方正小标宋" w:cs="方正小标宋"/>
          <w:b/>
          <w:sz w:val="36"/>
          <w:highlight w:val="none"/>
        </w:rPr>
        <w:t>整体支出绩效评价报告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rPr>
          <w:rFonts w:hint="eastAsia" w:ascii="仿宋" w:hAnsi="仿宋" w:eastAsia="仿宋" w:cs="仿宋"/>
          <w:sz w:val="32"/>
          <w:szCs w:val="32"/>
          <w:highlight w:val="none"/>
          <w:lang w:val="en-US" w:eastAsia="zh-CN"/>
        </w:rPr>
      </w:pPr>
      <w:r>
        <w:rPr>
          <w:rFonts w:hint="eastAsia" w:ascii="仿宋" w:hAnsi="仿宋" w:eastAsia="仿宋" w:cs="仿宋"/>
          <w:color w:val="auto"/>
          <w:kern w:val="0"/>
          <w:sz w:val="32"/>
          <w:szCs w:val="32"/>
          <w:highlight w:val="none"/>
          <w:lang w:val="en-US" w:eastAsia="zh-CN"/>
        </w:rPr>
        <w:t>为规范政府部门财政支出预算管理，考核财政资金预期绩效目标的实现程度和综合效果，更好地优化资源配置，切实提高财政资金的使用效益，进一步提升预算部门的行政效能，根据铜川市新区财政局《关于开展2021年新区项目和部门整体支出绩效自评及重点项目绩效评价</w:t>
      </w:r>
      <w:r>
        <w:rPr>
          <w:rFonts w:hint="eastAsia" w:ascii="仿宋" w:hAnsi="仿宋" w:eastAsia="仿宋" w:cs="仿宋"/>
          <w:color w:val="auto"/>
          <w:kern w:val="0"/>
          <w:sz w:val="32"/>
          <w:szCs w:val="32"/>
          <w:highlight w:val="none"/>
          <w:lang w:val="en-US" w:eastAsia="zh-Hans"/>
        </w:rPr>
        <w:t>工作</w:t>
      </w:r>
      <w:r>
        <w:rPr>
          <w:rFonts w:hint="eastAsia" w:ascii="仿宋" w:hAnsi="仿宋" w:eastAsia="仿宋" w:cs="仿宋"/>
          <w:color w:val="auto"/>
          <w:kern w:val="0"/>
          <w:sz w:val="32"/>
          <w:szCs w:val="32"/>
          <w:highlight w:val="none"/>
          <w:lang w:val="en-US" w:eastAsia="zh-CN"/>
        </w:rPr>
        <w:t>的通知》文件要求，从投入、过程、产出、效果四个维度对新区住房建设和交通运输局2021年度部门整体支出进行绩效评价。经过资料审查、数据采集、现场访谈、社会调查等评价程序，运用科学、合理的绩效评价方法，形成本绩效评价报告。</w:t>
      </w:r>
      <w:bookmarkStart w:id="1" w:name="_bookmark0"/>
      <w:bookmarkEnd w:id="1"/>
      <w:bookmarkStart w:id="2" w:name="一、项目基本情况"/>
      <w:bookmarkEnd w:id="2"/>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0"/>
        <w:rPr>
          <w:rFonts w:hint="eastAsia" w:ascii="黑体" w:hAnsi="黑体" w:eastAsia="黑体" w:cs="黑体"/>
          <w:b w:val="0"/>
          <w:bCs w:val="0"/>
          <w:color w:val="auto"/>
          <w:kern w:val="0"/>
          <w:sz w:val="32"/>
          <w:szCs w:val="32"/>
          <w:highlight w:val="none"/>
          <w:lang w:val="en-US" w:eastAsia="zh-CN"/>
        </w:rPr>
      </w:pPr>
      <w:bookmarkStart w:id="3" w:name="_Toc31592"/>
      <w:r>
        <w:rPr>
          <w:rFonts w:hint="eastAsia" w:ascii="黑体" w:hAnsi="黑体" w:eastAsia="黑体" w:cs="黑体"/>
          <w:b w:val="0"/>
          <w:bCs w:val="0"/>
          <w:color w:val="auto"/>
          <w:kern w:val="0"/>
          <w:sz w:val="32"/>
          <w:szCs w:val="32"/>
          <w:highlight w:val="none"/>
          <w:lang w:val="en-US" w:eastAsia="zh-CN"/>
        </w:rPr>
        <w:t>一、部门基本情况</w:t>
      </w:r>
      <w:bookmarkEnd w:id="3"/>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1"/>
        <w:rPr>
          <w:rFonts w:hint="eastAsia" w:ascii="楷体" w:hAnsi="楷体" w:eastAsia="楷体" w:cs="楷体"/>
          <w:b/>
          <w:bCs/>
          <w:color w:val="auto"/>
          <w:kern w:val="0"/>
          <w:sz w:val="32"/>
          <w:szCs w:val="32"/>
          <w:highlight w:val="none"/>
          <w:lang w:val="en-US" w:eastAsia="zh-CN"/>
        </w:rPr>
      </w:pPr>
      <w:bookmarkStart w:id="4" w:name="_Toc19240"/>
      <w:r>
        <w:rPr>
          <w:rFonts w:hint="eastAsia" w:ascii="楷体" w:hAnsi="楷体" w:eastAsia="楷体" w:cs="楷体"/>
          <w:b/>
          <w:bCs/>
          <w:color w:val="auto"/>
          <w:kern w:val="0"/>
          <w:sz w:val="32"/>
          <w:szCs w:val="32"/>
          <w:highlight w:val="none"/>
          <w:lang w:val="en-US" w:eastAsia="zh-CN"/>
        </w:rPr>
        <w:t>（一）部门概况</w:t>
      </w:r>
      <w:bookmarkEnd w:id="4"/>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9"/>
        <w:rPr>
          <w:rFonts w:hint="eastAsia" w:ascii="仿宋" w:hAnsi="仿宋" w:eastAsia="仿宋" w:cs="仿宋"/>
          <w:b/>
          <w:bCs/>
          <w:color w:val="auto"/>
          <w:kern w:val="0"/>
          <w:sz w:val="32"/>
          <w:szCs w:val="32"/>
          <w:highlight w:val="none"/>
          <w:lang w:val="en-US" w:eastAsia="zh-CN"/>
        </w:rPr>
      </w:pPr>
      <w:r>
        <w:rPr>
          <w:rFonts w:hint="eastAsia" w:ascii="仿宋" w:hAnsi="仿宋" w:eastAsia="仿宋" w:cs="仿宋"/>
          <w:b/>
          <w:bCs/>
          <w:color w:val="auto"/>
          <w:kern w:val="0"/>
          <w:sz w:val="32"/>
          <w:szCs w:val="32"/>
          <w:highlight w:val="none"/>
          <w:lang w:val="en-US" w:eastAsia="zh-CN"/>
        </w:rPr>
        <w:t>1.主要职</w:t>
      </w:r>
      <w:r>
        <w:rPr>
          <w:rFonts w:hint="eastAsia" w:ascii="仿宋" w:hAnsi="仿宋" w:eastAsia="仿宋" w:cs="仿宋"/>
          <w:b/>
          <w:bCs/>
          <w:color w:val="auto"/>
          <w:kern w:val="0"/>
          <w:sz w:val="32"/>
          <w:szCs w:val="32"/>
          <w:highlight w:val="none"/>
          <w:lang w:val="en-US" w:eastAsia="zh-Hans"/>
        </w:rPr>
        <w:t>责</w:t>
      </w:r>
      <w:r>
        <w:rPr>
          <w:rFonts w:hint="eastAsia" w:ascii="仿宋" w:hAnsi="仿宋" w:eastAsia="仿宋" w:cs="仿宋"/>
          <w:b/>
          <w:bCs/>
          <w:color w:val="auto"/>
          <w:kern w:val="0"/>
          <w:sz w:val="32"/>
          <w:szCs w:val="32"/>
          <w:highlight w:val="none"/>
          <w:lang w:val="en-US" w:eastAsia="zh-CN"/>
        </w:rPr>
        <w:t>。</w:t>
      </w:r>
    </w:p>
    <w:p>
      <w:pPr>
        <w:pStyle w:val="2"/>
        <w:keepNext w:val="0"/>
        <w:keepLines w:val="0"/>
        <w:pageBreakBefore w:val="0"/>
        <w:widowControl w:val="0"/>
        <w:kinsoku/>
        <w:wordWrap/>
        <w:overflowPunct/>
        <w:topLinePunct w:val="0"/>
        <w:autoSpaceDE w:val="0"/>
        <w:autoSpaceDN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lang w:val="en-US" w:eastAsia="zh-CN"/>
        </w:rPr>
      </w:pPr>
      <w:r>
        <w:rPr>
          <w:rFonts w:hint="default" w:ascii="仿宋" w:hAnsi="仿宋" w:eastAsia="仿宋" w:cs="仿宋"/>
          <w:color w:val="auto"/>
          <w:kern w:val="0"/>
          <w:sz w:val="32"/>
          <w:szCs w:val="32"/>
          <w:highlight w:val="none"/>
          <w:lang w:val="en-US" w:eastAsia="zh-CN"/>
        </w:rPr>
        <w:t>铜川市新区住房建设和交通运输局主要负责区内建设市场管理；监督管理工程项目报建、勘察设计、招投标、质量监督、档案管理等工作；负责施工安全、建设工程质量和文明工地的管理；协调处理重大工程质量安全事故。按照管委会相关工作安排，新区建设局还负责农村公路建设及养护、物业管理、农村危房改造、保障性住房管理等方面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9"/>
        <w:rPr>
          <w:rFonts w:hint="eastAsia" w:ascii="仿宋" w:hAnsi="仿宋" w:eastAsia="仿宋" w:cs="仿宋"/>
          <w:b/>
          <w:bCs/>
          <w:color w:val="auto"/>
          <w:kern w:val="0"/>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9"/>
        <w:rPr>
          <w:rFonts w:hint="eastAsia" w:ascii="仿宋" w:hAnsi="仿宋" w:eastAsia="仿宋" w:cs="仿宋"/>
          <w:b/>
          <w:bCs/>
          <w:color w:val="auto"/>
          <w:kern w:val="0"/>
          <w:sz w:val="32"/>
          <w:szCs w:val="32"/>
          <w:highlight w:val="none"/>
          <w:lang w:val="en-US" w:eastAsia="zh-CN"/>
        </w:rPr>
      </w:pPr>
      <w:r>
        <w:rPr>
          <w:rFonts w:hint="eastAsia" w:ascii="仿宋" w:hAnsi="仿宋" w:eastAsia="仿宋" w:cs="仿宋"/>
          <w:b/>
          <w:bCs/>
          <w:color w:val="auto"/>
          <w:kern w:val="0"/>
          <w:sz w:val="32"/>
          <w:szCs w:val="32"/>
          <w:highlight w:val="none"/>
          <w:lang w:val="en-US" w:eastAsia="zh-CN"/>
        </w:rPr>
        <w:t>2.组织机构。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住房建设和交通运输局下设办公室、基础建设科、质监站、建管科、招标办、交通科、物业科、村镇科等科室。截止2021年底，本部门人员编制5人，其中行政编制5人、事业编制0人；实有人员5人，其中行政5人、事业0人；单位管理的离退休人员0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9"/>
        <w:rPr>
          <w:rFonts w:hint="eastAsia" w:ascii="仿宋" w:hAnsi="仿宋" w:eastAsia="仿宋" w:cs="仿宋"/>
          <w:b/>
          <w:bCs/>
          <w:color w:val="auto"/>
          <w:kern w:val="0"/>
          <w:sz w:val="32"/>
          <w:szCs w:val="32"/>
          <w:highlight w:val="none"/>
          <w:lang w:val="en-US" w:eastAsia="zh-CN"/>
        </w:rPr>
      </w:pPr>
      <w:r>
        <w:rPr>
          <w:rFonts w:hint="eastAsia" w:ascii="仿宋" w:hAnsi="仿宋" w:eastAsia="仿宋" w:cs="仿宋"/>
          <w:b/>
          <w:bCs/>
          <w:color w:val="auto"/>
          <w:kern w:val="0"/>
          <w:sz w:val="32"/>
          <w:szCs w:val="32"/>
          <w:highlight w:val="none"/>
          <w:lang w:val="en-US" w:eastAsia="zh-Hans"/>
        </w:rPr>
        <w:t>3.财政预决算及项目支出情况</w:t>
      </w:r>
      <w:r>
        <w:rPr>
          <w:rFonts w:hint="eastAsia" w:ascii="仿宋" w:hAnsi="仿宋" w:eastAsia="仿宋" w:cs="仿宋"/>
          <w:b/>
          <w:bCs/>
          <w:color w:val="auto"/>
          <w:kern w:val="0"/>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9"/>
        <w:rPr>
          <w:rFonts w:hint="default" w:ascii="仿宋" w:hAnsi="仿宋" w:eastAsia="仿宋" w:cs="仿宋"/>
          <w:b/>
          <w:bCs/>
          <w:color w:val="auto"/>
          <w:kern w:val="0"/>
          <w:sz w:val="28"/>
          <w:szCs w:val="28"/>
          <w:highlight w:val="none"/>
          <w:lang w:val="en-US" w:eastAsia="zh-CN"/>
        </w:rPr>
      </w:pPr>
      <w:r>
        <w:rPr>
          <w:rFonts w:hint="eastAsia" w:ascii="仿宋" w:hAnsi="仿宋" w:eastAsia="仿宋" w:cs="仿宋"/>
          <w:color w:val="auto"/>
          <w:kern w:val="0"/>
          <w:sz w:val="32"/>
          <w:szCs w:val="32"/>
          <w:highlight w:val="none"/>
          <w:lang w:val="en-US" w:eastAsia="zh-CN"/>
        </w:rPr>
        <w:t>根据新区住房建设和交通运输局2021年部门预算和决算文件内容，2021年部门调整预算数为11828.89万元，决算支出数为11748.26万元。财政部门年度批复预算11828.89万元。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CN"/>
        </w:rPr>
      </w:pPr>
      <w:bookmarkStart w:id="5" w:name="_Toc2651"/>
      <w:r>
        <w:rPr>
          <w:rFonts w:hint="eastAsia" w:ascii="楷体" w:hAnsi="楷体" w:eastAsia="楷体" w:cs="楷体"/>
          <w:b/>
          <w:bCs/>
          <w:color w:val="auto"/>
          <w:kern w:val="0"/>
          <w:sz w:val="32"/>
          <w:szCs w:val="32"/>
          <w:highlight w:val="none"/>
          <w:shd w:val="clear" w:color="auto" w:fill="FFFFFF"/>
          <w:lang w:val="en-US" w:eastAsia="zh-CN"/>
        </w:rPr>
        <w:t>（二）绩效目标</w:t>
      </w:r>
      <w:bookmarkEnd w:id="5"/>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1.</w:t>
      </w:r>
      <w:r>
        <w:rPr>
          <w:rFonts w:hint="eastAsia" w:ascii="仿宋" w:hAnsi="仿宋" w:eastAsia="仿宋" w:cs="仿宋"/>
          <w:b/>
          <w:bCs/>
          <w:color w:val="auto"/>
          <w:kern w:val="0"/>
          <w:sz w:val="32"/>
          <w:szCs w:val="32"/>
          <w:highlight w:val="none"/>
          <w:shd w:val="clear" w:color="auto" w:fill="FFFFFF"/>
          <w:lang w:val="en-US" w:eastAsia="zh-CN"/>
        </w:rPr>
        <w:t>年度工作任务。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（1）加快市政道路建设进度，协调推进手续办理。</w:t>
      </w:r>
    </w:p>
    <w:p>
      <w:pPr>
        <w:pStyle w:val="2"/>
        <w:keepNext w:val="0"/>
        <w:keepLines w:val="0"/>
        <w:pageBreakBefore w:val="0"/>
        <w:kinsoku/>
        <w:wordWrap/>
        <w:overflowPunct/>
        <w:topLinePunct w:val="0"/>
        <w:bidi w:val="0"/>
        <w:adjustRightInd/>
        <w:snapToGrid/>
        <w:spacing w:before="0" w:line="600" w:lineRule="exact"/>
        <w:ind w:left="0" w:leftChars="0" w:firstLine="640" w:firstLineChars="200"/>
        <w:textAlignment w:val="auto"/>
        <w:rPr>
          <w:rFonts w:hint="eastAsia" w:ascii="仿宋" w:hAnsi="仿宋" w:eastAsia="仿宋" w:cs="仿宋"/>
          <w:lang w:val="en-US" w:eastAsia="zh-Hans"/>
        </w:rPr>
      </w:pPr>
      <w:r>
        <w:rPr>
          <w:rFonts w:hint="eastAsia" w:ascii="仿宋" w:hAnsi="仿宋" w:eastAsia="仿宋" w:cs="仿宋"/>
          <w:color w:val="auto"/>
          <w:kern w:val="0"/>
          <w:sz w:val="32"/>
          <w:szCs w:val="32"/>
          <w:highlight w:val="none"/>
          <w:shd w:val="clear" w:color="auto" w:fill="FFFFFF"/>
          <w:lang w:val="en-US" w:eastAsia="zh-Hans" w:bidi="ar-SA"/>
        </w:rPr>
        <w:t>一是复工项目加快建设进度。长宁南路 2 月底前完成电力沟道及剩余排水支管施工，3 月底前完成路床、水稳及沥青铺设，力争人行道铺装完成。长宁南路提升改造项目计划2 月底前完成沥青上面层铺设、人行道施工，路灯及绿化选型确认，3 月底前完成路面标志标线施划、道路标牌安装，力争完成路灯安装。耀县变-华夏南道电力沟道工程2月底前完成碧桂园工地大门、武警支队围墙段顶管施工，3月底前完成东环路段顶管施工。二是督促满足条件项目加快开工建设。咸丰西路道路工程预计 2 月 21 日开工建设，2 月底前完成地面垃圾清运及施工围挡安装。鸿基西路道路工程力争3月底前开工建设。三是加快办理长丰南路、恒春西路、航天大道二期、经四路、香山路等道路手续。</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抓好农村公路建设，做好交通项目服务保障。</w:t>
      </w:r>
    </w:p>
    <w:p>
      <w:pPr>
        <w:pStyle w:val="2"/>
        <w:keepNext w:val="0"/>
        <w:keepLines w:val="0"/>
        <w:pageBreakBefore w:val="0"/>
        <w:kinsoku/>
        <w:wordWrap/>
        <w:overflowPunct/>
        <w:topLinePunct w:val="0"/>
        <w:bidi w:val="0"/>
        <w:adjustRightInd/>
        <w:snapToGrid/>
        <w:spacing w:before="0" w:line="600" w:lineRule="exact"/>
        <w:ind w:left="0" w:leftChars="0" w:firstLine="64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一是2月底前完成新区至冯兰公路楼安路段安防工程及决算送审工作；二是 3 月底前完成坡头至咀子公路改建工程剩余 1 公里水稳铺设工作；三是加强农村道路养护及排查工作；四是配合相关部门做好西延高铁、石仁立交桥等环境保障工作。</w:t>
      </w:r>
    </w:p>
    <w:p>
      <w:pPr>
        <w:pStyle w:val="2"/>
        <w:keepNext w:val="0"/>
        <w:keepLines w:val="0"/>
        <w:pageBreakBefore w:val="0"/>
        <w:widowControl w:val="0"/>
        <w:numPr>
          <w:ilvl w:val="0"/>
          <w:numId w:val="2"/>
        </w:numPr>
        <w:kinsoku/>
        <w:wordWrap/>
        <w:overflowPunct/>
        <w:topLinePunct w:val="0"/>
        <w:autoSpaceDE w:val="0"/>
        <w:autoSpaceDN w:val="0"/>
        <w:bidi w:val="0"/>
        <w:adjustRightInd/>
        <w:snapToGrid/>
        <w:spacing w:before="0" w:line="600" w:lineRule="exact"/>
        <w:ind w:left="0" w:leftChars="0"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加快实施建筑工地复工，强化安全生产意识。</w:t>
      </w:r>
    </w:p>
    <w:p>
      <w:pPr>
        <w:pStyle w:val="3"/>
        <w:keepNext w:val="0"/>
        <w:keepLines w:val="0"/>
        <w:pageBreakBefore w:val="0"/>
        <w:kinsoku/>
        <w:wordWrap/>
        <w:overflowPunct/>
        <w:topLinePunct w:val="0"/>
        <w:bidi w:val="0"/>
        <w:adjustRightInd/>
        <w:snapToGrid/>
        <w:spacing w:line="600" w:lineRule="exact"/>
        <w:ind w:left="0" w:leftChars="0" w:firstLine="640" w:firstLineChars="200"/>
        <w:textAlignment w:val="auto"/>
        <w:rPr>
          <w:rFonts w:hint="eastAsia" w:ascii="仿宋" w:hAnsi="仿宋" w:eastAsia="仿宋" w:cs="仿宋"/>
          <w:sz w:val="32"/>
          <w:szCs w:val="32"/>
          <w:lang w:val="en-US" w:eastAsia="zh-CN" w:bidi="ar-SA"/>
        </w:rPr>
      </w:pPr>
      <w:r>
        <w:rPr>
          <w:rFonts w:hint="eastAsia" w:ascii="仿宋" w:hAnsi="仿宋" w:eastAsia="仿宋" w:cs="仿宋"/>
          <w:sz w:val="32"/>
          <w:szCs w:val="32"/>
          <w:lang w:val="en-US" w:eastAsia="zh-CN" w:bidi="ar-SA"/>
        </w:rPr>
        <w:t>从2月18日起对新区所有在建项目逐一进行复工检查，针对安全生产、疫情防控措施等进行重点督查。发现问题，及时交办，督促整改。满足复工条件的项目，要求其尽快开工建设。</w:t>
      </w:r>
    </w:p>
    <w:p>
      <w:pPr>
        <w:pStyle w:val="2"/>
        <w:keepNext w:val="0"/>
        <w:keepLines w:val="0"/>
        <w:pageBreakBefore w:val="0"/>
        <w:widowControl w:val="0"/>
        <w:numPr>
          <w:ilvl w:val="0"/>
          <w:numId w:val="2"/>
        </w:numPr>
        <w:kinsoku/>
        <w:wordWrap/>
        <w:overflowPunct/>
        <w:topLinePunct w:val="0"/>
        <w:autoSpaceDE w:val="0"/>
        <w:autoSpaceDN w:val="0"/>
        <w:bidi w:val="0"/>
        <w:adjustRightInd/>
        <w:snapToGrid/>
        <w:spacing w:before="0" w:line="600" w:lineRule="exact"/>
        <w:ind w:left="0" w:leftChars="0"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进一步理顺物业管理体制，提升物业服务水平。</w:t>
      </w:r>
    </w:p>
    <w:p>
      <w:pPr>
        <w:pStyle w:val="3"/>
        <w:keepNext w:val="0"/>
        <w:keepLines w:val="0"/>
        <w:pageBreakBefore w:val="0"/>
        <w:kinsoku/>
        <w:wordWrap/>
        <w:overflowPunct/>
        <w:topLinePunct w:val="0"/>
        <w:bidi w:val="0"/>
        <w:adjustRightInd/>
        <w:snapToGrid/>
        <w:spacing w:line="600" w:lineRule="exact"/>
        <w:ind w:left="0" w:leftChars="0" w:firstLine="640" w:firstLineChars="200"/>
        <w:textAlignment w:val="auto"/>
        <w:rPr>
          <w:rFonts w:hint="eastAsia" w:ascii="仿宋" w:hAnsi="仿宋" w:eastAsia="仿宋" w:cs="仿宋"/>
          <w:sz w:val="32"/>
          <w:szCs w:val="32"/>
          <w:lang w:val="en-US" w:eastAsia="zh-CN" w:bidi="ar-SA"/>
        </w:rPr>
      </w:pPr>
      <w:r>
        <w:rPr>
          <w:rFonts w:hint="eastAsia" w:ascii="仿宋" w:hAnsi="仿宋" w:eastAsia="仿宋" w:cs="仿宋"/>
          <w:sz w:val="32"/>
          <w:szCs w:val="32"/>
          <w:lang w:val="en-US" w:eastAsia="zh-CN" w:bidi="ar-SA"/>
        </w:rPr>
        <w:t>一是在 3 月初召开新区物业管理大会，进一步健全物业管理机制，设置专职人员，形成监管合力；二是继续开展新区物业小区环境卫生综合整治活动，为广大居民营造安全、文明、整洁、舒适的居住环境；三是加大力度宣传老旧住宅小区加装电梯政策，加快办理手续，确保此项民生工作落到实处。</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（5）完成房屋安全排查整治工作，确保群众住房安全。</w:t>
      </w:r>
    </w:p>
    <w:p>
      <w:pPr>
        <w:pStyle w:val="3"/>
        <w:keepNext w:val="0"/>
        <w:keepLines w:val="0"/>
        <w:pageBreakBefore w:val="0"/>
        <w:kinsoku/>
        <w:wordWrap/>
        <w:overflowPunct/>
        <w:topLinePunct w:val="0"/>
        <w:bidi w:val="0"/>
        <w:adjustRightInd/>
        <w:snapToGrid/>
        <w:spacing w:line="600" w:lineRule="exact"/>
        <w:ind w:left="0" w:leftChars="0"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一是督促街道办完成对存在安全隐患的农村经营性自建房的整治工作；二是加强农村安全住房的动态监管工作，发现问题，及时整改。</w:t>
      </w:r>
    </w:p>
    <w:p>
      <w:pPr>
        <w:keepNext w:val="0"/>
        <w:keepLines w:val="0"/>
        <w:pageBreakBefore w:val="0"/>
        <w:numPr>
          <w:ilvl w:val="0"/>
          <w:numId w:val="0"/>
        </w:numPr>
        <w:kinsoku/>
        <w:wordWrap/>
        <w:overflowPunct/>
        <w:topLinePunct w:val="0"/>
        <w:bidi w:val="0"/>
        <w:adjustRightInd/>
        <w:snapToGrid/>
        <w:spacing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（6）加快推进生活垃圾分类，建设建筑垃圾填埋场。</w:t>
      </w:r>
    </w:p>
    <w:p>
      <w:pPr>
        <w:pStyle w:val="2"/>
        <w:keepNext w:val="0"/>
        <w:keepLines w:val="0"/>
        <w:pageBreakBefore w:val="0"/>
        <w:numPr>
          <w:ilvl w:val="0"/>
          <w:numId w:val="0"/>
        </w:numPr>
        <w:kinsoku/>
        <w:wordWrap/>
        <w:overflowPunct/>
        <w:topLinePunct w:val="0"/>
        <w:bidi w:val="0"/>
        <w:adjustRightInd/>
        <w:snapToGrid/>
        <w:spacing w:before="0" w:line="600" w:lineRule="exact"/>
        <w:ind w:firstLine="64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2 月底前完成 72 个示范小区中剩余 18 个小区分类收集房基础施工。3 月底前完成 72 个示范小区全部垃圾分类收集房安装及通水通电，准备投入使用。野狐坡建筑垃圾综合利用项目 2 月底前完成垃圾填埋区道路喷淋设施建设，3 月底前完成垃圾加工区整体设计。</w:t>
      </w:r>
    </w:p>
    <w:p>
      <w:pPr>
        <w:pStyle w:val="3"/>
        <w:keepNext w:val="0"/>
        <w:keepLines w:val="0"/>
        <w:pageBreakBefore w:val="0"/>
        <w:numPr>
          <w:ilvl w:val="0"/>
          <w:numId w:val="0"/>
        </w:numPr>
        <w:kinsoku/>
        <w:wordWrap/>
        <w:overflowPunct/>
        <w:topLinePunct w:val="0"/>
        <w:bidi w:val="0"/>
        <w:adjustRightInd/>
        <w:snapToGrid/>
        <w:spacing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（7）其他项目建设计划</w:t>
      </w:r>
    </w:p>
    <w:p>
      <w:pPr>
        <w:keepNext w:val="0"/>
        <w:keepLines w:val="0"/>
        <w:pageBreakBefore w:val="0"/>
        <w:numPr>
          <w:ilvl w:val="0"/>
          <w:numId w:val="0"/>
        </w:numPr>
        <w:kinsoku/>
        <w:wordWrap/>
        <w:overflowPunct/>
        <w:topLinePunct w:val="0"/>
        <w:bidi w:val="0"/>
        <w:adjustRightInd/>
        <w:snapToGrid/>
        <w:spacing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1.铜川市新区智能全自动立体停车库建设项目计划3月底前完成基础护坡、桩基工程、基础防水、一段筏板施工。</w:t>
      </w:r>
    </w:p>
    <w:p>
      <w:pPr>
        <w:keepNext w:val="0"/>
        <w:keepLines w:val="0"/>
        <w:pageBreakBefore w:val="0"/>
        <w:numPr>
          <w:ilvl w:val="0"/>
          <w:numId w:val="0"/>
        </w:numPr>
        <w:kinsoku/>
        <w:wordWrap/>
        <w:overflowPunct/>
        <w:topLinePunct w:val="0"/>
        <w:bidi w:val="0"/>
        <w:adjustRightInd/>
        <w:snapToGrid/>
        <w:spacing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2.新区铁诺小区改造配套基础设施建设项目计划 2月 21 日复工。2 月底前完成地下给排水管网工程 90%，道路工程 70%，道沿石安装工程 70%，景观绿化工程 65%。3 月底前完成地下管网及电缆铺设，道路及道沿石工程完成90%，景观绿化完成 80%，剩余绿化、道路、路灯及围墙 4月底前全面完成。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黑体" w:hAnsi="黑体" w:eastAsia="黑体" w:cs="黑体"/>
          <w:b w:val="0"/>
          <w:bCs w:val="0"/>
          <w:color w:val="auto"/>
          <w:kern w:val="0"/>
          <w:sz w:val="32"/>
          <w:szCs w:val="32"/>
          <w:highlight w:val="none"/>
          <w:lang w:val="en-US" w:eastAsia="zh-CN"/>
        </w:rPr>
      </w:pPr>
      <w:bookmarkStart w:id="6" w:name="_Toc22489"/>
      <w:r>
        <w:rPr>
          <w:rFonts w:hint="eastAsia" w:ascii="黑体" w:hAnsi="黑体" w:eastAsia="黑体" w:cs="黑体"/>
          <w:b w:val="0"/>
          <w:bCs w:val="0"/>
          <w:color w:val="auto"/>
          <w:kern w:val="0"/>
          <w:sz w:val="32"/>
          <w:szCs w:val="32"/>
          <w:highlight w:val="none"/>
          <w:lang w:val="en-US" w:eastAsia="zh-CN"/>
        </w:rPr>
        <w:t>二、绩效评价工作开展情况</w:t>
      </w:r>
      <w:bookmarkEnd w:id="6"/>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lang w:val="en-US" w:eastAsia="zh-CN"/>
        </w:rPr>
      </w:pPr>
      <w:bookmarkStart w:id="7" w:name="_Toc19145"/>
      <w:r>
        <w:rPr>
          <w:rFonts w:hint="eastAsia" w:ascii="楷体" w:hAnsi="楷体" w:eastAsia="楷体" w:cs="楷体"/>
          <w:b/>
          <w:bCs/>
          <w:color w:val="auto"/>
          <w:kern w:val="0"/>
          <w:sz w:val="32"/>
          <w:szCs w:val="32"/>
          <w:highlight w:val="none"/>
          <w:lang w:val="en-US" w:eastAsia="zh-CN"/>
        </w:rPr>
        <w:t>（一）绩效评价目的和依据</w:t>
      </w:r>
      <w:bookmarkEnd w:id="7"/>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推进预算绩效管理是贯彻落实党中央、国务院要求，从根本上深化行政管理体制改革、促进政府职能转变、提高部门责任意识，建设高效、责任、透明政府的有效举措，是贯彻落实科学发展观的必然选择,是实施行政问责制和加强政府效能建设的重要抓手。为深入贯彻落实科学发展观，完善公共财政体系，进一步推进财政预算绩效管理，不断提升财政管理科学化精细化水平，根据《关于全面实施预算绩效管理的意见》（中发〔2018〕34号）、《项目支出绩效评价管理办法》（财预〔2020〕10号）等文件要求，依据</w:t>
      </w:r>
      <w:r>
        <w:rPr>
          <w:rFonts w:hint="eastAsia" w:ascii="仿宋" w:hAnsi="仿宋" w:eastAsia="仿宋" w:cs="仿宋"/>
          <w:color w:val="auto"/>
          <w:kern w:val="0"/>
          <w:sz w:val="32"/>
          <w:szCs w:val="32"/>
          <w:highlight w:val="none"/>
          <w:lang w:val="en-US" w:eastAsia="zh-CN"/>
        </w:rPr>
        <w:t>铜川市新区财政局《关于开展2021年新区项目和部门整体支出绩效自评及重点项目绩效评价</w:t>
      </w:r>
      <w:r>
        <w:rPr>
          <w:rFonts w:hint="eastAsia" w:ascii="仿宋" w:hAnsi="仿宋" w:eastAsia="仿宋" w:cs="仿宋"/>
          <w:color w:val="auto"/>
          <w:kern w:val="0"/>
          <w:sz w:val="32"/>
          <w:szCs w:val="32"/>
          <w:highlight w:val="none"/>
          <w:lang w:val="en-US" w:eastAsia="zh-Hans"/>
        </w:rPr>
        <w:t>工作</w:t>
      </w:r>
      <w:r>
        <w:rPr>
          <w:rFonts w:hint="eastAsia" w:ascii="仿宋" w:hAnsi="仿宋" w:eastAsia="仿宋" w:cs="仿宋"/>
          <w:color w:val="auto"/>
          <w:kern w:val="0"/>
          <w:sz w:val="32"/>
          <w:szCs w:val="32"/>
          <w:highlight w:val="none"/>
          <w:lang w:val="en-US" w:eastAsia="zh-CN"/>
        </w:rPr>
        <w:t>的通知》</w:t>
      </w:r>
      <w:r>
        <w:rPr>
          <w:rFonts w:hint="eastAsia" w:ascii="仿宋" w:hAnsi="仿宋" w:eastAsia="仿宋" w:cs="仿宋"/>
          <w:color w:val="auto"/>
          <w:kern w:val="0"/>
          <w:sz w:val="32"/>
          <w:szCs w:val="32"/>
          <w:highlight w:val="none"/>
          <w:shd w:val="clear" w:color="auto" w:fill="FFFFFF"/>
          <w:lang w:val="en-US" w:eastAsia="zh-Hans"/>
        </w:rPr>
        <w:t>文件规定，对</w:t>
      </w:r>
      <w:r>
        <w:rPr>
          <w:rFonts w:hint="eastAsia" w:ascii="仿宋" w:hAnsi="仿宋" w:eastAsia="仿宋" w:cs="仿宋"/>
          <w:color w:val="auto"/>
          <w:kern w:val="0"/>
          <w:sz w:val="32"/>
          <w:szCs w:val="32"/>
          <w:highlight w:val="none"/>
          <w:shd w:val="clear" w:color="auto" w:fill="FFFFFF"/>
          <w:lang w:val="en-US" w:eastAsia="zh-CN"/>
        </w:rPr>
        <w:t>铜川市新区住房建设和交通运输局</w:t>
      </w:r>
      <w:r>
        <w:rPr>
          <w:rFonts w:hint="eastAsia" w:ascii="仿宋" w:hAnsi="仿宋" w:eastAsia="仿宋" w:cs="仿宋"/>
          <w:color w:val="auto"/>
          <w:kern w:val="0"/>
          <w:sz w:val="32"/>
          <w:szCs w:val="32"/>
          <w:highlight w:val="none"/>
          <w:shd w:val="clear" w:color="auto" w:fill="FFFFFF"/>
          <w:lang w:val="en-US" w:eastAsia="zh-Hans"/>
        </w:rPr>
        <w:t>202</w:t>
      </w:r>
      <w:r>
        <w:rPr>
          <w:rFonts w:hint="eastAsia" w:ascii="仿宋" w:hAnsi="仿宋" w:eastAsia="仿宋" w:cs="仿宋"/>
          <w:color w:val="auto"/>
          <w:kern w:val="0"/>
          <w:sz w:val="32"/>
          <w:szCs w:val="32"/>
          <w:highlight w:val="none"/>
          <w:shd w:val="clear" w:color="auto" w:fill="FFFFFF"/>
          <w:lang w:val="en-US" w:eastAsia="zh-CN"/>
        </w:rPr>
        <w:t>1</w:t>
      </w:r>
      <w:r>
        <w:rPr>
          <w:rFonts w:hint="eastAsia" w:ascii="仿宋" w:hAnsi="仿宋" w:eastAsia="仿宋" w:cs="仿宋"/>
          <w:color w:val="auto"/>
          <w:kern w:val="0"/>
          <w:sz w:val="32"/>
          <w:szCs w:val="32"/>
          <w:highlight w:val="none"/>
          <w:shd w:val="clear" w:color="auto" w:fill="FFFFFF"/>
          <w:lang w:val="en-US" w:eastAsia="zh-Hans"/>
        </w:rPr>
        <w:t>年度</w:t>
      </w:r>
      <w:r>
        <w:rPr>
          <w:rFonts w:hint="eastAsia" w:ascii="仿宋" w:hAnsi="仿宋" w:eastAsia="仿宋" w:cs="仿宋"/>
          <w:color w:val="auto"/>
          <w:kern w:val="0"/>
          <w:sz w:val="32"/>
          <w:szCs w:val="32"/>
          <w:highlight w:val="none"/>
          <w:shd w:val="clear" w:color="auto" w:fill="FFFFFF"/>
          <w:lang w:val="en-US" w:eastAsia="zh-CN"/>
        </w:rPr>
        <w:t>部门</w:t>
      </w:r>
      <w:r>
        <w:rPr>
          <w:rFonts w:hint="eastAsia" w:ascii="仿宋" w:hAnsi="仿宋" w:eastAsia="仿宋" w:cs="仿宋"/>
          <w:color w:val="auto"/>
          <w:kern w:val="0"/>
          <w:sz w:val="32"/>
          <w:szCs w:val="32"/>
          <w:highlight w:val="none"/>
          <w:shd w:val="clear" w:color="auto" w:fill="FFFFFF"/>
          <w:lang w:val="en-US" w:eastAsia="zh-Hans"/>
        </w:rPr>
        <w:t>整体支出资金使用情况，以及部门职能及重点工作执行情况进行绩效评价。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1.评价目的</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本次绩效评价工作主要目的包括如下两部分：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一是通过开展部门整体支出绩效评价，促进部门从整体上提升预算绩效管理工作水平，强化部门支出责任，规范资金管理行为，提高财政资金使用效益，保障部门更好地履行职责。</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二是通过本次绩效评价工作的开展，为铜川市</w:t>
      </w:r>
      <w:r>
        <w:rPr>
          <w:rFonts w:hint="eastAsia" w:ascii="仿宋" w:hAnsi="仿宋" w:eastAsia="仿宋" w:cs="仿宋"/>
          <w:color w:val="auto"/>
          <w:kern w:val="0"/>
          <w:sz w:val="32"/>
          <w:szCs w:val="32"/>
          <w:highlight w:val="none"/>
          <w:shd w:val="clear" w:color="auto" w:fill="FFFFFF"/>
          <w:lang w:val="en-US" w:eastAsia="zh-CN"/>
        </w:rPr>
        <w:t>新区</w:t>
      </w:r>
      <w:r>
        <w:rPr>
          <w:rFonts w:hint="eastAsia" w:ascii="仿宋" w:hAnsi="仿宋" w:eastAsia="仿宋" w:cs="仿宋"/>
          <w:color w:val="auto"/>
          <w:kern w:val="0"/>
          <w:sz w:val="32"/>
          <w:szCs w:val="32"/>
          <w:highlight w:val="none"/>
          <w:shd w:val="clear" w:color="auto" w:fill="FFFFFF"/>
          <w:lang w:val="en-US" w:eastAsia="zh-Hans"/>
        </w:rPr>
        <w:t>财政绩效管理工作积累经验，并有效落实绩效评价结果应用，探索更加符合财政管理特点的绩效管理模式和方法，优化</w:t>
      </w:r>
      <w:r>
        <w:rPr>
          <w:rFonts w:hint="eastAsia" w:ascii="仿宋" w:hAnsi="仿宋" w:eastAsia="仿宋" w:cs="仿宋"/>
          <w:color w:val="auto"/>
          <w:kern w:val="0"/>
          <w:sz w:val="32"/>
          <w:szCs w:val="32"/>
          <w:highlight w:val="none"/>
          <w:shd w:val="clear" w:color="auto" w:fill="FFFFFF"/>
          <w:lang w:val="en-US" w:eastAsia="zh-CN"/>
        </w:rPr>
        <w:t>财政支出结构</w:t>
      </w:r>
      <w:r>
        <w:rPr>
          <w:rFonts w:hint="eastAsia" w:ascii="仿宋" w:hAnsi="仿宋" w:eastAsia="仿宋" w:cs="仿宋"/>
          <w:color w:val="auto"/>
          <w:kern w:val="0"/>
          <w:sz w:val="32"/>
          <w:szCs w:val="32"/>
          <w:highlight w:val="none"/>
          <w:shd w:val="clear" w:color="auto" w:fill="FFFFFF"/>
          <w:lang w:val="en-US" w:eastAsia="zh-Hans"/>
        </w:rPr>
        <w:t>，提升财政支出</w:t>
      </w:r>
      <w:r>
        <w:rPr>
          <w:rFonts w:hint="eastAsia" w:ascii="仿宋" w:hAnsi="仿宋" w:eastAsia="仿宋" w:cs="仿宋"/>
          <w:color w:val="auto"/>
          <w:kern w:val="0"/>
          <w:sz w:val="32"/>
          <w:szCs w:val="32"/>
          <w:highlight w:val="none"/>
          <w:shd w:val="clear" w:color="auto" w:fill="FFFFFF"/>
          <w:lang w:val="en-US" w:eastAsia="zh-CN"/>
        </w:rPr>
        <w:t>预算</w:t>
      </w:r>
      <w:r>
        <w:rPr>
          <w:rFonts w:hint="eastAsia" w:ascii="仿宋" w:hAnsi="仿宋" w:eastAsia="仿宋" w:cs="仿宋"/>
          <w:color w:val="auto"/>
          <w:kern w:val="0"/>
          <w:sz w:val="32"/>
          <w:szCs w:val="32"/>
          <w:highlight w:val="none"/>
          <w:shd w:val="clear" w:color="auto" w:fill="FFFFFF"/>
          <w:lang w:val="en-US" w:eastAsia="zh-Hans"/>
        </w:rPr>
        <w:t>执行效率。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2.评价依据</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（1）《财政部关于印发&lt;项目支出绩效评价管理办法&gt;的通知》（财预〔2020〕10 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（2）《预算绩效评价共性指标体系框架》（财预〔2013〕53 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（3）陕西省财政厅关于印发《省级部门整体支出绩效评价办法》的通知(陕财办预〔2017〕80 号)</w:t>
      </w:r>
      <w:r>
        <w:rPr>
          <w:rFonts w:hint="eastAsia" w:ascii="仿宋" w:hAnsi="仿宋" w:eastAsia="仿宋" w:cs="仿宋"/>
          <w:color w:val="auto"/>
          <w:kern w:val="0"/>
          <w:sz w:val="32"/>
          <w:szCs w:val="32"/>
          <w:highlight w:val="none"/>
          <w:shd w:val="clear" w:color="auto" w:fill="FFFFFF"/>
          <w:lang w:val="en-US" w:eastAsia="zh-CN"/>
        </w:rPr>
        <w:t>；</w:t>
      </w:r>
      <w:r>
        <w:rPr>
          <w:rFonts w:hint="eastAsia" w:ascii="仿宋" w:hAnsi="仿宋" w:eastAsia="仿宋" w:cs="仿宋"/>
          <w:color w:val="auto"/>
          <w:kern w:val="0"/>
          <w:sz w:val="32"/>
          <w:szCs w:val="32"/>
          <w:highlight w:val="none"/>
          <w:shd w:val="clear" w:color="auto" w:fill="FFFFFF"/>
          <w:lang w:val="en-US" w:eastAsia="zh-Hans"/>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（4）</w:t>
      </w:r>
      <w:r>
        <w:rPr>
          <w:rFonts w:hint="eastAsia" w:ascii="仿宋" w:hAnsi="仿宋" w:eastAsia="仿宋" w:cs="仿宋"/>
          <w:color w:val="auto"/>
          <w:kern w:val="0"/>
          <w:sz w:val="32"/>
          <w:szCs w:val="32"/>
          <w:highlight w:val="none"/>
          <w:lang w:val="en-US" w:eastAsia="zh-CN"/>
        </w:rPr>
        <w:t>铜川市新区财政局《关于开展2021年新区项目和部门整体支出绩效自评及重点项目绩效评价</w:t>
      </w:r>
      <w:r>
        <w:rPr>
          <w:rFonts w:hint="eastAsia" w:ascii="仿宋" w:hAnsi="仿宋" w:eastAsia="仿宋" w:cs="仿宋"/>
          <w:color w:val="auto"/>
          <w:kern w:val="0"/>
          <w:sz w:val="32"/>
          <w:szCs w:val="32"/>
          <w:highlight w:val="none"/>
          <w:lang w:val="en-US" w:eastAsia="zh-Hans"/>
        </w:rPr>
        <w:t>工作</w:t>
      </w:r>
      <w:r>
        <w:rPr>
          <w:rFonts w:hint="eastAsia" w:ascii="仿宋" w:hAnsi="仿宋" w:eastAsia="仿宋" w:cs="仿宋"/>
          <w:color w:val="auto"/>
          <w:kern w:val="0"/>
          <w:sz w:val="32"/>
          <w:szCs w:val="32"/>
          <w:highlight w:val="none"/>
          <w:lang w:val="en-US" w:eastAsia="zh-CN"/>
        </w:rPr>
        <w:t>的通知》</w:t>
      </w:r>
      <w:r>
        <w:rPr>
          <w:rFonts w:hint="eastAsia" w:ascii="仿宋" w:hAnsi="仿宋" w:eastAsia="仿宋" w:cs="仿宋"/>
          <w:color w:val="auto"/>
          <w:kern w:val="0"/>
          <w:sz w:val="32"/>
          <w:szCs w:val="32"/>
          <w:highlight w:val="none"/>
          <w:shd w:val="clear" w:color="auto" w:fill="FFFFFF"/>
          <w:lang w:val="en-US"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（5）</w:t>
      </w:r>
      <w:r>
        <w:rPr>
          <w:rFonts w:hint="eastAsia" w:ascii="仿宋" w:hAnsi="仿宋" w:eastAsia="仿宋" w:cs="仿宋"/>
          <w:color w:val="auto"/>
          <w:kern w:val="0"/>
          <w:sz w:val="32"/>
          <w:szCs w:val="32"/>
          <w:highlight w:val="none"/>
          <w:shd w:val="clear" w:color="auto" w:fill="FFFFFF"/>
          <w:lang w:val="en-US" w:eastAsia="zh-CN"/>
        </w:rPr>
        <w:t>铜川市新区财政局《关于下达2021年部门预算的通知》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（6）</w:t>
      </w:r>
      <w:r>
        <w:rPr>
          <w:rFonts w:hint="eastAsia" w:ascii="仿宋" w:hAnsi="仿宋" w:eastAsia="仿宋" w:cs="仿宋"/>
          <w:color w:val="auto"/>
          <w:kern w:val="0"/>
          <w:sz w:val="32"/>
          <w:szCs w:val="32"/>
          <w:highlight w:val="none"/>
          <w:shd w:val="clear" w:color="auto" w:fill="FFFFFF"/>
          <w:lang w:val="en-US" w:eastAsia="zh-Hans"/>
        </w:rPr>
        <w:t>《关于做好202</w:t>
      </w:r>
      <w:r>
        <w:rPr>
          <w:rFonts w:hint="eastAsia" w:ascii="仿宋" w:hAnsi="仿宋" w:eastAsia="仿宋" w:cs="仿宋"/>
          <w:color w:val="auto"/>
          <w:kern w:val="0"/>
          <w:sz w:val="32"/>
          <w:szCs w:val="32"/>
          <w:highlight w:val="none"/>
          <w:shd w:val="clear" w:color="auto" w:fill="FFFFFF"/>
          <w:lang w:val="en-US" w:eastAsia="zh-CN"/>
        </w:rPr>
        <w:t>1</w:t>
      </w:r>
      <w:r>
        <w:rPr>
          <w:rFonts w:hint="eastAsia" w:ascii="仿宋" w:hAnsi="仿宋" w:eastAsia="仿宋" w:cs="仿宋"/>
          <w:color w:val="auto"/>
          <w:kern w:val="0"/>
          <w:sz w:val="32"/>
          <w:szCs w:val="32"/>
          <w:highlight w:val="none"/>
          <w:shd w:val="clear" w:color="auto" w:fill="FFFFFF"/>
          <w:lang w:val="en-US" w:eastAsia="zh-Hans"/>
        </w:rPr>
        <w:t>年部门预算公开的通知》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7</w:t>
      </w:r>
      <w:r>
        <w:rPr>
          <w:rFonts w:hint="eastAsia" w:ascii="仿宋" w:hAnsi="仿宋" w:eastAsia="仿宋" w:cs="仿宋"/>
          <w:color w:val="auto"/>
          <w:kern w:val="0"/>
          <w:sz w:val="32"/>
          <w:szCs w:val="32"/>
          <w:highlight w:val="none"/>
          <w:shd w:val="clear" w:color="auto" w:fill="FFFFFF"/>
          <w:lang w:val="en-US" w:eastAsia="zh-Hans"/>
        </w:rPr>
        <w:t>）《铜川市预决算公开工作考核办法》（铜财预〔2018〕117 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8</w:t>
      </w:r>
      <w:r>
        <w:rPr>
          <w:rFonts w:hint="eastAsia" w:ascii="仿宋" w:hAnsi="仿宋" w:eastAsia="仿宋" w:cs="仿宋"/>
          <w:color w:val="auto"/>
          <w:kern w:val="0"/>
          <w:sz w:val="32"/>
          <w:szCs w:val="32"/>
          <w:highlight w:val="none"/>
          <w:shd w:val="clear" w:color="auto" w:fill="FFFFFF"/>
          <w:lang w:val="en-US" w:eastAsia="zh-Hans"/>
        </w:rPr>
        <w:t>）《地方预决算公开操作规程》（铜财预〔2016〕102号）；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9</w:t>
      </w:r>
      <w:bookmarkStart w:id="40" w:name="_GoBack"/>
      <w:bookmarkEnd w:id="40"/>
      <w:r>
        <w:rPr>
          <w:rFonts w:hint="eastAsia" w:ascii="仿宋" w:hAnsi="仿宋" w:eastAsia="仿宋" w:cs="仿宋"/>
          <w:color w:val="auto"/>
          <w:kern w:val="0"/>
          <w:sz w:val="32"/>
          <w:szCs w:val="32"/>
          <w:highlight w:val="none"/>
          <w:shd w:val="clear" w:color="auto" w:fill="FFFFFF"/>
          <w:lang w:val="en-US" w:eastAsia="zh-Hans"/>
        </w:rPr>
        <w:t>）铜川市财政局印发的《市级部门预算绩效目标管理暂行办法》（铜财预〔2016〕74号）；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（10）铜川市新区住房建设和交通运输局2021年度部门综合预算和决算文件；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（11）</w:t>
      </w:r>
      <w:r>
        <w:rPr>
          <w:rFonts w:hint="eastAsia" w:ascii="仿宋" w:hAnsi="仿宋" w:eastAsia="仿宋" w:cs="仿宋"/>
          <w:color w:val="auto"/>
          <w:kern w:val="0"/>
          <w:sz w:val="32"/>
          <w:szCs w:val="32"/>
          <w:highlight w:val="none"/>
          <w:shd w:val="clear" w:color="auto" w:fill="FFFFFF"/>
          <w:lang w:val="en-US" w:eastAsia="zh-Hans"/>
        </w:rPr>
        <w:t>铜川市</w:t>
      </w:r>
      <w:r>
        <w:rPr>
          <w:rFonts w:hint="eastAsia" w:ascii="仿宋" w:hAnsi="仿宋" w:eastAsia="仿宋" w:cs="仿宋"/>
          <w:color w:val="auto"/>
          <w:kern w:val="0"/>
          <w:sz w:val="32"/>
          <w:szCs w:val="32"/>
          <w:highlight w:val="none"/>
          <w:shd w:val="clear" w:color="auto" w:fill="FFFFFF"/>
          <w:lang w:val="en-US" w:eastAsia="zh-CN"/>
        </w:rPr>
        <w:t>新区住房建设和交通运输局</w:t>
      </w:r>
      <w:r>
        <w:rPr>
          <w:rFonts w:hint="eastAsia" w:ascii="仿宋" w:hAnsi="仿宋" w:eastAsia="仿宋" w:cs="仿宋"/>
          <w:color w:val="auto"/>
          <w:kern w:val="0"/>
          <w:sz w:val="32"/>
          <w:szCs w:val="32"/>
          <w:highlight w:val="none"/>
          <w:shd w:val="clear" w:color="auto" w:fill="FFFFFF"/>
          <w:lang w:val="en-US" w:eastAsia="zh-Hans"/>
        </w:rPr>
        <w:t>相关职责、制度及管理办法；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（1</w:t>
      </w:r>
      <w:r>
        <w:rPr>
          <w:rFonts w:hint="eastAsia" w:ascii="仿宋" w:hAnsi="仿宋" w:eastAsia="仿宋" w:cs="仿宋"/>
          <w:color w:val="auto"/>
          <w:kern w:val="0"/>
          <w:sz w:val="32"/>
          <w:szCs w:val="32"/>
          <w:highlight w:val="none"/>
          <w:shd w:val="clear" w:color="auto" w:fill="FFFFFF"/>
          <w:lang w:val="en-US" w:eastAsia="zh-CN"/>
        </w:rPr>
        <w:t>2</w:t>
      </w:r>
      <w:r>
        <w:rPr>
          <w:rFonts w:hint="eastAsia" w:ascii="仿宋" w:hAnsi="仿宋" w:eastAsia="仿宋" w:cs="仿宋"/>
          <w:color w:val="auto"/>
          <w:kern w:val="0"/>
          <w:sz w:val="32"/>
          <w:szCs w:val="32"/>
          <w:highlight w:val="none"/>
          <w:shd w:val="clear" w:color="auto" w:fill="FFFFFF"/>
          <w:lang w:val="en-US" w:eastAsia="zh-Hans"/>
        </w:rPr>
        <w:t>）铜川市</w:t>
      </w:r>
      <w:r>
        <w:rPr>
          <w:rFonts w:hint="eastAsia" w:ascii="仿宋" w:hAnsi="仿宋" w:eastAsia="仿宋" w:cs="仿宋"/>
          <w:color w:val="auto"/>
          <w:kern w:val="0"/>
          <w:sz w:val="32"/>
          <w:szCs w:val="32"/>
          <w:highlight w:val="none"/>
          <w:shd w:val="clear" w:color="auto" w:fill="FFFFFF"/>
          <w:lang w:val="en-US" w:eastAsia="zh-CN"/>
        </w:rPr>
        <w:t>新区住房建设和交通运输局2021年度重点工作</w:t>
      </w:r>
      <w:r>
        <w:rPr>
          <w:rFonts w:hint="eastAsia" w:ascii="仿宋" w:hAnsi="仿宋" w:eastAsia="仿宋" w:cs="仿宋"/>
          <w:color w:val="auto"/>
          <w:kern w:val="0"/>
          <w:sz w:val="32"/>
          <w:szCs w:val="32"/>
          <w:highlight w:val="none"/>
          <w:shd w:val="clear" w:color="auto" w:fill="FFFFFF"/>
          <w:lang w:val="en-US" w:eastAsia="zh-Hans"/>
        </w:rPr>
        <w:t>资料（预算批复文件、项目支出明细账、会计凭证等财务资料，年度工作计划、项目</w:t>
      </w:r>
      <w:r>
        <w:rPr>
          <w:rFonts w:hint="eastAsia" w:ascii="仿宋" w:hAnsi="仿宋" w:eastAsia="仿宋" w:cs="仿宋"/>
          <w:color w:val="auto"/>
          <w:kern w:val="0"/>
          <w:sz w:val="32"/>
          <w:szCs w:val="32"/>
          <w:highlight w:val="none"/>
          <w:shd w:val="clear" w:color="auto" w:fill="FFFFFF"/>
          <w:lang w:val="en-US" w:eastAsia="zh-CN"/>
        </w:rPr>
        <w:t>合同文件、验收资料</w:t>
      </w:r>
      <w:r>
        <w:rPr>
          <w:rFonts w:hint="eastAsia" w:ascii="仿宋" w:hAnsi="仿宋" w:eastAsia="仿宋" w:cs="仿宋"/>
          <w:color w:val="auto"/>
          <w:kern w:val="0"/>
          <w:sz w:val="32"/>
          <w:szCs w:val="32"/>
          <w:highlight w:val="none"/>
          <w:shd w:val="clear" w:color="auto" w:fill="FFFFFF"/>
          <w:lang w:val="en-US" w:eastAsia="zh-Hans"/>
        </w:rPr>
        <w:t>、年度工作总结、阶段总结、绩效佐证资料等档案资料）。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Hans"/>
        </w:rPr>
      </w:pPr>
      <w:bookmarkStart w:id="8" w:name="_Toc10668"/>
      <w:r>
        <w:rPr>
          <w:rFonts w:hint="eastAsia" w:ascii="楷体" w:hAnsi="楷体" w:eastAsia="楷体" w:cs="楷体"/>
          <w:b/>
          <w:bCs/>
          <w:color w:val="auto"/>
          <w:kern w:val="0"/>
          <w:sz w:val="32"/>
          <w:szCs w:val="32"/>
          <w:highlight w:val="none"/>
          <w:shd w:val="clear" w:color="auto" w:fill="FFFFFF"/>
          <w:lang w:val="en-US" w:eastAsia="zh-Hans"/>
        </w:rPr>
        <w:t>（二）评价对象、范围和时段</w:t>
      </w:r>
      <w:bookmarkEnd w:id="8"/>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评价对象：铜川市</w:t>
      </w:r>
      <w:r>
        <w:rPr>
          <w:rFonts w:hint="eastAsia" w:ascii="仿宋" w:hAnsi="仿宋" w:eastAsia="仿宋" w:cs="仿宋"/>
          <w:color w:val="auto"/>
          <w:kern w:val="0"/>
          <w:sz w:val="32"/>
          <w:szCs w:val="32"/>
          <w:highlight w:val="none"/>
          <w:shd w:val="clear" w:color="auto" w:fill="FFFFFF"/>
          <w:lang w:val="en-US" w:eastAsia="zh-CN"/>
        </w:rPr>
        <w:t>新区住房建设和交通运输局</w:t>
      </w:r>
      <w:r>
        <w:rPr>
          <w:rFonts w:hint="eastAsia" w:ascii="仿宋" w:hAnsi="仿宋" w:eastAsia="仿宋" w:cs="仿宋"/>
          <w:color w:val="auto"/>
          <w:kern w:val="0"/>
          <w:sz w:val="32"/>
          <w:szCs w:val="32"/>
          <w:highlight w:val="none"/>
          <w:shd w:val="clear" w:color="auto" w:fill="FFFFFF"/>
          <w:lang w:val="en-US" w:eastAsia="zh-Hans"/>
        </w:rPr>
        <w:t>202</w:t>
      </w:r>
      <w:r>
        <w:rPr>
          <w:rFonts w:hint="eastAsia" w:ascii="仿宋" w:hAnsi="仿宋" w:eastAsia="仿宋" w:cs="仿宋"/>
          <w:color w:val="auto"/>
          <w:kern w:val="0"/>
          <w:sz w:val="32"/>
          <w:szCs w:val="32"/>
          <w:highlight w:val="none"/>
          <w:shd w:val="clear" w:color="auto" w:fill="FFFFFF"/>
          <w:lang w:val="en-US" w:eastAsia="zh-CN"/>
        </w:rPr>
        <w:t>1</w:t>
      </w:r>
      <w:r>
        <w:rPr>
          <w:rFonts w:hint="eastAsia" w:ascii="仿宋" w:hAnsi="仿宋" w:eastAsia="仿宋" w:cs="仿宋"/>
          <w:color w:val="auto"/>
          <w:kern w:val="0"/>
          <w:sz w:val="32"/>
          <w:szCs w:val="32"/>
          <w:highlight w:val="none"/>
          <w:shd w:val="clear" w:color="auto" w:fill="FFFFFF"/>
          <w:lang w:val="en-US" w:eastAsia="zh-Hans"/>
        </w:rPr>
        <w:t>年部门</w:t>
      </w:r>
      <w:r>
        <w:rPr>
          <w:rFonts w:hint="eastAsia" w:ascii="仿宋" w:hAnsi="仿宋" w:eastAsia="仿宋" w:cs="仿宋"/>
          <w:color w:val="auto"/>
          <w:kern w:val="0"/>
          <w:sz w:val="32"/>
          <w:szCs w:val="32"/>
          <w:highlight w:val="none"/>
          <w:shd w:val="clear" w:color="auto" w:fill="FFFFFF"/>
          <w:lang w:val="en-US" w:eastAsia="zh-CN"/>
        </w:rPr>
        <w:t>财政拨款</w:t>
      </w:r>
      <w:r>
        <w:rPr>
          <w:rFonts w:hint="eastAsia" w:ascii="仿宋" w:hAnsi="仿宋" w:eastAsia="仿宋" w:cs="仿宋"/>
          <w:color w:val="auto"/>
          <w:kern w:val="0"/>
          <w:sz w:val="32"/>
          <w:szCs w:val="32"/>
          <w:highlight w:val="none"/>
          <w:shd w:val="clear" w:color="auto" w:fill="FFFFFF"/>
          <w:lang w:val="en-US" w:eastAsia="zh-Hans"/>
        </w:rPr>
        <w:t>资金</w:t>
      </w:r>
      <w:r>
        <w:rPr>
          <w:rFonts w:hint="eastAsia" w:ascii="仿宋" w:hAnsi="仿宋" w:eastAsia="仿宋" w:cs="仿宋"/>
          <w:color w:val="auto"/>
          <w:kern w:val="0"/>
          <w:sz w:val="32"/>
          <w:szCs w:val="32"/>
          <w:highlight w:val="none"/>
          <w:shd w:val="clear" w:color="auto" w:fill="FFFFFF"/>
          <w:lang w:val="en-US" w:eastAsia="zh-CN"/>
        </w:rPr>
        <w:t>11828.89万元</w:t>
      </w:r>
      <w:r>
        <w:rPr>
          <w:rFonts w:hint="eastAsia" w:ascii="仿宋" w:hAnsi="仿宋" w:eastAsia="仿宋" w:cs="仿宋"/>
          <w:color w:val="auto"/>
          <w:kern w:val="0"/>
          <w:sz w:val="32"/>
          <w:szCs w:val="32"/>
          <w:highlight w:val="none"/>
          <w:shd w:val="clear" w:color="auto" w:fill="FFFFFF"/>
          <w:lang w:val="en-US"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评价范围：铜川市</w:t>
      </w:r>
      <w:r>
        <w:rPr>
          <w:rFonts w:hint="eastAsia" w:ascii="仿宋" w:hAnsi="仿宋" w:eastAsia="仿宋" w:cs="仿宋"/>
          <w:color w:val="auto"/>
          <w:kern w:val="0"/>
          <w:sz w:val="32"/>
          <w:szCs w:val="32"/>
          <w:highlight w:val="none"/>
          <w:shd w:val="clear" w:color="auto" w:fill="FFFFFF"/>
          <w:lang w:val="en-US" w:eastAsia="zh-CN"/>
        </w:rPr>
        <w:t>新区住房建设和交通运输局</w:t>
      </w:r>
      <w:r>
        <w:rPr>
          <w:rFonts w:hint="eastAsia" w:ascii="仿宋" w:hAnsi="仿宋" w:eastAsia="仿宋" w:cs="仿宋"/>
          <w:color w:val="auto"/>
          <w:kern w:val="0"/>
          <w:sz w:val="32"/>
          <w:szCs w:val="32"/>
          <w:highlight w:val="none"/>
          <w:shd w:val="clear" w:color="auto" w:fill="FFFFFF"/>
          <w:lang w:val="en-US" w:eastAsia="zh-Hans"/>
        </w:rPr>
        <w:t>202</w:t>
      </w:r>
      <w:r>
        <w:rPr>
          <w:rFonts w:hint="eastAsia" w:ascii="仿宋" w:hAnsi="仿宋" w:eastAsia="仿宋" w:cs="仿宋"/>
          <w:color w:val="auto"/>
          <w:kern w:val="0"/>
          <w:sz w:val="32"/>
          <w:szCs w:val="32"/>
          <w:highlight w:val="none"/>
          <w:shd w:val="clear" w:color="auto" w:fill="FFFFFF"/>
          <w:lang w:val="en-US" w:eastAsia="zh-CN"/>
        </w:rPr>
        <w:t>1</w:t>
      </w:r>
      <w:r>
        <w:rPr>
          <w:rFonts w:hint="eastAsia" w:ascii="仿宋" w:hAnsi="仿宋" w:eastAsia="仿宋" w:cs="仿宋"/>
          <w:color w:val="auto"/>
          <w:kern w:val="0"/>
          <w:sz w:val="32"/>
          <w:szCs w:val="32"/>
          <w:highlight w:val="none"/>
          <w:shd w:val="clear" w:color="auto" w:fill="FFFFFF"/>
          <w:lang w:val="en-US" w:eastAsia="zh-Hans"/>
        </w:rPr>
        <w:t>年度依据部门职能开展的工作，以及职责范围内开展的</w:t>
      </w:r>
      <w:r>
        <w:rPr>
          <w:rFonts w:hint="eastAsia" w:ascii="仿宋" w:hAnsi="仿宋" w:eastAsia="仿宋" w:cs="仿宋"/>
          <w:color w:val="auto"/>
          <w:kern w:val="0"/>
          <w:sz w:val="32"/>
          <w:szCs w:val="32"/>
          <w:highlight w:val="none"/>
          <w:shd w:val="clear" w:color="auto" w:fill="FFFFFF"/>
          <w:lang w:val="en-US" w:eastAsia="zh-CN"/>
        </w:rPr>
        <w:t>重点工作安排</w:t>
      </w:r>
      <w:r>
        <w:rPr>
          <w:rFonts w:hint="eastAsia" w:ascii="仿宋" w:hAnsi="仿宋" w:eastAsia="仿宋" w:cs="仿宋"/>
          <w:color w:val="auto"/>
          <w:kern w:val="0"/>
          <w:sz w:val="32"/>
          <w:szCs w:val="32"/>
          <w:highlight w:val="none"/>
          <w:shd w:val="clear" w:color="auto" w:fill="FFFFFF"/>
          <w:lang w:val="en-US"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评价时段：202</w:t>
      </w:r>
      <w:r>
        <w:rPr>
          <w:rFonts w:hint="eastAsia" w:ascii="仿宋" w:hAnsi="仿宋" w:eastAsia="仿宋" w:cs="仿宋"/>
          <w:color w:val="auto"/>
          <w:kern w:val="0"/>
          <w:sz w:val="32"/>
          <w:szCs w:val="32"/>
          <w:highlight w:val="none"/>
          <w:shd w:val="clear" w:color="auto" w:fill="FFFFFF"/>
          <w:lang w:val="en-US" w:eastAsia="zh-CN"/>
        </w:rPr>
        <w:t>1</w:t>
      </w:r>
      <w:r>
        <w:rPr>
          <w:rFonts w:hint="eastAsia" w:ascii="仿宋" w:hAnsi="仿宋" w:eastAsia="仿宋" w:cs="仿宋"/>
          <w:color w:val="auto"/>
          <w:kern w:val="0"/>
          <w:sz w:val="32"/>
          <w:szCs w:val="32"/>
          <w:highlight w:val="none"/>
          <w:shd w:val="clear" w:color="auto" w:fill="FFFFFF"/>
          <w:lang w:val="en-US" w:eastAsia="zh-Hans"/>
        </w:rPr>
        <w:t>年1月1日-202</w:t>
      </w:r>
      <w:r>
        <w:rPr>
          <w:rFonts w:hint="eastAsia" w:ascii="仿宋" w:hAnsi="仿宋" w:eastAsia="仿宋" w:cs="仿宋"/>
          <w:color w:val="auto"/>
          <w:kern w:val="0"/>
          <w:sz w:val="32"/>
          <w:szCs w:val="32"/>
          <w:highlight w:val="none"/>
          <w:shd w:val="clear" w:color="auto" w:fill="FFFFFF"/>
          <w:lang w:val="en-US" w:eastAsia="zh-CN"/>
        </w:rPr>
        <w:t>1</w:t>
      </w:r>
      <w:r>
        <w:rPr>
          <w:rFonts w:hint="eastAsia" w:ascii="仿宋" w:hAnsi="仿宋" w:eastAsia="仿宋" w:cs="仿宋"/>
          <w:color w:val="auto"/>
          <w:kern w:val="0"/>
          <w:sz w:val="32"/>
          <w:szCs w:val="32"/>
          <w:highlight w:val="none"/>
          <w:shd w:val="clear" w:color="auto" w:fill="FFFFFF"/>
          <w:lang w:val="en-US" w:eastAsia="zh-Hans"/>
        </w:rPr>
        <w:t>年12月31日。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Hans"/>
        </w:rPr>
      </w:pPr>
      <w:bookmarkStart w:id="9" w:name="_Toc18458"/>
      <w:r>
        <w:rPr>
          <w:rFonts w:hint="eastAsia" w:ascii="楷体" w:hAnsi="楷体" w:eastAsia="楷体" w:cs="楷体"/>
          <w:b/>
          <w:bCs/>
          <w:color w:val="auto"/>
          <w:kern w:val="0"/>
          <w:sz w:val="32"/>
          <w:szCs w:val="32"/>
          <w:highlight w:val="none"/>
          <w:shd w:val="clear" w:color="auto" w:fill="FFFFFF"/>
          <w:lang w:val="en-US" w:eastAsia="zh-Hans"/>
        </w:rPr>
        <w:t>（三）绩效评价原则、方法</w:t>
      </w:r>
      <w:r>
        <w:rPr>
          <w:rFonts w:hint="eastAsia" w:ascii="楷体" w:hAnsi="楷体" w:eastAsia="楷体" w:cs="楷体"/>
          <w:b/>
          <w:bCs/>
          <w:color w:val="auto"/>
          <w:kern w:val="0"/>
          <w:sz w:val="32"/>
          <w:szCs w:val="32"/>
          <w:highlight w:val="none"/>
          <w:shd w:val="clear" w:color="auto" w:fill="FFFFFF"/>
          <w:lang w:val="en-US" w:eastAsia="zh-CN"/>
        </w:rPr>
        <w:t>和</w:t>
      </w:r>
      <w:r>
        <w:rPr>
          <w:rFonts w:hint="eastAsia" w:ascii="楷体" w:hAnsi="楷体" w:eastAsia="楷体" w:cs="楷体"/>
          <w:b/>
          <w:bCs/>
          <w:color w:val="auto"/>
          <w:kern w:val="0"/>
          <w:sz w:val="32"/>
          <w:szCs w:val="32"/>
          <w:highlight w:val="none"/>
          <w:shd w:val="clear" w:color="auto" w:fill="FFFFFF"/>
          <w:lang w:val="en-US" w:eastAsia="zh-Hans"/>
        </w:rPr>
        <w:t>指标体系</w:t>
      </w:r>
      <w:bookmarkEnd w:id="9"/>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1.评价原则</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（1）科学规范原则。本次绩效评价工作按照科学可行的原则，采取定量分析与定性分析相结合的评价方法，评价机构设计绩效评价</w:t>
      </w:r>
      <w:r>
        <w:rPr>
          <w:rFonts w:hint="eastAsia" w:ascii="仿宋" w:hAnsi="仿宋" w:eastAsia="仿宋" w:cs="仿宋"/>
          <w:color w:val="auto"/>
          <w:kern w:val="0"/>
          <w:sz w:val="32"/>
          <w:szCs w:val="32"/>
          <w:highlight w:val="none"/>
          <w:shd w:val="clear" w:color="auto" w:fill="FFFFFF"/>
          <w:lang w:val="en-US" w:eastAsia="zh-CN"/>
        </w:rPr>
        <w:t>指标体系</w:t>
      </w:r>
      <w:r>
        <w:rPr>
          <w:rFonts w:hint="eastAsia" w:ascii="仿宋" w:hAnsi="仿宋" w:eastAsia="仿宋" w:cs="仿宋"/>
          <w:color w:val="auto"/>
          <w:kern w:val="0"/>
          <w:sz w:val="32"/>
          <w:szCs w:val="32"/>
          <w:highlight w:val="none"/>
          <w:shd w:val="clear" w:color="auto" w:fill="FFFFFF"/>
          <w:lang w:val="en-US" w:eastAsia="zh-Hans"/>
        </w:rPr>
        <w:t>并组织实施绩效评价。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（2）独立公正原则。以真实、客观、公正的要求完成本次绩效评价工作，并接受相关部门监督。</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（3）绩效相关原则。本次绩效评价工作重点对该</w:t>
      </w:r>
      <w:r>
        <w:rPr>
          <w:rFonts w:hint="eastAsia" w:ascii="仿宋" w:hAnsi="仿宋" w:eastAsia="仿宋" w:cs="仿宋"/>
          <w:color w:val="auto"/>
          <w:kern w:val="0"/>
          <w:sz w:val="32"/>
          <w:szCs w:val="32"/>
          <w:highlight w:val="none"/>
          <w:shd w:val="clear" w:color="auto" w:fill="FFFFFF"/>
          <w:lang w:val="en-US" w:eastAsia="zh-CN"/>
        </w:rPr>
        <w:t>部门职责履行</w:t>
      </w:r>
      <w:r>
        <w:rPr>
          <w:rFonts w:hint="eastAsia" w:ascii="仿宋" w:hAnsi="仿宋" w:eastAsia="仿宋" w:cs="仿宋"/>
          <w:color w:val="auto"/>
          <w:kern w:val="0"/>
          <w:sz w:val="32"/>
          <w:szCs w:val="32"/>
          <w:highlight w:val="none"/>
          <w:shd w:val="clear" w:color="auto" w:fill="FFFFFF"/>
          <w:lang w:val="en-US" w:eastAsia="zh-Hans"/>
        </w:rPr>
        <w:t>及其</w:t>
      </w:r>
      <w:r>
        <w:rPr>
          <w:rFonts w:hint="eastAsia" w:ascii="仿宋" w:hAnsi="仿宋" w:eastAsia="仿宋" w:cs="仿宋"/>
          <w:color w:val="auto"/>
          <w:kern w:val="0"/>
          <w:sz w:val="32"/>
          <w:szCs w:val="32"/>
          <w:highlight w:val="none"/>
          <w:shd w:val="clear" w:color="auto" w:fill="FFFFFF"/>
          <w:lang w:val="en-US" w:eastAsia="zh-CN"/>
        </w:rPr>
        <w:t>履职效益</w:t>
      </w:r>
      <w:r>
        <w:rPr>
          <w:rFonts w:hint="eastAsia" w:ascii="仿宋" w:hAnsi="仿宋" w:eastAsia="仿宋" w:cs="仿宋"/>
          <w:color w:val="auto"/>
          <w:kern w:val="0"/>
          <w:sz w:val="32"/>
          <w:szCs w:val="32"/>
          <w:highlight w:val="none"/>
          <w:shd w:val="clear" w:color="auto" w:fill="FFFFFF"/>
          <w:lang w:val="en-US" w:eastAsia="zh-Hans"/>
        </w:rPr>
        <w:t>绩效进行评价，评价结果反映</w:t>
      </w:r>
      <w:r>
        <w:rPr>
          <w:rFonts w:hint="eastAsia" w:ascii="仿宋" w:hAnsi="仿宋" w:eastAsia="仿宋" w:cs="仿宋"/>
          <w:color w:val="auto"/>
          <w:kern w:val="0"/>
          <w:sz w:val="32"/>
          <w:szCs w:val="32"/>
          <w:highlight w:val="none"/>
          <w:shd w:val="clear" w:color="auto" w:fill="FFFFFF"/>
          <w:lang w:val="en-US" w:eastAsia="zh-CN"/>
        </w:rPr>
        <w:t>部门职责履行</w:t>
      </w:r>
      <w:r>
        <w:rPr>
          <w:rFonts w:hint="eastAsia" w:ascii="仿宋" w:hAnsi="仿宋" w:eastAsia="仿宋" w:cs="仿宋"/>
          <w:color w:val="auto"/>
          <w:kern w:val="0"/>
          <w:sz w:val="32"/>
          <w:szCs w:val="32"/>
          <w:highlight w:val="none"/>
          <w:shd w:val="clear" w:color="auto" w:fill="FFFFFF"/>
          <w:lang w:val="en-US" w:eastAsia="zh-Hans"/>
        </w:rPr>
        <w:t>与</w:t>
      </w:r>
      <w:r>
        <w:rPr>
          <w:rFonts w:hint="eastAsia" w:ascii="仿宋" w:hAnsi="仿宋" w:eastAsia="仿宋" w:cs="仿宋"/>
          <w:color w:val="auto"/>
          <w:kern w:val="0"/>
          <w:sz w:val="32"/>
          <w:szCs w:val="32"/>
          <w:highlight w:val="none"/>
          <w:shd w:val="clear" w:color="auto" w:fill="FFFFFF"/>
          <w:lang w:val="en-US" w:eastAsia="zh-CN"/>
        </w:rPr>
        <w:t>履行效益</w:t>
      </w:r>
      <w:r>
        <w:rPr>
          <w:rFonts w:hint="eastAsia" w:ascii="仿宋" w:hAnsi="仿宋" w:eastAsia="仿宋" w:cs="仿宋"/>
          <w:color w:val="auto"/>
          <w:kern w:val="0"/>
          <w:sz w:val="32"/>
          <w:szCs w:val="32"/>
          <w:highlight w:val="none"/>
          <w:shd w:val="clear" w:color="auto" w:fill="FFFFFF"/>
          <w:lang w:val="en-US" w:eastAsia="zh-Hans"/>
        </w:rPr>
        <w:t>之间的紧密对应关系。</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（4）简便有效原则。本次绩效评价工作尽量简化工作程序，尽量减少委托方、</w:t>
      </w:r>
      <w:r>
        <w:rPr>
          <w:rFonts w:hint="eastAsia" w:ascii="仿宋" w:hAnsi="仿宋" w:eastAsia="仿宋" w:cs="仿宋"/>
          <w:color w:val="auto"/>
          <w:kern w:val="0"/>
          <w:sz w:val="32"/>
          <w:szCs w:val="32"/>
          <w:highlight w:val="none"/>
          <w:shd w:val="clear" w:color="auto" w:fill="FFFFFF"/>
          <w:lang w:val="en-US" w:eastAsia="zh-CN"/>
        </w:rPr>
        <w:t>被评价部门</w:t>
      </w:r>
      <w:r>
        <w:rPr>
          <w:rFonts w:hint="eastAsia" w:ascii="仿宋" w:hAnsi="仿宋" w:eastAsia="仿宋" w:cs="仿宋"/>
          <w:color w:val="auto"/>
          <w:kern w:val="0"/>
          <w:sz w:val="32"/>
          <w:szCs w:val="32"/>
          <w:highlight w:val="none"/>
          <w:shd w:val="clear" w:color="auto" w:fill="FFFFFF"/>
          <w:lang w:val="en-US" w:eastAsia="zh-Hans"/>
        </w:rPr>
        <w:t>工作负担，通过科学合理的工作方式与方法，在全面分析绩效材料，并在与委托方、</w:t>
      </w:r>
      <w:r>
        <w:rPr>
          <w:rFonts w:hint="eastAsia" w:ascii="仿宋" w:hAnsi="仿宋" w:eastAsia="仿宋" w:cs="仿宋"/>
          <w:color w:val="auto"/>
          <w:kern w:val="0"/>
          <w:sz w:val="32"/>
          <w:szCs w:val="32"/>
          <w:highlight w:val="none"/>
          <w:shd w:val="clear" w:color="auto" w:fill="FFFFFF"/>
          <w:lang w:val="en-US" w:eastAsia="zh-CN"/>
        </w:rPr>
        <w:t>被评价部门</w:t>
      </w:r>
      <w:r>
        <w:rPr>
          <w:rFonts w:hint="eastAsia" w:ascii="仿宋" w:hAnsi="仿宋" w:eastAsia="仿宋" w:cs="仿宋"/>
          <w:color w:val="auto"/>
          <w:kern w:val="0"/>
          <w:sz w:val="32"/>
          <w:szCs w:val="32"/>
          <w:highlight w:val="none"/>
          <w:shd w:val="clear" w:color="auto" w:fill="FFFFFF"/>
          <w:lang w:val="en-US" w:eastAsia="zh-Hans"/>
        </w:rPr>
        <w:t>充分沟通的基础上，着力保障绩效评价工作本身的“绩效”。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2.评价方法</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本次评价将通过文件资料研读、现场</w:t>
      </w:r>
      <w:r>
        <w:rPr>
          <w:rFonts w:hint="eastAsia" w:ascii="仿宋" w:hAnsi="仿宋" w:eastAsia="仿宋" w:cs="仿宋"/>
          <w:color w:val="auto"/>
          <w:kern w:val="0"/>
          <w:sz w:val="32"/>
          <w:szCs w:val="32"/>
          <w:highlight w:val="none"/>
          <w:shd w:val="clear" w:color="auto" w:fill="FFFFFF"/>
          <w:lang w:val="en-US" w:eastAsia="zh-CN"/>
        </w:rPr>
        <w:t>座谈</w:t>
      </w:r>
      <w:r>
        <w:rPr>
          <w:rFonts w:hint="eastAsia" w:ascii="仿宋" w:hAnsi="仿宋" w:eastAsia="仿宋" w:cs="仿宋"/>
          <w:color w:val="auto"/>
          <w:kern w:val="0"/>
          <w:sz w:val="32"/>
          <w:szCs w:val="32"/>
          <w:highlight w:val="none"/>
          <w:shd w:val="clear" w:color="auto" w:fill="FFFFFF"/>
          <w:lang w:val="en-US" w:eastAsia="zh-Hans"/>
        </w:rPr>
        <w:t>等方法进行定性评价；通过基础数据统计分析等方法，进行定量评价。在定性评价中，也须明确支撑评价结果的证明材料，尽量减少定性评价带有的主观随意性。本次绩效评价使用（但不限于）以下几种具体的评价方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（1）</w:t>
      </w:r>
      <w:r>
        <w:rPr>
          <w:rFonts w:hint="eastAsia" w:ascii="仿宋" w:hAnsi="仿宋" w:eastAsia="仿宋" w:cs="仿宋"/>
          <w:color w:val="auto"/>
          <w:kern w:val="0"/>
          <w:sz w:val="32"/>
          <w:szCs w:val="32"/>
          <w:highlight w:val="none"/>
          <w:shd w:val="clear" w:color="auto" w:fill="FFFFFF"/>
          <w:lang w:val="en-US" w:eastAsia="zh-CN"/>
        </w:rPr>
        <w:t>比较法。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通过对绩效目标与实施效果、历史与当期情况、不同部门和地区同类支出的比较，综合分析绩效目标实现程度。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（2）案卷研究法</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对于</w:t>
      </w:r>
      <w:r>
        <w:rPr>
          <w:rFonts w:hint="eastAsia" w:ascii="仿宋" w:hAnsi="仿宋" w:eastAsia="仿宋" w:cs="仿宋"/>
          <w:color w:val="auto"/>
          <w:kern w:val="0"/>
          <w:sz w:val="32"/>
          <w:szCs w:val="32"/>
          <w:highlight w:val="none"/>
          <w:shd w:val="clear" w:color="auto" w:fill="FFFFFF"/>
          <w:lang w:val="en-US" w:eastAsia="zh-CN"/>
        </w:rPr>
        <w:t>部门提供的</w:t>
      </w:r>
      <w:r>
        <w:rPr>
          <w:rFonts w:hint="eastAsia" w:ascii="仿宋" w:hAnsi="仿宋" w:eastAsia="仿宋" w:cs="仿宋"/>
          <w:color w:val="auto"/>
          <w:kern w:val="0"/>
          <w:sz w:val="32"/>
          <w:szCs w:val="32"/>
          <w:highlight w:val="none"/>
          <w:shd w:val="clear" w:color="auto" w:fill="FFFFFF"/>
          <w:lang w:val="en-US" w:eastAsia="zh-Hans"/>
        </w:rPr>
        <w:t>相关</w:t>
      </w:r>
      <w:r>
        <w:rPr>
          <w:rFonts w:hint="eastAsia" w:ascii="仿宋" w:hAnsi="仿宋" w:eastAsia="仿宋" w:cs="仿宋"/>
          <w:color w:val="auto"/>
          <w:kern w:val="0"/>
          <w:sz w:val="32"/>
          <w:szCs w:val="32"/>
          <w:highlight w:val="none"/>
          <w:shd w:val="clear" w:color="auto" w:fill="FFFFFF"/>
          <w:lang w:val="en-US" w:eastAsia="zh-CN"/>
        </w:rPr>
        <w:t>资料</w:t>
      </w:r>
      <w:r>
        <w:rPr>
          <w:rFonts w:hint="eastAsia" w:ascii="仿宋" w:hAnsi="仿宋" w:eastAsia="仿宋" w:cs="仿宋"/>
          <w:color w:val="auto"/>
          <w:kern w:val="0"/>
          <w:sz w:val="32"/>
          <w:szCs w:val="32"/>
          <w:highlight w:val="none"/>
          <w:shd w:val="clear" w:color="auto" w:fill="FFFFFF"/>
          <w:lang w:val="en-US" w:eastAsia="zh-Hans"/>
        </w:rPr>
        <w:t>和文件通知、实施方案、政府采购相关文件、资金支出程序文件、工作总结、服务对象满意度调查等相关资料进行深入研究、比较、分析，提取重要信息，为绩效评价提供支撑依据。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（3）现场</w:t>
      </w:r>
      <w:r>
        <w:rPr>
          <w:rFonts w:hint="eastAsia" w:ascii="仿宋" w:hAnsi="仿宋" w:eastAsia="仿宋" w:cs="仿宋"/>
          <w:color w:val="auto"/>
          <w:kern w:val="0"/>
          <w:sz w:val="32"/>
          <w:szCs w:val="32"/>
          <w:highlight w:val="none"/>
          <w:shd w:val="clear" w:color="auto" w:fill="FFFFFF"/>
          <w:lang w:val="en-US" w:eastAsia="zh-CN"/>
        </w:rPr>
        <w:t>座谈</w:t>
      </w:r>
      <w:r>
        <w:rPr>
          <w:rFonts w:hint="eastAsia" w:ascii="仿宋" w:hAnsi="仿宋" w:eastAsia="仿宋" w:cs="仿宋"/>
          <w:color w:val="auto"/>
          <w:kern w:val="0"/>
          <w:sz w:val="32"/>
          <w:szCs w:val="32"/>
          <w:highlight w:val="none"/>
          <w:shd w:val="clear" w:color="auto" w:fill="FFFFFF"/>
          <w:lang w:val="en-US" w:eastAsia="zh-Hans"/>
        </w:rPr>
        <w:t>法</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现场</w:t>
      </w:r>
      <w:r>
        <w:rPr>
          <w:rFonts w:hint="eastAsia" w:ascii="仿宋" w:hAnsi="仿宋" w:eastAsia="仿宋" w:cs="仿宋"/>
          <w:color w:val="auto"/>
          <w:kern w:val="0"/>
          <w:sz w:val="32"/>
          <w:szCs w:val="32"/>
          <w:highlight w:val="none"/>
          <w:shd w:val="clear" w:color="auto" w:fill="FFFFFF"/>
          <w:lang w:val="en-US" w:eastAsia="zh-CN"/>
        </w:rPr>
        <w:t>座谈</w:t>
      </w:r>
      <w:r>
        <w:rPr>
          <w:rFonts w:hint="eastAsia" w:ascii="仿宋" w:hAnsi="仿宋" w:eastAsia="仿宋" w:cs="仿宋"/>
          <w:color w:val="auto"/>
          <w:kern w:val="0"/>
          <w:sz w:val="32"/>
          <w:szCs w:val="32"/>
          <w:highlight w:val="none"/>
          <w:shd w:val="clear" w:color="auto" w:fill="FFFFFF"/>
          <w:lang w:val="en-US" w:eastAsia="zh-Hans"/>
        </w:rPr>
        <w:t>是本次评价的一个重要手段，通过对</w:t>
      </w:r>
      <w:r>
        <w:rPr>
          <w:rFonts w:hint="eastAsia" w:ascii="仿宋" w:hAnsi="仿宋" w:eastAsia="仿宋" w:cs="仿宋"/>
          <w:color w:val="auto"/>
          <w:kern w:val="0"/>
          <w:sz w:val="32"/>
          <w:szCs w:val="32"/>
          <w:highlight w:val="none"/>
          <w:shd w:val="clear" w:color="auto" w:fill="FFFFFF"/>
          <w:lang w:val="en-US" w:eastAsia="zh-CN"/>
        </w:rPr>
        <w:t>新区住房建设和交通运输局年度重点工作安排等</w:t>
      </w:r>
      <w:r>
        <w:rPr>
          <w:rFonts w:hint="eastAsia" w:ascii="仿宋" w:hAnsi="仿宋" w:eastAsia="仿宋" w:cs="仿宋"/>
          <w:color w:val="auto"/>
          <w:kern w:val="0"/>
          <w:sz w:val="32"/>
          <w:szCs w:val="32"/>
          <w:highlight w:val="none"/>
          <w:shd w:val="clear" w:color="auto" w:fill="FFFFFF"/>
          <w:lang w:val="en-US" w:eastAsia="zh-Hans"/>
        </w:rPr>
        <w:t>等进行现场</w:t>
      </w:r>
      <w:r>
        <w:rPr>
          <w:rFonts w:hint="eastAsia" w:ascii="仿宋" w:hAnsi="仿宋" w:eastAsia="仿宋" w:cs="仿宋"/>
          <w:color w:val="auto"/>
          <w:kern w:val="0"/>
          <w:sz w:val="32"/>
          <w:szCs w:val="32"/>
          <w:highlight w:val="none"/>
          <w:shd w:val="clear" w:color="auto" w:fill="FFFFFF"/>
          <w:lang w:val="en-US" w:eastAsia="zh-CN"/>
        </w:rPr>
        <w:t>座谈</w:t>
      </w:r>
      <w:r>
        <w:rPr>
          <w:rFonts w:hint="eastAsia" w:ascii="仿宋" w:hAnsi="仿宋" w:eastAsia="仿宋" w:cs="仿宋"/>
          <w:color w:val="auto"/>
          <w:kern w:val="0"/>
          <w:sz w:val="32"/>
          <w:szCs w:val="32"/>
          <w:highlight w:val="none"/>
          <w:shd w:val="clear" w:color="auto" w:fill="FFFFFF"/>
          <w:lang w:val="en-US" w:eastAsia="zh-Hans"/>
        </w:rPr>
        <w:t>，并在前期书面资料分析的基础上，进一步核查重点</w:t>
      </w:r>
      <w:r>
        <w:rPr>
          <w:rFonts w:hint="eastAsia" w:ascii="仿宋" w:hAnsi="仿宋" w:eastAsia="仿宋" w:cs="仿宋"/>
          <w:color w:val="auto"/>
          <w:kern w:val="0"/>
          <w:sz w:val="32"/>
          <w:szCs w:val="32"/>
          <w:highlight w:val="none"/>
          <w:shd w:val="clear" w:color="auto" w:fill="FFFFFF"/>
          <w:lang w:val="en-US" w:eastAsia="zh-CN"/>
        </w:rPr>
        <w:t>工作安排情况，</w:t>
      </w:r>
      <w:r>
        <w:rPr>
          <w:rFonts w:hint="eastAsia" w:ascii="仿宋" w:hAnsi="仿宋" w:eastAsia="仿宋" w:cs="仿宋"/>
          <w:color w:val="auto"/>
          <w:kern w:val="0"/>
          <w:sz w:val="32"/>
          <w:szCs w:val="32"/>
          <w:highlight w:val="none"/>
          <w:shd w:val="clear" w:color="auto" w:fill="FFFFFF"/>
          <w:lang w:val="en-US" w:eastAsia="zh-Hans"/>
        </w:rPr>
        <w:t>任务完成及效益实现等情况，修正指标评分，发现典型问题并探究原因。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（4）因素分析法</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在评价过程中，通过综合分析相关资料，挖掘影响绩效目标实现、实施效果的内外部因素，科学评判项目实施过程中存在的问题，有效提出相关建议。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3、评价指标体系</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根据部门整体支出绩效评价的基本原理、原则和部门特点，结合《铜川市市级部门整体支出绩效评价指标及评分标准》的要求，本次绩效评价指标体系包括投入、过程、产出及效果4个一级指标，</w:t>
      </w:r>
      <w:r>
        <w:rPr>
          <w:rFonts w:hint="eastAsia" w:ascii="仿宋" w:hAnsi="仿宋" w:eastAsia="仿宋" w:cs="仿宋"/>
          <w:color w:val="auto"/>
          <w:kern w:val="0"/>
          <w:sz w:val="32"/>
          <w:szCs w:val="32"/>
          <w:highlight w:val="none"/>
          <w:shd w:val="clear" w:color="auto" w:fill="FFFFFF"/>
          <w:lang w:val="en-US" w:eastAsia="zh-CN"/>
        </w:rPr>
        <w:t>11</w:t>
      </w:r>
      <w:r>
        <w:rPr>
          <w:rFonts w:hint="eastAsia" w:ascii="仿宋" w:hAnsi="仿宋" w:eastAsia="仿宋" w:cs="仿宋"/>
          <w:color w:val="auto"/>
          <w:kern w:val="0"/>
          <w:sz w:val="32"/>
          <w:szCs w:val="32"/>
          <w:highlight w:val="none"/>
          <w:shd w:val="clear" w:color="auto" w:fill="FFFFFF"/>
          <w:lang w:val="en-US" w:eastAsia="zh-Hans"/>
        </w:rPr>
        <w:t>个二级指标和</w:t>
      </w:r>
      <w:r>
        <w:rPr>
          <w:rFonts w:hint="eastAsia" w:ascii="仿宋" w:hAnsi="仿宋" w:eastAsia="仿宋" w:cs="仿宋"/>
          <w:color w:val="auto"/>
          <w:kern w:val="0"/>
          <w:sz w:val="32"/>
          <w:szCs w:val="32"/>
          <w:highlight w:val="none"/>
          <w:shd w:val="clear" w:color="auto" w:fill="FFFFFF"/>
          <w:lang w:val="en-US" w:eastAsia="zh-CN"/>
        </w:rPr>
        <w:t>30</w:t>
      </w:r>
      <w:r>
        <w:rPr>
          <w:rFonts w:hint="eastAsia" w:ascii="仿宋" w:hAnsi="仿宋" w:eastAsia="仿宋" w:cs="仿宋"/>
          <w:color w:val="auto"/>
          <w:kern w:val="0"/>
          <w:sz w:val="32"/>
          <w:szCs w:val="32"/>
          <w:highlight w:val="none"/>
          <w:shd w:val="clear" w:color="auto" w:fill="FFFFFF"/>
          <w:lang w:val="en-US" w:eastAsia="zh-Hans"/>
        </w:rPr>
        <w:t>个三级指标（详见附件</w:t>
      </w:r>
      <w:r>
        <w:rPr>
          <w:rFonts w:hint="eastAsia" w:ascii="仿宋" w:hAnsi="仿宋" w:eastAsia="仿宋" w:cs="仿宋"/>
          <w:color w:val="auto"/>
          <w:kern w:val="0"/>
          <w:sz w:val="32"/>
          <w:szCs w:val="32"/>
          <w:highlight w:val="none"/>
          <w:shd w:val="clear" w:color="auto" w:fill="FFFFFF"/>
          <w:lang w:val="en-US" w:eastAsia="zh-CN"/>
        </w:rPr>
        <w:t>3</w:t>
      </w:r>
      <w:r>
        <w:rPr>
          <w:rFonts w:hint="eastAsia" w:ascii="仿宋" w:hAnsi="仿宋" w:eastAsia="仿宋" w:cs="仿宋"/>
          <w:color w:val="auto"/>
          <w:kern w:val="0"/>
          <w:sz w:val="32"/>
          <w:szCs w:val="32"/>
          <w:highlight w:val="none"/>
          <w:shd w:val="clear" w:color="auto" w:fill="FFFFFF"/>
          <w:lang w:val="en-US" w:eastAsia="zh-Hans"/>
        </w:rPr>
        <w:t>），满分为100分。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（1）投入：从目标设定和预算配置两方面评价绩效目标合理性、绩效指标明确性、在职人员控制率</w:t>
      </w:r>
      <w:r>
        <w:rPr>
          <w:rFonts w:hint="eastAsia" w:ascii="仿宋" w:hAnsi="仿宋" w:eastAsia="仿宋" w:cs="仿宋"/>
          <w:color w:val="auto"/>
          <w:kern w:val="0"/>
          <w:sz w:val="32"/>
          <w:szCs w:val="32"/>
          <w:highlight w:val="none"/>
          <w:shd w:val="clear" w:color="auto" w:fill="FFFFFF"/>
          <w:lang w:val="en-US" w:eastAsia="zh-CN"/>
        </w:rPr>
        <w:t>、</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三公</w:t>
      </w:r>
      <w:r>
        <w:rPr>
          <w:rFonts w:hint="eastAsia" w:ascii="仿宋" w:hAnsi="仿宋" w:eastAsia="仿宋" w:cs="仿宋"/>
          <w:color w:val="auto"/>
          <w:kern w:val="0"/>
          <w:sz w:val="32"/>
          <w:szCs w:val="32"/>
          <w:highlight w:val="none"/>
          <w:shd w:val="clear" w:color="auto" w:fill="FFFFFF"/>
          <w:lang w:val="en-US" w:eastAsia="zh-Hans"/>
        </w:rPr>
        <w:t>经费”变动率、重点支出安排率等内容。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（2）过程：从预算执行、预算管理和资产管理三方面评价预算完成率、</w:t>
      </w:r>
      <w:r>
        <w:rPr>
          <w:rFonts w:hint="eastAsia" w:ascii="仿宋" w:hAnsi="仿宋" w:eastAsia="仿宋" w:cs="仿宋"/>
          <w:color w:val="auto"/>
          <w:kern w:val="0"/>
          <w:sz w:val="32"/>
          <w:szCs w:val="32"/>
          <w:highlight w:val="none"/>
          <w:shd w:val="clear" w:color="auto" w:fill="FFFFFF"/>
          <w:lang w:val="en-US" w:eastAsia="zh-CN"/>
        </w:rPr>
        <w:t>预算调整率、支付进度率、</w:t>
      </w:r>
      <w:r>
        <w:rPr>
          <w:rFonts w:hint="eastAsia" w:ascii="仿宋" w:hAnsi="仿宋" w:eastAsia="仿宋" w:cs="仿宋"/>
          <w:color w:val="auto"/>
          <w:kern w:val="0"/>
          <w:sz w:val="32"/>
          <w:szCs w:val="32"/>
          <w:highlight w:val="none"/>
          <w:shd w:val="clear" w:color="auto" w:fill="FFFFFF"/>
          <w:lang w:val="en-US" w:eastAsia="zh-Hans"/>
        </w:rPr>
        <w:t>结转结余率、</w:t>
      </w:r>
      <w:r>
        <w:rPr>
          <w:rFonts w:hint="eastAsia" w:ascii="仿宋" w:hAnsi="仿宋" w:eastAsia="仿宋" w:cs="仿宋"/>
          <w:color w:val="auto"/>
          <w:kern w:val="0"/>
          <w:sz w:val="32"/>
          <w:szCs w:val="32"/>
          <w:highlight w:val="none"/>
          <w:shd w:val="clear" w:color="auto" w:fill="FFFFFF"/>
          <w:lang w:val="en-US" w:eastAsia="zh-CN"/>
        </w:rPr>
        <w:t>结转结余变动率、</w:t>
      </w:r>
      <w:r>
        <w:rPr>
          <w:rFonts w:hint="eastAsia" w:ascii="仿宋" w:hAnsi="仿宋" w:eastAsia="仿宋" w:cs="仿宋"/>
          <w:color w:val="auto"/>
          <w:kern w:val="0"/>
          <w:sz w:val="32"/>
          <w:szCs w:val="32"/>
          <w:highlight w:val="none"/>
          <w:shd w:val="clear" w:color="auto" w:fill="FFFFFF"/>
          <w:lang w:val="en-US" w:eastAsia="zh-Hans"/>
        </w:rPr>
        <w:t>公用经费控制率、“三公经费”控制率、政府采购执行率和管理制度健全性、资金使用合规性、预决算信息公开性</w:t>
      </w:r>
      <w:r>
        <w:rPr>
          <w:rFonts w:hint="eastAsia" w:ascii="仿宋" w:hAnsi="仿宋" w:eastAsia="仿宋" w:cs="仿宋"/>
          <w:color w:val="auto"/>
          <w:kern w:val="0"/>
          <w:sz w:val="32"/>
          <w:szCs w:val="32"/>
          <w:highlight w:val="none"/>
          <w:shd w:val="clear" w:color="auto" w:fill="FFFFFF"/>
          <w:lang w:val="en-US" w:eastAsia="zh-CN"/>
        </w:rPr>
        <w:t>、运行监控和自评有效性、基础信息完善性</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管理制度健全性</w:t>
      </w:r>
      <w:r>
        <w:rPr>
          <w:rFonts w:hint="eastAsia" w:ascii="仿宋" w:hAnsi="仿宋" w:eastAsia="仿宋" w:cs="仿宋"/>
          <w:color w:val="auto"/>
          <w:kern w:val="0"/>
          <w:sz w:val="32"/>
          <w:szCs w:val="32"/>
          <w:highlight w:val="none"/>
          <w:shd w:val="clear" w:color="auto" w:fill="FFFFFF"/>
          <w:lang w:val="en-US" w:eastAsia="zh-Hans"/>
        </w:rPr>
        <w:t>以及资产管理</w:t>
      </w:r>
      <w:r>
        <w:rPr>
          <w:rFonts w:hint="eastAsia" w:ascii="仿宋" w:hAnsi="仿宋" w:eastAsia="仿宋" w:cs="仿宋"/>
          <w:color w:val="auto"/>
          <w:kern w:val="0"/>
          <w:sz w:val="32"/>
          <w:szCs w:val="32"/>
          <w:highlight w:val="none"/>
          <w:shd w:val="clear" w:color="auto" w:fill="FFFFFF"/>
          <w:lang w:val="en-US" w:eastAsia="zh-CN"/>
        </w:rPr>
        <w:t>安全</w:t>
      </w:r>
      <w:r>
        <w:rPr>
          <w:rFonts w:hint="eastAsia" w:ascii="仿宋" w:hAnsi="仿宋" w:eastAsia="仿宋" w:cs="仿宋"/>
          <w:color w:val="auto"/>
          <w:kern w:val="0"/>
          <w:sz w:val="32"/>
          <w:szCs w:val="32"/>
          <w:highlight w:val="none"/>
          <w:shd w:val="clear" w:color="auto" w:fill="FFFFFF"/>
          <w:lang w:val="en-US" w:eastAsia="zh-Hans"/>
        </w:rPr>
        <w:t>性、固定资产利用率等内容。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（3）产出：用于考察年度</w:t>
      </w:r>
      <w:r>
        <w:rPr>
          <w:rFonts w:hint="eastAsia" w:ascii="仿宋" w:hAnsi="仿宋" w:eastAsia="仿宋" w:cs="仿宋"/>
          <w:color w:val="auto"/>
          <w:kern w:val="0"/>
          <w:sz w:val="32"/>
          <w:szCs w:val="32"/>
          <w:highlight w:val="none"/>
          <w:shd w:val="clear" w:color="auto" w:fill="FFFFFF"/>
          <w:lang w:val="en-US" w:eastAsia="zh-CN"/>
        </w:rPr>
        <w:t>部门职责履行</w:t>
      </w:r>
      <w:r>
        <w:rPr>
          <w:rFonts w:hint="eastAsia" w:ascii="仿宋" w:hAnsi="仿宋" w:eastAsia="仿宋" w:cs="仿宋"/>
          <w:color w:val="auto"/>
          <w:kern w:val="0"/>
          <w:sz w:val="32"/>
          <w:szCs w:val="32"/>
          <w:highlight w:val="none"/>
          <w:shd w:val="clear" w:color="auto" w:fill="FFFFFF"/>
          <w:lang w:val="en-US" w:eastAsia="zh-Hans"/>
        </w:rPr>
        <w:t>的</w:t>
      </w:r>
      <w:r>
        <w:rPr>
          <w:rFonts w:hint="eastAsia" w:ascii="仿宋" w:hAnsi="仿宋" w:eastAsia="仿宋" w:cs="仿宋"/>
          <w:color w:val="auto"/>
          <w:kern w:val="0"/>
          <w:sz w:val="32"/>
          <w:szCs w:val="32"/>
          <w:highlight w:val="none"/>
          <w:shd w:val="clear" w:color="auto" w:fill="FFFFFF"/>
          <w:lang w:val="en-US" w:eastAsia="zh-CN"/>
        </w:rPr>
        <w:t>部门年度工作实际完成率、完成及时率、质量达标率、重点工作办结率</w:t>
      </w:r>
      <w:r>
        <w:rPr>
          <w:rFonts w:hint="eastAsia" w:ascii="仿宋" w:hAnsi="仿宋" w:eastAsia="仿宋" w:cs="仿宋"/>
          <w:color w:val="auto"/>
          <w:kern w:val="0"/>
          <w:sz w:val="32"/>
          <w:szCs w:val="32"/>
          <w:highlight w:val="none"/>
          <w:shd w:val="clear" w:color="auto" w:fill="FFFFFF"/>
          <w:lang w:val="en-US" w:eastAsia="zh-Hans"/>
        </w:rPr>
        <w:t>等内容。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（4）效果：用于综合评价部门年度总体工作及资金投用所得</w:t>
      </w:r>
      <w:r>
        <w:rPr>
          <w:rFonts w:hint="eastAsia" w:ascii="仿宋" w:hAnsi="仿宋" w:eastAsia="仿宋" w:cs="仿宋"/>
          <w:color w:val="auto"/>
          <w:kern w:val="0"/>
          <w:sz w:val="32"/>
          <w:szCs w:val="32"/>
          <w:highlight w:val="none"/>
          <w:shd w:val="clear" w:color="auto" w:fill="FFFFFF"/>
          <w:lang w:val="en-US" w:eastAsia="zh-CN"/>
        </w:rPr>
        <w:t>部门履职</w:t>
      </w:r>
      <w:r>
        <w:rPr>
          <w:rFonts w:hint="eastAsia" w:ascii="仿宋" w:hAnsi="仿宋" w:eastAsia="仿宋" w:cs="仿宋"/>
          <w:color w:val="auto"/>
          <w:kern w:val="0"/>
          <w:sz w:val="32"/>
          <w:szCs w:val="32"/>
          <w:highlight w:val="none"/>
          <w:shd w:val="clear" w:color="auto" w:fill="FFFFFF"/>
          <w:lang w:val="en-US" w:eastAsia="zh-Hans"/>
        </w:rPr>
        <w:t>产生的</w:t>
      </w:r>
      <w:r>
        <w:rPr>
          <w:rFonts w:hint="eastAsia" w:ascii="仿宋" w:hAnsi="仿宋" w:eastAsia="仿宋" w:cs="仿宋"/>
          <w:color w:val="auto"/>
          <w:kern w:val="0"/>
          <w:sz w:val="32"/>
          <w:szCs w:val="32"/>
          <w:highlight w:val="none"/>
          <w:shd w:val="clear" w:color="auto" w:fill="FFFFFF"/>
          <w:lang w:val="en-US" w:eastAsia="zh-CN"/>
        </w:rPr>
        <w:t>经济效益、</w:t>
      </w:r>
      <w:r>
        <w:rPr>
          <w:rFonts w:hint="eastAsia" w:ascii="仿宋" w:hAnsi="仿宋" w:eastAsia="仿宋" w:cs="仿宋"/>
          <w:color w:val="auto"/>
          <w:kern w:val="0"/>
          <w:sz w:val="32"/>
          <w:szCs w:val="32"/>
          <w:highlight w:val="none"/>
          <w:shd w:val="clear" w:color="auto" w:fill="FFFFFF"/>
          <w:lang w:val="en-US" w:eastAsia="zh-Hans"/>
        </w:rPr>
        <w:t>社会效益、</w:t>
      </w:r>
      <w:r>
        <w:rPr>
          <w:rFonts w:hint="eastAsia" w:ascii="仿宋" w:hAnsi="仿宋" w:eastAsia="仿宋" w:cs="仿宋"/>
          <w:color w:val="auto"/>
          <w:kern w:val="0"/>
          <w:sz w:val="32"/>
          <w:szCs w:val="32"/>
          <w:highlight w:val="none"/>
          <w:shd w:val="clear" w:color="auto" w:fill="FFFFFF"/>
          <w:lang w:val="en-US" w:eastAsia="zh-CN"/>
        </w:rPr>
        <w:t>生态效益、可持续性影响</w:t>
      </w:r>
      <w:r>
        <w:rPr>
          <w:rFonts w:hint="eastAsia" w:ascii="仿宋" w:hAnsi="仿宋" w:eastAsia="仿宋" w:cs="仿宋"/>
          <w:color w:val="auto"/>
          <w:kern w:val="0"/>
          <w:sz w:val="32"/>
          <w:szCs w:val="32"/>
          <w:highlight w:val="none"/>
          <w:shd w:val="clear" w:color="auto" w:fill="FFFFFF"/>
          <w:lang w:val="en-US" w:eastAsia="zh-Hans"/>
        </w:rPr>
        <w:t>及社会公众满意度。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4、绩效评价的局限性</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bookmarkStart w:id="10" w:name="_Toc1318217999"/>
      <w:r>
        <w:rPr>
          <w:rFonts w:hint="eastAsia" w:ascii="仿宋" w:hAnsi="仿宋" w:eastAsia="仿宋" w:cs="仿宋"/>
          <w:color w:val="auto"/>
          <w:kern w:val="0"/>
          <w:sz w:val="32"/>
          <w:szCs w:val="32"/>
          <w:highlight w:val="none"/>
          <w:shd w:val="clear" w:color="auto" w:fill="FFFFFF"/>
          <w:lang w:val="en-US" w:eastAsia="zh-Hans"/>
        </w:rPr>
        <w:t>本次对</w:t>
      </w:r>
      <w:r>
        <w:rPr>
          <w:rFonts w:hint="eastAsia" w:ascii="仿宋" w:hAnsi="仿宋" w:eastAsia="仿宋" w:cs="仿宋"/>
          <w:color w:val="auto"/>
          <w:kern w:val="0"/>
          <w:sz w:val="32"/>
          <w:szCs w:val="32"/>
          <w:highlight w:val="none"/>
          <w:shd w:val="clear" w:color="auto" w:fill="FFFFFF"/>
          <w:lang w:val="en-US" w:eastAsia="zh-CN"/>
        </w:rPr>
        <w:t>新区住房建设和交通运输局</w:t>
      </w:r>
      <w:r>
        <w:rPr>
          <w:rFonts w:hint="eastAsia" w:ascii="仿宋" w:hAnsi="仿宋" w:eastAsia="仿宋" w:cs="仿宋"/>
          <w:color w:val="auto"/>
          <w:kern w:val="0"/>
          <w:sz w:val="32"/>
          <w:szCs w:val="32"/>
          <w:highlight w:val="none"/>
          <w:shd w:val="clear" w:color="auto" w:fill="FFFFFF"/>
          <w:lang w:val="en-US" w:eastAsia="zh-Hans"/>
        </w:rPr>
        <w:t>202</w:t>
      </w:r>
      <w:r>
        <w:rPr>
          <w:rFonts w:hint="eastAsia" w:ascii="仿宋" w:hAnsi="仿宋" w:eastAsia="仿宋" w:cs="仿宋"/>
          <w:color w:val="auto"/>
          <w:kern w:val="0"/>
          <w:sz w:val="32"/>
          <w:szCs w:val="32"/>
          <w:highlight w:val="none"/>
          <w:shd w:val="clear" w:color="auto" w:fill="FFFFFF"/>
          <w:lang w:val="en-US" w:eastAsia="zh-CN"/>
        </w:rPr>
        <w:t>1</w:t>
      </w:r>
      <w:r>
        <w:rPr>
          <w:rFonts w:hint="eastAsia" w:ascii="仿宋" w:hAnsi="仿宋" w:eastAsia="仿宋" w:cs="仿宋"/>
          <w:color w:val="auto"/>
          <w:kern w:val="0"/>
          <w:sz w:val="32"/>
          <w:szCs w:val="32"/>
          <w:highlight w:val="none"/>
          <w:shd w:val="clear" w:color="auto" w:fill="FFFFFF"/>
          <w:lang w:val="en-US" w:eastAsia="zh-Hans"/>
        </w:rPr>
        <w:t>年度部门整体支出绩效进行分析和评价打分的基础数据来源于其提供的202</w:t>
      </w:r>
      <w:r>
        <w:rPr>
          <w:rFonts w:hint="eastAsia" w:ascii="仿宋" w:hAnsi="仿宋" w:eastAsia="仿宋" w:cs="仿宋"/>
          <w:color w:val="auto"/>
          <w:kern w:val="0"/>
          <w:sz w:val="32"/>
          <w:szCs w:val="32"/>
          <w:highlight w:val="none"/>
          <w:shd w:val="clear" w:color="auto" w:fill="FFFFFF"/>
          <w:lang w:val="en-US" w:eastAsia="zh-CN"/>
        </w:rPr>
        <w:t>1</w:t>
      </w:r>
      <w:r>
        <w:rPr>
          <w:rFonts w:hint="eastAsia" w:ascii="仿宋" w:hAnsi="仿宋" w:eastAsia="仿宋" w:cs="仿宋"/>
          <w:color w:val="auto"/>
          <w:kern w:val="0"/>
          <w:sz w:val="32"/>
          <w:szCs w:val="32"/>
          <w:highlight w:val="none"/>
          <w:shd w:val="clear" w:color="auto" w:fill="FFFFFF"/>
          <w:lang w:val="en-US" w:eastAsia="zh-Hans"/>
        </w:rPr>
        <w:t>年</w:t>
      </w:r>
      <w:r>
        <w:rPr>
          <w:rFonts w:hint="eastAsia" w:ascii="仿宋" w:hAnsi="仿宋" w:eastAsia="仿宋" w:cs="仿宋"/>
          <w:color w:val="auto"/>
          <w:kern w:val="0"/>
          <w:sz w:val="32"/>
          <w:szCs w:val="32"/>
          <w:highlight w:val="none"/>
          <w:shd w:val="clear" w:color="auto" w:fill="FFFFFF"/>
          <w:lang w:val="en-US" w:eastAsia="zh-CN"/>
        </w:rPr>
        <w:t>新区住房建设和交通运输局</w:t>
      </w:r>
      <w:r>
        <w:rPr>
          <w:rFonts w:hint="eastAsia" w:ascii="仿宋" w:hAnsi="仿宋" w:eastAsia="仿宋" w:cs="仿宋"/>
          <w:color w:val="auto"/>
          <w:kern w:val="0"/>
          <w:sz w:val="32"/>
          <w:szCs w:val="32"/>
          <w:highlight w:val="none"/>
          <w:shd w:val="clear" w:color="auto" w:fill="FFFFFF"/>
          <w:lang w:val="en-US" w:eastAsia="zh-Hans"/>
        </w:rPr>
        <w:t>本级部门预算表、202</w:t>
      </w:r>
      <w:r>
        <w:rPr>
          <w:rFonts w:hint="eastAsia" w:ascii="仿宋" w:hAnsi="仿宋" w:eastAsia="仿宋" w:cs="仿宋"/>
          <w:color w:val="auto"/>
          <w:kern w:val="0"/>
          <w:sz w:val="32"/>
          <w:szCs w:val="32"/>
          <w:highlight w:val="none"/>
          <w:shd w:val="clear" w:color="auto" w:fill="FFFFFF"/>
          <w:lang w:val="en-US" w:eastAsia="zh-CN"/>
        </w:rPr>
        <w:t>1</w:t>
      </w:r>
      <w:r>
        <w:rPr>
          <w:rFonts w:hint="eastAsia" w:ascii="仿宋" w:hAnsi="仿宋" w:eastAsia="仿宋" w:cs="仿宋"/>
          <w:color w:val="auto"/>
          <w:kern w:val="0"/>
          <w:sz w:val="32"/>
          <w:szCs w:val="32"/>
          <w:highlight w:val="none"/>
          <w:shd w:val="clear" w:color="auto" w:fill="FFFFFF"/>
          <w:lang w:val="en-US" w:eastAsia="zh-Hans"/>
        </w:rPr>
        <w:t>年度部门决算报表、</w:t>
      </w:r>
      <w:r>
        <w:rPr>
          <w:rFonts w:hint="eastAsia" w:ascii="仿宋" w:hAnsi="仿宋" w:eastAsia="仿宋" w:cs="仿宋"/>
          <w:color w:val="auto"/>
          <w:kern w:val="0"/>
          <w:sz w:val="32"/>
          <w:szCs w:val="32"/>
          <w:highlight w:val="none"/>
          <w:shd w:val="clear" w:color="auto" w:fill="FFFFFF"/>
          <w:lang w:val="en-US" w:eastAsia="zh-CN"/>
        </w:rPr>
        <w:t>新区住房建设和交通运输局</w:t>
      </w:r>
      <w:r>
        <w:rPr>
          <w:rFonts w:hint="eastAsia" w:ascii="仿宋" w:hAnsi="仿宋" w:eastAsia="仿宋" w:cs="仿宋"/>
          <w:color w:val="auto"/>
          <w:kern w:val="0"/>
          <w:sz w:val="32"/>
          <w:szCs w:val="32"/>
          <w:highlight w:val="none"/>
          <w:shd w:val="clear" w:color="auto" w:fill="FFFFFF"/>
          <w:lang w:val="en-US" w:eastAsia="zh-Hans"/>
        </w:rPr>
        <w:t>提供的档案资料以及调查者反映的情况等资料，上述数据的完整性、真实性、准确性直接影响绩效评价结果。</w:t>
      </w:r>
      <w:bookmarkEnd w:id="10"/>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color w:val="auto"/>
          <w:kern w:val="0"/>
          <w:sz w:val="32"/>
          <w:szCs w:val="32"/>
          <w:highlight w:val="none"/>
          <w:shd w:val="clear" w:color="auto" w:fill="FFFFFF"/>
          <w:lang w:val="en-US" w:eastAsia="zh-Hans"/>
        </w:rPr>
      </w:pPr>
      <w:bookmarkStart w:id="11" w:name="_Toc21754"/>
      <w:r>
        <w:rPr>
          <w:rFonts w:hint="eastAsia" w:ascii="楷体" w:hAnsi="楷体" w:eastAsia="楷体" w:cs="楷体"/>
          <w:b/>
          <w:bCs/>
          <w:color w:val="auto"/>
          <w:kern w:val="0"/>
          <w:sz w:val="32"/>
          <w:szCs w:val="32"/>
          <w:highlight w:val="none"/>
          <w:shd w:val="clear" w:color="auto" w:fill="FFFFFF"/>
          <w:lang w:val="en-US" w:eastAsia="zh-Hans"/>
        </w:rPr>
        <w:t>（四）评价工作过程</w:t>
      </w:r>
      <w:bookmarkEnd w:id="11"/>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本次绩效评价工作主要分为前期准备、组织实施、</w:t>
      </w:r>
      <w:r>
        <w:rPr>
          <w:rFonts w:hint="eastAsia" w:ascii="仿宋" w:hAnsi="仿宋" w:eastAsia="仿宋" w:cs="仿宋"/>
          <w:color w:val="auto"/>
          <w:kern w:val="0"/>
          <w:sz w:val="32"/>
          <w:szCs w:val="32"/>
          <w:highlight w:val="none"/>
          <w:shd w:val="clear" w:color="auto" w:fill="FFFFFF"/>
          <w:lang w:val="en-US" w:eastAsia="zh-CN"/>
        </w:rPr>
        <w:t>报告撰写</w:t>
      </w:r>
      <w:r>
        <w:rPr>
          <w:rFonts w:hint="eastAsia" w:ascii="仿宋" w:hAnsi="仿宋" w:eastAsia="仿宋" w:cs="仿宋"/>
          <w:color w:val="auto"/>
          <w:kern w:val="0"/>
          <w:sz w:val="32"/>
          <w:szCs w:val="32"/>
          <w:highlight w:val="none"/>
          <w:shd w:val="clear" w:color="auto" w:fill="FFFFFF"/>
          <w:lang w:val="en-US" w:eastAsia="zh-Hans"/>
        </w:rPr>
        <w:t>以及资料整理归档四个阶段。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1.前期准备阶段</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（1）项目启动。</w:t>
      </w:r>
      <w:r>
        <w:rPr>
          <w:rFonts w:hint="eastAsia" w:ascii="仿宋" w:hAnsi="仿宋" w:eastAsia="仿宋" w:cs="仿宋"/>
          <w:color w:val="auto"/>
          <w:kern w:val="0"/>
          <w:sz w:val="32"/>
          <w:szCs w:val="32"/>
          <w:highlight w:val="none"/>
          <w:shd w:val="clear" w:color="auto" w:fill="FFFFFF"/>
          <w:lang w:val="en-US" w:eastAsia="zh-CN"/>
        </w:rPr>
        <w:t>首先成立</w:t>
      </w:r>
      <w:r>
        <w:rPr>
          <w:rFonts w:hint="eastAsia" w:ascii="仿宋" w:hAnsi="仿宋" w:eastAsia="仿宋" w:cs="仿宋"/>
          <w:color w:val="auto"/>
          <w:kern w:val="0"/>
          <w:sz w:val="32"/>
          <w:szCs w:val="32"/>
          <w:highlight w:val="none"/>
          <w:shd w:val="clear" w:color="auto" w:fill="FFFFFF"/>
          <w:lang w:val="en-US" w:eastAsia="zh-Hans"/>
        </w:rPr>
        <w:t>评价小组，联络本次绩效评价的相关部门及人员，收集相关资料。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（2）开展前期调研并</w:t>
      </w:r>
      <w:r>
        <w:rPr>
          <w:rFonts w:hint="eastAsia" w:ascii="仿宋" w:hAnsi="仿宋" w:eastAsia="仿宋" w:cs="仿宋"/>
          <w:color w:val="auto"/>
          <w:kern w:val="0"/>
          <w:sz w:val="32"/>
          <w:szCs w:val="32"/>
          <w:highlight w:val="none"/>
          <w:shd w:val="clear" w:color="auto" w:fill="FFFFFF"/>
          <w:lang w:val="en-US" w:eastAsia="zh-CN"/>
        </w:rPr>
        <w:t>制定指标体系</w:t>
      </w:r>
      <w:r>
        <w:rPr>
          <w:rFonts w:hint="eastAsia" w:ascii="仿宋" w:hAnsi="仿宋" w:eastAsia="仿宋" w:cs="仿宋"/>
          <w:color w:val="auto"/>
          <w:kern w:val="0"/>
          <w:sz w:val="32"/>
          <w:szCs w:val="32"/>
          <w:highlight w:val="none"/>
          <w:shd w:val="clear" w:color="auto" w:fill="FFFFFF"/>
          <w:lang w:val="en-US" w:eastAsia="zh-Hans"/>
        </w:rPr>
        <w:t>。由评价小组成员与被评价部门进行充分沟通，了解部门的机构职能、职责划分、内设机构、下属预算单位等基本信息，并收集该部门202</w:t>
      </w:r>
      <w:r>
        <w:rPr>
          <w:rFonts w:hint="eastAsia" w:ascii="仿宋" w:hAnsi="仿宋" w:eastAsia="仿宋" w:cs="仿宋"/>
          <w:color w:val="auto"/>
          <w:kern w:val="0"/>
          <w:sz w:val="32"/>
          <w:szCs w:val="32"/>
          <w:highlight w:val="none"/>
          <w:shd w:val="clear" w:color="auto" w:fill="FFFFFF"/>
          <w:lang w:val="en-US" w:eastAsia="zh-CN"/>
        </w:rPr>
        <w:t>1</w:t>
      </w:r>
      <w:r>
        <w:rPr>
          <w:rFonts w:hint="eastAsia" w:ascii="仿宋" w:hAnsi="仿宋" w:eastAsia="仿宋" w:cs="仿宋"/>
          <w:color w:val="auto"/>
          <w:kern w:val="0"/>
          <w:sz w:val="32"/>
          <w:szCs w:val="32"/>
          <w:highlight w:val="none"/>
          <w:shd w:val="clear" w:color="auto" w:fill="FFFFFF"/>
          <w:lang w:val="en-US" w:eastAsia="zh-Hans"/>
        </w:rPr>
        <w:t>年度内开展建设及运营监管项目的立项文件、预算安排、项目年度目标、工作实施计划、管理制度等文件资料。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根据部门实际情况和</w:t>
      </w:r>
      <w:r>
        <w:rPr>
          <w:rFonts w:hint="eastAsia" w:ascii="仿宋" w:hAnsi="仿宋" w:eastAsia="仿宋" w:cs="仿宋"/>
          <w:color w:val="auto"/>
          <w:kern w:val="0"/>
          <w:sz w:val="32"/>
          <w:szCs w:val="32"/>
          <w:highlight w:val="none"/>
          <w:shd w:val="clear" w:color="auto" w:fill="FFFFFF"/>
          <w:lang w:val="en-US" w:eastAsia="zh-CN"/>
        </w:rPr>
        <w:t>住房建设和交通运输局</w:t>
      </w:r>
      <w:r>
        <w:rPr>
          <w:rFonts w:hint="eastAsia" w:ascii="仿宋" w:hAnsi="仿宋" w:eastAsia="仿宋" w:cs="仿宋"/>
          <w:color w:val="auto"/>
          <w:kern w:val="0"/>
          <w:sz w:val="32"/>
          <w:szCs w:val="32"/>
          <w:highlight w:val="none"/>
          <w:shd w:val="clear" w:color="auto" w:fill="FFFFFF"/>
          <w:lang w:val="en-US" w:eastAsia="zh-Hans"/>
        </w:rPr>
        <w:t>工作特点，形成绩效评价的总体思路，设计指标体系、问卷调查及访谈内容广泛听取意见、进行完善。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2.组织实施阶段</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（1）数据收集和审核资料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评价小组根据评价工作需要和相关要求，多渠道收集基础信息资料，根据绩效目标设立的依据和调整情况，整理投入、过程、产出和</w:t>
      </w:r>
      <w:r>
        <w:rPr>
          <w:rFonts w:hint="eastAsia" w:ascii="仿宋" w:hAnsi="仿宋" w:eastAsia="仿宋" w:cs="仿宋"/>
          <w:color w:val="auto"/>
          <w:kern w:val="0"/>
          <w:sz w:val="32"/>
          <w:szCs w:val="32"/>
          <w:highlight w:val="none"/>
          <w:shd w:val="clear" w:color="auto" w:fill="FFFFFF"/>
          <w:lang w:val="en-US" w:eastAsia="zh-CN"/>
        </w:rPr>
        <w:t>效益</w:t>
      </w:r>
      <w:r>
        <w:rPr>
          <w:rFonts w:hint="eastAsia" w:ascii="仿宋" w:hAnsi="仿宋" w:eastAsia="仿宋" w:cs="仿宋"/>
          <w:color w:val="auto"/>
          <w:kern w:val="0"/>
          <w:sz w:val="32"/>
          <w:szCs w:val="32"/>
          <w:highlight w:val="none"/>
          <w:shd w:val="clear" w:color="auto" w:fill="FFFFFF"/>
          <w:lang w:val="en-US" w:eastAsia="zh-Hans"/>
        </w:rPr>
        <w:t>资料，相关业务和财务资料，管理措施及组织实施情况与绩效评价相关的计划标准、行业标准、历史标准等，以及其他必要的相关资料。在收集齐全的基础上对所有资料进行分类整理，对相关资料进行核实和分析，并要求预算单位对缺失的资料及时补充，对存在疑问的资料和数据进行解释和说明。</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（2）现场</w:t>
      </w:r>
      <w:r>
        <w:rPr>
          <w:rFonts w:hint="eastAsia" w:ascii="仿宋" w:hAnsi="仿宋" w:eastAsia="仿宋" w:cs="仿宋"/>
          <w:color w:val="auto"/>
          <w:kern w:val="0"/>
          <w:sz w:val="32"/>
          <w:szCs w:val="32"/>
          <w:highlight w:val="none"/>
          <w:shd w:val="clear" w:color="auto" w:fill="FFFFFF"/>
          <w:lang w:val="en-US" w:eastAsia="zh-CN"/>
        </w:rPr>
        <w:t>座谈</w:t>
      </w:r>
      <w:r>
        <w:rPr>
          <w:rFonts w:hint="eastAsia" w:ascii="仿宋" w:hAnsi="仿宋" w:eastAsia="仿宋" w:cs="仿宋"/>
          <w:color w:val="auto"/>
          <w:kern w:val="0"/>
          <w:sz w:val="32"/>
          <w:szCs w:val="32"/>
          <w:highlight w:val="none"/>
          <w:shd w:val="clear" w:color="auto" w:fill="FFFFFF"/>
          <w:lang w:val="en-US" w:eastAsia="zh-Hans"/>
        </w:rPr>
        <w:t>及社会调查阶段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对部门单位及实施项目进行访谈、联系部门和项目单位组织人员进行社会调查，对有关情况和基础材料进行核实，掌握评价基础资料。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3.</w:t>
      </w:r>
      <w:r>
        <w:rPr>
          <w:rFonts w:hint="eastAsia" w:ascii="仿宋" w:hAnsi="仿宋" w:eastAsia="仿宋" w:cs="仿宋"/>
          <w:b/>
          <w:bCs/>
          <w:color w:val="auto"/>
          <w:kern w:val="0"/>
          <w:sz w:val="32"/>
          <w:szCs w:val="32"/>
          <w:highlight w:val="none"/>
          <w:shd w:val="clear" w:color="auto" w:fill="FFFFFF"/>
          <w:lang w:val="en-US" w:eastAsia="zh-CN"/>
        </w:rPr>
        <w:t>报告撰写</w:t>
      </w:r>
      <w:r>
        <w:rPr>
          <w:rFonts w:hint="eastAsia" w:ascii="仿宋" w:hAnsi="仿宋" w:eastAsia="仿宋" w:cs="仿宋"/>
          <w:b/>
          <w:bCs/>
          <w:color w:val="auto"/>
          <w:kern w:val="0"/>
          <w:sz w:val="32"/>
          <w:szCs w:val="32"/>
          <w:highlight w:val="none"/>
          <w:shd w:val="clear" w:color="auto" w:fill="FFFFFF"/>
          <w:lang w:val="en-US" w:eastAsia="zh-Hans"/>
        </w:rPr>
        <w:t>阶段</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（1）综合分析评价。根据收集和审核的基础资料，结合现场</w:t>
      </w:r>
      <w:r>
        <w:rPr>
          <w:rFonts w:hint="eastAsia" w:ascii="仿宋" w:hAnsi="仿宋" w:eastAsia="仿宋" w:cs="仿宋"/>
          <w:color w:val="auto"/>
          <w:kern w:val="0"/>
          <w:sz w:val="32"/>
          <w:szCs w:val="32"/>
          <w:highlight w:val="none"/>
          <w:shd w:val="clear" w:color="auto" w:fill="FFFFFF"/>
          <w:lang w:val="en-US" w:eastAsia="zh-CN"/>
        </w:rPr>
        <w:t>座谈</w:t>
      </w:r>
      <w:r>
        <w:rPr>
          <w:rFonts w:hint="eastAsia" w:ascii="仿宋" w:hAnsi="仿宋" w:eastAsia="仿宋" w:cs="仿宋"/>
          <w:color w:val="auto"/>
          <w:kern w:val="0"/>
          <w:sz w:val="32"/>
          <w:szCs w:val="32"/>
          <w:highlight w:val="none"/>
          <w:shd w:val="clear" w:color="auto" w:fill="FFFFFF"/>
          <w:lang w:val="en-US" w:eastAsia="zh-Hans"/>
        </w:rPr>
        <w:t>的有关情况，整理出绩效评价所需的资料和数据；按照评价工作方案确定的评价指标、评价标准和评价方法，对本部门的绩效情况进行全面的定量、定性分析和综合评价，并进行量化打分，根据评分结果确定相应档次，并形成评价结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（2）撰写提交绩效评价报告。综合前期收集和审核的部门及项目资料、现场调研的结果，评价工作组对部门年度工作情况进行综合分析，并按照规定的文本格式和相关要求撰写评价报告。报告内容</w:t>
      </w:r>
      <w:r>
        <w:rPr>
          <w:rFonts w:hint="eastAsia" w:ascii="仿宋" w:hAnsi="仿宋" w:eastAsia="仿宋" w:cs="仿宋"/>
          <w:color w:val="auto"/>
          <w:kern w:val="0"/>
          <w:sz w:val="32"/>
          <w:szCs w:val="32"/>
          <w:highlight w:val="none"/>
          <w:shd w:val="clear" w:color="auto" w:fill="FFFFFF"/>
          <w:lang w:val="en-US" w:eastAsia="zh-CN"/>
        </w:rPr>
        <w:t>详实</w:t>
      </w:r>
      <w:r>
        <w:rPr>
          <w:rFonts w:hint="eastAsia" w:ascii="仿宋" w:hAnsi="仿宋" w:eastAsia="仿宋" w:cs="仿宋"/>
          <w:color w:val="auto"/>
          <w:kern w:val="0"/>
          <w:sz w:val="32"/>
          <w:szCs w:val="32"/>
          <w:highlight w:val="none"/>
          <w:shd w:val="clear" w:color="auto" w:fill="FFFFFF"/>
          <w:lang w:val="en-US" w:eastAsia="zh-Hans"/>
        </w:rPr>
        <w:t>，逻辑清晰，结论鲜明，依据真实、充分，底稿及附件齐全。评价报告在经过</w:t>
      </w:r>
      <w:r>
        <w:rPr>
          <w:rFonts w:hint="eastAsia" w:ascii="仿宋" w:hAnsi="仿宋" w:eastAsia="仿宋" w:cs="仿宋"/>
          <w:color w:val="auto"/>
          <w:kern w:val="0"/>
          <w:sz w:val="32"/>
          <w:szCs w:val="32"/>
          <w:highlight w:val="none"/>
          <w:shd w:val="clear" w:color="auto" w:fill="FFFFFF"/>
          <w:lang w:val="en-US" w:eastAsia="zh-CN"/>
        </w:rPr>
        <w:t>与被评价部门</w:t>
      </w:r>
      <w:r>
        <w:rPr>
          <w:rFonts w:hint="eastAsia" w:ascii="仿宋" w:hAnsi="仿宋" w:eastAsia="仿宋" w:cs="仿宋"/>
          <w:color w:val="auto"/>
          <w:kern w:val="0"/>
          <w:sz w:val="32"/>
          <w:szCs w:val="32"/>
          <w:highlight w:val="none"/>
          <w:shd w:val="clear" w:color="auto" w:fill="FFFFFF"/>
          <w:lang w:val="en-US" w:eastAsia="zh-Hans"/>
        </w:rPr>
        <w:t>沟通意见，修改完善绩效评价报告，及时提交</w:t>
      </w:r>
      <w:r>
        <w:rPr>
          <w:rFonts w:hint="eastAsia" w:ascii="仿宋" w:hAnsi="仿宋" w:eastAsia="仿宋" w:cs="仿宋"/>
          <w:color w:val="auto"/>
          <w:kern w:val="0"/>
          <w:sz w:val="32"/>
          <w:szCs w:val="32"/>
          <w:highlight w:val="none"/>
          <w:shd w:val="clear" w:color="auto" w:fill="FFFFFF"/>
          <w:lang w:val="en-US" w:eastAsia="zh-CN"/>
        </w:rPr>
        <w:t>委托方</w:t>
      </w:r>
      <w:r>
        <w:rPr>
          <w:rFonts w:hint="eastAsia" w:ascii="仿宋" w:hAnsi="仿宋" w:eastAsia="仿宋" w:cs="仿宋"/>
          <w:color w:val="auto"/>
          <w:kern w:val="0"/>
          <w:sz w:val="32"/>
          <w:szCs w:val="32"/>
          <w:highlight w:val="none"/>
          <w:shd w:val="clear" w:color="auto" w:fill="FFFFFF"/>
          <w:lang w:val="en-US" w:eastAsia="zh-Hans"/>
        </w:rPr>
        <w:t>确认。</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4.资料整理阶段</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绩效评价工作结束后，评价工作组将绩效评价过程中所涉及的材料（电子版、纸质版），及时收集和整理，并归档备查。同时，根据绩效评价结果，应相关要求，及时帮助被评价方就相关问题、建议积极落实结果应用，切实提升</w:t>
      </w:r>
      <w:r>
        <w:rPr>
          <w:rFonts w:hint="eastAsia" w:ascii="仿宋" w:hAnsi="仿宋" w:eastAsia="仿宋" w:cs="仿宋"/>
          <w:color w:val="auto"/>
          <w:kern w:val="0"/>
          <w:sz w:val="32"/>
          <w:szCs w:val="32"/>
          <w:highlight w:val="none"/>
          <w:shd w:val="clear" w:color="auto" w:fill="FFFFFF"/>
          <w:lang w:val="en-US" w:eastAsia="zh-CN"/>
        </w:rPr>
        <w:t>财政资金使用</w:t>
      </w:r>
      <w:r>
        <w:rPr>
          <w:rFonts w:hint="eastAsia" w:ascii="仿宋" w:hAnsi="仿宋" w:eastAsia="仿宋" w:cs="仿宋"/>
          <w:color w:val="auto"/>
          <w:kern w:val="0"/>
          <w:sz w:val="32"/>
          <w:szCs w:val="32"/>
          <w:highlight w:val="none"/>
          <w:shd w:val="clear" w:color="auto" w:fill="FFFFFF"/>
          <w:lang w:val="en-US" w:eastAsia="zh-Hans"/>
        </w:rPr>
        <w:t>绩效。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黑体" w:hAnsi="黑体" w:eastAsia="黑体" w:cs="黑体"/>
          <w:b w:val="0"/>
          <w:bCs w:val="0"/>
          <w:color w:val="auto"/>
          <w:kern w:val="0"/>
          <w:sz w:val="32"/>
          <w:szCs w:val="32"/>
          <w:highlight w:val="none"/>
          <w:shd w:val="clear" w:color="auto" w:fill="FFFFFF"/>
          <w:lang w:val="en-US" w:eastAsia="zh-Hans"/>
        </w:rPr>
      </w:pPr>
      <w:bookmarkStart w:id="12" w:name="_Toc27023"/>
      <w:r>
        <w:rPr>
          <w:rFonts w:hint="eastAsia" w:ascii="黑体" w:hAnsi="黑体" w:eastAsia="黑体" w:cs="黑体"/>
          <w:b w:val="0"/>
          <w:bCs w:val="0"/>
          <w:color w:val="auto"/>
          <w:kern w:val="0"/>
          <w:sz w:val="32"/>
          <w:szCs w:val="32"/>
          <w:highlight w:val="none"/>
          <w:shd w:val="clear" w:color="auto" w:fill="FFFFFF"/>
          <w:lang w:val="en-US" w:eastAsia="zh-Hans"/>
        </w:rPr>
        <w:t>三、评价结论</w:t>
      </w:r>
      <w:bookmarkEnd w:id="12"/>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通过对</w:t>
      </w:r>
      <w:r>
        <w:rPr>
          <w:rFonts w:hint="eastAsia" w:ascii="仿宋" w:hAnsi="仿宋" w:eastAsia="仿宋" w:cs="仿宋"/>
          <w:color w:val="auto"/>
          <w:kern w:val="0"/>
          <w:sz w:val="32"/>
          <w:szCs w:val="32"/>
          <w:highlight w:val="none"/>
          <w:shd w:val="clear" w:color="auto" w:fill="FFFFFF"/>
          <w:lang w:val="en-US" w:eastAsia="zh-CN"/>
        </w:rPr>
        <w:t>新区住房建设和交通运输局</w:t>
      </w:r>
      <w:r>
        <w:rPr>
          <w:rFonts w:hint="eastAsia" w:ascii="仿宋" w:hAnsi="仿宋" w:eastAsia="仿宋" w:cs="仿宋"/>
          <w:color w:val="auto"/>
          <w:kern w:val="0"/>
          <w:sz w:val="32"/>
          <w:szCs w:val="32"/>
          <w:highlight w:val="none"/>
          <w:shd w:val="clear" w:color="auto" w:fill="FFFFFF"/>
          <w:lang w:val="en-US" w:eastAsia="zh-Hans"/>
        </w:rPr>
        <w:t>的</w:t>
      </w:r>
      <w:r>
        <w:rPr>
          <w:rFonts w:hint="eastAsia" w:ascii="仿宋" w:hAnsi="仿宋" w:eastAsia="仿宋" w:cs="仿宋"/>
          <w:color w:val="auto"/>
          <w:kern w:val="0"/>
          <w:sz w:val="32"/>
          <w:szCs w:val="32"/>
          <w:highlight w:val="none"/>
          <w:shd w:val="clear" w:color="auto" w:fill="FFFFFF"/>
          <w:lang w:val="en-US" w:eastAsia="zh-CN"/>
        </w:rPr>
        <w:t>相关</w:t>
      </w:r>
      <w:r>
        <w:rPr>
          <w:rFonts w:hint="eastAsia" w:ascii="仿宋" w:hAnsi="仿宋" w:eastAsia="仿宋" w:cs="仿宋"/>
          <w:color w:val="auto"/>
          <w:kern w:val="0"/>
          <w:sz w:val="32"/>
          <w:szCs w:val="32"/>
          <w:highlight w:val="none"/>
          <w:shd w:val="clear" w:color="auto" w:fill="FFFFFF"/>
          <w:lang w:val="en-US" w:eastAsia="zh-Hans"/>
        </w:rPr>
        <w:t>材料审核和现场</w:t>
      </w:r>
      <w:r>
        <w:rPr>
          <w:rFonts w:hint="eastAsia" w:ascii="仿宋" w:hAnsi="仿宋" w:eastAsia="仿宋" w:cs="仿宋"/>
          <w:color w:val="auto"/>
          <w:kern w:val="0"/>
          <w:sz w:val="32"/>
          <w:szCs w:val="32"/>
          <w:highlight w:val="none"/>
          <w:shd w:val="clear" w:color="auto" w:fill="FFFFFF"/>
          <w:lang w:val="en-US" w:eastAsia="zh-CN"/>
        </w:rPr>
        <w:t>座谈</w:t>
      </w:r>
      <w:r>
        <w:rPr>
          <w:rFonts w:hint="eastAsia" w:ascii="仿宋" w:hAnsi="仿宋" w:eastAsia="仿宋" w:cs="仿宋"/>
          <w:color w:val="auto"/>
          <w:kern w:val="0"/>
          <w:sz w:val="32"/>
          <w:szCs w:val="32"/>
          <w:highlight w:val="none"/>
          <w:shd w:val="clear" w:color="auto" w:fill="FFFFFF"/>
          <w:lang w:val="en-US" w:eastAsia="zh-Hans"/>
        </w:rPr>
        <w:t>、评审等，从</w:t>
      </w:r>
      <w:r>
        <w:rPr>
          <w:rFonts w:hint="eastAsia" w:ascii="仿宋" w:hAnsi="仿宋" w:eastAsia="仿宋" w:cs="仿宋"/>
          <w:color w:val="auto"/>
          <w:kern w:val="0"/>
          <w:sz w:val="32"/>
          <w:szCs w:val="32"/>
          <w:highlight w:val="none"/>
          <w:shd w:val="clear" w:color="auto" w:fill="FFFFFF"/>
          <w:lang w:val="en-US" w:eastAsia="zh-CN"/>
        </w:rPr>
        <w:t>投入</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过程</w:t>
      </w:r>
      <w:r>
        <w:rPr>
          <w:rFonts w:hint="eastAsia" w:ascii="仿宋" w:hAnsi="仿宋" w:eastAsia="仿宋" w:cs="仿宋"/>
          <w:color w:val="auto"/>
          <w:kern w:val="0"/>
          <w:sz w:val="32"/>
          <w:szCs w:val="32"/>
          <w:highlight w:val="none"/>
          <w:shd w:val="clear" w:color="auto" w:fill="FFFFFF"/>
          <w:lang w:val="en-US" w:eastAsia="zh-Hans"/>
        </w:rPr>
        <w:t>、产出、</w:t>
      </w:r>
      <w:r>
        <w:rPr>
          <w:rFonts w:hint="eastAsia" w:ascii="仿宋" w:hAnsi="仿宋" w:eastAsia="仿宋" w:cs="仿宋"/>
          <w:color w:val="auto"/>
          <w:kern w:val="0"/>
          <w:sz w:val="32"/>
          <w:szCs w:val="32"/>
          <w:highlight w:val="none"/>
          <w:shd w:val="clear" w:color="auto" w:fill="FFFFFF"/>
          <w:lang w:val="en-US" w:eastAsia="zh-CN"/>
        </w:rPr>
        <w:t>效果</w:t>
      </w:r>
      <w:r>
        <w:rPr>
          <w:rFonts w:hint="eastAsia" w:ascii="仿宋" w:hAnsi="仿宋" w:eastAsia="仿宋" w:cs="仿宋"/>
          <w:color w:val="auto"/>
          <w:kern w:val="0"/>
          <w:sz w:val="32"/>
          <w:szCs w:val="32"/>
          <w:highlight w:val="none"/>
          <w:shd w:val="clear" w:color="auto" w:fill="FFFFFF"/>
          <w:lang w:val="en-US" w:eastAsia="zh-Hans"/>
        </w:rPr>
        <w:t>四个维度综合评价铜川市</w:t>
      </w:r>
      <w:r>
        <w:rPr>
          <w:rFonts w:hint="eastAsia" w:ascii="仿宋" w:hAnsi="仿宋" w:eastAsia="仿宋" w:cs="仿宋"/>
          <w:color w:val="auto"/>
          <w:kern w:val="0"/>
          <w:sz w:val="32"/>
          <w:szCs w:val="32"/>
          <w:highlight w:val="none"/>
          <w:shd w:val="clear" w:color="auto" w:fill="FFFFFF"/>
          <w:lang w:val="en-US" w:eastAsia="zh-CN"/>
        </w:rPr>
        <w:t>新区住房建设和交通运输局</w:t>
      </w:r>
      <w:r>
        <w:rPr>
          <w:rFonts w:hint="eastAsia" w:ascii="仿宋" w:hAnsi="仿宋" w:eastAsia="仿宋" w:cs="仿宋"/>
          <w:color w:val="auto"/>
          <w:kern w:val="0"/>
          <w:sz w:val="32"/>
          <w:szCs w:val="32"/>
          <w:highlight w:val="none"/>
          <w:shd w:val="clear" w:color="auto" w:fill="FFFFFF"/>
          <w:lang w:val="en-US" w:eastAsia="zh-Hans"/>
        </w:rPr>
        <w:t>202</w:t>
      </w:r>
      <w:r>
        <w:rPr>
          <w:rFonts w:hint="eastAsia" w:ascii="仿宋" w:hAnsi="仿宋" w:eastAsia="仿宋" w:cs="仿宋"/>
          <w:color w:val="auto"/>
          <w:kern w:val="0"/>
          <w:sz w:val="32"/>
          <w:szCs w:val="32"/>
          <w:highlight w:val="none"/>
          <w:shd w:val="clear" w:color="auto" w:fill="FFFFFF"/>
          <w:lang w:val="en-US" w:eastAsia="zh-CN"/>
        </w:rPr>
        <w:t>1</w:t>
      </w:r>
      <w:r>
        <w:rPr>
          <w:rFonts w:hint="eastAsia" w:ascii="仿宋" w:hAnsi="仿宋" w:eastAsia="仿宋" w:cs="仿宋"/>
          <w:color w:val="auto"/>
          <w:kern w:val="0"/>
          <w:sz w:val="32"/>
          <w:szCs w:val="32"/>
          <w:highlight w:val="none"/>
          <w:shd w:val="clear" w:color="auto" w:fill="FFFFFF"/>
          <w:lang w:val="en-US" w:eastAsia="zh-Hans"/>
        </w:rPr>
        <w:t>年部门整体支出绩效，评价工作组认为：总体上</w:t>
      </w:r>
      <w:r>
        <w:rPr>
          <w:rFonts w:hint="eastAsia" w:ascii="仿宋" w:hAnsi="仿宋" w:eastAsia="仿宋" w:cs="仿宋"/>
          <w:color w:val="auto"/>
          <w:kern w:val="0"/>
          <w:sz w:val="32"/>
          <w:szCs w:val="32"/>
          <w:highlight w:val="none"/>
          <w:shd w:val="clear" w:color="auto" w:fill="FFFFFF"/>
          <w:lang w:val="en-US" w:eastAsia="zh-CN"/>
        </w:rPr>
        <w:t>新区住房建设和交通运输局2021年度部门职责履行和履职效益良好，但在投入和过程方面存在有待完善的地方。评价结果分为优(</w:t>
      </w:r>
      <w:r>
        <w:rPr>
          <w:rFonts w:hint="default" w:ascii="仿宋" w:hAnsi="仿宋" w:eastAsia="仿宋" w:cs="仿宋"/>
          <w:color w:val="auto"/>
          <w:kern w:val="0"/>
          <w:sz w:val="32"/>
          <w:szCs w:val="32"/>
          <w:highlight w:val="none"/>
          <w:shd w:val="clear" w:color="auto" w:fill="FFFFFF"/>
          <w:lang w:eastAsia="zh-CN"/>
        </w:rPr>
        <w:t>90</w:t>
      </w:r>
      <w:r>
        <w:rPr>
          <w:rFonts w:hint="eastAsia" w:ascii="仿宋" w:hAnsi="仿宋" w:eastAsia="仿宋" w:cs="仿宋"/>
          <w:color w:val="auto"/>
          <w:kern w:val="0"/>
          <w:sz w:val="32"/>
          <w:szCs w:val="32"/>
          <w:highlight w:val="none"/>
          <w:shd w:val="clear" w:color="auto" w:fill="FFFFFF"/>
          <w:lang w:val="en-US" w:eastAsia="zh-CN"/>
        </w:rPr>
        <w:t>分以上)、良(</w:t>
      </w:r>
      <w:r>
        <w:rPr>
          <w:rFonts w:hint="default" w:ascii="仿宋" w:hAnsi="仿宋" w:eastAsia="仿宋" w:cs="仿宋"/>
          <w:color w:val="auto"/>
          <w:kern w:val="0"/>
          <w:sz w:val="32"/>
          <w:szCs w:val="32"/>
          <w:highlight w:val="none"/>
          <w:shd w:val="clear" w:color="auto" w:fill="FFFFFF"/>
          <w:lang w:eastAsia="zh-CN"/>
        </w:rPr>
        <w:t>80</w:t>
      </w:r>
      <w:r>
        <w:rPr>
          <w:rFonts w:hint="eastAsia" w:ascii="仿宋" w:hAnsi="仿宋" w:eastAsia="仿宋" w:cs="仿宋"/>
          <w:color w:val="auto"/>
          <w:kern w:val="0"/>
          <w:sz w:val="32"/>
          <w:szCs w:val="32"/>
          <w:highlight w:val="none"/>
          <w:shd w:val="clear" w:color="auto" w:fill="FFFFFF"/>
          <w:lang w:val="en-US" w:eastAsia="zh-Hans"/>
        </w:rPr>
        <w:t>含</w:t>
      </w:r>
      <w:r>
        <w:rPr>
          <w:rFonts w:hint="eastAsia" w:ascii="仿宋" w:hAnsi="仿宋" w:eastAsia="仿宋" w:cs="仿宋"/>
          <w:color w:val="auto"/>
          <w:kern w:val="0"/>
          <w:sz w:val="32"/>
          <w:szCs w:val="32"/>
          <w:highlight w:val="none"/>
          <w:shd w:val="clear" w:color="auto" w:fill="FFFFFF"/>
          <w:lang w:val="en-US" w:eastAsia="zh-CN"/>
        </w:rPr>
        <w:t>-</w:t>
      </w:r>
      <w:r>
        <w:rPr>
          <w:rFonts w:hint="default" w:ascii="仿宋" w:hAnsi="仿宋" w:eastAsia="仿宋" w:cs="仿宋"/>
          <w:color w:val="auto"/>
          <w:kern w:val="0"/>
          <w:sz w:val="32"/>
          <w:szCs w:val="32"/>
          <w:highlight w:val="none"/>
          <w:shd w:val="clear" w:color="auto" w:fill="FFFFFF"/>
          <w:lang w:eastAsia="zh-CN"/>
        </w:rPr>
        <w:t>90</w:t>
      </w:r>
      <w:r>
        <w:rPr>
          <w:rFonts w:hint="eastAsia" w:ascii="仿宋" w:hAnsi="仿宋" w:eastAsia="仿宋" w:cs="仿宋"/>
          <w:color w:val="auto"/>
          <w:kern w:val="0"/>
          <w:sz w:val="32"/>
          <w:szCs w:val="32"/>
          <w:highlight w:val="none"/>
          <w:shd w:val="clear" w:color="auto" w:fill="FFFFFF"/>
          <w:lang w:val="en-US" w:eastAsia="zh-CN"/>
        </w:rPr>
        <w:t>分)、中(</w:t>
      </w:r>
      <w:r>
        <w:rPr>
          <w:rFonts w:hint="default" w:ascii="仿宋" w:hAnsi="仿宋" w:eastAsia="仿宋" w:cs="仿宋"/>
          <w:color w:val="auto"/>
          <w:kern w:val="0"/>
          <w:sz w:val="32"/>
          <w:szCs w:val="32"/>
          <w:highlight w:val="none"/>
          <w:shd w:val="clear" w:color="auto" w:fill="FFFFFF"/>
          <w:lang w:eastAsia="zh-CN"/>
        </w:rPr>
        <w:t>60</w:t>
      </w:r>
      <w:r>
        <w:rPr>
          <w:rFonts w:hint="eastAsia" w:ascii="仿宋" w:hAnsi="仿宋" w:eastAsia="仿宋" w:cs="仿宋"/>
          <w:color w:val="auto"/>
          <w:kern w:val="0"/>
          <w:sz w:val="32"/>
          <w:szCs w:val="32"/>
          <w:highlight w:val="none"/>
          <w:shd w:val="clear" w:color="auto" w:fill="FFFFFF"/>
          <w:lang w:val="en-US" w:eastAsia="zh-Hans"/>
        </w:rPr>
        <w:t>含</w:t>
      </w:r>
      <w:r>
        <w:rPr>
          <w:rFonts w:hint="eastAsia" w:ascii="仿宋" w:hAnsi="仿宋" w:eastAsia="仿宋" w:cs="仿宋"/>
          <w:color w:val="auto"/>
          <w:kern w:val="0"/>
          <w:sz w:val="32"/>
          <w:szCs w:val="32"/>
          <w:highlight w:val="none"/>
          <w:shd w:val="clear" w:color="auto" w:fill="FFFFFF"/>
          <w:lang w:val="en-US" w:eastAsia="zh-CN"/>
        </w:rPr>
        <w:t>-</w:t>
      </w:r>
      <w:r>
        <w:rPr>
          <w:rFonts w:hint="default" w:ascii="仿宋" w:hAnsi="仿宋" w:eastAsia="仿宋" w:cs="仿宋"/>
          <w:color w:val="auto"/>
          <w:kern w:val="0"/>
          <w:sz w:val="32"/>
          <w:szCs w:val="32"/>
          <w:highlight w:val="none"/>
          <w:shd w:val="clear" w:color="auto" w:fill="FFFFFF"/>
          <w:lang w:eastAsia="zh-CN"/>
        </w:rPr>
        <w:t>80</w:t>
      </w:r>
      <w:r>
        <w:rPr>
          <w:rFonts w:hint="eastAsia" w:ascii="仿宋" w:hAnsi="仿宋" w:eastAsia="仿宋" w:cs="仿宋"/>
          <w:color w:val="auto"/>
          <w:kern w:val="0"/>
          <w:sz w:val="32"/>
          <w:szCs w:val="32"/>
          <w:highlight w:val="none"/>
          <w:shd w:val="clear" w:color="auto" w:fill="FFFFFF"/>
          <w:lang w:val="en-US" w:eastAsia="zh-CN"/>
        </w:rPr>
        <w:t>分) 和差(</w:t>
      </w:r>
      <w:r>
        <w:rPr>
          <w:rFonts w:hint="default" w:ascii="仿宋" w:hAnsi="仿宋" w:eastAsia="仿宋" w:cs="仿宋"/>
          <w:color w:val="auto"/>
          <w:kern w:val="0"/>
          <w:sz w:val="32"/>
          <w:szCs w:val="32"/>
          <w:highlight w:val="none"/>
          <w:shd w:val="clear" w:color="auto" w:fill="FFFFFF"/>
          <w:lang w:eastAsia="zh-CN"/>
        </w:rPr>
        <w:t>60</w:t>
      </w:r>
      <w:r>
        <w:rPr>
          <w:rFonts w:hint="eastAsia" w:ascii="仿宋" w:hAnsi="仿宋" w:eastAsia="仿宋" w:cs="仿宋"/>
          <w:color w:val="auto"/>
          <w:kern w:val="0"/>
          <w:sz w:val="32"/>
          <w:szCs w:val="32"/>
          <w:highlight w:val="none"/>
          <w:shd w:val="clear" w:color="auto" w:fill="FFFFFF"/>
          <w:lang w:val="en-US" w:eastAsia="zh-CN"/>
        </w:rPr>
        <w:t>分以下)四个等次。经综合分析，该部门整体支出综合评价得分为88.14分，绩效等级为“良”。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outlineLvl w:val="9"/>
        <w:rPr>
          <w:rFonts w:hint="eastAsia" w:ascii="仿宋" w:hAnsi="仿宋" w:eastAsia="仿宋" w:cs="仿宋"/>
          <w:b/>
          <w:bCs/>
          <w:color w:val="auto"/>
          <w:kern w:val="0"/>
          <w:sz w:val="28"/>
          <w:szCs w:val="28"/>
          <w:highlight w:val="none"/>
          <w:shd w:val="clear" w:color="auto" w:fill="FFFFFF"/>
          <w:lang w:val="en-US" w:eastAsia="zh-Hans"/>
        </w:rPr>
      </w:pPr>
      <w:r>
        <w:rPr>
          <w:rFonts w:hint="eastAsia" w:ascii="仿宋" w:hAnsi="仿宋" w:eastAsia="仿宋" w:cs="仿宋"/>
          <w:b/>
          <w:bCs/>
          <w:color w:val="auto"/>
          <w:kern w:val="0"/>
          <w:sz w:val="28"/>
          <w:szCs w:val="28"/>
          <w:highlight w:val="none"/>
          <w:shd w:val="clear" w:color="auto" w:fill="FFFFFF"/>
          <w:lang w:val="en-US" w:eastAsia="zh-Hans"/>
        </w:rPr>
        <w:t>表3-1 202</w:t>
      </w:r>
      <w:r>
        <w:rPr>
          <w:rFonts w:hint="eastAsia" w:ascii="仿宋" w:hAnsi="仿宋" w:eastAsia="仿宋" w:cs="仿宋"/>
          <w:b/>
          <w:bCs/>
          <w:color w:val="auto"/>
          <w:kern w:val="0"/>
          <w:sz w:val="28"/>
          <w:szCs w:val="28"/>
          <w:highlight w:val="none"/>
          <w:shd w:val="clear" w:color="auto" w:fill="FFFFFF"/>
          <w:lang w:val="en-US" w:eastAsia="zh-CN"/>
        </w:rPr>
        <w:t>1</w:t>
      </w:r>
      <w:r>
        <w:rPr>
          <w:rFonts w:hint="eastAsia" w:ascii="仿宋" w:hAnsi="仿宋" w:eastAsia="仿宋" w:cs="仿宋"/>
          <w:b/>
          <w:bCs/>
          <w:color w:val="auto"/>
          <w:kern w:val="0"/>
          <w:sz w:val="28"/>
          <w:szCs w:val="28"/>
          <w:highlight w:val="none"/>
          <w:shd w:val="clear" w:color="auto" w:fill="FFFFFF"/>
          <w:lang w:val="en-US" w:eastAsia="zh-Hans"/>
        </w:rPr>
        <w:t>年</w:t>
      </w:r>
      <w:r>
        <w:rPr>
          <w:rFonts w:hint="eastAsia" w:ascii="仿宋" w:hAnsi="仿宋" w:eastAsia="仿宋" w:cs="仿宋"/>
          <w:b/>
          <w:bCs/>
          <w:color w:val="auto"/>
          <w:kern w:val="0"/>
          <w:sz w:val="28"/>
          <w:szCs w:val="28"/>
          <w:highlight w:val="none"/>
          <w:shd w:val="clear" w:color="auto" w:fill="FFFFFF"/>
          <w:lang w:val="en-US" w:eastAsia="zh-CN"/>
        </w:rPr>
        <w:t>新区住房建设和交通运输局</w:t>
      </w:r>
      <w:r>
        <w:rPr>
          <w:rFonts w:hint="eastAsia" w:ascii="仿宋" w:hAnsi="仿宋" w:eastAsia="仿宋" w:cs="仿宋"/>
          <w:b/>
          <w:bCs/>
          <w:color w:val="auto"/>
          <w:kern w:val="0"/>
          <w:sz w:val="28"/>
          <w:szCs w:val="28"/>
          <w:highlight w:val="none"/>
          <w:shd w:val="clear" w:color="auto" w:fill="FFFFFF"/>
          <w:lang w:val="en-US" w:eastAsia="zh-Hans"/>
        </w:rPr>
        <w:t>部门整体支出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outlineLvl w:val="9"/>
        <w:rPr>
          <w:rFonts w:hint="eastAsia" w:ascii="仿宋" w:hAnsi="仿宋" w:eastAsia="仿宋" w:cs="仿宋"/>
          <w:b/>
          <w:bCs/>
          <w:color w:val="auto"/>
          <w:kern w:val="0"/>
          <w:sz w:val="28"/>
          <w:szCs w:val="28"/>
          <w:highlight w:val="none"/>
          <w:shd w:val="clear" w:color="auto" w:fill="FFFFFF"/>
          <w:lang w:val="en-US" w:eastAsia="zh-Hans"/>
        </w:rPr>
      </w:pPr>
      <w:r>
        <w:rPr>
          <w:rFonts w:hint="eastAsia" w:ascii="仿宋" w:hAnsi="仿宋" w:eastAsia="仿宋" w:cs="仿宋"/>
          <w:b/>
          <w:bCs/>
          <w:color w:val="auto"/>
          <w:kern w:val="0"/>
          <w:sz w:val="28"/>
          <w:szCs w:val="28"/>
          <w:highlight w:val="none"/>
          <w:shd w:val="clear" w:color="auto" w:fill="FFFFFF"/>
          <w:lang w:val="en-US" w:eastAsia="zh-Hans"/>
        </w:rPr>
        <w:t>绩效</w:t>
      </w:r>
      <w:r>
        <w:rPr>
          <w:rFonts w:hint="eastAsia" w:ascii="仿宋" w:hAnsi="仿宋" w:eastAsia="仿宋" w:cs="仿宋"/>
          <w:b/>
          <w:bCs/>
          <w:color w:val="auto"/>
          <w:kern w:val="0"/>
          <w:sz w:val="28"/>
          <w:szCs w:val="28"/>
          <w:highlight w:val="none"/>
          <w:shd w:val="clear" w:color="auto" w:fill="FFFFFF"/>
          <w:lang w:val="en-US" w:eastAsia="zh-CN"/>
        </w:rPr>
        <w:t>评价得分</w:t>
      </w:r>
      <w:r>
        <w:rPr>
          <w:rFonts w:hint="eastAsia" w:ascii="仿宋" w:hAnsi="仿宋" w:eastAsia="仿宋" w:cs="仿宋"/>
          <w:b/>
          <w:bCs/>
          <w:color w:val="auto"/>
          <w:kern w:val="0"/>
          <w:sz w:val="28"/>
          <w:szCs w:val="28"/>
          <w:highlight w:val="none"/>
          <w:shd w:val="clear" w:color="auto" w:fill="FFFFFF"/>
          <w:lang w:val="en-US" w:eastAsia="zh-Hans"/>
        </w:rPr>
        <w:t>表</w:t>
      </w:r>
    </w:p>
    <w:tbl>
      <w:tblPr>
        <w:tblStyle w:val="16"/>
        <w:tblW w:w="4998" w:type="pct"/>
        <w:tblInd w:w="0" w:type="dxa"/>
        <w:shd w:val="clear" w:color="auto" w:fill="auto"/>
        <w:tblLayout w:type="autofit"/>
        <w:tblCellMar>
          <w:top w:w="0" w:type="dxa"/>
          <w:left w:w="0" w:type="dxa"/>
          <w:bottom w:w="0" w:type="dxa"/>
          <w:right w:w="0" w:type="dxa"/>
        </w:tblCellMar>
      </w:tblPr>
      <w:tblGrid>
        <w:gridCol w:w="2076"/>
        <w:gridCol w:w="2076"/>
        <w:gridCol w:w="2595"/>
        <w:gridCol w:w="2079"/>
      </w:tblGrid>
      <w:tr>
        <w:tblPrEx>
          <w:tblCellMar>
            <w:top w:w="0" w:type="dxa"/>
            <w:left w:w="0" w:type="dxa"/>
            <w:bottom w:w="0" w:type="dxa"/>
            <w:right w:w="0" w:type="dxa"/>
          </w:tblCellMar>
        </w:tblPrEx>
        <w:trPr>
          <w:trHeight w:val="300" w:hRule="atLeast"/>
        </w:trPr>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一级指标</w:t>
            </w:r>
          </w:p>
        </w:tc>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分值</w:t>
            </w:r>
          </w:p>
        </w:tc>
        <w:tc>
          <w:tcPr>
            <w:tcW w:w="147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得分</w:t>
            </w:r>
          </w:p>
        </w:tc>
        <w:tc>
          <w:tcPr>
            <w:tcW w:w="117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得分率</w:t>
            </w:r>
          </w:p>
        </w:tc>
      </w:tr>
      <w:tr>
        <w:tblPrEx>
          <w:tblCellMar>
            <w:top w:w="0" w:type="dxa"/>
            <w:left w:w="0" w:type="dxa"/>
            <w:bottom w:w="0" w:type="dxa"/>
            <w:right w:w="0" w:type="dxa"/>
          </w:tblCellMar>
        </w:tblPrEx>
        <w:trPr>
          <w:trHeight w:val="300" w:hRule="atLeast"/>
        </w:trPr>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决策</w:t>
            </w:r>
          </w:p>
        </w:tc>
        <w:tc>
          <w:tcPr>
            <w:tcW w:w="20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259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7.62</w:t>
            </w:r>
          </w:p>
        </w:tc>
        <w:tc>
          <w:tcPr>
            <w:tcW w:w="207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cs="宋体"/>
                <w:i w:val="0"/>
                <w:color w:val="000000"/>
                <w:kern w:val="0"/>
                <w:sz w:val="24"/>
                <w:szCs w:val="24"/>
                <w:u w:val="none"/>
                <w:lang w:val="en-US" w:eastAsia="zh-CN" w:bidi="ar"/>
              </w:rPr>
              <w:t>50.8</w:t>
            </w:r>
            <w:r>
              <w:rPr>
                <w:rFonts w:hint="eastAsia" w:ascii="宋体" w:hAnsi="宋体" w:eastAsia="宋体" w:cs="宋体"/>
                <w:i w:val="0"/>
                <w:color w:val="000000"/>
                <w:kern w:val="0"/>
                <w:sz w:val="24"/>
                <w:szCs w:val="24"/>
                <w:u w:val="none"/>
                <w:lang w:val="en-US" w:eastAsia="zh-CN" w:bidi="ar"/>
              </w:rPr>
              <w:t>%</w:t>
            </w:r>
          </w:p>
        </w:tc>
      </w:tr>
      <w:tr>
        <w:tblPrEx>
          <w:shd w:val="clear" w:color="auto" w:fill="auto"/>
          <w:tblCellMar>
            <w:top w:w="0" w:type="dxa"/>
            <w:left w:w="0" w:type="dxa"/>
            <w:bottom w:w="0" w:type="dxa"/>
            <w:right w:w="0" w:type="dxa"/>
          </w:tblCellMar>
        </w:tblPrEx>
        <w:trPr>
          <w:trHeight w:val="300" w:hRule="atLeast"/>
        </w:trPr>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过程</w:t>
            </w:r>
          </w:p>
        </w:tc>
        <w:tc>
          <w:tcPr>
            <w:tcW w:w="20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c>
          <w:tcPr>
            <w:tcW w:w="259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20.52</w:t>
            </w:r>
          </w:p>
        </w:tc>
        <w:tc>
          <w:tcPr>
            <w:tcW w:w="207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cs="宋体"/>
                <w:i w:val="0"/>
                <w:color w:val="000000"/>
                <w:kern w:val="0"/>
                <w:sz w:val="24"/>
                <w:szCs w:val="24"/>
                <w:u w:val="none"/>
                <w:lang w:val="en-US" w:eastAsia="zh-CN" w:bidi="ar"/>
              </w:rPr>
              <w:t>82.08</w:t>
            </w:r>
            <w:r>
              <w:rPr>
                <w:rFonts w:hint="eastAsia" w:ascii="宋体" w:hAnsi="宋体" w:eastAsia="宋体" w:cs="宋体"/>
                <w:i w:val="0"/>
                <w:color w:val="000000"/>
                <w:kern w:val="0"/>
                <w:sz w:val="24"/>
                <w:szCs w:val="24"/>
                <w:u w:val="none"/>
                <w:lang w:val="en-US" w:eastAsia="zh-CN" w:bidi="ar"/>
              </w:rPr>
              <w:t>%</w:t>
            </w:r>
          </w:p>
        </w:tc>
      </w:tr>
      <w:tr>
        <w:tblPrEx>
          <w:tblCellMar>
            <w:top w:w="0" w:type="dxa"/>
            <w:left w:w="0" w:type="dxa"/>
            <w:bottom w:w="0" w:type="dxa"/>
            <w:right w:w="0" w:type="dxa"/>
          </w:tblCellMar>
        </w:tblPrEx>
        <w:trPr>
          <w:trHeight w:val="300" w:hRule="atLeast"/>
        </w:trPr>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产出</w:t>
            </w:r>
          </w:p>
        </w:tc>
        <w:tc>
          <w:tcPr>
            <w:tcW w:w="20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35</w:t>
            </w:r>
          </w:p>
        </w:tc>
        <w:tc>
          <w:tcPr>
            <w:tcW w:w="259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35</w:t>
            </w:r>
          </w:p>
        </w:tc>
        <w:tc>
          <w:tcPr>
            <w:tcW w:w="207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cs="宋体"/>
                <w:i w:val="0"/>
                <w:color w:val="000000"/>
                <w:kern w:val="0"/>
                <w:sz w:val="24"/>
                <w:szCs w:val="24"/>
                <w:u w:val="none"/>
                <w:lang w:val="en-US" w:eastAsia="zh-CN" w:bidi="ar"/>
              </w:rPr>
              <w:t>100.00</w:t>
            </w:r>
            <w:r>
              <w:rPr>
                <w:rFonts w:hint="eastAsia" w:ascii="宋体" w:hAnsi="宋体" w:eastAsia="宋体" w:cs="宋体"/>
                <w:i w:val="0"/>
                <w:color w:val="000000"/>
                <w:kern w:val="0"/>
                <w:sz w:val="24"/>
                <w:szCs w:val="24"/>
                <w:u w:val="none"/>
                <w:lang w:val="en-US" w:eastAsia="zh-CN" w:bidi="ar"/>
              </w:rPr>
              <w:t>%</w:t>
            </w:r>
          </w:p>
        </w:tc>
      </w:tr>
      <w:tr>
        <w:tblPrEx>
          <w:tblCellMar>
            <w:top w:w="0" w:type="dxa"/>
            <w:left w:w="0" w:type="dxa"/>
            <w:bottom w:w="0" w:type="dxa"/>
            <w:right w:w="0" w:type="dxa"/>
          </w:tblCellMar>
        </w:tblPrEx>
        <w:trPr>
          <w:trHeight w:val="300" w:hRule="atLeast"/>
        </w:trPr>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效益</w:t>
            </w:r>
          </w:p>
        </w:tc>
        <w:tc>
          <w:tcPr>
            <w:tcW w:w="20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c>
          <w:tcPr>
            <w:tcW w:w="259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rPr>
            </w:pPr>
            <w:r>
              <w:rPr>
                <w:rFonts w:hint="eastAsia" w:ascii="仿宋" w:hAnsi="仿宋" w:eastAsia="仿宋" w:cs="仿宋"/>
                <w:i w:val="0"/>
                <w:color w:val="000000"/>
                <w:kern w:val="0"/>
                <w:sz w:val="24"/>
                <w:szCs w:val="24"/>
                <w:u w:val="none"/>
                <w:lang w:val="en-US" w:eastAsia="zh-CN" w:bidi="ar"/>
              </w:rPr>
              <w:t>25</w:t>
            </w:r>
          </w:p>
        </w:tc>
        <w:tc>
          <w:tcPr>
            <w:tcW w:w="207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cs="宋体"/>
                <w:i w:val="0"/>
                <w:color w:val="000000"/>
                <w:kern w:val="0"/>
                <w:sz w:val="24"/>
                <w:szCs w:val="24"/>
                <w:u w:val="none"/>
                <w:lang w:val="en-US" w:eastAsia="zh-CN" w:bidi="ar"/>
              </w:rPr>
              <w:t>100.00</w:t>
            </w:r>
            <w:r>
              <w:rPr>
                <w:rFonts w:hint="eastAsia" w:ascii="宋体" w:hAnsi="宋体" w:eastAsia="宋体" w:cs="宋体"/>
                <w:i w:val="0"/>
                <w:color w:val="000000"/>
                <w:kern w:val="0"/>
                <w:sz w:val="24"/>
                <w:szCs w:val="24"/>
                <w:u w:val="none"/>
                <w:lang w:val="en-US" w:eastAsia="zh-CN" w:bidi="ar"/>
              </w:rPr>
              <w:t>%</w:t>
            </w:r>
          </w:p>
        </w:tc>
      </w:tr>
      <w:tr>
        <w:tblPrEx>
          <w:tblCellMar>
            <w:top w:w="0" w:type="dxa"/>
            <w:left w:w="0" w:type="dxa"/>
            <w:bottom w:w="0" w:type="dxa"/>
            <w:right w:w="0" w:type="dxa"/>
          </w:tblCellMar>
        </w:tblPrEx>
        <w:trPr>
          <w:trHeight w:val="300" w:hRule="atLeast"/>
        </w:trPr>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合计</w:t>
            </w:r>
          </w:p>
        </w:tc>
        <w:tc>
          <w:tcPr>
            <w:tcW w:w="20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100</w:t>
            </w:r>
          </w:p>
        </w:tc>
        <w:tc>
          <w:tcPr>
            <w:tcW w:w="259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cs="宋体"/>
                <w:i w:val="0"/>
                <w:color w:val="000000"/>
                <w:kern w:val="0"/>
                <w:sz w:val="24"/>
                <w:szCs w:val="24"/>
                <w:u w:val="none"/>
                <w:lang w:val="en-US" w:eastAsia="zh-CN" w:bidi="ar"/>
              </w:rPr>
              <w:t>88.14</w:t>
            </w:r>
          </w:p>
        </w:tc>
        <w:tc>
          <w:tcPr>
            <w:tcW w:w="207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cs="宋体"/>
                <w:i w:val="0"/>
                <w:color w:val="000000"/>
                <w:kern w:val="0"/>
                <w:sz w:val="24"/>
                <w:szCs w:val="24"/>
                <w:u w:val="none"/>
                <w:lang w:val="en-US" w:eastAsia="zh-CN" w:bidi="ar"/>
              </w:rPr>
              <w:t>88.14</w:t>
            </w:r>
            <w:r>
              <w:rPr>
                <w:rFonts w:hint="eastAsia" w:ascii="宋体" w:hAnsi="宋体" w:eastAsia="宋体" w:cs="宋体"/>
                <w:i w:val="0"/>
                <w:color w:val="000000"/>
                <w:kern w:val="0"/>
                <w:sz w:val="24"/>
                <w:szCs w:val="24"/>
                <w:u w:val="none"/>
                <w:lang w:val="en-US" w:eastAsia="zh-CN" w:bidi="ar"/>
              </w:rPr>
              <w:t>%</w:t>
            </w:r>
          </w:p>
        </w:tc>
      </w:tr>
      <w:tr>
        <w:tblPrEx>
          <w:shd w:val="clear" w:color="auto" w:fill="auto"/>
          <w:tblCellMar>
            <w:top w:w="0" w:type="dxa"/>
            <w:left w:w="0" w:type="dxa"/>
            <w:bottom w:w="0" w:type="dxa"/>
            <w:right w:w="0" w:type="dxa"/>
          </w:tblCellMar>
        </w:tblPrEx>
        <w:trPr>
          <w:trHeight w:val="450" w:hRule="atLeast"/>
        </w:trPr>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绩效评价得分：</w:t>
            </w:r>
          </w:p>
        </w:tc>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rPr>
            </w:pPr>
            <w:r>
              <w:rPr>
                <w:rFonts w:hint="eastAsia" w:cs="宋体"/>
                <w:i w:val="0"/>
                <w:color w:val="000000"/>
                <w:kern w:val="0"/>
                <w:sz w:val="24"/>
                <w:szCs w:val="24"/>
                <w:u w:val="none"/>
                <w:lang w:val="en-US" w:eastAsia="zh-CN" w:bidi="ar"/>
              </w:rPr>
              <w:t>88.14</w:t>
            </w:r>
          </w:p>
        </w:tc>
        <w:tc>
          <w:tcPr>
            <w:tcW w:w="147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综合评价结果等级：</w:t>
            </w:r>
          </w:p>
        </w:tc>
        <w:tc>
          <w:tcPr>
            <w:tcW w:w="117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良</w:t>
            </w: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黑体" w:hAnsi="黑体" w:eastAsia="黑体" w:cs="黑体"/>
          <w:b w:val="0"/>
          <w:bCs w:val="0"/>
          <w:color w:val="auto"/>
          <w:kern w:val="0"/>
          <w:sz w:val="32"/>
          <w:szCs w:val="32"/>
          <w:highlight w:val="none"/>
          <w:lang w:val="en-US" w:eastAsia="zh-Hans"/>
        </w:rPr>
      </w:pPr>
      <w:bookmarkStart w:id="13" w:name="_Toc24355"/>
      <w:r>
        <w:rPr>
          <w:rFonts w:hint="eastAsia" w:ascii="黑体" w:hAnsi="黑体" w:eastAsia="黑体" w:cs="黑体"/>
          <w:b w:val="0"/>
          <w:bCs w:val="0"/>
          <w:color w:val="auto"/>
          <w:kern w:val="0"/>
          <w:sz w:val="32"/>
          <w:szCs w:val="32"/>
          <w:highlight w:val="none"/>
          <w:lang w:val="en-US" w:eastAsia="zh-Hans"/>
        </w:rPr>
        <w:t>四、绩效评价分析</w:t>
      </w:r>
      <w:bookmarkEnd w:id="13"/>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CN"/>
        </w:rPr>
      </w:pPr>
      <w:bookmarkStart w:id="14" w:name="_Toc30110"/>
      <w:r>
        <w:rPr>
          <w:rFonts w:hint="eastAsia" w:ascii="楷体" w:hAnsi="楷体" w:eastAsia="楷体" w:cs="楷体"/>
          <w:b/>
          <w:bCs/>
          <w:color w:val="auto"/>
          <w:kern w:val="0"/>
          <w:sz w:val="32"/>
          <w:szCs w:val="32"/>
          <w:highlight w:val="none"/>
          <w:shd w:val="clear" w:color="auto" w:fill="FFFFFF"/>
          <w:lang w:val="en-US" w:eastAsia="zh-CN"/>
        </w:rPr>
        <w:t>（一）投入方面</w:t>
      </w:r>
      <w:bookmarkEnd w:id="14"/>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该指标主要考核部门</w:t>
      </w:r>
      <w:r>
        <w:rPr>
          <w:rFonts w:hint="eastAsia" w:ascii="仿宋" w:hAnsi="仿宋" w:eastAsia="仿宋" w:cs="仿宋"/>
          <w:color w:val="auto"/>
          <w:kern w:val="0"/>
          <w:sz w:val="32"/>
          <w:szCs w:val="32"/>
          <w:highlight w:val="none"/>
          <w:shd w:val="clear" w:color="auto" w:fill="FFFFFF"/>
          <w:lang w:val="en-US" w:eastAsia="zh-Hans"/>
        </w:rPr>
        <w:t>目标设定和预算配置两方面内容</w:t>
      </w:r>
      <w:r>
        <w:rPr>
          <w:rFonts w:hint="eastAsia" w:ascii="仿宋" w:hAnsi="仿宋" w:eastAsia="仿宋" w:cs="仿宋"/>
          <w:color w:val="auto"/>
          <w:kern w:val="0"/>
          <w:sz w:val="32"/>
          <w:szCs w:val="32"/>
          <w:highlight w:val="none"/>
          <w:shd w:val="clear" w:color="auto" w:fill="FFFFFF"/>
          <w:lang w:val="en-US" w:eastAsia="zh-CN"/>
        </w:rPr>
        <w:t>，包括绩效目标合理性、</w:t>
      </w:r>
      <w:r>
        <w:rPr>
          <w:rFonts w:hint="eastAsia" w:ascii="仿宋" w:hAnsi="仿宋" w:eastAsia="仿宋" w:cs="仿宋"/>
          <w:color w:val="auto"/>
          <w:kern w:val="0"/>
          <w:sz w:val="32"/>
          <w:szCs w:val="32"/>
          <w:highlight w:val="none"/>
          <w:shd w:val="clear" w:color="auto" w:fill="FFFFFF"/>
          <w:lang w:val="en-US" w:eastAsia="zh-Hans"/>
        </w:rPr>
        <w:t>绩效指标明确性、在职人员控制率、“</w:t>
      </w:r>
      <w:r>
        <w:rPr>
          <w:rFonts w:hint="eastAsia" w:ascii="仿宋" w:hAnsi="仿宋" w:eastAsia="仿宋" w:cs="仿宋"/>
          <w:color w:val="auto"/>
          <w:kern w:val="0"/>
          <w:sz w:val="32"/>
          <w:szCs w:val="32"/>
          <w:highlight w:val="none"/>
          <w:shd w:val="clear" w:color="auto" w:fill="FFFFFF"/>
          <w:lang w:val="en-US" w:eastAsia="zh-CN"/>
        </w:rPr>
        <w:t>三公经费</w:t>
      </w:r>
      <w:r>
        <w:rPr>
          <w:rFonts w:hint="eastAsia" w:ascii="仿宋" w:hAnsi="仿宋" w:eastAsia="仿宋" w:cs="仿宋"/>
          <w:color w:val="auto"/>
          <w:kern w:val="0"/>
          <w:sz w:val="32"/>
          <w:szCs w:val="32"/>
          <w:highlight w:val="none"/>
          <w:shd w:val="clear" w:color="auto" w:fill="FFFFFF"/>
          <w:lang w:val="en-US" w:eastAsia="zh-Hans"/>
        </w:rPr>
        <w:t>”变动率、重点支出安排率</w:t>
      </w:r>
      <w:r>
        <w:rPr>
          <w:rFonts w:hint="eastAsia" w:ascii="仿宋" w:hAnsi="仿宋" w:eastAsia="仿宋" w:cs="仿宋"/>
          <w:color w:val="auto"/>
          <w:kern w:val="0"/>
          <w:sz w:val="32"/>
          <w:szCs w:val="32"/>
          <w:highlight w:val="none"/>
          <w:shd w:val="clear" w:color="auto" w:fill="FFFFFF"/>
          <w:lang w:val="en-US" w:eastAsia="zh-CN"/>
        </w:rPr>
        <w:t>等5个三级指标，指标权重15分，评价得分7.62分，得分率为50.8%.</w:t>
      </w:r>
    </w:p>
    <w:tbl>
      <w:tblPr>
        <w:tblStyle w:val="16"/>
        <w:tblW w:w="497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0" w:type="dxa"/>
          <w:bottom w:w="0" w:type="dxa"/>
          <w:right w:w="0" w:type="dxa"/>
        </w:tblCellMar>
      </w:tblPr>
      <w:tblGrid>
        <w:gridCol w:w="1383"/>
        <w:gridCol w:w="1384"/>
        <w:gridCol w:w="2611"/>
        <w:gridCol w:w="2023"/>
        <w:gridCol w:w="1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520" w:hRule="atLeast"/>
        </w:trPr>
        <w:tc>
          <w:tcPr>
            <w:tcW w:w="787"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ascii="楷体_GB2312" w:hAnsi="宋体" w:eastAsia="楷体_GB2312" w:cs="楷体_GB2312"/>
                <w:b/>
                <w:i w:val="0"/>
                <w:color w:val="000000"/>
                <w:sz w:val="20"/>
                <w:szCs w:val="20"/>
                <w:u w:val="none"/>
              </w:rPr>
            </w:pPr>
            <w:r>
              <w:rPr>
                <w:rFonts w:hint="default" w:ascii="楷体_GB2312" w:hAnsi="宋体" w:eastAsia="楷体_GB2312" w:cs="楷体_GB2312"/>
                <w:b/>
                <w:i w:val="0"/>
                <w:color w:val="000000"/>
                <w:kern w:val="0"/>
                <w:sz w:val="20"/>
                <w:szCs w:val="20"/>
                <w:u w:val="none"/>
                <w:lang w:val="en-US" w:eastAsia="zh-CN" w:bidi="ar"/>
              </w:rPr>
              <w:t>一级指标</w:t>
            </w:r>
          </w:p>
        </w:tc>
        <w:tc>
          <w:tcPr>
            <w:tcW w:w="787"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b/>
                <w:i w:val="0"/>
                <w:color w:val="000000"/>
                <w:sz w:val="20"/>
                <w:szCs w:val="20"/>
                <w:u w:val="none"/>
              </w:rPr>
            </w:pPr>
            <w:r>
              <w:rPr>
                <w:rFonts w:hint="default" w:ascii="楷体_GB2312" w:hAnsi="宋体" w:eastAsia="楷体_GB2312" w:cs="楷体_GB2312"/>
                <w:b/>
                <w:i w:val="0"/>
                <w:color w:val="000000"/>
                <w:kern w:val="0"/>
                <w:sz w:val="20"/>
                <w:szCs w:val="20"/>
                <w:u w:val="none"/>
                <w:lang w:val="en-US" w:eastAsia="zh-CN" w:bidi="ar"/>
              </w:rPr>
              <w:t>二级指标</w:t>
            </w:r>
          </w:p>
        </w:tc>
        <w:tc>
          <w:tcPr>
            <w:tcW w:w="1485"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b/>
                <w:i w:val="0"/>
                <w:color w:val="000000"/>
                <w:sz w:val="20"/>
                <w:szCs w:val="20"/>
                <w:u w:val="none"/>
              </w:rPr>
            </w:pPr>
            <w:r>
              <w:rPr>
                <w:rFonts w:hint="default" w:ascii="楷体_GB2312" w:hAnsi="宋体" w:eastAsia="楷体_GB2312" w:cs="楷体_GB2312"/>
                <w:b/>
                <w:i w:val="0"/>
                <w:color w:val="000000"/>
                <w:kern w:val="0"/>
                <w:sz w:val="20"/>
                <w:szCs w:val="20"/>
                <w:u w:val="none"/>
                <w:lang w:val="en-US" w:eastAsia="zh-CN" w:bidi="ar"/>
              </w:rPr>
              <w:t>三级指标</w:t>
            </w:r>
          </w:p>
        </w:tc>
        <w:tc>
          <w:tcPr>
            <w:tcW w:w="1151"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b/>
                <w:i w:val="0"/>
                <w:color w:val="000000"/>
                <w:sz w:val="20"/>
                <w:szCs w:val="20"/>
                <w:u w:val="none"/>
              </w:rPr>
            </w:pPr>
            <w:r>
              <w:rPr>
                <w:rFonts w:hint="default" w:ascii="楷体_GB2312" w:hAnsi="宋体" w:eastAsia="楷体_GB2312" w:cs="楷体_GB2312"/>
                <w:b/>
                <w:i w:val="0"/>
                <w:color w:val="000000"/>
                <w:kern w:val="0"/>
                <w:sz w:val="20"/>
                <w:szCs w:val="20"/>
                <w:u w:val="none"/>
                <w:lang w:val="en-US" w:eastAsia="zh-CN" w:bidi="ar"/>
              </w:rPr>
              <w:t>指标分值</w:t>
            </w:r>
          </w:p>
        </w:tc>
        <w:tc>
          <w:tcPr>
            <w:tcW w:w="788"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b/>
                <w:i w:val="0"/>
                <w:color w:val="000000"/>
                <w:sz w:val="20"/>
                <w:szCs w:val="20"/>
                <w:u w:val="none"/>
              </w:rPr>
            </w:pPr>
            <w:r>
              <w:rPr>
                <w:rFonts w:hint="default" w:ascii="楷体_GB2312" w:hAnsi="宋体" w:eastAsia="楷体_GB2312" w:cs="楷体_GB2312"/>
                <w:b/>
                <w:i w:val="0"/>
                <w:color w:val="000000"/>
                <w:kern w:val="0"/>
                <w:sz w:val="20"/>
                <w:szCs w:val="20"/>
                <w:u w:val="none"/>
                <w:lang w:val="en-US" w:eastAsia="zh-CN" w:bidi="ar"/>
              </w:rPr>
              <w:t>评价得分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trPr>
        <w:tc>
          <w:tcPr>
            <w:tcW w:w="787" w:type="pct"/>
            <w:vMerge w:val="restart"/>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投入</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（15分）</w:t>
            </w:r>
          </w:p>
        </w:tc>
        <w:tc>
          <w:tcPr>
            <w:tcW w:w="787" w:type="pct"/>
            <w:vMerge w:val="restart"/>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目标</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设定</w:t>
            </w:r>
          </w:p>
        </w:tc>
        <w:tc>
          <w:tcPr>
            <w:tcW w:w="1485"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绩效目标合理性</w:t>
            </w:r>
          </w:p>
        </w:tc>
        <w:tc>
          <w:tcPr>
            <w:tcW w:w="1151"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1385" w:type="dxa"/>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trPr>
        <w:tc>
          <w:tcPr>
            <w:tcW w:w="787" w:type="pct"/>
            <w:vMerge w:val="continue"/>
            <w:shd w:val="clear" w:color="auto" w:fill="auto"/>
            <w:noWrap/>
            <w:tcMar>
              <w:top w:w="10" w:type="dxa"/>
              <w:left w:w="10" w:type="dxa"/>
              <w:right w:w="10" w:type="dxa"/>
            </w:tcMar>
            <w:vAlign w:val="center"/>
          </w:tcPr>
          <w:p>
            <w:pPr>
              <w:rPr>
                <w:rFonts w:hint="eastAsia" w:ascii="仿宋" w:hAnsi="仿宋" w:eastAsia="仿宋" w:cs="仿宋"/>
                <w:i w:val="0"/>
                <w:color w:val="000000"/>
                <w:sz w:val="24"/>
                <w:szCs w:val="24"/>
                <w:u w:val="none"/>
              </w:rPr>
            </w:pPr>
          </w:p>
        </w:tc>
        <w:tc>
          <w:tcPr>
            <w:tcW w:w="787" w:type="pct"/>
            <w:vMerge w:val="continue"/>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绩效指标明确性</w:t>
            </w:r>
          </w:p>
        </w:tc>
        <w:tc>
          <w:tcPr>
            <w:tcW w:w="1151"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1385" w:type="dxa"/>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trPr>
        <w:tc>
          <w:tcPr>
            <w:tcW w:w="787" w:type="pct"/>
            <w:vMerge w:val="continue"/>
            <w:shd w:val="clear" w:color="auto" w:fill="auto"/>
            <w:noWrap/>
            <w:tcMar>
              <w:top w:w="10" w:type="dxa"/>
              <w:left w:w="10" w:type="dxa"/>
              <w:right w:w="10" w:type="dxa"/>
            </w:tcMar>
            <w:vAlign w:val="center"/>
          </w:tcPr>
          <w:p>
            <w:pPr>
              <w:rPr>
                <w:rFonts w:hint="eastAsia" w:ascii="仿宋" w:hAnsi="仿宋" w:eastAsia="仿宋" w:cs="仿宋"/>
                <w:i w:val="0"/>
                <w:color w:val="000000"/>
                <w:sz w:val="24"/>
                <w:szCs w:val="24"/>
                <w:u w:val="none"/>
              </w:rPr>
            </w:pPr>
          </w:p>
        </w:tc>
        <w:tc>
          <w:tcPr>
            <w:tcW w:w="787" w:type="pct"/>
            <w:vMerge w:val="restart"/>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预算</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配置</w:t>
            </w:r>
          </w:p>
        </w:tc>
        <w:tc>
          <w:tcPr>
            <w:tcW w:w="1485"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在职人员控制率</w:t>
            </w:r>
          </w:p>
        </w:tc>
        <w:tc>
          <w:tcPr>
            <w:tcW w:w="1151"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385" w:type="dxa"/>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trPr>
        <w:tc>
          <w:tcPr>
            <w:tcW w:w="787" w:type="pct"/>
            <w:vMerge w:val="continue"/>
            <w:shd w:val="clear" w:color="auto" w:fill="auto"/>
            <w:noWrap/>
            <w:tcMar>
              <w:top w:w="10" w:type="dxa"/>
              <w:left w:w="10" w:type="dxa"/>
              <w:right w:w="10" w:type="dxa"/>
            </w:tcMar>
            <w:vAlign w:val="center"/>
          </w:tcPr>
          <w:p>
            <w:pPr>
              <w:rPr>
                <w:rFonts w:hint="eastAsia" w:ascii="仿宋" w:hAnsi="仿宋" w:eastAsia="仿宋" w:cs="仿宋"/>
                <w:i w:val="0"/>
                <w:color w:val="000000"/>
                <w:sz w:val="24"/>
                <w:szCs w:val="24"/>
                <w:u w:val="none"/>
              </w:rPr>
            </w:pPr>
          </w:p>
        </w:tc>
        <w:tc>
          <w:tcPr>
            <w:tcW w:w="787" w:type="pct"/>
            <w:vMerge w:val="continue"/>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“三公经费”变动率</w:t>
            </w:r>
          </w:p>
        </w:tc>
        <w:tc>
          <w:tcPr>
            <w:tcW w:w="1151"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385" w:type="dxa"/>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trPr>
        <w:tc>
          <w:tcPr>
            <w:tcW w:w="787" w:type="pct"/>
            <w:vMerge w:val="continue"/>
            <w:shd w:val="clear" w:color="auto" w:fill="auto"/>
            <w:noWrap/>
            <w:tcMar>
              <w:top w:w="10" w:type="dxa"/>
              <w:left w:w="10" w:type="dxa"/>
              <w:right w:w="10" w:type="dxa"/>
            </w:tcMar>
            <w:vAlign w:val="center"/>
          </w:tcPr>
          <w:p>
            <w:pPr>
              <w:rPr>
                <w:rFonts w:hint="eastAsia" w:ascii="仿宋" w:hAnsi="仿宋" w:eastAsia="仿宋" w:cs="仿宋"/>
                <w:i w:val="0"/>
                <w:color w:val="000000"/>
                <w:sz w:val="24"/>
                <w:szCs w:val="24"/>
                <w:u w:val="none"/>
              </w:rPr>
            </w:pPr>
          </w:p>
        </w:tc>
        <w:tc>
          <w:tcPr>
            <w:tcW w:w="787" w:type="pct"/>
            <w:vMerge w:val="continue"/>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重点支出安排率</w:t>
            </w:r>
          </w:p>
        </w:tc>
        <w:tc>
          <w:tcPr>
            <w:tcW w:w="1151"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1385" w:type="dxa"/>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3.62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trPr>
        <w:tc>
          <w:tcPr>
            <w:tcW w:w="1574" w:type="pct"/>
            <w:gridSpan w:val="2"/>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合计</w:t>
            </w:r>
          </w:p>
        </w:tc>
        <w:tc>
          <w:tcPr>
            <w:tcW w:w="1485"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p>
        </w:tc>
        <w:tc>
          <w:tcPr>
            <w:tcW w:w="1151"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15</w:t>
            </w:r>
          </w:p>
        </w:tc>
        <w:tc>
          <w:tcPr>
            <w:tcW w:w="788" w:type="pct"/>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7.62</w:t>
            </w: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1.目标设定</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（1）绩效目标合理性</w:t>
      </w:r>
      <w:r>
        <w:rPr>
          <w:rFonts w:hint="eastAsia" w:ascii="仿宋" w:hAnsi="仿宋" w:eastAsia="仿宋" w:cs="仿宋"/>
          <w:color w:val="auto"/>
          <w:kern w:val="0"/>
          <w:sz w:val="32"/>
          <w:szCs w:val="32"/>
          <w:highlight w:val="none"/>
          <w:shd w:val="clear" w:color="auto" w:fill="FFFFFF"/>
          <w:lang w:val="en-US" w:eastAsia="zh-CN"/>
        </w:rPr>
        <w:t>--3分。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根据新区</w:t>
      </w:r>
      <w:r>
        <w:rPr>
          <w:rFonts w:hint="eastAsia" w:ascii="仿宋" w:hAnsi="仿宋" w:eastAsia="仿宋" w:cs="仿宋"/>
          <w:color w:val="auto"/>
          <w:kern w:val="0"/>
          <w:sz w:val="32"/>
          <w:szCs w:val="32"/>
          <w:highlight w:val="none"/>
          <w:shd w:val="clear" w:color="auto" w:fill="FFFFFF"/>
          <w:lang w:val="en-US" w:eastAsia="zh-CN"/>
        </w:rPr>
        <w:t>住房建设和交通运输局</w:t>
      </w:r>
      <w:r>
        <w:rPr>
          <w:rFonts w:hint="eastAsia" w:ascii="仿宋" w:hAnsi="仿宋" w:eastAsia="仿宋" w:cs="仿宋"/>
          <w:color w:val="auto"/>
          <w:kern w:val="0"/>
          <w:sz w:val="32"/>
          <w:szCs w:val="32"/>
          <w:highlight w:val="none"/>
          <w:shd w:val="clear" w:color="auto" w:fill="FFFFFF"/>
          <w:lang w:val="en-US" w:eastAsia="zh-Hans"/>
        </w:rPr>
        <w:t>所报相关资料和现场座谈内容，2021年度部门编制了综合预算，针对专项业务经费设置项目支出绩效目标，并上报财政部门审核。但年初未制定部门整体支出绩效目标表。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结合项目支出绩效评价指标体系内容和评分标准，经综合评价，该项指标得分为0分。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（2）绩效指标明确性</w:t>
      </w:r>
      <w:r>
        <w:rPr>
          <w:rFonts w:hint="eastAsia" w:ascii="仿宋" w:hAnsi="仿宋" w:eastAsia="仿宋" w:cs="仿宋"/>
          <w:color w:val="auto"/>
          <w:kern w:val="0"/>
          <w:sz w:val="32"/>
          <w:szCs w:val="32"/>
          <w:highlight w:val="none"/>
          <w:shd w:val="clear" w:color="auto" w:fill="FFFFFF"/>
          <w:lang w:val="en-US" w:eastAsia="zh-CN"/>
        </w:rPr>
        <w:t>--4分。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根据新区</w:t>
      </w:r>
      <w:r>
        <w:rPr>
          <w:rFonts w:hint="eastAsia" w:ascii="仿宋" w:hAnsi="仿宋" w:eastAsia="仿宋" w:cs="仿宋"/>
          <w:color w:val="auto"/>
          <w:kern w:val="0"/>
          <w:sz w:val="32"/>
          <w:szCs w:val="32"/>
          <w:highlight w:val="none"/>
          <w:shd w:val="clear" w:color="auto" w:fill="FFFFFF"/>
          <w:lang w:val="en-US" w:eastAsia="zh-CN"/>
        </w:rPr>
        <w:t>住房建设和交通运输局</w:t>
      </w:r>
      <w:r>
        <w:rPr>
          <w:rFonts w:hint="eastAsia" w:ascii="仿宋" w:hAnsi="仿宋" w:eastAsia="仿宋" w:cs="仿宋"/>
          <w:color w:val="auto"/>
          <w:kern w:val="0"/>
          <w:sz w:val="32"/>
          <w:szCs w:val="32"/>
          <w:highlight w:val="none"/>
          <w:shd w:val="clear" w:color="auto" w:fill="FFFFFF"/>
          <w:lang w:val="en-US" w:eastAsia="zh-Hans"/>
        </w:rPr>
        <w:t>所报相关资料和现场座谈内容，2021年度部门编制了综合预算，针对专项业务经费设置项目支出绩效目标，并上报财政部门审核。但年初未制定部门整体支出绩效目标表。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结合项目支出绩效评价指标体系内容和评分标准，经综合评价，该项指标得分为0分</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2.预算配置</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1</w:t>
      </w:r>
      <w:r>
        <w:rPr>
          <w:rFonts w:hint="eastAsia" w:ascii="仿宋" w:hAnsi="仿宋" w:eastAsia="仿宋" w:cs="仿宋"/>
          <w:color w:val="auto"/>
          <w:kern w:val="0"/>
          <w:sz w:val="32"/>
          <w:szCs w:val="32"/>
          <w:highlight w:val="none"/>
          <w:shd w:val="clear" w:color="auto" w:fill="FFFFFF"/>
          <w:lang w:val="en-US" w:eastAsia="zh-Hans"/>
        </w:rPr>
        <w:t>）在职人员控制率</w:t>
      </w:r>
      <w:r>
        <w:rPr>
          <w:rFonts w:hint="eastAsia" w:ascii="仿宋" w:hAnsi="仿宋" w:eastAsia="仿宋" w:cs="仿宋"/>
          <w:color w:val="auto"/>
          <w:kern w:val="0"/>
          <w:sz w:val="32"/>
          <w:szCs w:val="32"/>
          <w:highlight w:val="none"/>
          <w:shd w:val="clear" w:color="auto" w:fill="FFFFFF"/>
          <w:lang w:val="en-US" w:eastAsia="zh-CN"/>
        </w:rPr>
        <w:t>--2分。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根据2021年度新区住房建设和交通运输局综合预算公开内容和部门编制说明等资料，部门设立人员编制5名，截止到2021年部门实际在编人数5人。在职人员控制率为100%。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结合部门整体支出绩效评价指标体系内容和评分标准，经综合评价，该项指标得分为2分。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（2）“三公经费”变动率--2分。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根据新区住房建设和交通运输局2020年和2021年度部门预算文件公开内容，2021年的一般公共预算“三公”经费预算支出0万元，与2020年“三公”经费预算安排持平。</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结合部门整体支出绩效评价指标体系内容和评分标准，经综合评价，该项指标得分为2分。</w:t>
      </w:r>
      <w:bookmarkStart w:id="15" w:name="_Toc1682881084_WPSOffice_Level2"/>
      <w:bookmarkStart w:id="16" w:name="_Toc373329643_WPSOffice_Level2"/>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（3）重点支出安排率--4分。</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根据新区住房建设和交通运输局2021年度部门预算文件公开内容，年初编制预算额度37638608.72元，其中基本支出652308.72元，项目支出总额36986300元。部门2021年度重点安排支出33486300元，重点支出安排率为90.54%。包括长虹南路休闲绿色长廊景观工程244000元、华原西道电力通讯管道工程1000000元，华原西道道路及排水工程监理195700元、华原西道道路及排水工程施工3500000园、华原西道延伸线道路及排水工程施工1740000元、老旧住宅小区加装电梯区级配套8650000元、新区城市道路+地下综合管廊整体打包PPP项目运营维护费及可行性缺口补贴16416100元、新区崇文街管理服务500000、新区农村公路养护1240500元。</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结合部门整体支出绩效评价指标体系内容和评分标准，经综合评价，该项指标得分为3.62分。。</w:t>
      </w:r>
    </w:p>
    <w:bookmarkEnd w:id="15"/>
    <w:bookmarkEnd w:id="16"/>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仿宋" w:hAnsi="仿宋" w:eastAsia="仿宋" w:cs="仿宋"/>
          <w:color w:val="auto"/>
          <w:kern w:val="0"/>
          <w:sz w:val="32"/>
          <w:szCs w:val="32"/>
          <w:highlight w:val="none"/>
          <w:shd w:val="clear" w:color="auto" w:fill="FFFFFF"/>
          <w:lang w:val="en-US" w:eastAsia="zh-CN"/>
        </w:rPr>
      </w:pPr>
      <w:bookmarkStart w:id="17" w:name="_Toc22772"/>
      <w:r>
        <w:rPr>
          <w:rFonts w:hint="eastAsia" w:ascii="楷体" w:hAnsi="楷体" w:eastAsia="楷体" w:cs="楷体"/>
          <w:b/>
          <w:bCs/>
          <w:color w:val="auto"/>
          <w:kern w:val="0"/>
          <w:sz w:val="32"/>
          <w:szCs w:val="32"/>
          <w:highlight w:val="none"/>
          <w:shd w:val="clear" w:color="auto" w:fill="FFFFFF"/>
          <w:lang w:val="en-US" w:eastAsia="zh-CN"/>
        </w:rPr>
        <w:t>（二）过程管理</w:t>
      </w:r>
      <w:bookmarkEnd w:id="17"/>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该指标主要考核部门</w:t>
      </w:r>
      <w:r>
        <w:rPr>
          <w:rFonts w:hint="eastAsia" w:ascii="仿宋" w:hAnsi="仿宋" w:eastAsia="仿宋" w:cs="仿宋"/>
          <w:color w:val="auto"/>
          <w:kern w:val="0"/>
          <w:sz w:val="32"/>
          <w:szCs w:val="32"/>
          <w:highlight w:val="none"/>
          <w:shd w:val="clear" w:color="auto" w:fill="FFFFFF"/>
          <w:lang w:val="en-US" w:eastAsia="zh-Hans"/>
        </w:rPr>
        <w:t>预算执行、预算管理和资产管理三方面内容</w:t>
      </w:r>
      <w:r>
        <w:rPr>
          <w:rFonts w:hint="eastAsia" w:ascii="仿宋" w:hAnsi="仿宋" w:eastAsia="仿宋" w:cs="仿宋"/>
          <w:color w:val="auto"/>
          <w:kern w:val="0"/>
          <w:sz w:val="32"/>
          <w:szCs w:val="32"/>
          <w:highlight w:val="none"/>
          <w:shd w:val="clear" w:color="auto" w:fill="FFFFFF"/>
          <w:lang w:val="en-US" w:eastAsia="zh-CN"/>
        </w:rPr>
        <w:t>，包括预算完成率、预算调整率、支付进度率、结转结余率、结转结余变动率、公用经费控制率、“三公经费”控制率、政府采购执行率、管理制度健全性、资金使用合规性、预决算信息公开性、运行监控和自评有效性、基础信息完善性、管理制度健全性、资产管理安全性、固定资产利用率等16个三级指标，指标权重25分，评价得分20.52分，得分率为82.08%。</w:t>
      </w:r>
    </w:p>
    <w:tbl>
      <w:tblPr>
        <w:tblStyle w:val="16"/>
        <w:tblW w:w="4975" w:type="pct"/>
        <w:tblInd w:w="0" w:type="dxa"/>
        <w:shd w:val="clear" w:color="auto" w:fill="auto"/>
        <w:tblLayout w:type="autofit"/>
        <w:tblCellMar>
          <w:top w:w="0" w:type="dxa"/>
          <w:left w:w="0" w:type="dxa"/>
          <w:bottom w:w="0" w:type="dxa"/>
          <w:right w:w="0" w:type="dxa"/>
        </w:tblCellMar>
      </w:tblPr>
      <w:tblGrid>
        <w:gridCol w:w="1383"/>
        <w:gridCol w:w="1384"/>
        <w:gridCol w:w="2611"/>
        <w:gridCol w:w="2023"/>
        <w:gridCol w:w="1385"/>
      </w:tblGrid>
      <w:tr>
        <w:tblPrEx>
          <w:shd w:val="clear" w:color="auto" w:fill="auto"/>
          <w:tblCellMar>
            <w:top w:w="0" w:type="dxa"/>
            <w:left w:w="0" w:type="dxa"/>
            <w:bottom w:w="0" w:type="dxa"/>
            <w:right w:w="0" w:type="dxa"/>
          </w:tblCellMar>
        </w:tblPrEx>
        <w:trPr>
          <w:trHeight w:val="520" w:hRule="atLeast"/>
        </w:trPr>
        <w:tc>
          <w:tcPr>
            <w:tcW w:w="78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0"/>
                <w:sz w:val="24"/>
                <w:szCs w:val="24"/>
                <w:u w:val="none"/>
                <w:lang w:val="en-US" w:eastAsia="zh-CN" w:bidi="ar"/>
              </w:rPr>
            </w:pPr>
            <w:r>
              <w:rPr>
                <w:rFonts w:hint="eastAsia" w:ascii="仿宋" w:hAnsi="仿宋" w:eastAsia="仿宋" w:cs="仿宋"/>
                <w:b/>
                <w:i w:val="0"/>
                <w:color w:val="000000"/>
                <w:kern w:val="0"/>
                <w:sz w:val="24"/>
                <w:szCs w:val="24"/>
                <w:u w:val="none"/>
                <w:lang w:val="en-US" w:eastAsia="zh-CN" w:bidi="ar"/>
              </w:rPr>
              <w:t>一级</w:t>
            </w:r>
          </w:p>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指标</w:t>
            </w:r>
          </w:p>
        </w:tc>
        <w:tc>
          <w:tcPr>
            <w:tcW w:w="78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0"/>
                <w:sz w:val="24"/>
                <w:szCs w:val="24"/>
                <w:u w:val="none"/>
                <w:lang w:val="en-US" w:eastAsia="zh-CN" w:bidi="ar"/>
              </w:rPr>
            </w:pPr>
            <w:r>
              <w:rPr>
                <w:rFonts w:hint="eastAsia" w:ascii="仿宋" w:hAnsi="仿宋" w:eastAsia="仿宋" w:cs="仿宋"/>
                <w:b/>
                <w:i w:val="0"/>
                <w:color w:val="000000"/>
                <w:kern w:val="0"/>
                <w:sz w:val="24"/>
                <w:szCs w:val="24"/>
                <w:u w:val="none"/>
                <w:lang w:val="en-US" w:eastAsia="zh-CN" w:bidi="ar"/>
              </w:rPr>
              <w:t>二级</w:t>
            </w:r>
          </w:p>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指标</w:t>
            </w: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三级指标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指标分值</w:t>
            </w:r>
          </w:p>
        </w:tc>
        <w:tc>
          <w:tcPr>
            <w:tcW w:w="78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评价得分</w:t>
            </w:r>
          </w:p>
        </w:tc>
      </w:tr>
      <w:tr>
        <w:tblPrEx>
          <w:shd w:val="clear" w:color="auto" w:fill="auto"/>
          <w:tblCellMar>
            <w:top w:w="0" w:type="dxa"/>
            <w:left w:w="0" w:type="dxa"/>
            <w:bottom w:w="0" w:type="dxa"/>
            <w:right w:w="0" w:type="dxa"/>
          </w:tblCellMar>
        </w:tblPrEx>
        <w:trPr>
          <w:trHeight w:val="300" w:hRule="atLeast"/>
        </w:trPr>
        <w:tc>
          <w:tcPr>
            <w:tcW w:w="787"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过程</w:t>
            </w:r>
          </w:p>
        </w:tc>
        <w:tc>
          <w:tcPr>
            <w:tcW w:w="787"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预算</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执行</w:t>
            </w: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预算完成率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预算调整率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0.53</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支付进度率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1.49</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预算执行</w:t>
            </w: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结转结余率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结转结余变动率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公用经费控制率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“三公经费”控制率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政府采购执行率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预算</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管理</w:t>
            </w: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管理制度健全性</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资金使用合规性</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2.5</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预决算信息公开性</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0.6</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0.6</w:t>
            </w:r>
          </w:p>
        </w:tc>
      </w:tr>
      <w:tr>
        <w:tblPrEx>
          <w:shd w:val="clear" w:color="auto" w:fill="auto"/>
          <w:tblCellMar>
            <w:top w:w="0" w:type="dxa"/>
            <w:left w:w="0" w:type="dxa"/>
            <w:bottom w:w="0" w:type="dxa"/>
            <w:right w:w="0" w:type="dxa"/>
          </w:tblCellMar>
        </w:tblPrEx>
        <w:trPr>
          <w:trHeight w:val="12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运行监控和自评有效性</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基础信息完善性</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0.9</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0.9</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资产</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管理</w:t>
            </w: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管理制度健全性</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资产管理安全性</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固定资产利用率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300" w:hRule="atLeast"/>
        </w:trPr>
        <w:tc>
          <w:tcPr>
            <w:tcW w:w="1574"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合计</w:t>
            </w: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25</w:t>
            </w:r>
          </w:p>
        </w:tc>
        <w:tc>
          <w:tcPr>
            <w:tcW w:w="78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20.52</w:t>
            </w: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1.预算执行</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（1）预算完成率</w:t>
      </w:r>
      <w:r>
        <w:rPr>
          <w:rFonts w:hint="eastAsia" w:ascii="仿宋" w:hAnsi="仿宋" w:eastAsia="仿宋" w:cs="仿宋"/>
          <w:color w:val="auto"/>
          <w:kern w:val="0"/>
          <w:sz w:val="32"/>
          <w:szCs w:val="32"/>
          <w:highlight w:val="none"/>
          <w:shd w:val="clear" w:color="auto" w:fill="FFFFFF"/>
          <w:lang w:val="en-US" w:eastAsia="zh-CN"/>
        </w:rPr>
        <w:t>--1.5分。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根据2021年度新区住房建设交通运输局决算文件和数据内容，2021年部门调整预算数为11828.89万元，决算支出数为11748.26万元。预算完成率为99.32%。</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结合部门整体支出绩效评价指标体系内容和评分标准，经综合评价，该项指标得分为1.5分。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w:t>
      </w:r>
      <w:r>
        <w:rPr>
          <w:rFonts w:hint="default" w:ascii="仿宋" w:hAnsi="仿宋" w:eastAsia="仿宋" w:cs="仿宋"/>
          <w:color w:val="auto"/>
          <w:kern w:val="0"/>
          <w:sz w:val="32"/>
          <w:szCs w:val="32"/>
          <w:highlight w:val="none"/>
          <w:shd w:val="clear" w:color="auto" w:fill="FFFFFF"/>
          <w:lang w:eastAsia="zh-Hans"/>
        </w:rPr>
        <w:t>2</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预算调整率--1分。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根据2021年度新区住房建设交通运输局决算文件和数据内容，2021年度部门调整预算数为11828.89万元，年初决算预算数为6326.13万元。预算调整数为5502.76万元。预算调整率为46.52%。</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结合部门整体支出绩效评价指标体系内容和评分标准，经综合评价，该项指标得分为0.53分。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（3）支付进度率--1分</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default" w:ascii="仿宋" w:hAnsi="仿宋" w:eastAsia="仿宋" w:cs="仿宋"/>
          <w:color w:val="auto"/>
          <w:kern w:val="0"/>
          <w:sz w:val="32"/>
          <w:szCs w:val="32"/>
          <w:highlight w:val="none"/>
          <w:shd w:val="clear" w:color="auto" w:fill="FFFFFF"/>
          <w:lang w:val="en-US" w:eastAsia="zh-CN" w:bidi="ar-SA"/>
        </w:rPr>
        <w:t>根据新区住房建设和交通运输局公共财政支出台账、2021年收入支出决算统计表等部门相关资料内容。部门2021年支出决算完成数为11748.26万元，2021年3月底，部门公共财政支出完成4826.4万元，序时支出进度为2937.07万元，支付进度率为164%。以3月为时点，支付进度率得分为1.5分。2021年6月底，公共财政支出完成7406.2万元，序时支出进度为5874.13万元，支付进度率为126%。以6月为时点，支付进度率得分为1.5分。2021年9月底，公共财政支出完成9372.51万元，序时支出进度为8811.20万元，支付进度率为106%。以9月为时点，支付进度率得分为1.5分。2021年11月底，公共财政支出完成10549.75万元，序时支出进度为10769.24万元，支付进度率为98%。以11月为时点，支付进度率得分为1.47分。</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default" w:ascii="仿宋" w:hAnsi="仿宋" w:eastAsia="仿宋" w:cs="仿宋"/>
          <w:color w:val="auto"/>
          <w:kern w:val="0"/>
          <w:sz w:val="32"/>
          <w:szCs w:val="32"/>
          <w:highlight w:val="none"/>
          <w:shd w:val="clear" w:color="auto" w:fill="FFFFFF"/>
          <w:lang w:val="en-US" w:eastAsia="zh-CN" w:bidi="ar-SA"/>
        </w:rPr>
        <w:t>结合部门整体支出绩效评价指标体系内容和评分标准，经综合评价，该项指标得分为1.49分。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（4）结转结余率--1分。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根据2021年度新区住房建设交通运输局决算文件和数据内容，2021年度部门结转结余资金金额为80.63万元，2021年部门决算收入数为11828.89万元。结转结余率为0.68%，小于5%。</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结合部门整体支出绩效评价指标体系内容和评分标准，经综合评价，该项指标得分为1分。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5</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结转结余变动率--1分。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根据2021年度新区住房建设交通运输局决算文件和数据内容，2021年度部门结转结余资金金额为80.63万元，2021年部门结转结余资金为2562.27万元。结转结余资金大幅度降低。</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结合部门整体支出绩效评价指标体系内容和评分标准，经综合评价，该项指标得分为1分</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（6）公用经费控制率--1分。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根据新区住房建设和交通运输局2021年度部门综合预算和决算文件内容，2021年度部门实际公用经费支出17.74万元，年初预算安排公用经费12万元。公用经费控制率大于100%。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结合部门整体支出绩效评价指标体系内容和评分标准，经综合评价，该项指标得分为0分。</w:t>
      </w:r>
    </w:p>
    <w:p>
      <w:pPr>
        <w:pStyle w:val="2"/>
        <w:rPr>
          <w:rFonts w:hint="eastAsia"/>
          <w:lang w:val="en-US" w:eastAsia="zh-CN"/>
        </w:rPr>
      </w:pPr>
    </w:p>
    <w:p>
      <w:pPr>
        <w:pStyle w:val="2"/>
        <w:numPr>
          <w:ilvl w:val="0"/>
          <w:numId w:val="0"/>
        </w:numPr>
        <w:ind w:firstLine="640" w:firstLineChars="200"/>
        <w:rPr>
          <w:rFonts w:hint="default"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（7）“三公经费”控制率--1.5分。</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根据新区住房建设和交通运输局2020年和2021年度部门预算文件公开内容，2021年的一般公共预算“三公”经费预算支出0万元，年初未编制“三公经费”预算，年度实际支出为0。</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结合部门整体支出绩效评价指标体系内容和评分标准，经综合评价，该项指标得分为1.5分。</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（8）政府采购执行率--1.5分。</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根据铜川市新区住房建设和交通运输局2021年度上报的政府采购项目核准书，2021年度新区住建交通局采购预算数合计为1818126.99元。包括无人机项目采购计划24726元，办公设备采购计划89900元、第一次全国自然灾害综合风险普查房屋建筑及市政设施承载体调查项目采购计划880000元，农村公路养护工程823500元。2021年度实际采购金额为994600元。政府采购执行率为54.71%，小于70%。</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结合部门整体支出绩效评价指标体系内容和评分标准，经综合评价，该项指标得分为0分。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2.预算管理</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（1）管理制度健全性</w:t>
      </w:r>
      <w:r>
        <w:rPr>
          <w:rFonts w:hint="eastAsia" w:ascii="仿宋" w:hAnsi="仿宋" w:eastAsia="仿宋" w:cs="仿宋"/>
          <w:color w:val="auto"/>
          <w:kern w:val="0"/>
          <w:sz w:val="32"/>
          <w:szCs w:val="32"/>
          <w:highlight w:val="none"/>
          <w:shd w:val="clear" w:color="auto" w:fill="FFFFFF"/>
          <w:lang w:val="en-US" w:eastAsia="zh-CN"/>
        </w:rPr>
        <w:t>--3分。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新区住房建设和交通运输局所报相关资料内容，部门制定了财务内控制度，包括单位预算管理、收入管理、支出管理、结余管理、资产管财务监督等健全完善的财务管理制度文件，各项管理内容合法、合规，财务管理制度完整，相关管理制度得到有效执行。</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结合部门整体支出绩效评价指标体系内容和评分标准，经综合评价，该项指标得分为3分。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（2）</w:t>
      </w:r>
      <w:r>
        <w:rPr>
          <w:rFonts w:hint="eastAsia" w:ascii="仿宋" w:hAnsi="仿宋" w:eastAsia="仿宋" w:cs="仿宋"/>
          <w:color w:val="auto"/>
          <w:kern w:val="0"/>
          <w:sz w:val="32"/>
          <w:szCs w:val="32"/>
          <w:highlight w:val="none"/>
          <w:shd w:val="clear" w:color="auto" w:fill="FFFFFF"/>
          <w:lang w:val="en-US" w:eastAsia="zh-Hans"/>
        </w:rPr>
        <w:t>资金使用合规性</w:t>
      </w:r>
      <w:r>
        <w:rPr>
          <w:rFonts w:hint="eastAsia" w:ascii="仿宋" w:hAnsi="仿宋" w:eastAsia="仿宋" w:cs="仿宋"/>
          <w:color w:val="auto"/>
          <w:kern w:val="0"/>
          <w:sz w:val="32"/>
          <w:szCs w:val="32"/>
          <w:highlight w:val="none"/>
          <w:shd w:val="clear" w:color="auto" w:fill="FFFFFF"/>
          <w:lang w:val="en-US" w:eastAsia="zh-CN"/>
        </w:rPr>
        <w:t>--2.5分。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部门所提供2021年各项费用支付明细表和国库支付凭证等财务资料，支付明细表详细列明支付凭证号、指标文号、结算金额、收款人信息、资金性质、资金支出功能科目等相关信息，各项费用支出在年初预算批复用途，资金拨付有完整的审批程序和手续，年度不存在项目重大开支，不存在截留、挤占、挪用、虚列支出等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结合部门整体支出绩效评价指标体系内容和评分标准，经综合评价，该项指标得分为2.5分。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（3）预决算信息公开性--0.6分</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部门按照财政部门相关要求，2021年3月15日完成部门2021年度综合预算公开，公开内容包括预算编制文件、年度工作任务计划、各项费用情况说明和部门整体绩效目标表、项目支出绩效目标表。2021年部门综合预算公开内容符合相关规定，在规定完成预算公开。根据财政要求，2022年10月完成部门上年度收支决算统计。</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结合部门整体支出绩效评价指标体系内容和评分标准，经综合评价，该项指标得分为0.6分。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（4）运行监控和自评有效性--3分。</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新区住房建设和交通运输局作为项目主管部门，按照财政部门相关要求，在年中7月份开展了部门项目绩效运行监控。在2022年4月份根据2021年预算执行情况和绩效目标完成情况开展了项目绩效自评管理工作，并形成绩效自评报告，详细论述各项目支出的过程情况和产出情况。深入分析项目绩效情况。</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结合部门整体支出绩效评价指标体系内容和评分标准，经综合评价，该项指标得分为3分。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（5）基础信息完善</w:t>
      </w:r>
      <w:r>
        <w:rPr>
          <w:rFonts w:hint="eastAsia" w:ascii="仿宋" w:hAnsi="仿宋" w:eastAsia="仿宋" w:cs="仿宋"/>
          <w:color w:val="auto"/>
          <w:kern w:val="0"/>
          <w:sz w:val="32"/>
          <w:szCs w:val="32"/>
          <w:highlight w:val="none"/>
          <w:shd w:val="clear" w:color="auto" w:fill="FFFFFF"/>
          <w:lang w:val="en-US" w:eastAsia="zh-Hans"/>
        </w:rPr>
        <w:t>性</w:t>
      </w:r>
      <w:r>
        <w:rPr>
          <w:rFonts w:hint="eastAsia" w:ascii="仿宋" w:hAnsi="仿宋" w:eastAsia="仿宋" w:cs="仿宋"/>
          <w:color w:val="auto"/>
          <w:kern w:val="0"/>
          <w:sz w:val="32"/>
          <w:szCs w:val="32"/>
          <w:highlight w:val="none"/>
          <w:shd w:val="clear" w:color="auto" w:fill="FFFFFF"/>
          <w:lang w:val="en-US" w:eastAsia="zh-CN"/>
        </w:rPr>
        <w:t>--0.9分。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部门所提供相关资料内容和现场座谈，部门通过财政云系统实现预算数字管理，各项费用支出和相关会计信息上传财政云系统，有效保障会计信息的完整。部门根据年度工作内容和项目实施情况，做好相关资料归档、整理，形成了完整、真实的基础数据。基础数据信息和会计信息的真实、完整有效的支撑了部门预算管理工作的开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lang w:val="en-US" w:eastAsia="zh-Hans"/>
        </w:rPr>
      </w:pPr>
      <w:r>
        <w:rPr>
          <w:rFonts w:hint="eastAsia" w:ascii="仿宋" w:hAnsi="仿宋" w:eastAsia="仿宋" w:cs="仿宋"/>
          <w:color w:val="auto"/>
          <w:kern w:val="0"/>
          <w:sz w:val="32"/>
          <w:szCs w:val="32"/>
          <w:highlight w:val="none"/>
          <w:shd w:val="clear" w:color="auto" w:fill="FFFFFF"/>
          <w:lang w:val="en-US" w:eastAsia="zh-CN"/>
        </w:rPr>
        <w:t>结合部门整体支出绩效评价指标体系内容和评分标准，经综合评价，该项指标得分为0.9分。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3.资产管理</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（1）管理制度健全性</w:t>
      </w:r>
      <w:r>
        <w:rPr>
          <w:rFonts w:hint="eastAsia" w:ascii="仿宋" w:hAnsi="仿宋" w:eastAsia="仿宋" w:cs="仿宋"/>
          <w:color w:val="auto"/>
          <w:kern w:val="0"/>
          <w:sz w:val="32"/>
          <w:szCs w:val="32"/>
          <w:highlight w:val="none"/>
          <w:shd w:val="clear" w:color="auto" w:fill="FFFFFF"/>
          <w:lang w:val="en-US" w:eastAsia="zh-CN"/>
        </w:rPr>
        <w:t>--1.5分。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部门所提供相关资料内容，部门在财务管理制度中对固定资产的管理做了明确规定，建立了固定资产台账，由专人管理，对资产进行分项登记、编号，建立财产管理卡片。定期清查盘点，对资产的使用、购置和报废处置做出明确要求。资产管理制度合法合规、完整。相关资产管理制度得到有效执行。</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结合部门整体支出绩效评价指标体系内容和评分标准，经综合评价，该项指标 得分为1.5分</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（2）</w:t>
      </w:r>
      <w:r>
        <w:rPr>
          <w:rFonts w:hint="eastAsia" w:ascii="仿宋" w:hAnsi="仿宋" w:eastAsia="仿宋" w:cs="仿宋"/>
          <w:color w:val="auto"/>
          <w:kern w:val="0"/>
          <w:sz w:val="32"/>
          <w:szCs w:val="32"/>
          <w:highlight w:val="none"/>
          <w:shd w:val="clear" w:color="auto" w:fill="FFFFFF"/>
          <w:lang w:val="en-US" w:eastAsia="zh-Hans"/>
        </w:rPr>
        <w:t>资产管理</w:t>
      </w:r>
      <w:r>
        <w:rPr>
          <w:rFonts w:hint="eastAsia" w:ascii="仿宋" w:hAnsi="仿宋" w:eastAsia="仿宋" w:cs="仿宋"/>
          <w:color w:val="auto"/>
          <w:kern w:val="0"/>
          <w:sz w:val="32"/>
          <w:szCs w:val="32"/>
          <w:highlight w:val="none"/>
          <w:shd w:val="clear" w:color="auto" w:fill="FFFFFF"/>
          <w:lang w:val="en-US" w:eastAsia="zh-CN"/>
        </w:rPr>
        <w:t>安全</w:t>
      </w:r>
      <w:r>
        <w:rPr>
          <w:rFonts w:hint="eastAsia" w:ascii="仿宋" w:hAnsi="仿宋" w:eastAsia="仿宋" w:cs="仿宋"/>
          <w:color w:val="auto"/>
          <w:kern w:val="0"/>
          <w:sz w:val="32"/>
          <w:szCs w:val="32"/>
          <w:highlight w:val="none"/>
          <w:shd w:val="clear" w:color="auto" w:fill="FFFFFF"/>
          <w:lang w:val="en-US" w:eastAsia="zh-Hans"/>
        </w:rPr>
        <w:t>性</w:t>
      </w:r>
      <w:r>
        <w:rPr>
          <w:rFonts w:hint="eastAsia" w:ascii="仿宋" w:hAnsi="仿宋" w:eastAsia="仿宋" w:cs="仿宋"/>
          <w:color w:val="auto"/>
          <w:kern w:val="0"/>
          <w:sz w:val="32"/>
          <w:szCs w:val="32"/>
          <w:highlight w:val="none"/>
          <w:shd w:val="clear" w:color="auto" w:fill="FFFFFF"/>
          <w:lang w:val="en-US" w:eastAsia="zh-CN"/>
        </w:rPr>
        <w:t>--1.5分。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根据部门固定资产明细账内容，部门资产保存完整、相关资产多为办公用品、台式电脑、办公设备等相关设备，资产配置合理 ，固定资产入账后定期折旧，资产管理合规，新增资产设备及时入账。资产有偿使用、处置按规定程序审批。资产收益及时、足额上缴财政。</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结合部门整体支出绩效评价指标体系内容和评分标准，经综合评价，该项指标得分为1.5分。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（3）</w:t>
      </w:r>
      <w:r>
        <w:rPr>
          <w:rFonts w:hint="eastAsia" w:ascii="仿宋" w:hAnsi="仿宋" w:eastAsia="仿宋" w:cs="仿宋"/>
          <w:color w:val="auto"/>
          <w:kern w:val="0"/>
          <w:sz w:val="32"/>
          <w:szCs w:val="32"/>
          <w:highlight w:val="none"/>
          <w:shd w:val="clear" w:color="auto" w:fill="FFFFFF"/>
          <w:lang w:val="en-US" w:eastAsia="zh-Hans"/>
        </w:rPr>
        <w:t>固定资产利用率</w:t>
      </w:r>
      <w:r>
        <w:rPr>
          <w:rFonts w:hint="eastAsia" w:ascii="仿宋" w:hAnsi="仿宋" w:eastAsia="仿宋" w:cs="仿宋"/>
          <w:color w:val="auto"/>
          <w:kern w:val="0"/>
          <w:sz w:val="32"/>
          <w:szCs w:val="32"/>
          <w:highlight w:val="none"/>
          <w:shd w:val="clear" w:color="auto" w:fill="FFFFFF"/>
          <w:lang w:val="en-US" w:eastAsia="zh-CN"/>
        </w:rPr>
        <w:t>--2分。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根据部门提供的固定资产明细表，单位所拥有的通用设备、家具用具、办公设备、台式电脑等等相关资产目前使用状况皆为在用。固定资产利用率为100%。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结合部门整体支出绩效评价指标体系内容和评分标准，经综合评价，该项指标得分为2分。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CN"/>
        </w:rPr>
      </w:pPr>
      <w:bookmarkStart w:id="18" w:name="_Toc21840"/>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CN"/>
        </w:rPr>
      </w:pPr>
      <w:r>
        <w:rPr>
          <w:rFonts w:hint="eastAsia" w:ascii="楷体" w:hAnsi="楷体" w:eastAsia="楷体" w:cs="楷体"/>
          <w:b/>
          <w:bCs/>
          <w:color w:val="auto"/>
          <w:kern w:val="0"/>
          <w:sz w:val="32"/>
          <w:szCs w:val="32"/>
          <w:highlight w:val="none"/>
          <w:shd w:val="clear" w:color="auto" w:fill="FFFFFF"/>
          <w:lang w:val="en-US" w:eastAsia="zh-CN"/>
        </w:rPr>
        <w:t>（三）产出方面</w:t>
      </w:r>
      <w:bookmarkEnd w:id="18"/>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该指标主要考核新区住房建设和交通运输局2021年度职责履行的内容，包括部门年度工作完成率、完成及时率、质量达标率和重点工作办结率等4个三级指标，指标权重35分，评价得分35分，得分率为100%。</w:t>
      </w:r>
    </w:p>
    <w:tbl>
      <w:tblPr>
        <w:tblStyle w:val="16"/>
        <w:tblW w:w="4975" w:type="pct"/>
        <w:tblInd w:w="0" w:type="dxa"/>
        <w:shd w:val="clear" w:color="auto" w:fill="auto"/>
        <w:tblLayout w:type="autofit"/>
        <w:tblCellMar>
          <w:top w:w="0" w:type="dxa"/>
          <w:left w:w="0" w:type="dxa"/>
          <w:bottom w:w="0" w:type="dxa"/>
          <w:right w:w="0" w:type="dxa"/>
        </w:tblCellMar>
      </w:tblPr>
      <w:tblGrid>
        <w:gridCol w:w="1383"/>
        <w:gridCol w:w="1384"/>
        <w:gridCol w:w="2611"/>
        <w:gridCol w:w="2023"/>
        <w:gridCol w:w="1385"/>
      </w:tblGrid>
      <w:tr>
        <w:tblPrEx>
          <w:shd w:val="clear" w:color="auto" w:fill="auto"/>
          <w:tblCellMar>
            <w:top w:w="0" w:type="dxa"/>
            <w:left w:w="0" w:type="dxa"/>
            <w:bottom w:w="0" w:type="dxa"/>
            <w:right w:w="0" w:type="dxa"/>
          </w:tblCellMar>
        </w:tblPrEx>
        <w:trPr>
          <w:trHeight w:val="520" w:hRule="atLeast"/>
        </w:trPr>
        <w:tc>
          <w:tcPr>
            <w:tcW w:w="78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0"/>
                <w:sz w:val="24"/>
                <w:szCs w:val="24"/>
                <w:u w:val="none"/>
                <w:lang w:val="en-US" w:eastAsia="zh-CN" w:bidi="ar"/>
              </w:rPr>
            </w:pPr>
            <w:r>
              <w:rPr>
                <w:rFonts w:hint="eastAsia" w:ascii="仿宋" w:hAnsi="仿宋" w:eastAsia="仿宋" w:cs="仿宋"/>
                <w:b/>
                <w:i w:val="0"/>
                <w:color w:val="000000"/>
                <w:kern w:val="0"/>
                <w:sz w:val="24"/>
                <w:szCs w:val="24"/>
                <w:u w:val="none"/>
                <w:lang w:val="en-US" w:eastAsia="zh-CN" w:bidi="ar"/>
              </w:rPr>
              <w:t>一级</w:t>
            </w:r>
          </w:p>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指标</w:t>
            </w:r>
          </w:p>
        </w:tc>
        <w:tc>
          <w:tcPr>
            <w:tcW w:w="78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0"/>
                <w:sz w:val="24"/>
                <w:szCs w:val="24"/>
                <w:u w:val="none"/>
                <w:lang w:val="en-US" w:eastAsia="zh-CN" w:bidi="ar"/>
              </w:rPr>
            </w:pPr>
            <w:r>
              <w:rPr>
                <w:rFonts w:hint="eastAsia" w:ascii="仿宋" w:hAnsi="仿宋" w:eastAsia="仿宋" w:cs="仿宋"/>
                <w:b/>
                <w:i w:val="0"/>
                <w:color w:val="000000"/>
                <w:kern w:val="0"/>
                <w:sz w:val="24"/>
                <w:szCs w:val="24"/>
                <w:u w:val="none"/>
                <w:lang w:val="en-US" w:eastAsia="zh-CN" w:bidi="ar"/>
              </w:rPr>
              <w:t>二级</w:t>
            </w:r>
          </w:p>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指标</w:t>
            </w: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三级指标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指标分值</w:t>
            </w:r>
          </w:p>
        </w:tc>
        <w:tc>
          <w:tcPr>
            <w:tcW w:w="78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评价得分</w:t>
            </w:r>
          </w:p>
        </w:tc>
      </w:tr>
      <w:tr>
        <w:tblPrEx>
          <w:tblCellMar>
            <w:top w:w="0" w:type="dxa"/>
            <w:left w:w="0" w:type="dxa"/>
            <w:bottom w:w="0" w:type="dxa"/>
            <w:right w:w="0" w:type="dxa"/>
          </w:tblCellMar>
        </w:tblPrEx>
        <w:trPr>
          <w:trHeight w:val="300" w:hRule="atLeast"/>
        </w:trPr>
        <w:tc>
          <w:tcPr>
            <w:tcW w:w="787"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产出</w:t>
            </w:r>
          </w:p>
        </w:tc>
        <w:tc>
          <w:tcPr>
            <w:tcW w:w="787"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职责</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履行</w:t>
            </w: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实际完成率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完成及时率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质量达标率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重点工作办结率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w:t>
            </w:r>
          </w:p>
        </w:tc>
      </w:tr>
      <w:tr>
        <w:tblPrEx>
          <w:shd w:val="clear" w:color="auto" w:fill="auto"/>
          <w:tblCellMar>
            <w:top w:w="0" w:type="dxa"/>
            <w:left w:w="0" w:type="dxa"/>
            <w:bottom w:w="0" w:type="dxa"/>
            <w:right w:w="0" w:type="dxa"/>
          </w:tblCellMar>
        </w:tblPrEx>
        <w:trPr>
          <w:trHeight w:val="300" w:hRule="atLeast"/>
        </w:trPr>
        <w:tc>
          <w:tcPr>
            <w:tcW w:w="1574"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合计</w:t>
            </w: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35</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35</w:t>
            </w: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1.实际完成</w:t>
      </w:r>
      <w:r>
        <w:rPr>
          <w:rFonts w:hint="eastAsia" w:ascii="仿宋" w:hAnsi="仿宋" w:eastAsia="仿宋" w:cs="仿宋"/>
          <w:color w:val="auto"/>
          <w:kern w:val="0"/>
          <w:sz w:val="32"/>
          <w:szCs w:val="32"/>
          <w:highlight w:val="none"/>
          <w:shd w:val="clear" w:color="auto" w:fill="FFFFFF"/>
          <w:lang w:val="en-US" w:eastAsia="zh-Hans"/>
        </w:rPr>
        <w:t>率</w:t>
      </w:r>
      <w:r>
        <w:rPr>
          <w:rFonts w:hint="eastAsia" w:ascii="仿宋" w:hAnsi="仿宋" w:eastAsia="仿宋" w:cs="仿宋"/>
          <w:color w:val="auto"/>
          <w:kern w:val="0"/>
          <w:sz w:val="32"/>
          <w:szCs w:val="32"/>
          <w:highlight w:val="none"/>
          <w:shd w:val="clear" w:color="auto" w:fill="FFFFFF"/>
          <w:lang w:val="en-US" w:eastAsia="zh-CN"/>
        </w:rPr>
        <w:t>--10分。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新区住房建设和交通运输局2021年部门综合预算公开内容。2021年初办事处计划工作包括加快市政道路建设进度，协调推进手续办理；抓好农村公路建设，做好交通项目服务保障；加快实施建筑工地复工，强化安全生产意识；进一步理顺物业管理体制，提升物业服务水平；完成房屋安全排查整治工作，确保群众住房安全；加快推进生活垃圾分类，建设建筑垃圾填埋场；其他项目建设计划。合计7项主要工作任务。根据新区住建交通局2021年度工作总结内容，七项主要工作全部实现完成，实际完成率为100%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结合部门整体支出绩效评价指标体系内容和评分标准，经综合评价，该项指标得分为10分。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bookmarkStart w:id="19" w:name="_Toc1802972864_WPSOffice_Level2"/>
      <w:bookmarkStart w:id="20" w:name="_Toc1854215658_WPSOffice_Level2"/>
      <w:r>
        <w:rPr>
          <w:rFonts w:hint="eastAsia" w:ascii="仿宋" w:hAnsi="仿宋" w:eastAsia="仿宋" w:cs="仿宋"/>
          <w:color w:val="auto"/>
          <w:kern w:val="0"/>
          <w:sz w:val="32"/>
          <w:szCs w:val="32"/>
          <w:highlight w:val="none"/>
          <w:shd w:val="clear" w:color="auto" w:fill="FFFFFF"/>
          <w:lang w:val="en-US" w:eastAsia="zh-CN"/>
        </w:rPr>
        <w:t>2.</w:t>
      </w:r>
      <w:r>
        <w:rPr>
          <w:rFonts w:hint="eastAsia" w:ascii="仿宋" w:hAnsi="仿宋" w:eastAsia="仿宋" w:cs="仿宋"/>
          <w:color w:val="auto"/>
          <w:kern w:val="0"/>
          <w:sz w:val="32"/>
          <w:szCs w:val="32"/>
          <w:highlight w:val="none"/>
          <w:shd w:val="clear" w:color="auto" w:fill="FFFFFF"/>
          <w:lang w:val="en-US" w:eastAsia="zh-Hans"/>
        </w:rPr>
        <w:t>完成及时率</w:t>
      </w:r>
      <w:bookmarkEnd w:id="19"/>
      <w:bookmarkEnd w:id="20"/>
      <w:r>
        <w:rPr>
          <w:rFonts w:hint="eastAsia" w:ascii="仿宋" w:hAnsi="仿宋" w:eastAsia="仿宋" w:cs="仿宋"/>
          <w:color w:val="auto"/>
          <w:kern w:val="0"/>
          <w:sz w:val="32"/>
          <w:szCs w:val="32"/>
          <w:highlight w:val="none"/>
          <w:shd w:val="clear" w:color="auto" w:fill="FFFFFF"/>
          <w:lang w:val="en-US" w:eastAsia="zh-CN"/>
        </w:rPr>
        <w:t>--8分。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新区住房建设和交通运输局2021年部门综合预算公开内容。2021年初办事处计划工作包括加快市政道路建设进度，协调推进手续办理；抓好农村公路建设，做好交通项目服务保障；加快实施建筑工地复工，强化安全生产意识；进一步理顺物业管理体制，提升物业服务水平；完成房屋安全排查整治工作，确保群众住房安全；加快推进生活垃圾分类，建设建筑垃圾填埋场；其他项目建设计划。合计7项主要工作任务。根据新区住建交通局2021年度工作总结内容，七项主要工作在2021年度内全部实现完成，实际及时率为100%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结合部门整体支出绩效评价指标体系内容和评分标准，经综合评价，该项指标得分为8分。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bookmarkStart w:id="21" w:name="_Toc1667362389_WPSOffice_Level2"/>
      <w:bookmarkStart w:id="22" w:name="_Toc1570666078_WPSOffice_Level2"/>
      <w:r>
        <w:rPr>
          <w:rFonts w:hint="eastAsia" w:ascii="仿宋" w:hAnsi="仿宋" w:eastAsia="仿宋" w:cs="仿宋"/>
          <w:color w:val="auto"/>
          <w:kern w:val="0"/>
          <w:sz w:val="32"/>
          <w:szCs w:val="32"/>
          <w:highlight w:val="none"/>
          <w:shd w:val="clear" w:color="auto" w:fill="FFFFFF"/>
          <w:lang w:val="en-US" w:eastAsia="zh-CN"/>
        </w:rPr>
        <w:t>3.</w:t>
      </w:r>
      <w:r>
        <w:rPr>
          <w:rFonts w:hint="eastAsia" w:ascii="仿宋" w:hAnsi="仿宋" w:eastAsia="仿宋" w:cs="仿宋"/>
          <w:color w:val="auto"/>
          <w:kern w:val="0"/>
          <w:sz w:val="32"/>
          <w:szCs w:val="32"/>
          <w:highlight w:val="none"/>
          <w:shd w:val="clear" w:color="auto" w:fill="FFFFFF"/>
          <w:lang w:val="en-US" w:eastAsia="zh-Hans"/>
        </w:rPr>
        <w:t>质量达标率</w:t>
      </w:r>
      <w:bookmarkEnd w:id="21"/>
      <w:bookmarkEnd w:id="22"/>
      <w:r>
        <w:rPr>
          <w:rFonts w:hint="eastAsia" w:ascii="仿宋" w:hAnsi="仿宋" w:eastAsia="仿宋" w:cs="仿宋"/>
          <w:color w:val="auto"/>
          <w:kern w:val="0"/>
          <w:sz w:val="32"/>
          <w:szCs w:val="32"/>
          <w:highlight w:val="none"/>
          <w:shd w:val="clear" w:color="auto" w:fill="FFFFFF"/>
          <w:lang w:val="en-US" w:eastAsia="zh-CN"/>
        </w:rPr>
        <w:t>--8分。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部门2021年度工作总结内容，2021年工作完成情况包括，市政工程建设稳步推进，积极办理拟建工程前期手续；重视农村公路建设及隐患治理，做好交通项目服务保障；规范建筑市场管理，优化新区营商环境；注重安全质量检查，强化行业监管职责；理顺物业管理体制，完成市域社会治理相关任务；完成房屋安全排查整治，确保群众住房安全；推进生活垃圾分类工作，加快建设垃圾综合利用项目；完成在建老旧小区改造，积极申报计划改造项目。根据2021年部门制定的工作任务各项内容，各项工作达标完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结合部门整体支出绩效评价指标体系内容和评分标准，经综合评价，该项指标得分为8分。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bookmarkStart w:id="23" w:name="_Toc1742944595_WPSOffice_Level2"/>
      <w:bookmarkStart w:id="24" w:name="_Toc1464939341_WPSOffice_Level2"/>
      <w:r>
        <w:rPr>
          <w:rFonts w:hint="eastAsia" w:ascii="仿宋" w:hAnsi="仿宋" w:eastAsia="仿宋" w:cs="仿宋"/>
          <w:color w:val="auto"/>
          <w:kern w:val="0"/>
          <w:sz w:val="32"/>
          <w:szCs w:val="32"/>
          <w:highlight w:val="none"/>
          <w:shd w:val="clear" w:color="auto" w:fill="FFFFFF"/>
          <w:lang w:val="en-US" w:eastAsia="zh-CN"/>
        </w:rPr>
        <w:t>4.重点工作办结</w:t>
      </w:r>
      <w:r>
        <w:rPr>
          <w:rFonts w:hint="eastAsia" w:ascii="仿宋" w:hAnsi="仿宋" w:eastAsia="仿宋" w:cs="仿宋"/>
          <w:color w:val="auto"/>
          <w:kern w:val="0"/>
          <w:sz w:val="32"/>
          <w:szCs w:val="32"/>
          <w:highlight w:val="none"/>
          <w:shd w:val="clear" w:color="auto" w:fill="FFFFFF"/>
          <w:lang w:val="en-US" w:eastAsia="zh-Hans"/>
        </w:rPr>
        <w:t>率</w:t>
      </w:r>
      <w:bookmarkEnd w:id="23"/>
      <w:bookmarkEnd w:id="24"/>
      <w:r>
        <w:rPr>
          <w:rFonts w:hint="eastAsia" w:ascii="仿宋" w:hAnsi="仿宋" w:eastAsia="仿宋" w:cs="仿宋"/>
          <w:color w:val="auto"/>
          <w:kern w:val="0"/>
          <w:sz w:val="32"/>
          <w:szCs w:val="32"/>
          <w:highlight w:val="none"/>
          <w:shd w:val="clear" w:color="auto" w:fill="FFFFFF"/>
          <w:lang w:val="en-US" w:eastAsia="zh-CN"/>
        </w:rPr>
        <w:t>--9分。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根据新区</w:t>
      </w:r>
      <w:r>
        <w:rPr>
          <w:rFonts w:hint="eastAsia" w:ascii="仿宋" w:hAnsi="仿宋" w:eastAsia="仿宋" w:cs="仿宋"/>
          <w:color w:val="auto"/>
          <w:kern w:val="0"/>
          <w:sz w:val="32"/>
          <w:szCs w:val="32"/>
          <w:highlight w:val="none"/>
          <w:shd w:val="clear" w:color="auto" w:fill="FFFFFF"/>
          <w:lang w:val="en-US" w:eastAsia="zh-CN"/>
        </w:rPr>
        <w:t>住房建设和交通运输局</w:t>
      </w:r>
      <w:r>
        <w:rPr>
          <w:rFonts w:hint="eastAsia" w:ascii="仿宋" w:hAnsi="仿宋" w:eastAsia="仿宋" w:cs="仿宋"/>
          <w:color w:val="auto"/>
          <w:kern w:val="0"/>
          <w:sz w:val="32"/>
          <w:szCs w:val="32"/>
          <w:highlight w:val="none"/>
          <w:shd w:val="clear" w:color="auto" w:fill="FFFFFF"/>
          <w:lang w:val="en-US" w:eastAsia="zh-Hans"/>
        </w:rPr>
        <w:t>2021年部门综合预算公开内容、2021年度工作总结、2021年度街道办目标任务考核对标报告内容，2021年度部门重点工作包括铜川市耀县变-华夏南道电力管沟工程、朝阳路-长宁路北口道路提升改造交通安全设施迁改工程、新区长青北路道路一期、光明北路道路工程、长虹南路休闲绿色长廊景观工程1标段、华原西道电力通讯管道工程、华原西道延伸线道路工程、华原西道施工及排水工程等8项重点工作，根据各工程竣工验收单，各项重点工作都在2021年度内办结。重点工作办结率为100%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结合部门整体支出绩效评价指标体系内容和评分标准，经综合评价，该项指标得分为9分。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CN"/>
        </w:rPr>
      </w:pPr>
      <w:bookmarkStart w:id="25" w:name="_Toc23833"/>
      <w:r>
        <w:rPr>
          <w:rFonts w:hint="eastAsia" w:ascii="楷体" w:hAnsi="楷体" w:eastAsia="楷体" w:cs="楷体"/>
          <w:b/>
          <w:bCs/>
          <w:color w:val="auto"/>
          <w:kern w:val="0"/>
          <w:sz w:val="32"/>
          <w:szCs w:val="32"/>
          <w:highlight w:val="none"/>
          <w:shd w:val="clear" w:color="auto" w:fill="FFFFFF"/>
          <w:lang w:val="en-US" w:eastAsia="zh-CN"/>
        </w:rPr>
        <w:t>（四）效果方面</w:t>
      </w:r>
      <w:bookmarkEnd w:id="25"/>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该指标主要考核新区住房建设和交通运输局履职效益的内容，包括经济效益、社会</w:t>
      </w:r>
      <w:r>
        <w:rPr>
          <w:rFonts w:hint="eastAsia" w:ascii="仿宋" w:hAnsi="仿宋" w:eastAsia="仿宋" w:cs="仿宋"/>
          <w:color w:val="auto"/>
          <w:kern w:val="0"/>
          <w:sz w:val="32"/>
          <w:szCs w:val="32"/>
          <w:highlight w:val="none"/>
          <w:shd w:val="clear" w:color="auto" w:fill="FFFFFF"/>
          <w:lang w:val="en-US" w:eastAsia="zh-Hans"/>
        </w:rPr>
        <w:t>效益、</w:t>
      </w:r>
      <w:r>
        <w:rPr>
          <w:rFonts w:hint="eastAsia" w:ascii="仿宋" w:hAnsi="仿宋" w:eastAsia="仿宋" w:cs="仿宋"/>
          <w:color w:val="auto"/>
          <w:kern w:val="0"/>
          <w:sz w:val="32"/>
          <w:szCs w:val="32"/>
          <w:highlight w:val="none"/>
          <w:shd w:val="clear" w:color="auto" w:fill="FFFFFF"/>
          <w:lang w:val="en-US" w:eastAsia="zh-CN"/>
        </w:rPr>
        <w:t>、生态效益、可持续性影响</w:t>
      </w:r>
      <w:r>
        <w:rPr>
          <w:rFonts w:hint="eastAsia" w:ascii="仿宋" w:hAnsi="仿宋" w:eastAsia="仿宋" w:cs="仿宋"/>
          <w:color w:val="auto"/>
          <w:kern w:val="0"/>
          <w:sz w:val="32"/>
          <w:szCs w:val="32"/>
          <w:highlight w:val="none"/>
          <w:shd w:val="clear" w:color="auto" w:fill="FFFFFF"/>
          <w:lang w:val="en-US" w:eastAsia="zh-Hans"/>
        </w:rPr>
        <w:t>和社会公众满意度</w:t>
      </w:r>
      <w:r>
        <w:rPr>
          <w:rFonts w:hint="eastAsia" w:ascii="仿宋" w:hAnsi="仿宋" w:eastAsia="仿宋" w:cs="仿宋"/>
          <w:color w:val="auto"/>
          <w:kern w:val="0"/>
          <w:sz w:val="32"/>
          <w:szCs w:val="32"/>
          <w:highlight w:val="none"/>
          <w:shd w:val="clear" w:color="auto" w:fill="FFFFFF"/>
          <w:lang w:val="en-US" w:eastAsia="zh-CN"/>
        </w:rPr>
        <w:t>5个二级指标，进一步细化5个三级指标，指标权重25分，评价得分25分，得分率为100.00%。</w:t>
      </w:r>
    </w:p>
    <w:p>
      <w:pPr>
        <w:pStyle w:val="2"/>
        <w:rPr>
          <w:rFonts w:hint="eastAsia"/>
          <w:lang w:val="en-US" w:eastAsia="zh-CN"/>
        </w:rPr>
      </w:pPr>
    </w:p>
    <w:tbl>
      <w:tblPr>
        <w:tblStyle w:val="16"/>
        <w:tblW w:w="4931" w:type="pct"/>
        <w:tblInd w:w="0" w:type="dxa"/>
        <w:shd w:val="clear" w:color="auto" w:fill="auto"/>
        <w:tblLayout w:type="autofit"/>
        <w:tblCellMar>
          <w:top w:w="0" w:type="dxa"/>
          <w:left w:w="0" w:type="dxa"/>
          <w:bottom w:w="0" w:type="dxa"/>
          <w:right w:w="0" w:type="dxa"/>
        </w:tblCellMar>
      </w:tblPr>
      <w:tblGrid>
        <w:gridCol w:w="1731"/>
        <w:gridCol w:w="1731"/>
        <w:gridCol w:w="1782"/>
        <w:gridCol w:w="1732"/>
        <w:gridCol w:w="1732"/>
      </w:tblGrid>
      <w:tr>
        <w:tblPrEx>
          <w:tblCellMar>
            <w:top w:w="0" w:type="dxa"/>
            <w:left w:w="0" w:type="dxa"/>
            <w:bottom w:w="0" w:type="dxa"/>
            <w:right w:w="0" w:type="dxa"/>
          </w:tblCellMar>
        </w:tblPrEx>
        <w:trPr>
          <w:trHeight w:val="520" w:hRule="atLeast"/>
        </w:trPr>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i w:val="0"/>
                <w:color w:val="000000"/>
                <w:kern w:val="0"/>
                <w:sz w:val="24"/>
                <w:szCs w:val="24"/>
                <w:u w:val="none"/>
                <w:lang w:val="en-US" w:eastAsia="zh-CN" w:bidi="ar"/>
              </w:rPr>
            </w:pPr>
            <w:r>
              <w:rPr>
                <w:rFonts w:hint="eastAsia" w:ascii="仿宋" w:hAnsi="仿宋" w:eastAsia="仿宋" w:cs="仿宋"/>
                <w:b/>
                <w:i w:val="0"/>
                <w:color w:val="000000"/>
                <w:kern w:val="0"/>
                <w:sz w:val="24"/>
                <w:szCs w:val="24"/>
                <w:u w:val="none"/>
                <w:lang w:val="en-US" w:eastAsia="zh-CN" w:bidi="ar"/>
              </w:rPr>
              <w:t>一级</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指标</w:t>
            </w: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i w:val="0"/>
                <w:color w:val="000000"/>
                <w:kern w:val="0"/>
                <w:sz w:val="24"/>
                <w:szCs w:val="24"/>
                <w:u w:val="none"/>
                <w:lang w:val="en-US" w:eastAsia="zh-CN" w:bidi="ar"/>
              </w:rPr>
            </w:pPr>
            <w:r>
              <w:rPr>
                <w:rFonts w:hint="eastAsia" w:ascii="仿宋" w:hAnsi="仿宋" w:eastAsia="仿宋" w:cs="仿宋"/>
                <w:b/>
                <w:i w:val="0"/>
                <w:color w:val="000000"/>
                <w:kern w:val="0"/>
                <w:sz w:val="24"/>
                <w:szCs w:val="24"/>
                <w:u w:val="none"/>
                <w:lang w:val="en-US" w:eastAsia="zh-CN" w:bidi="ar"/>
              </w:rPr>
              <w:t>二级</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指标</w:t>
            </w:r>
          </w:p>
        </w:tc>
        <w:tc>
          <w:tcPr>
            <w:tcW w:w="102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三级指标</w:t>
            </w: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指标分值</w:t>
            </w: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评价得分</w:t>
            </w:r>
          </w:p>
        </w:tc>
      </w:tr>
      <w:tr>
        <w:tblPrEx>
          <w:tblCellMar>
            <w:top w:w="0" w:type="dxa"/>
            <w:left w:w="0" w:type="dxa"/>
            <w:bottom w:w="0" w:type="dxa"/>
            <w:right w:w="0" w:type="dxa"/>
          </w:tblCellMar>
        </w:tblPrEx>
        <w:trPr>
          <w:trHeight w:val="520" w:hRule="atLeast"/>
        </w:trPr>
        <w:tc>
          <w:tcPr>
            <w:tcW w:w="994"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效果</w:t>
            </w:r>
          </w:p>
        </w:tc>
        <w:tc>
          <w:tcPr>
            <w:tcW w:w="994" w:type="pc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经济效益</w:t>
            </w:r>
          </w:p>
        </w:tc>
        <w:tc>
          <w:tcPr>
            <w:tcW w:w="1023" w:type="pct"/>
            <w:tcBorders>
              <w:top w:val="single" w:color="000000" w:sz="4" w:space="0"/>
              <w:left w:val="single" w:color="000000" w:sz="4" w:space="0"/>
              <w:bottom w:val="nil"/>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农村居民人均可支配收入增速</w:t>
            </w: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9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cs="宋体"/>
                <w:i w:val="0"/>
                <w:color w:val="000000"/>
                <w:kern w:val="0"/>
                <w:sz w:val="24"/>
                <w:szCs w:val="24"/>
                <w:u w:val="none"/>
                <w:lang w:val="en-US" w:eastAsia="zh-CN" w:bidi="ar"/>
              </w:rPr>
              <w:t>5</w:t>
            </w:r>
          </w:p>
        </w:tc>
      </w:tr>
      <w:tr>
        <w:tblPrEx>
          <w:shd w:val="clear" w:color="auto" w:fill="auto"/>
          <w:tblCellMar>
            <w:top w:w="0" w:type="dxa"/>
            <w:left w:w="0" w:type="dxa"/>
            <w:bottom w:w="0" w:type="dxa"/>
            <w:right w:w="0" w:type="dxa"/>
          </w:tblCellMar>
        </w:tblPrEx>
        <w:trPr>
          <w:trHeight w:val="370" w:hRule="atLeast"/>
        </w:trPr>
        <w:tc>
          <w:tcPr>
            <w:tcW w:w="994"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color w:val="000000"/>
                <w:sz w:val="24"/>
                <w:szCs w:val="24"/>
                <w:u w:val="none"/>
              </w:rPr>
            </w:pP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社会效益</w:t>
            </w:r>
          </w:p>
        </w:tc>
        <w:tc>
          <w:tcPr>
            <w:tcW w:w="102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新增固定资产投资</w:t>
            </w: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9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r>
      <w:tr>
        <w:tblPrEx>
          <w:shd w:val="clear" w:color="auto" w:fill="auto"/>
          <w:tblCellMar>
            <w:top w:w="0" w:type="dxa"/>
            <w:left w:w="0" w:type="dxa"/>
            <w:bottom w:w="0" w:type="dxa"/>
            <w:right w:w="0" w:type="dxa"/>
          </w:tblCellMar>
        </w:tblPrEx>
        <w:trPr>
          <w:trHeight w:val="520" w:hRule="atLeast"/>
        </w:trPr>
        <w:tc>
          <w:tcPr>
            <w:tcW w:w="994"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color w:val="000000"/>
                <w:sz w:val="24"/>
                <w:szCs w:val="24"/>
                <w:u w:val="none"/>
              </w:rPr>
            </w:pP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生态效益</w:t>
            </w:r>
          </w:p>
        </w:tc>
        <w:tc>
          <w:tcPr>
            <w:tcW w:w="102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空气质量综合指数变动情况</w:t>
            </w: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5</w:t>
            </w:r>
          </w:p>
        </w:tc>
        <w:tc>
          <w:tcPr>
            <w:tcW w:w="9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kern w:val="0"/>
                <w:sz w:val="24"/>
                <w:szCs w:val="24"/>
                <w:u w:val="none"/>
                <w:lang w:val="en-US" w:eastAsia="zh-CN" w:bidi="ar"/>
              </w:rPr>
            </w:pPr>
            <w:r>
              <w:rPr>
                <w:rFonts w:hint="eastAsia" w:cs="宋体"/>
                <w:i w:val="0"/>
                <w:color w:val="000000"/>
                <w:kern w:val="0"/>
                <w:sz w:val="24"/>
                <w:szCs w:val="24"/>
                <w:u w:val="none"/>
                <w:lang w:val="en-US" w:eastAsia="zh-CN" w:bidi="ar"/>
              </w:rPr>
              <w:t>5</w:t>
            </w:r>
          </w:p>
        </w:tc>
      </w:tr>
      <w:tr>
        <w:tblPrEx>
          <w:shd w:val="clear" w:color="auto" w:fill="auto"/>
          <w:tblCellMar>
            <w:top w:w="0" w:type="dxa"/>
            <w:left w:w="0" w:type="dxa"/>
            <w:bottom w:w="0" w:type="dxa"/>
            <w:right w:w="0" w:type="dxa"/>
          </w:tblCellMar>
        </w:tblPrEx>
        <w:trPr>
          <w:trHeight w:val="520" w:hRule="atLeast"/>
        </w:trPr>
        <w:tc>
          <w:tcPr>
            <w:tcW w:w="994"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color w:val="000000"/>
                <w:sz w:val="24"/>
                <w:szCs w:val="24"/>
                <w:u w:val="none"/>
              </w:rPr>
            </w:pP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可持续影响</w:t>
            </w:r>
          </w:p>
        </w:tc>
        <w:tc>
          <w:tcPr>
            <w:tcW w:w="102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安全保障</w:t>
            </w: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9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r>
      <w:tr>
        <w:tblPrEx>
          <w:tblCellMar>
            <w:top w:w="0" w:type="dxa"/>
            <w:left w:w="0" w:type="dxa"/>
            <w:bottom w:w="0" w:type="dxa"/>
            <w:right w:w="0" w:type="dxa"/>
          </w:tblCellMar>
        </w:tblPrEx>
        <w:trPr>
          <w:trHeight w:val="630" w:hRule="atLeast"/>
        </w:trPr>
        <w:tc>
          <w:tcPr>
            <w:tcW w:w="994"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color w:val="000000"/>
                <w:sz w:val="24"/>
                <w:szCs w:val="24"/>
                <w:u w:val="none"/>
              </w:rPr>
            </w:pP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满意度</w:t>
            </w:r>
          </w:p>
        </w:tc>
        <w:tc>
          <w:tcPr>
            <w:tcW w:w="102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社会公众或服务对象满意度</w:t>
            </w: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9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r>
      <w:tr>
        <w:tblPrEx>
          <w:shd w:val="clear" w:color="auto" w:fill="auto"/>
          <w:tblCellMar>
            <w:top w:w="0" w:type="dxa"/>
            <w:left w:w="0" w:type="dxa"/>
            <w:bottom w:w="0" w:type="dxa"/>
            <w:right w:w="0" w:type="dxa"/>
          </w:tblCellMar>
        </w:tblPrEx>
        <w:trPr>
          <w:trHeight w:val="410" w:hRule="atLeast"/>
        </w:trPr>
        <w:tc>
          <w:tcPr>
            <w:tcW w:w="1988"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合计</w:t>
            </w:r>
          </w:p>
        </w:tc>
        <w:tc>
          <w:tcPr>
            <w:tcW w:w="102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25</w:t>
            </w:r>
          </w:p>
        </w:tc>
        <w:tc>
          <w:tcPr>
            <w:tcW w:w="9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25</w:t>
            </w: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1.经济</w:t>
      </w:r>
      <w:r>
        <w:rPr>
          <w:rFonts w:hint="eastAsia" w:ascii="仿宋" w:hAnsi="仿宋" w:eastAsia="仿宋" w:cs="仿宋"/>
          <w:b/>
          <w:bCs/>
          <w:color w:val="auto"/>
          <w:kern w:val="0"/>
          <w:sz w:val="32"/>
          <w:szCs w:val="32"/>
          <w:highlight w:val="none"/>
          <w:shd w:val="clear" w:color="auto" w:fill="FFFFFF"/>
          <w:lang w:val="en-US" w:eastAsia="zh-Hans"/>
        </w:rPr>
        <w:t>效益</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（1）农村居民人均可支配收入增速--5分。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根据铜川市2021年度城市统计数据和2021年铜川市城乡居民收入调研报告内容，2021年全市农村居民人均可支配收入12248.0元，同比增长10.8%。超过2021年全国农村居民人均可支配收入10.5%的增速。</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结合部门整体支出绩效评价指标体系内容和评分标准，经综合评价，该项指标得分为5分。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default"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2.社会效益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（1）新增固定资产投资--5分。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根据新区住房建设和交通运输局2021年度部门工作总结及2022年工作计划得报告内容，截至2021年11月底，完成地区固定资产投资42.53亿元。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Hans"/>
        </w:rPr>
        <w:t>结合部门整体支出绩效评价指标体系内容和评分标准，经综合评价，该项指标得分为5分。</w:t>
      </w:r>
    </w:p>
    <w:p>
      <w:pPr>
        <w:pStyle w:val="2"/>
        <w:keepNext w:val="0"/>
        <w:keepLines w:val="0"/>
        <w:pageBreakBefore w:val="0"/>
        <w:numPr>
          <w:ilvl w:val="0"/>
          <w:numId w:val="0"/>
        </w:numPr>
        <w:kinsoku/>
        <w:wordWrap/>
        <w:overflowPunct/>
        <w:topLinePunct w:val="0"/>
        <w:bidi w:val="0"/>
        <w:adjustRightInd/>
        <w:snapToGrid/>
        <w:spacing w:before="0" w:line="600" w:lineRule="exact"/>
        <w:ind w:firstLine="643" w:firstLineChars="200"/>
        <w:textAlignment w:val="auto"/>
        <w:rPr>
          <w:rFonts w:hint="eastAsia" w:ascii="仿宋" w:hAnsi="仿宋" w:eastAsia="仿宋" w:cs="仿宋"/>
          <w:b/>
          <w:bCs/>
          <w:color w:val="auto"/>
          <w:kern w:val="0"/>
          <w:sz w:val="32"/>
          <w:szCs w:val="32"/>
          <w:highlight w:val="none"/>
          <w:shd w:val="clear" w:color="auto" w:fill="FFFFFF"/>
          <w:lang w:val="en-US" w:eastAsia="zh-CN" w:bidi="ar-SA"/>
        </w:rPr>
      </w:pPr>
      <w:r>
        <w:rPr>
          <w:rFonts w:hint="eastAsia" w:ascii="仿宋" w:hAnsi="仿宋" w:eastAsia="仿宋" w:cs="仿宋"/>
          <w:b/>
          <w:bCs/>
          <w:color w:val="auto"/>
          <w:kern w:val="0"/>
          <w:sz w:val="32"/>
          <w:szCs w:val="32"/>
          <w:highlight w:val="none"/>
          <w:shd w:val="clear" w:color="auto" w:fill="FFFFFF"/>
          <w:lang w:val="en-US" w:eastAsia="zh-CN" w:bidi="ar-SA"/>
        </w:rPr>
        <w:t>3.生态效益</w:t>
      </w:r>
    </w:p>
    <w:p>
      <w:pPr>
        <w:pStyle w:val="3"/>
        <w:keepNext w:val="0"/>
        <w:keepLines w:val="0"/>
        <w:pageBreakBefore w:val="0"/>
        <w:numPr>
          <w:ilvl w:val="0"/>
          <w:numId w:val="0"/>
        </w:numPr>
        <w:kinsoku/>
        <w:wordWrap/>
        <w:overflowPunct/>
        <w:topLinePunct w:val="0"/>
        <w:bidi w:val="0"/>
        <w:adjustRightInd/>
        <w:snapToGrid/>
        <w:spacing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（1）空气质量综合指数变动情况--5分</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default" w:ascii="仿宋" w:hAnsi="仿宋" w:eastAsia="仿宋" w:cs="仿宋"/>
          <w:color w:val="auto"/>
          <w:kern w:val="0"/>
          <w:sz w:val="32"/>
          <w:szCs w:val="32"/>
          <w:highlight w:val="none"/>
          <w:shd w:val="clear" w:color="auto" w:fill="FFFFFF"/>
          <w:lang w:val="en-US" w:eastAsia="zh-CN" w:bidi="ar-SA"/>
        </w:rPr>
        <w:t>根据2021年铜川市生态环境状况公报内容，2021年铜川市PM2.5浓度改善率16.3%，空气质量优良天数287天，达标率78.6%，2021年环境空气质量综合指数为4.08，同比下降9.5%。结合部门整体支出绩效评价指标体系内容和评分标准，经综合评价，该项指标得分为5分。</w:t>
      </w:r>
    </w:p>
    <w:p>
      <w:pPr>
        <w:pStyle w:val="2"/>
        <w:ind w:left="0" w:leftChars="0" w:firstLine="643" w:firstLineChars="200"/>
        <w:rPr>
          <w:rFonts w:hint="default" w:ascii="仿宋" w:hAnsi="仿宋" w:eastAsia="仿宋" w:cs="仿宋"/>
          <w:b/>
          <w:bCs/>
          <w:color w:val="auto"/>
          <w:kern w:val="0"/>
          <w:sz w:val="32"/>
          <w:szCs w:val="32"/>
          <w:highlight w:val="none"/>
          <w:shd w:val="clear" w:color="auto" w:fill="FFFFFF"/>
          <w:lang w:val="en-US" w:eastAsia="zh-CN" w:bidi="ar-SA"/>
        </w:rPr>
      </w:pPr>
      <w:r>
        <w:rPr>
          <w:rFonts w:hint="eastAsia" w:ascii="仿宋" w:hAnsi="仿宋" w:eastAsia="仿宋" w:cs="仿宋"/>
          <w:b/>
          <w:bCs/>
          <w:color w:val="auto"/>
          <w:kern w:val="0"/>
          <w:sz w:val="32"/>
          <w:szCs w:val="32"/>
          <w:highlight w:val="none"/>
          <w:shd w:val="clear" w:color="auto" w:fill="FFFFFF"/>
          <w:lang w:val="en-US" w:eastAsia="zh-CN" w:bidi="ar-SA"/>
        </w:rPr>
        <w:t>4.可持续影响</w:t>
      </w:r>
    </w:p>
    <w:p>
      <w:pPr>
        <w:pStyle w:val="2"/>
        <w:keepNext w:val="0"/>
        <w:keepLines w:val="0"/>
        <w:pageBreakBefore w:val="0"/>
        <w:widowControl w:val="0"/>
        <w:numPr>
          <w:ilvl w:val="0"/>
          <w:numId w:val="0"/>
        </w:numPr>
        <w:kinsoku/>
        <w:wordWrap/>
        <w:overflowPunct/>
        <w:topLinePunct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（1）安全保障--5分。</w:t>
      </w:r>
    </w:p>
    <w:p>
      <w:pPr>
        <w:pStyle w:val="2"/>
        <w:keepNext w:val="0"/>
        <w:keepLines w:val="0"/>
        <w:pageBreakBefore w:val="0"/>
        <w:widowControl w:val="0"/>
        <w:numPr>
          <w:ilvl w:val="0"/>
          <w:numId w:val="0"/>
        </w:numPr>
        <w:kinsoku/>
        <w:wordWrap/>
        <w:overflowPunct/>
        <w:topLinePunct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default" w:ascii="仿宋" w:hAnsi="仿宋" w:eastAsia="仿宋" w:cs="仿宋"/>
          <w:color w:val="auto"/>
          <w:kern w:val="0"/>
          <w:sz w:val="32"/>
          <w:szCs w:val="32"/>
          <w:highlight w:val="none"/>
          <w:shd w:val="clear" w:color="auto" w:fill="FFFFFF"/>
          <w:lang w:val="en-US" w:eastAsia="zh-CN" w:bidi="ar-SA"/>
        </w:rPr>
        <w:t>通过部门所报相关资料和网络资源收集，2021年度铜川市新区未发生农村公路、市政道路施工过程中的施工安全事故，辖区内农村危房改造政策稳步推进，加强隐患房屋重点排查力度。有效保障施工安全和农村居住安全，为新区范围内居民居住和工程建设提供了持续的安全保障。</w:t>
      </w:r>
    </w:p>
    <w:p>
      <w:pPr>
        <w:pStyle w:val="2"/>
        <w:keepNext w:val="0"/>
        <w:keepLines w:val="0"/>
        <w:pageBreakBefore w:val="0"/>
        <w:widowControl w:val="0"/>
        <w:numPr>
          <w:ilvl w:val="0"/>
          <w:numId w:val="0"/>
        </w:numPr>
        <w:kinsoku/>
        <w:wordWrap/>
        <w:overflowPunct/>
        <w:topLinePunct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rPr>
      </w:pPr>
      <w:r>
        <w:rPr>
          <w:rFonts w:hint="default" w:ascii="仿宋" w:hAnsi="仿宋" w:eastAsia="仿宋" w:cs="仿宋"/>
          <w:color w:val="auto"/>
          <w:kern w:val="0"/>
          <w:sz w:val="32"/>
          <w:szCs w:val="32"/>
          <w:highlight w:val="none"/>
          <w:shd w:val="clear" w:color="auto" w:fill="FFFFFF"/>
          <w:lang w:val="en-US" w:eastAsia="zh-CN" w:bidi="ar-SA"/>
        </w:rPr>
        <w:t>结合部门整体支出绩效评价指标体系内容和评分标准，经综合评价，该项指标得分为5分</w:t>
      </w:r>
      <w:r>
        <w:rPr>
          <w:rFonts w:hint="eastAsia" w:ascii="仿宋" w:hAnsi="仿宋" w:eastAsia="仿宋" w:cs="仿宋"/>
          <w:color w:val="auto"/>
          <w:kern w:val="0"/>
          <w:sz w:val="32"/>
          <w:szCs w:val="32"/>
          <w:highlight w:val="none"/>
          <w:shd w:val="clear" w:color="auto" w:fill="FFFFFF"/>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5.服务对象</w:t>
      </w:r>
      <w:r>
        <w:rPr>
          <w:rFonts w:hint="eastAsia" w:ascii="仿宋" w:hAnsi="仿宋" w:eastAsia="仿宋" w:cs="仿宋"/>
          <w:b/>
          <w:bCs/>
          <w:color w:val="auto"/>
          <w:kern w:val="0"/>
          <w:sz w:val="32"/>
          <w:szCs w:val="32"/>
          <w:highlight w:val="none"/>
          <w:shd w:val="clear" w:color="auto" w:fill="FFFFFF"/>
          <w:lang w:val="en-US" w:eastAsia="zh-Hans"/>
        </w:rPr>
        <w:t>满意度</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对于服务对象满意度的评价，主要评价受益群众的满意度情况。针对社会群众发放20分调查问卷，回收20分，调查问卷有效率为100%，调查问卷经汇总统计后，按照如下方式计算分值：</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①Ai=（Q1+Q2）/20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Ai（i=1、2、3、…5）:调查问卷中的第i个题项满意度比例。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Q1:同一对象问卷调查中的对应问题的满意份数。</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Q2:同一对象问卷调查中的对应问题的较满意分数。</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②M=(A1+A2+A3+A4+A5)/5(i=1、2</w:t>
      </w:r>
      <w:r>
        <w:rPr>
          <w:rFonts w:hint="default" w:ascii="Arial" w:hAnsi="Arial" w:eastAsia="仿宋" w:cs="Arial"/>
          <w:color w:val="auto"/>
          <w:kern w:val="0"/>
          <w:sz w:val="32"/>
          <w:szCs w:val="32"/>
          <w:highlight w:val="none"/>
          <w:shd w:val="clear" w:color="auto" w:fill="FFFFFF"/>
          <w:lang w:val="en-US" w:eastAsia="zh-CN"/>
        </w:rPr>
        <w:t>…</w:t>
      </w:r>
      <w:r>
        <w:rPr>
          <w:rFonts w:hint="eastAsia" w:ascii="仿宋" w:hAnsi="仿宋" w:eastAsia="仿宋" w:cs="仿宋"/>
          <w:color w:val="auto"/>
          <w:kern w:val="0"/>
          <w:sz w:val="32"/>
          <w:szCs w:val="32"/>
          <w:highlight w:val="none"/>
          <w:shd w:val="clear" w:color="auto" w:fill="FFFFFF"/>
          <w:lang w:val="en-US" w:eastAsia="zh-CN"/>
        </w:rPr>
        <w:t>5)</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M:服务对象满意度比例。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根据调查问卷收集情况相关数据和满意度调查分值计算公式统计如下：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center"/>
        <w:textAlignment w:val="auto"/>
        <w:rPr>
          <w:rFonts w:hint="eastAsia" w:ascii="仿宋" w:hAnsi="仿宋" w:eastAsia="仿宋" w:cs="仿宋"/>
          <w:b/>
          <w:bCs/>
          <w:color w:val="auto"/>
          <w:kern w:val="0"/>
          <w:sz w:val="28"/>
          <w:szCs w:val="28"/>
          <w:highlight w:val="none"/>
          <w:shd w:val="clear" w:color="auto" w:fill="FFFFFF"/>
          <w:lang w:val="en-US" w:eastAsia="zh-CN"/>
        </w:rPr>
      </w:pPr>
      <w:r>
        <w:rPr>
          <w:rFonts w:hint="eastAsia" w:ascii="仿宋" w:hAnsi="仿宋" w:eastAsia="仿宋" w:cs="仿宋"/>
          <w:b/>
          <w:bCs/>
          <w:color w:val="auto"/>
          <w:kern w:val="0"/>
          <w:sz w:val="28"/>
          <w:szCs w:val="28"/>
          <w:highlight w:val="none"/>
          <w:shd w:val="clear" w:color="auto" w:fill="FFFFFF"/>
          <w:lang w:val="en-US" w:eastAsia="zh-CN"/>
        </w:rPr>
        <w:t>表4-1  受益群众满意度调查问卷统计表</w:t>
      </w:r>
    </w:p>
    <w:tbl>
      <w:tblPr>
        <w:tblStyle w:val="16"/>
        <w:tblW w:w="4931" w:type="pct"/>
        <w:tblInd w:w="0" w:type="dxa"/>
        <w:shd w:val="clear" w:color="auto" w:fill="auto"/>
        <w:tblLayout w:type="autofit"/>
        <w:tblCellMar>
          <w:top w:w="0" w:type="dxa"/>
          <w:left w:w="0" w:type="dxa"/>
          <w:bottom w:w="0" w:type="dxa"/>
          <w:right w:w="0" w:type="dxa"/>
        </w:tblCellMar>
      </w:tblPr>
      <w:tblGrid>
        <w:gridCol w:w="3887"/>
        <w:gridCol w:w="1256"/>
        <w:gridCol w:w="850"/>
        <w:gridCol w:w="983"/>
        <w:gridCol w:w="866"/>
        <w:gridCol w:w="866"/>
      </w:tblGrid>
      <w:tr>
        <w:tblPrEx>
          <w:shd w:val="clear" w:color="auto" w:fill="auto"/>
          <w:tblCellMar>
            <w:top w:w="0" w:type="dxa"/>
            <w:left w:w="0" w:type="dxa"/>
            <w:bottom w:w="0" w:type="dxa"/>
            <w:right w:w="0" w:type="dxa"/>
          </w:tblCellMar>
        </w:tblPrEx>
        <w:trPr>
          <w:trHeight w:val="500" w:hRule="atLeast"/>
        </w:trPr>
        <w:tc>
          <w:tcPr>
            <w:tcW w:w="223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问题项</w:t>
            </w:r>
          </w:p>
        </w:tc>
        <w:tc>
          <w:tcPr>
            <w:tcW w:w="72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rPr>
            </w:pPr>
            <w:r>
              <w:rPr>
                <w:rFonts w:hint="eastAsia" w:ascii="仿宋" w:hAnsi="仿宋" w:eastAsia="仿宋" w:cs="仿宋"/>
                <w:i w:val="0"/>
                <w:color w:val="000000"/>
                <w:kern w:val="0"/>
                <w:sz w:val="24"/>
                <w:szCs w:val="24"/>
                <w:u w:val="none"/>
                <w:lang w:val="en-US" w:eastAsia="zh-CN" w:bidi="ar"/>
              </w:rPr>
              <w:t>满意度比例</w:t>
            </w:r>
          </w:p>
        </w:tc>
        <w:tc>
          <w:tcPr>
            <w:tcW w:w="48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满意</w:t>
            </w:r>
          </w:p>
        </w:tc>
        <w:tc>
          <w:tcPr>
            <w:tcW w:w="56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比较满意</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一般</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不满意</w:t>
            </w:r>
          </w:p>
        </w:tc>
      </w:tr>
      <w:tr>
        <w:tblPrEx>
          <w:shd w:val="clear" w:color="auto" w:fill="auto"/>
          <w:tblCellMar>
            <w:top w:w="0" w:type="dxa"/>
            <w:left w:w="0" w:type="dxa"/>
            <w:bottom w:w="0" w:type="dxa"/>
            <w:right w:w="0" w:type="dxa"/>
          </w:tblCellMar>
        </w:tblPrEx>
        <w:trPr>
          <w:trHeight w:val="500" w:hRule="atLeast"/>
        </w:trPr>
        <w:tc>
          <w:tcPr>
            <w:tcW w:w="38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您对新区住房建设和交通运输局工作整体效果感觉怎么样？</w:t>
            </w:r>
          </w:p>
        </w:tc>
        <w:tc>
          <w:tcPr>
            <w:tcW w:w="12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100.00%</w:t>
            </w:r>
          </w:p>
        </w:tc>
        <w:tc>
          <w:tcPr>
            <w:tcW w:w="85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19</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500" w:hRule="atLeast"/>
        </w:trPr>
        <w:tc>
          <w:tcPr>
            <w:tcW w:w="38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您觉得辖区市政道路建设效果感觉怎么样？</w:t>
            </w:r>
          </w:p>
        </w:tc>
        <w:tc>
          <w:tcPr>
            <w:tcW w:w="12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90.00%</w:t>
            </w:r>
          </w:p>
        </w:tc>
        <w:tc>
          <w:tcPr>
            <w:tcW w:w="85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18</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500" w:hRule="atLeast"/>
        </w:trPr>
        <w:tc>
          <w:tcPr>
            <w:tcW w:w="38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您觉得辖区农村公路建设怎么样？</w:t>
            </w:r>
          </w:p>
        </w:tc>
        <w:tc>
          <w:tcPr>
            <w:tcW w:w="12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95.00%</w:t>
            </w:r>
          </w:p>
        </w:tc>
        <w:tc>
          <w:tcPr>
            <w:tcW w:w="85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19</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500" w:hRule="atLeast"/>
        </w:trPr>
        <w:tc>
          <w:tcPr>
            <w:tcW w:w="38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您觉得新区施工安全保障感觉怎么样？</w:t>
            </w:r>
          </w:p>
        </w:tc>
        <w:tc>
          <w:tcPr>
            <w:tcW w:w="12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100.00%</w:t>
            </w:r>
          </w:p>
        </w:tc>
        <w:tc>
          <w:tcPr>
            <w:tcW w:w="85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19</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500" w:hRule="atLeast"/>
        </w:trPr>
        <w:tc>
          <w:tcPr>
            <w:tcW w:w="38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您觉得新区物业管理服务提升感觉怎么样？</w:t>
            </w:r>
          </w:p>
        </w:tc>
        <w:tc>
          <w:tcPr>
            <w:tcW w:w="12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95.00%</w:t>
            </w:r>
          </w:p>
        </w:tc>
        <w:tc>
          <w:tcPr>
            <w:tcW w:w="85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18</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500" w:hRule="atLeast"/>
        </w:trPr>
        <w:tc>
          <w:tcPr>
            <w:tcW w:w="223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满意度</w:t>
            </w:r>
          </w:p>
        </w:tc>
        <w:tc>
          <w:tcPr>
            <w:tcW w:w="12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96.00%</w:t>
            </w:r>
          </w:p>
        </w:tc>
        <w:tc>
          <w:tcPr>
            <w:tcW w:w="85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根据绩效评价指标体系和满意度调查问卷数据统计情况和分值计算公式，新区住房建设和交通运输局受益群众满意度指标得分为5分。</w:t>
      </w:r>
    </w:p>
    <w:p>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黑体" w:hAnsi="黑体" w:eastAsia="黑体" w:cs="黑体"/>
          <w:b w:val="0"/>
          <w:bCs w:val="0"/>
          <w:color w:val="auto"/>
          <w:kern w:val="0"/>
          <w:sz w:val="32"/>
          <w:szCs w:val="32"/>
          <w:highlight w:val="none"/>
          <w:shd w:val="clear" w:color="auto" w:fill="FFFFFF"/>
          <w:lang w:val="en-US" w:eastAsia="zh-CN"/>
        </w:rPr>
      </w:pPr>
      <w:bookmarkStart w:id="26" w:name="_Toc16209"/>
      <w:r>
        <w:rPr>
          <w:rFonts w:hint="eastAsia" w:ascii="黑体" w:hAnsi="黑体" w:eastAsia="黑体" w:cs="黑体"/>
          <w:b w:val="0"/>
          <w:bCs w:val="0"/>
          <w:color w:val="auto"/>
          <w:kern w:val="0"/>
          <w:sz w:val="32"/>
          <w:szCs w:val="32"/>
          <w:highlight w:val="none"/>
          <w:shd w:val="clear" w:color="auto" w:fill="FFFFFF"/>
          <w:lang w:val="en-US" w:eastAsia="zh-CN"/>
        </w:rPr>
        <w:t>主要经验及做法</w:t>
      </w:r>
      <w:bookmarkEnd w:id="26"/>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通过对于2021年度新区住房建设和交通运输局部门整体支出从目标设定、预算配置、预算执行、预算管理、资产管理、职责履行和经济效益、社会效益、可持续影响、社会公众或服务对象满意度十个方面进行全面绩效评价，部门在如下方面有明显的突破和表现：</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1.预算执行良好。2021年度部门履职期间，年度实现预算完全执行，财政资金充分使用。预算执行期间，按照3月底、6月底、9月底、11月底四个时间节点评估预算执行进度，预算执行进度效果良好，资金按计划进度有效支付。</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2.部门履职产出明显。部门年度履职完成市政道路建设进度，协调推进手续办理；抓好农村公路建设，做好交通项目服务保障；加快实施建筑工地复工，强化安全生产意识；进一步理顺物业管理体制，提升物业服务水平；完成房屋安全排查整治工作，确保群众住房安全；加快推进生活垃圾分类，建设建筑垃圾填埋场等各项年度任务计划和任务。</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3.履职效益显著。通过部门履职，有效推动辖区内居民人均可支配收入不断增加，新增地方固定资产投资超过40亿元。通过扬尘治理，有效改善空气质量，改善居住环境，空气质量优良天数不断增加，空气质量综合指数有效降低。部门履职期间，未发生发生农村公路、市政道路施工过程中的施工安全事故，有效保障施工安全和农村居住安全，为新区范围内居民居住和工程建设提供了持续的安全保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黑体" w:hAnsi="黑体" w:eastAsia="黑体" w:cs="黑体"/>
          <w:b w:val="0"/>
          <w:bCs w:val="0"/>
          <w:color w:val="auto"/>
          <w:kern w:val="0"/>
          <w:sz w:val="32"/>
          <w:szCs w:val="32"/>
          <w:highlight w:val="none"/>
          <w:shd w:val="clear" w:color="auto" w:fill="FFFFFF"/>
          <w:lang w:val="en-US" w:eastAsia="zh-Hans"/>
        </w:rPr>
      </w:pPr>
      <w:bookmarkStart w:id="27" w:name="_Toc7003"/>
      <w:bookmarkStart w:id="28" w:name="_Toc1464939341_WPSOffice_Level3"/>
      <w:bookmarkStart w:id="29" w:name="_Toc315842793_WPSOffice_Level2"/>
      <w:bookmarkStart w:id="30" w:name="_Toc1742944595_WPSOffice_Level3"/>
      <w:r>
        <w:rPr>
          <w:rFonts w:hint="eastAsia" w:ascii="黑体" w:hAnsi="黑体" w:eastAsia="黑体" w:cs="黑体"/>
          <w:b w:val="0"/>
          <w:bCs w:val="0"/>
          <w:color w:val="auto"/>
          <w:kern w:val="0"/>
          <w:sz w:val="32"/>
          <w:szCs w:val="32"/>
          <w:highlight w:val="none"/>
          <w:shd w:val="clear" w:color="auto" w:fill="FFFFFF"/>
          <w:lang w:val="en-US" w:eastAsia="zh-CN"/>
        </w:rPr>
        <w:t>六、存在的问题</w:t>
      </w:r>
      <w:bookmarkEnd w:id="27"/>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default" w:ascii="仿宋" w:hAnsi="仿宋" w:eastAsia="楷体" w:cs="仿宋"/>
          <w:color w:val="auto"/>
          <w:kern w:val="0"/>
          <w:sz w:val="32"/>
          <w:szCs w:val="32"/>
          <w:highlight w:val="none"/>
          <w:shd w:val="clear" w:color="auto" w:fill="FFFFFF"/>
          <w:lang w:val="en-US" w:eastAsia="zh-CN"/>
        </w:rPr>
      </w:pPr>
      <w:r>
        <w:rPr>
          <w:rFonts w:hint="eastAsia" w:ascii="楷体" w:hAnsi="楷体" w:eastAsia="楷体" w:cs="楷体"/>
          <w:b/>
          <w:bCs/>
          <w:color w:val="auto"/>
          <w:kern w:val="0"/>
          <w:sz w:val="32"/>
          <w:szCs w:val="32"/>
          <w:highlight w:val="none"/>
          <w:shd w:val="clear" w:color="auto" w:fill="FFFFFF"/>
          <w:lang w:val="en-US" w:eastAsia="zh-Hans"/>
        </w:rPr>
        <w:t>（</w:t>
      </w:r>
      <w:r>
        <w:rPr>
          <w:rFonts w:hint="eastAsia" w:ascii="楷体" w:hAnsi="楷体" w:eastAsia="楷体" w:cs="楷体"/>
          <w:b/>
          <w:bCs/>
          <w:color w:val="auto"/>
          <w:kern w:val="0"/>
          <w:sz w:val="32"/>
          <w:szCs w:val="32"/>
          <w:highlight w:val="none"/>
          <w:shd w:val="clear" w:color="auto" w:fill="FFFFFF"/>
          <w:lang w:val="en-US" w:eastAsia="zh-CN"/>
        </w:rPr>
        <w:t>一</w:t>
      </w:r>
      <w:r>
        <w:rPr>
          <w:rFonts w:hint="eastAsia" w:ascii="楷体" w:hAnsi="楷体" w:eastAsia="楷体" w:cs="楷体"/>
          <w:b/>
          <w:bCs/>
          <w:color w:val="auto"/>
          <w:kern w:val="0"/>
          <w:sz w:val="32"/>
          <w:szCs w:val="32"/>
          <w:highlight w:val="none"/>
          <w:shd w:val="clear" w:color="auto" w:fill="FFFFFF"/>
          <w:lang w:val="en-US" w:eastAsia="zh-Hans"/>
        </w:rPr>
        <w:t>）</w:t>
      </w:r>
      <w:r>
        <w:rPr>
          <w:rFonts w:hint="eastAsia" w:ascii="楷体" w:hAnsi="楷体" w:eastAsia="楷体" w:cs="楷体"/>
          <w:b/>
          <w:bCs/>
          <w:color w:val="auto"/>
          <w:kern w:val="0"/>
          <w:sz w:val="32"/>
          <w:szCs w:val="32"/>
          <w:highlight w:val="none"/>
          <w:shd w:val="clear" w:color="auto" w:fill="FFFFFF"/>
          <w:lang w:val="en-US" w:eastAsia="zh-CN"/>
        </w:rPr>
        <w:t>绩效目标管理工作有待加强</w:t>
      </w:r>
    </w:p>
    <w:bookmarkEnd w:id="28"/>
    <w:bookmarkEnd w:id="29"/>
    <w:bookmarkEnd w:id="30"/>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根据2021年度部门整体绩效评价结果，部门年初编制部门综合预算内容和专项项目预算，同步编制和申报项目支出绩效目标。但未编制部门整体支出绩效目标体系，未根据部门中长期发展规划和部门职责，制定部门年度绩效目标。主要原因在于部门对绩效目标管理的重视程度和认知程度不足。随着预算绩效管理工作的不断完善，目前已完成项目绩效目标的全覆盖，但对于部门整体绩效目标的设定和管理有待加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default" w:ascii="楷体" w:hAnsi="楷体" w:eastAsia="楷体" w:cs="楷体"/>
          <w:b/>
          <w:bCs/>
          <w:color w:val="auto"/>
          <w:kern w:val="0"/>
          <w:sz w:val="32"/>
          <w:szCs w:val="32"/>
          <w:highlight w:val="none"/>
          <w:shd w:val="clear" w:color="auto" w:fill="FFFFFF"/>
          <w:lang w:val="en-US" w:eastAsia="zh-CN"/>
        </w:rPr>
      </w:pPr>
      <w:r>
        <w:rPr>
          <w:rFonts w:hint="eastAsia" w:ascii="楷体" w:hAnsi="楷体" w:eastAsia="楷体" w:cs="楷体"/>
          <w:b/>
          <w:bCs/>
          <w:color w:val="auto"/>
          <w:kern w:val="0"/>
          <w:sz w:val="32"/>
          <w:szCs w:val="32"/>
          <w:highlight w:val="none"/>
          <w:shd w:val="clear" w:color="auto" w:fill="FFFFFF"/>
          <w:lang w:val="en-US" w:eastAsia="zh-CN"/>
        </w:rPr>
        <w:t>（二</w:t>
      </w:r>
      <w:r>
        <w:rPr>
          <w:rFonts w:hint="eastAsia" w:ascii="楷体" w:hAnsi="楷体" w:eastAsia="楷体" w:cs="楷体"/>
          <w:b/>
          <w:bCs/>
          <w:color w:val="auto"/>
          <w:kern w:val="0"/>
          <w:sz w:val="32"/>
          <w:szCs w:val="32"/>
          <w:highlight w:val="none"/>
          <w:shd w:val="clear" w:color="auto" w:fill="FFFFFF"/>
          <w:lang w:val="en-US" w:eastAsia="zh-Hans"/>
        </w:rPr>
        <w:t>）</w:t>
      </w:r>
      <w:r>
        <w:rPr>
          <w:rFonts w:hint="eastAsia" w:ascii="楷体" w:hAnsi="楷体" w:eastAsia="楷体" w:cs="楷体"/>
          <w:b/>
          <w:bCs/>
          <w:color w:val="auto"/>
          <w:kern w:val="0"/>
          <w:sz w:val="32"/>
          <w:szCs w:val="32"/>
          <w:highlight w:val="none"/>
          <w:shd w:val="clear" w:color="auto" w:fill="FFFFFF"/>
          <w:lang w:val="en-US" w:eastAsia="zh-CN"/>
        </w:rPr>
        <w:t>部门公用经费控制需进一步提升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2021年度部门公用经费支出预算数为51.15万元，年终决算时，年度公用经费支出决算数据为118.46万元，公用经费相比年初预算安排，预算调整较大，实际支出较大幅度超出年初预算安排。主要原因在于部门对于运行成本控制的力度和措施有待提升，成本管理相关制度和体制机制有待完善。</w:t>
      </w:r>
    </w:p>
    <w:p>
      <w:pPr>
        <w:pStyle w:val="2"/>
        <w:keepNext w:val="0"/>
        <w:keepLines w:val="0"/>
        <w:pageBreakBefore w:val="0"/>
        <w:numPr>
          <w:ilvl w:val="0"/>
          <w:numId w:val="0"/>
        </w:numPr>
        <w:kinsoku/>
        <w:wordWrap/>
        <w:overflowPunct/>
        <w:topLinePunct w:val="0"/>
        <w:bidi w:val="0"/>
        <w:adjustRightInd/>
        <w:snapToGrid/>
        <w:spacing w:before="0" w:line="600" w:lineRule="exact"/>
        <w:ind w:firstLine="643" w:firstLineChars="200"/>
        <w:textAlignment w:val="auto"/>
        <w:rPr>
          <w:rFonts w:hint="eastAsia" w:ascii="楷体" w:hAnsi="楷体" w:eastAsia="楷体" w:cs="楷体"/>
          <w:b/>
          <w:bCs/>
          <w:color w:val="auto"/>
          <w:kern w:val="0"/>
          <w:sz w:val="32"/>
          <w:szCs w:val="32"/>
          <w:highlight w:val="none"/>
          <w:shd w:val="clear" w:color="auto" w:fill="FFFFFF"/>
          <w:lang w:val="en-US" w:eastAsia="zh-CN" w:bidi="ar-SA"/>
        </w:rPr>
      </w:pPr>
      <w:r>
        <w:rPr>
          <w:rFonts w:hint="eastAsia" w:ascii="楷体" w:hAnsi="楷体" w:eastAsia="楷体" w:cs="楷体"/>
          <w:b/>
          <w:bCs/>
          <w:color w:val="auto"/>
          <w:kern w:val="0"/>
          <w:sz w:val="32"/>
          <w:szCs w:val="32"/>
          <w:highlight w:val="none"/>
          <w:shd w:val="clear" w:color="auto" w:fill="FFFFFF"/>
          <w:lang w:val="en-US" w:eastAsia="zh-CN" w:bidi="ar-SA"/>
        </w:rPr>
        <w:t>（三）政府采购执行有待加强</w:t>
      </w:r>
    </w:p>
    <w:p>
      <w:pPr>
        <w:pStyle w:val="3"/>
        <w:keepNext w:val="0"/>
        <w:keepLines w:val="0"/>
        <w:pageBreakBefore w:val="0"/>
        <w:numPr>
          <w:ilvl w:val="0"/>
          <w:numId w:val="0"/>
        </w:numPr>
        <w:kinsoku/>
        <w:wordWrap/>
        <w:overflowPunct/>
        <w:topLinePunct w:val="0"/>
        <w:bidi w:val="0"/>
        <w:adjustRightInd/>
        <w:snapToGrid/>
        <w:spacing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2021年度部门政府采购执行力度不足，经核准的采购计划，采购执行率不足，实际采购金额相比与采购计划预算出现偏离，政府采购执行管理有待提升。主要原因对于列入政府采购计划的项目，采购预算编制合理性有待加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黑体" w:hAnsi="黑体" w:eastAsia="黑体" w:cs="黑体"/>
          <w:b w:val="0"/>
          <w:bCs w:val="0"/>
          <w:color w:val="auto"/>
          <w:kern w:val="0"/>
          <w:sz w:val="32"/>
          <w:szCs w:val="32"/>
          <w:highlight w:val="none"/>
          <w:shd w:val="clear" w:color="auto" w:fill="FFFFFF"/>
          <w:lang w:val="en-US" w:eastAsia="zh-CN"/>
        </w:rPr>
      </w:pPr>
      <w:bookmarkStart w:id="31" w:name="_Toc28892"/>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黑体" w:hAnsi="黑体" w:eastAsia="黑体" w:cs="黑体"/>
          <w:b w:val="0"/>
          <w:bCs w:val="0"/>
          <w:color w:val="auto"/>
          <w:kern w:val="0"/>
          <w:sz w:val="32"/>
          <w:szCs w:val="32"/>
          <w:highlight w:val="none"/>
          <w:shd w:val="clear" w:color="auto" w:fill="FFFFFF"/>
          <w:lang w:val="en-US" w:eastAsia="zh-Hans"/>
        </w:rPr>
      </w:pPr>
      <w:r>
        <w:rPr>
          <w:rFonts w:hint="eastAsia" w:ascii="黑体" w:hAnsi="黑体" w:eastAsia="黑体" w:cs="黑体"/>
          <w:b w:val="0"/>
          <w:bCs w:val="0"/>
          <w:color w:val="auto"/>
          <w:kern w:val="0"/>
          <w:sz w:val="32"/>
          <w:szCs w:val="32"/>
          <w:highlight w:val="none"/>
          <w:shd w:val="clear" w:color="auto" w:fill="FFFFFF"/>
          <w:lang w:val="en-US" w:eastAsia="zh-CN"/>
        </w:rPr>
        <w:t>七</w:t>
      </w:r>
      <w:r>
        <w:rPr>
          <w:rFonts w:hint="eastAsia" w:ascii="黑体" w:hAnsi="黑体" w:eastAsia="黑体" w:cs="黑体"/>
          <w:b w:val="0"/>
          <w:bCs w:val="0"/>
          <w:color w:val="auto"/>
          <w:kern w:val="0"/>
          <w:sz w:val="32"/>
          <w:szCs w:val="32"/>
          <w:highlight w:val="none"/>
          <w:shd w:val="clear" w:color="auto" w:fill="FFFFFF"/>
          <w:lang w:val="en-US" w:eastAsia="zh-Hans"/>
        </w:rPr>
        <w:t>、相关建议</w:t>
      </w:r>
      <w:bookmarkEnd w:id="31"/>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default" w:ascii="仿宋" w:hAnsi="仿宋" w:eastAsia="楷体" w:cs="仿宋"/>
          <w:color w:val="auto"/>
          <w:kern w:val="0"/>
          <w:sz w:val="32"/>
          <w:szCs w:val="32"/>
          <w:highlight w:val="none"/>
          <w:shd w:val="clear" w:color="auto" w:fill="FFFFFF"/>
          <w:lang w:val="en-US" w:eastAsia="zh-CN"/>
        </w:rPr>
      </w:pPr>
      <w:bookmarkStart w:id="32" w:name="_Toc994383943_WPSOffice_Level2"/>
      <w:bookmarkStart w:id="33" w:name="_Toc1462379935_WPSOffice_Level2"/>
      <w:bookmarkStart w:id="34" w:name="_Toc842199943_WPSOffice_Level2"/>
      <w:r>
        <w:rPr>
          <w:rFonts w:hint="eastAsia" w:ascii="楷体" w:hAnsi="楷体" w:eastAsia="楷体" w:cs="楷体"/>
          <w:b/>
          <w:bCs/>
          <w:color w:val="auto"/>
          <w:kern w:val="0"/>
          <w:sz w:val="32"/>
          <w:szCs w:val="32"/>
          <w:highlight w:val="none"/>
          <w:shd w:val="clear" w:color="auto" w:fill="FFFFFF"/>
          <w:lang w:val="en-US" w:eastAsia="zh-Hans"/>
        </w:rPr>
        <w:t>（</w:t>
      </w:r>
      <w:r>
        <w:rPr>
          <w:rFonts w:hint="eastAsia" w:ascii="楷体" w:hAnsi="楷体" w:eastAsia="楷体" w:cs="楷体"/>
          <w:b/>
          <w:bCs/>
          <w:color w:val="auto"/>
          <w:kern w:val="0"/>
          <w:sz w:val="32"/>
          <w:szCs w:val="32"/>
          <w:highlight w:val="none"/>
          <w:shd w:val="clear" w:color="auto" w:fill="FFFFFF"/>
          <w:lang w:val="en-US" w:eastAsia="zh-CN"/>
        </w:rPr>
        <w:t>一</w:t>
      </w:r>
      <w:r>
        <w:rPr>
          <w:rFonts w:hint="eastAsia" w:ascii="楷体" w:hAnsi="楷体" w:eastAsia="楷体" w:cs="楷体"/>
          <w:b/>
          <w:bCs/>
          <w:color w:val="auto"/>
          <w:kern w:val="0"/>
          <w:sz w:val="32"/>
          <w:szCs w:val="32"/>
          <w:highlight w:val="none"/>
          <w:shd w:val="clear" w:color="auto" w:fill="FFFFFF"/>
          <w:lang w:val="en-US" w:eastAsia="zh-Hans"/>
        </w:rPr>
        <w:t>）</w:t>
      </w:r>
      <w:r>
        <w:rPr>
          <w:rFonts w:hint="eastAsia" w:ascii="楷体" w:hAnsi="楷体" w:eastAsia="楷体" w:cs="楷体"/>
          <w:b/>
          <w:bCs/>
          <w:color w:val="auto"/>
          <w:kern w:val="0"/>
          <w:sz w:val="32"/>
          <w:szCs w:val="32"/>
          <w:highlight w:val="none"/>
          <w:shd w:val="clear" w:color="auto" w:fill="FFFFFF"/>
          <w:lang w:val="en-US" w:eastAsia="zh-CN"/>
        </w:rPr>
        <w:t>强化绩效目标设置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建议预算部门加强绩效目标管理工作，成立部门预算绩效管理工作组，为实施全过程预算绩效管理做好组织保障和人员配置。做好部门相关人员预算绩效管理培训工作，重点加强绩效目标管理培训，掌握绩效目标设定原则和设定标准，充分考量绩效目标内容全面性、目标合理性、指标明确性、数据可得性等多方面，加强部门内部绩效目标自审核，提升绩效目标的科学性、完整性。强化预算部门融合预算绩效管理思想，不断提升预算绩效管理意识，建立“支出必问效”的财政支出理念，不断提升财政支出效率、优化财政支出结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default" w:ascii="楷体" w:hAnsi="楷体" w:eastAsia="楷体" w:cs="楷体"/>
          <w:b/>
          <w:bCs/>
          <w:color w:val="auto"/>
          <w:kern w:val="0"/>
          <w:sz w:val="32"/>
          <w:szCs w:val="32"/>
          <w:highlight w:val="none"/>
          <w:shd w:val="clear" w:color="auto" w:fill="FFFFFF"/>
          <w:lang w:val="en-US" w:eastAsia="zh-CN"/>
        </w:rPr>
      </w:pPr>
      <w:r>
        <w:rPr>
          <w:rFonts w:hint="eastAsia" w:ascii="楷体" w:hAnsi="楷体" w:eastAsia="楷体" w:cs="楷体"/>
          <w:b/>
          <w:bCs/>
          <w:color w:val="auto"/>
          <w:kern w:val="0"/>
          <w:sz w:val="32"/>
          <w:szCs w:val="32"/>
          <w:highlight w:val="none"/>
          <w:shd w:val="clear" w:color="auto" w:fill="FFFFFF"/>
          <w:lang w:val="en-US" w:eastAsia="zh-Hans"/>
        </w:rPr>
        <w:t>（</w:t>
      </w:r>
      <w:r>
        <w:rPr>
          <w:rFonts w:hint="eastAsia" w:ascii="楷体" w:hAnsi="楷体" w:eastAsia="楷体" w:cs="楷体"/>
          <w:b/>
          <w:bCs/>
          <w:color w:val="auto"/>
          <w:kern w:val="0"/>
          <w:sz w:val="32"/>
          <w:szCs w:val="32"/>
          <w:highlight w:val="none"/>
          <w:shd w:val="clear" w:color="auto" w:fill="FFFFFF"/>
          <w:lang w:val="en-US" w:eastAsia="zh-CN"/>
        </w:rPr>
        <w:t>二</w:t>
      </w:r>
      <w:r>
        <w:rPr>
          <w:rFonts w:hint="eastAsia" w:ascii="楷体" w:hAnsi="楷体" w:eastAsia="楷体" w:cs="楷体"/>
          <w:b/>
          <w:bCs/>
          <w:color w:val="auto"/>
          <w:kern w:val="0"/>
          <w:sz w:val="32"/>
          <w:szCs w:val="32"/>
          <w:highlight w:val="none"/>
          <w:shd w:val="clear" w:color="auto" w:fill="FFFFFF"/>
          <w:lang w:val="en-US" w:eastAsia="zh-Hans"/>
        </w:rPr>
        <w:t>）</w:t>
      </w:r>
      <w:r>
        <w:rPr>
          <w:rFonts w:hint="eastAsia" w:ascii="楷体" w:hAnsi="楷体" w:eastAsia="楷体" w:cs="楷体"/>
          <w:b/>
          <w:bCs/>
          <w:color w:val="auto"/>
          <w:kern w:val="0"/>
          <w:sz w:val="32"/>
          <w:szCs w:val="32"/>
          <w:highlight w:val="none"/>
          <w:shd w:val="clear" w:color="auto" w:fill="FFFFFF"/>
          <w:lang w:val="en-US" w:eastAsia="zh-CN"/>
        </w:rPr>
        <w:t>加强部门成本控制，落实“过紧日子”思想</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建议部门不断加强“公用经费”、“三公经费”等费用支出控制，在保障工作效率和服务效果的基础上，提升重点行政运行成本的努力程度。不断完善财务管理制度，建立部门成本管控制度和管理机制，提升部门成本管控力度，优化财政资源分配结构。避免出现超预算支出、过度支出等情况。</w:t>
      </w:r>
      <w:bookmarkEnd w:id="32"/>
      <w:bookmarkEnd w:id="33"/>
      <w:bookmarkEnd w:id="34"/>
      <w:r>
        <w:rPr>
          <w:rFonts w:hint="eastAsia" w:ascii="仿宋" w:hAnsi="仿宋" w:eastAsia="仿宋" w:cs="仿宋"/>
          <w:color w:val="auto"/>
          <w:kern w:val="0"/>
          <w:sz w:val="32"/>
          <w:szCs w:val="32"/>
          <w:highlight w:val="none"/>
          <w:shd w:val="clear" w:color="auto" w:fill="FFFFFF"/>
          <w:lang w:val="en-US" w:eastAsia="zh-CN"/>
        </w:rPr>
        <w:t>在保部门运转的基础上，合理控制运行成本支出，增加重点项目、重点工作支出安排，提升财政资金使用效益。</w:t>
      </w:r>
    </w:p>
    <w:p>
      <w:pPr>
        <w:pStyle w:val="2"/>
        <w:numPr>
          <w:ilvl w:val="0"/>
          <w:numId w:val="4"/>
        </w:numPr>
        <w:ind w:left="0" w:leftChars="0" w:firstLine="643" w:firstLineChars="200"/>
        <w:rPr>
          <w:rFonts w:hint="eastAsia" w:ascii="楷体" w:hAnsi="楷体" w:eastAsia="楷体" w:cs="楷体"/>
          <w:b/>
          <w:bCs/>
          <w:color w:val="auto"/>
          <w:kern w:val="0"/>
          <w:sz w:val="32"/>
          <w:szCs w:val="32"/>
          <w:highlight w:val="none"/>
          <w:shd w:val="clear" w:color="auto" w:fill="FFFFFF"/>
          <w:lang w:val="en-US" w:eastAsia="zh-CN" w:bidi="ar-SA"/>
        </w:rPr>
      </w:pPr>
      <w:bookmarkStart w:id="35" w:name="_Toc7790"/>
      <w:r>
        <w:rPr>
          <w:rFonts w:hint="eastAsia" w:ascii="楷体" w:hAnsi="楷体" w:eastAsia="楷体" w:cs="楷体"/>
          <w:b/>
          <w:bCs/>
          <w:color w:val="auto"/>
          <w:kern w:val="0"/>
          <w:sz w:val="32"/>
          <w:szCs w:val="32"/>
          <w:highlight w:val="none"/>
          <w:shd w:val="clear" w:color="auto" w:fill="FFFFFF"/>
          <w:lang w:val="en-US" w:eastAsia="zh-CN" w:bidi="ar-SA"/>
        </w:rPr>
        <w:t>强化部门采购管理，做好部门采购计划编制</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eastAsia" w:ascii="黑体" w:hAnsi="黑体" w:eastAsia="黑体" w:cs="黑体"/>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bidi="ar-SA"/>
        </w:rPr>
        <w:t>建议部门年初系统梳理年度目标和工作任务，对标部门基础数据和信息支撑。梳理部门采购需求清单，评估采购计划合理性，开展深入市场调研，提升采购预算编制合理性和可行性，提高资金使用效率，优化财政资源配置。</w:t>
      </w: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sectPr>
          <w:footerReference r:id="rId5" w:type="default"/>
          <w:pgSz w:w="11910" w:h="16840"/>
          <w:pgMar w:top="2098" w:right="1474" w:bottom="1984" w:left="1587" w:header="1017" w:footer="1206" w:gutter="0"/>
          <w:pgNumType w:fmt="numberInDash"/>
          <w:cols w:equalWidth="0" w:num="1">
            <w:col w:w="8810"/>
          </w:cols>
          <w:docGrid w:linePitch="326" w:charSpace="0"/>
        </w:sectPr>
      </w:pPr>
    </w:p>
    <w:p>
      <w:pPr>
        <w:widowControl w:val="0"/>
        <w:numPr>
          <w:ilvl w:val="0"/>
          <w:numId w:val="0"/>
        </w:numPr>
        <w:jc w:val="both"/>
        <w:outlineLvl w:val="0"/>
        <w:rPr>
          <w:rFonts w:hint="eastAsia"/>
          <w:highlight w:val="none"/>
          <w:lang w:val="en-US" w:eastAsia="zh-CN"/>
        </w:rPr>
      </w:pPr>
      <w:r>
        <w:rPr>
          <w:rFonts w:hint="eastAsia" w:ascii="黑体" w:hAnsi="黑体" w:eastAsia="黑体" w:cs="黑体"/>
          <w:color w:val="auto"/>
          <w:kern w:val="0"/>
          <w:sz w:val="32"/>
          <w:szCs w:val="32"/>
          <w:highlight w:val="none"/>
          <w:shd w:val="clear" w:color="auto" w:fill="FFFFFF"/>
          <w:lang w:val="en-US" w:eastAsia="zh-CN"/>
        </w:rPr>
        <w:t>附件1评价工作底稿</w:t>
      </w:r>
      <w:bookmarkEnd w:id="35"/>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jc w:val="center"/>
        <w:textAlignment w:val="auto"/>
        <w:rPr>
          <w:rFonts w:hint="eastAsia" w:ascii="宋体" w:hAnsi="宋体" w:eastAsia="宋体" w:cs="宋体"/>
          <w:b/>
          <w:bCs/>
          <w:color w:val="auto"/>
          <w:kern w:val="0"/>
          <w:sz w:val="36"/>
          <w:szCs w:val="36"/>
          <w:highlight w:val="none"/>
          <w:shd w:val="clear" w:color="auto" w:fill="FFFFFF"/>
          <w:lang w:val="en-US" w:eastAsia="zh-Hans"/>
        </w:rPr>
      </w:pPr>
      <w:r>
        <w:rPr>
          <w:rFonts w:hint="eastAsia" w:ascii="宋体" w:hAnsi="宋体" w:eastAsia="宋体" w:cs="宋体"/>
          <w:b/>
          <w:bCs/>
          <w:color w:val="auto"/>
          <w:kern w:val="0"/>
          <w:sz w:val="36"/>
          <w:szCs w:val="36"/>
          <w:highlight w:val="none"/>
          <w:shd w:val="clear" w:color="auto" w:fill="FFFFFF"/>
          <w:lang w:val="en-US" w:eastAsia="zh-Hans"/>
        </w:rPr>
        <w:t>202</w:t>
      </w:r>
      <w:r>
        <w:rPr>
          <w:rFonts w:hint="eastAsia" w:cs="宋体"/>
          <w:b/>
          <w:bCs/>
          <w:color w:val="auto"/>
          <w:kern w:val="0"/>
          <w:sz w:val="36"/>
          <w:szCs w:val="36"/>
          <w:highlight w:val="none"/>
          <w:shd w:val="clear" w:color="auto" w:fill="FFFFFF"/>
          <w:lang w:val="en-US" w:eastAsia="zh-CN"/>
        </w:rPr>
        <w:t>1</w:t>
      </w:r>
      <w:r>
        <w:rPr>
          <w:rFonts w:hint="eastAsia" w:ascii="宋体" w:hAnsi="宋体" w:eastAsia="宋体" w:cs="宋体"/>
          <w:b/>
          <w:bCs/>
          <w:color w:val="auto"/>
          <w:kern w:val="0"/>
          <w:sz w:val="36"/>
          <w:szCs w:val="36"/>
          <w:highlight w:val="none"/>
          <w:shd w:val="clear" w:color="auto" w:fill="FFFFFF"/>
          <w:lang w:val="en-US" w:eastAsia="zh-Hans"/>
        </w:rPr>
        <w:t>年度铜川市</w:t>
      </w:r>
      <w:r>
        <w:rPr>
          <w:rFonts w:hint="eastAsia" w:cs="宋体"/>
          <w:b/>
          <w:bCs/>
          <w:color w:val="auto"/>
          <w:kern w:val="0"/>
          <w:sz w:val="36"/>
          <w:szCs w:val="36"/>
          <w:highlight w:val="none"/>
          <w:shd w:val="clear" w:color="auto" w:fill="FFFFFF"/>
          <w:lang w:val="en-US" w:eastAsia="zh-CN"/>
        </w:rPr>
        <w:t>新区住房建设和交通运输局部门</w:t>
      </w:r>
      <w:r>
        <w:rPr>
          <w:rFonts w:hint="eastAsia" w:ascii="宋体" w:hAnsi="宋体" w:eastAsia="宋体" w:cs="宋体"/>
          <w:b/>
          <w:bCs/>
          <w:color w:val="auto"/>
          <w:kern w:val="0"/>
          <w:sz w:val="36"/>
          <w:szCs w:val="36"/>
          <w:highlight w:val="none"/>
          <w:shd w:val="clear" w:color="auto" w:fill="FFFFFF"/>
          <w:lang w:val="en-US" w:eastAsia="zh-Hans"/>
        </w:rPr>
        <w:t>整体</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jc w:val="center"/>
        <w:textAlignment w:val="auto"/>
      </w:pPr>
      <w:r>
        <w:rPr>
          <w:rFonts w:hint="eastAsia" w:ascii="宋体" w:hAnsi="宋体" w:eastAsia="宋体" w:cs="宋体"/>
          <w:b/>
          <w:bCs/>
          <w:color w:val="auto"/>
          <w:kern w:val="0"/>
          <w:sz w:val="36"/>
          <w:szCs w:val="36"/>
          <w:highlight w:val="none"/>
          <w:shd w:val="clear" w:color="auto" w:fill="FFFFFF"/>
          <w:lang w:val="en-US" w:eastAsia="zh-Hans"/>
        </w:rPr>
        <w:t>支出绩效评价</w:t>
      </w:r>
      <w:r>
        <w:rPr>
          <w:rFonts w:hint="eastAsia" w:cs="宋体"/>
          <w:b/>
          <w:bCs/>
          <w:color w:val="auto"/>
          <w:kern w:val="0"/>
          <w:sz w:val="36"/>
          <w:szCs w:val="36"/>
          <w:highlight w:val="none"/>
          <w:shd w:val="clear" w:color="auto" w:fill="FFFFFF"/>
          <w:lang w:val="en-US" w:eastAsia="zh-CN"/>
        </w:rPr>
        <w:t>打</w:t>
      </w:r>
      <w:r>
        <w:rPr>
          <w:rFonts w:hint="eastAsia" w:ascii="宋体" w:hAnsi="宋体" w:eastAsia="宋体" w:cs="宋体"/>
          <w:b/>
          <w:bCs/>
          <w:color w:val="auto"/>
          <w:kern w:val="0"/>
          <w:sz w:val="36"/>
          <w:szCs w:val="36"/>
          <w:highlight w:val="none"/>
          <w:shd w:val="clear" w:color="auto" w:fill="FFFFFF"/>
          <w:lang w:val="en-US" w:eastAsia="zh-Hans"/>
        </w:rPr>
        <w:t>分表</w:t>
      </w:r>
    </w:p>
    <w:p>
      <w:pPr>
        <w:pStyle w:val="2"/>
        <w:ind w:left="0" w:leftChars="0" w:firstLine="0" w:firstLineChars="0"/>
      </w:pPr>
    </w:p>
    <w:tbl>
      <w:tblPr>
        <w:tblStyle w:val="16"/>
        <w:tblW w:w="4998" w:type="pct"/>
        <w:tblInd w:w="0" w:type="dxa"/>
        <w:shd w:val="clear" w:color="auto" w:fill="auto"/>
        <w:tblLayout w:type="autofit"/>
        <w:tblCellMar>
          <w:top w:w="0" w:type="dxa"/>
          <w:left w:w="0" w:type="dxa"/>
          <w:bottom w:w="0" w:type="dxa"/>
          <w:right w:w="0" w:type="dxa"/>
        </w:tblCellMar>
      </w:tblPr>
      <w:tblGrid>
        <w:gridCol w:w="651"/>
        <w:gridCol w:w="1577"/>
        <w:gridCol w:w="4052"/>
        <w:gridCol w:w="1273"/>
        <w:gridCol w:w="1273"/>
      </w:tblGrid>
      <w:tr>
        <w:tblPrEx>
          <w:shd w:val="clear" w:color="auto" w:fill="auto"/>
          <w:tblCellMar>
            <w:top w:w="0" w:type="dxa"/>
            <w:left w:w="0" w:type="dxa"/>
            <w:bottom w:w="0" w:type="dxa"/>
            <w:right w:w="0" w:type="dxa"/>
          </w:tblCellMar>
        </w:tblPrEx>
        <w:trPr>
          <w:trHeight w:val="520" w:hRule="atLeast"/>
        </w:trPr>
        <w:tc>
          <w:tcPr>
            <w:tcW w:w="36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0"/>
                <w:sz w:val="24"/>
                <w:szCs w:val="24"/>
                <w:u w:val="none"/>
                <w:lang w:val="en-US" w:eastAsia="zh-CN" w:bidi="ar"/>
              </w:rPr>
            </w:pPr>
            <w:r>
              <w:rPr>
                <w:rFonts w:hint="eastAsia" w:ascii="仿宋" w:hAnsi="仿宋" w:eastAsia="仿宋" w:cs="仿宋"/>
                <w:b/>
                <w:i w:val="0"/>
                <w:color w:val="000000"/>
                <w:kern w:val="0"/>
                <w:sz w:val="24"/>
                <w:szCs w:val="24"/>
                <w:u w:val="none"/>
                <w:lang w:val="en-US" w:eastAsia="zh-CN" w:bidi="ar"/>
              </w:rPr>
              <w:t>一级</w:t>
            </w:r>
          </w:p>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指标</w:t>
            </w:r>
          </w:p>
        </w:tc>
        <w:tc>
          <w:tcPr>
            <w:tcW w:w="89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0"/>
                <w:sz w:val="24"/>
                <w:szCs w:val="24"/>
                <w:u w:val="none"/>
                <w:lang w:val="en-US" w:eastAsia="zh-CN" w:bidi="ar"/>
              </w:rPr>
            </w:pPr>
            <w:r>
              <w:rPr>
                <w:rFonts w:hint="eastAsia" w:ascii="仿宋" w:hAnsi="仿宋" w:eastAsia="仿宋" w:cs="仿宋"/>
                <w:b/>
                <w:i w:val="0"/>
                <w:color w:val="000000"/>
                <w:kern w:val="0"/>
                <w:sz w:val="24"/>
                <w:szCs w:val="24"/>
                <w:u w:val="none"/>
                <w:lang w:val="en-US" w:eastAsia="zh-CN" w:bidi="ar"/>
              </w:rPr>
              <w:t>二级</w:t>
            </w:r>
          </w:p>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指标</w:t>
            </w:r>
          </w:p>
        </w:tc>
        <w:tc>
          <w:tcPr>
            <w:tcW w:w="22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三级指标</w:t>
            </w:r>
          </w:p>
        </w:tc>
        <w:tc>
          <w:tcPr>
            <w:tcW w:w="72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指标分值</w:t>
            </w:r>
          </w:p>
        </w:tc>
        <w:tc>
          <w:tcPr>
            <w:tcW w:w="72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评价得分</w:t>
            </w:r>
          </w:p>
        </w:tc>
      </w:tr>
      <w:tr>
        <w:tblPrEx>
          <w:shd w:val="clear" w:color="auto" w:fill="auto"/>
          <w:tblCellMar>
            <w:top w:w="0" w:type="dxa"/>
            <w:left w:w="0" w:type="dxa"/>
            <w:bottom w:w="0" w:type="dxa"/>
            <w:right w:w="0" w:type="dxa"/>
          </w:tblCellMar>
        </w:tblPrEx>
        <w:trPr>
          <w:trHeight w:val="520" w:hRule="atLeast"/>
        </w:trPr>
        <w:tc>
          <w:tcPr>
            <w:tcW w:w="369"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投入</w:t>
            </w:r>
          </w:p>
        </w:tc>
        <w:tc>
          <w:tcPr>
            <w:tcW w:w="893"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目标</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设定</w:t>
            </w:r>
          </w:p>
        </w:tc>
        <w:tc>
          <w:tcPr>
            <w:tcW w:w="22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绩效目标合理性</w:t>
            </w:r>
          </w:p>
        </w:tc>
        <w:tc>
          <w:tcPr>
            <w:tcW w:w="72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520" w:hRule="atLeast"/>
        </w:trPr>
        <w:tc>
          <w:tcPr>
            <w:tcW w:w="369"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9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2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绩效指标明确性</w:t>
            </w:r>
          </w:p>
        </w:tc>
        <w:tc>
          <w:tcPr>
            <w:tcW w:w="72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520" w:hRule="atLeast"/>
        </w:trPr>
        <w:tc>
          <w:tcPr>
            <w:tcW w:w="369"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93"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预算</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配置</w:t>
            </w:r>
          </w:p>
        </w:tc>
        <w:tc>
          <w:tcPr>
            <w:tcW w:w="22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在职人员控制率</w:t>
            </w:r>
          </w:p>
        </w:tc>
        <w:tc>
          <w:tcPr>
            <w:tcW w:w="72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780" w:hRule="atLeast"/>
        </w:trPr>
        <w:tc>
          <w:tcPr>
            <w:tcW w:w="369"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9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2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“三公经费”变动率</w:t>
            </w:r>
          </w:p>
        </w:tc>
        <w:tc>
          <w:tcPr>
            <w:tcW w:w="72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520" w:hRule="atLeast"/>
        </w:trPr>
        <w:tc>
          <w:tcPr>
            <w:tcW w:w="369"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9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2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重点支出安排率</w:t>
            </w:r>
          </w:p>
        </w:tc>
        <w:tc>
          <w:tcPr>
            <w:tcW w:w="72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3.62</w:t>
            </w:r>
          </w:p>
        </w:tc>
      </w:tr>
      <w:tr>
        <w:tblPrEx>
          <w:shd w:val="clear" w:color="auto" w:fill="auto"/>
          <w:tblCellMar>
            <w:top w:w="0" w:type="dxa"/>
            <w:left w:w="0" w:type="dxa"/>
            <w:bottom w:w="0" w:type="dxa"/>
            <w:right w:w="0" w:type="dxa"/>
          </w:tblCellMar>
        </w:tblPrEx>
        <w:trPr>
          <w:trHeight w:val="520" w:hRule="atLeast"/>
        </w:trPr>
        <w:tc>
          <w:tcPr>
            <w:tcW w:w="369"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过程</w:t>
            </w:r>
          </w:p>
        </w:tc>
        <w:tc>
          <w:tcPr>
            <w:tcW w:w="893"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预算</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执行</w:t>
            </w:r>
          </w:p>
        </w:tc>
        <w:tc>
          <w:tcPr>
            <w:tcW w:w="22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预算完成率</w:t>
            </w:r>
          </w:p>
        </w:tc>
        <w:tc>
          <w:tcPr>
            <w:tcW w:w="72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r>
      <w:tr>
        <w:tblPrEx>
          <w:shd w:val="clear" w:color="auto" w:fill="auto"/>
          <w:tblCellMar>
            <w:top w:w="0" w:type="dxa"/>
            <w:left w:w="0" w:type="dxa"/>
            <w:bottom w:w="0" w:type="dxa"/>
            <w:right w:w="0" w:type="dxa"/>
          </w:tblCellMar>
        </w:tblPrEx>
        <w:trPr>
          <w:trHeight w:val="520" w:hRule="atLeast"/>
        </w:trPr>
        <w:tc>
          <w:tcPr>
            <w:tcW w:w="369"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9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2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预算调整率</w:t>
            </w:r>
          </w:p>
        </w:tc>
        <w:tc>
          <w:tcPr>
            <w:tcW w:w="72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0.53</w:t>
            </w:r>
          </w:p>
        </w:tc>
      </w:tr>
      <w:tr>
        <w:tblPrEx>
          <w:shd w:val="clear" w:color="auto" w:fill="auto"/>
          <w:tblCellMar>
            <w:top w:w="0" w:type="dxa"/>
            <w:left w:w="0" w:type="dxa"/>
            <w:bottom w:w="0" w:type="dxa"/>
            <w:right w:w="0" w:type="dxa"/>
          </w:tblCellMar>
        </w:tblPrEx>
        <w:trPr>
          <w:trHeight w:val="520" w:hRule="atLeast"/>
        </w:trPr>
        <w:tc>
          <w:tcPr>
            <w:tcW w:w="369"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9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2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支付进度率</w:t>
            </w:r>
          </w:p>
        </w:tc>
        <w:tc>
          <w:tcPr>
            <w:tcW w:w="72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1.49</w:t>
            </w:r>
          </w:p>
        </w:tc>
      </w:tr>
      <w:tr>
        <w:tblPrEx>
          <w:tblCellMar>
            <w:top w:w="0" w:type="dxa"/>
            <w:left w:w="0" w:type="dxa"/>
            <w:bottom w:w="0" w:type="dxa"/>
            <w:right w:w="0" w:type="dxa"/>
          </w:tblCellMar>
        </w:tblPrEx>
        <w:trPr>
          <w:trHeight w:val="520" w:hRule="atLeast"/>
        </w:trPr>
        <w:tc>
          <w:tcPr>
            <w:tcW w:w="369"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9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2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结转结余率</w:t>
            </w:r>
          </w:p>
        </w:tc>
        <w:tc>
          <w:tcPr>
            <w:tcW w:w="72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520" w:hRule="atLeast"/>
        </w:trPr>
        <w:tc>
          <w:tcPr>
            <w:tcW w:w="369"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9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2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结转结余变动率</w:t>
            </w:r>
          </w:p>
        </w:tc>
        <w:tc>
          <w:tcPr>
            <w:tcW w:w="72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520" w:hRule="atLeast"/>
        </w:trPr>
        <w:tc>
          <w:tcPr>
            <w:tcW w:w="369"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9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2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公用经费控制率</w:t>
            </w:r>
          </w:p>
        </w:tc>
        <w:tc>
          <w:tcPr>
            <w:tcW w:w="72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780" w:hRule="atLeast"/>
        </w:trPr>
        <w:tc>
          <w:tcPr>
            <w:tcW w:w="369"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9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2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“三公经费”控制率</w:t>
            </w:r>
          </w:p>
        </w:tc>
        <w:tc>
          <w:tcPr>
            <w:tcW w:w="72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r>
      <w:tr>
        <w:tblPrEx>
          <w:shd w:val="clear" w:color="auto" w:fill="auto"/>
          <w:tblCellMar>
            <w:top w:w="0" w:type="dxa"/>
            <w:left w:w="0" w:type="dxa"/>
            <w:bottom w:w="0" w:type="dxa"/>
            <w:right w:w="0" w:type="dxa"/>
          </w:tblCellMar>
        </w:tblPrEx>
        <w:trPr>
          <w:trHeight w:val="520" w:hRule="atLeast"/>
        </w:trPr>
        <w:tc>
          <w:tcPr>
            <w:tcW w:w="369"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9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2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政府采购执行率</w:t>
            </w:r>
          </w:p>
        </w:tc>
        <w:tc>
          <w:tcPr>
            <w:tcW w:w="72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520" w:hRule="atLeast"/>
        </w:trPr>
        <w:tc>
          <w:tcPr>
            <w:tcW w:w="369"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93"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预算</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管理</w:t>
            </w:r>
          </w:p>
        </w:tc>
        <w:tc>
          <w:tcPr>
            <w:tcW w:w="22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管理制度健全性</w:t>
            </w:r>
          </w:p>
        </w:tc>
        <w:tc>
          <w:tcPr>
            <w:tcW w:w="72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r>
      <w:tr>
        <w:tblPrEx>
          <w:shd w:val="clear" w:color="auto" w:fill="auto"/>
          <w:tblCellMar>
            <w:top w:w="0" w:type="dxa"/>
            <w:left w:w="0" w:type="dxa"/>
            <w:bottom w:w="0" w:type="dxa"/>
            <w:right w:w="0" w:type="dxa"/>
          </w:tblCellMar>
        </w:tblPrEx>
        <w:trPr>
          <w:trHeight w:val="520" w:hRule="atLeast"/>
        </w:trPr>
        <w:tc>
          <w:tcPr>
            <w:tcW w:w="369"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9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2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资金使用合规性</w:t>
            </w:r>
          </w:p>
        </w:tc>
        <w:tc>
          <w:tcPr>
            <w:tcW w:w="72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r>
      <w:tr>
        <w:tblPrEx>
          <w:shd w:val="clear" w:color="auto" w:fill="auto"/>
          <w:tblCellMar>
            <w:top w:w="0" w:type="dxa"/>
            <w:left w:w="0" w:type="dxa"/>
            <w:bottom w:w="0" w:type="dxa"/>
            <w:right w:w="0" w:type="dxa"/>
          </w:tblCellMar>
        </w:tblPrEx>
        <w:trPr>
          <w:trHeight w:val="520" w:hRule="atLeast"/>
        </w:trPr>
        <w:tc>
          <w:tcPr>
            <w:tcW w:w="369"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9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2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预决算信息公开性</w:t>
            </w:r>
          </w:p>
        </w:tc>
        <w:tc>
          <w:tcPr>
            <w:tcW w:w="72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0.6</w:t>
            </w: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0.6</w:t>
            </w:r>
          </w:p>
        </w:tc>
      </w:tr>
      <w:tr>
        <w:tblPrEx>
          <w:shd w:val="clear" w:color="auto" w:fill="auto"/>
          <w:tblCellMar>
            <w:top w:w="0" w:type="dxa"/>
            <w:left w:w="0" w:type="dxa"/>
            <w:bottom w:w="0" w:type="dxa"/>
            <w:right w:w="0" w:type="dxa"/>
          </w:tblCellMar>
        </w:tblPrEx>
        <w:trPr>
          <w:trHeight w:val="780" w:hRule="atLeast"/>
        </w:trPr>
        <w:tc>
          <w:tcPr>
            <w:tcW w:w="369"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9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2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运行监控和自评有效性</w:t>
            </w:r>
          </w:p>
        </w:tc>
        <w:tc>
          <w:tcPr>
            <w:tcW w:w="72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r>
      <w:tr>
        <w:tblPrEx>
          <w:tblCellMar>
            <w:top w:w="0" w:type="dxa"/>
            <w:left w:w="0" w:type="dxa"/>
            <w:bottom w:w="0" w:type="dxa"/>
            <w:right w:w="0" w:type="dxa"/>
          </w:tblCellMar>
        </w:tblPrEx>
        <w:trPr>
          <w:trHeight w:val="520" w:hRule="atLeast"/>
        </w:trPr>
        <w:tc>
          <w:tcPr>
            <w:tcW w:w="369"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9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2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基础信息完善性</w:t>
            </w:r>
          </w:p>
        </w:tc>
        <w:tc>
          <w:tcPr>
            <w:tcW w:w="72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0.9</w:t>
            </w: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0.9</w:t>
            </w:r>
          </w:p>
        </w:tc>
      </w:tr>
      <w:tr>
        <w:tblPrEx>
          <w:shd w:val="clear" w:color="auto" w:fill="auto"/>
          <w:tblCellMar>
            <w:top w:w="0" w:type="dxa"/>
            <w:left w:w="0" w:type="dxa"/>
            <w:bottom w:w="0" w:type="dxa"/>
            <w:right w:w="0" w:type="dxa"/>
          </w:tblCellMar>
        </w:tblPrEx>
        <w:trPr>
          <w:trHeight w:val="520" w:hRule="atLeast"/>
        </w:trPr>
        <w:tc>
          <w:tcPr>
            <w:tcW w:w="369"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93"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资产</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管理</w:t>
            </w:r>
          </w:p>
        </w:tc>
        <w:tc>
          <w:tcPr>
            <w:tcW w:w="22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管理制度健全性</w:t>
            </w:r>
          </w:p>
        </w:tc>
        <w:tc>
          <w:tcPr>
            <w:tcW w:w="72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r>
      <w:tr>
        <w:tblPrEx>
          <w:shd w:val="clear" w:color="auto" w:fill="auto"/>
          <w:tblCellMar>
            <w:top w:w="0" w:type="dxa"/>
            <w:left w:w="0" w:type="dxa"/>
            <w:bottom w:w="0" w:type="dxa"/>
            <w:right w:w="0" w:type="dxa"/>
          </w:tblCellMar>
        </w:tblPrEx>
        <w:trPr>
          <w:trHeight w:val="520" w:hRule="atLeast"/>
        </w:trPr>
        <w:tc>
          <w:tcPr>
            <w:tcW w:w="369"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9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2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资产管理安全性</w:t>
            </w:r>
          </w:p>
        </w:tc>
        <w:tc>
          <w:tcPr>
            <w:tcW w:w="72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r>
      <w:tr>
        <w:tblPrEx>
          <w:shd w:val="clear" w:color="auto" w:fill="auto"/>
          <w:tblCellMar>
            <w:top w:w="0" w:type="dxa"/>
            <w:left w:w="0" w:type="dxa"/>
            <w:bottom w:w="0" w:type="dxa"/>
            <w:right w:w="0" w:type="dxa"/>
          </w:tblCellMar>
        </w:tblPrEx>
        <w:trPr>
          <w:trHeight w:val="520" w:hRule="atLeast"/>
        </w:trPr>
        <w:tc>
          <w:tcPr>
            <w:tcW w:w="369"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9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2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固定资产利用率</w:t>
            </w:r>
          </w:p>
        </w:tc>
        <w:tc>
          <w:tcPr>
            <w:tcW w:w="72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520" w:hRule="atLeast"/>
        </w:trPr>
        <w:tc>
          <w:tcPr>
            <w:tcW w:w="369"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产出</w:t>
            </w:r>
          </w:p>
        </w:tc>
        <w:tc>
          <w:tcPr>
            <w:tcW w:w="893"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职责</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履行</w:t>
            </w:r>
          </w:p>
        </w:tc>
        <w:tc>
          <w:tcPr>
            <w:tcW w:w="22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实际完成率</w:t>
            </w:r>
          </w:p>
        </w:tc>
        <w:tc>
          <w:tcPr>
            <w:tcW w:w="72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w:t>
            </w: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w:t>
            </w:r>
          </w:p>
        </w:tc>
      </w:tr>
      <w:tr>
        <w:tblPrEx>
          <w:shd w:val="clear" w:color="auto" w:fill="auto"/>
          <w:tblCellMar>
            <w:top w:w="0" w:type="dxa"/>
            <w:left w:w="0" w:type="dxa"/>
            <w:bottom w:w="0" w:type="dxa"/>
            <w:right w:w="0" w:type="dxa"/>
          </w:tblCellMar>
        </w:tblPrEx>
        <w:trPr>
          <w:trHeight w:val="520" w:hRule="atLeast"/>
        </w:trPr>
        <w:tc>
          <w:tcPr>
            <w:tcW w:w="369"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9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2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完成及时率</w:t>
            </w:r>
          </w:p>
        </w:tc>
        <w:tc>
          <w:tcPr>
            <w:tcW w:w="72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w:t>
            </w: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w:t>
            </w:r>
          </w:p>
        </w:tc>
      </w:tr>
      <w:tr>
        <w:tblPrEx>
          <w:shd w:val="clear" w:color="auto" w:fill="auto"/>
          <w:tblCellMar>
            <w:top w:w="0" w:type="dxa"/>
            <w:left w:w="0" w:type="dxa"/>
            <w:bottom w:w="0" w:type="dxa"/>
            <w:right w:w="0" w:type="dxa"/>
          </w:tblCellMar>
        </w:tblPrEx>
        <w:trPr>
          <w:trHeight w:val="520" w:hRule="atLeast"/>
        </w:trPr>
        <w:tc>
          <w:tcPr>
            <w:tcW w:w="369"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9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2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质量达标率</w:t>
            </w:r>
          </w:p>
        </w:tc>
        <w:tc>
          <w:tcPr>
            <w:tcW w:w="72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w:t>
            </w: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w:t>
            </w:r>
          </w:p>
        </w:tc>
      </w:tr>
      <w:tr>
        <w:tblPrEx>
          <w:shd w:val="clear" w:color="auto" w:fill="auto"/>
          <w:tblCellMar>
            <w:top w:w="0" w:type="dxa"/>
            <w:left w:w="0" w:type="dxa"/>
            <w:bottom w:w="0" w:type="dxa"/>
            <w:right w:w="0" w:type="dxa"/>
          </w:tblCellMar>
        </w:tblPrEx>
        <w:trPr>
          <w:trHeight w:val="520" w:hRule="atLeast"/>
        </w:trPr>
        <w:tc>
          <w:tcPr>
            <w:tcW w:w="369"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9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2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重点工作办结率</w:t>
            </w:r>
          </w:p>
        </w:tc>
        <w:tc>
          <w:tcPr>
            <w:tcW w:w="72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w:t>
            </w: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w:t>
            </w:r>
          </w:p>
        </w:tc>
      </w:tr>
      <w:tr>
        <w:tblPrEx>
          <w:shd w:val="clear" w:color="auto" w:fill="auto"/>
          <w:tblCellMar>
            <w:top w:w="0" w:type="dxa"/>
            <w:left w:w="0" w:type="dxa"/>
            <w:bottom w:w="0" w:type="dxa"/>
            <w:right w:w="0" w:type="dxa"/>
          </w:tblCellMar>
        </w:tblPrEx>
        <w:trPr>
          <w:trHeight w:val="1040" w:hRule="atLeast"/>
        </w:trPr>
        <w:tc>
          <w:tcPr>
            <w:tcW w:w="369"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效果</w:t>
            </w:r>
          </w:p>
        </w:tc>
        <w:tc>
          <w:tcPr>
            <w:tcW w:w="89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经济效益</w:t>
            </w:r>
          </w:p>
        </w:tc>
        <w:tc>
          <w:tcPr>
            <w:tcW w:w="22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农村居民人均可支配收入增速</w:t>
            </w:r>
          </w:p>
        </w:tc>
        <w:tc>
          <w:tcPr>
            <w:tcW w:w="72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r>
      <w:tr>
        <w:tblPrEx>
          <w:shd w:val="clear" w:color="auto" w:fill="auto"/>
          <w:tblCellMar>
            <w:top w:w="0" w:type="dxa"/>
            <w:left w:w="0" w:type="dxa"/>
            <w:bottom w:w="0" w:type="dxa"/>
            <w:right w:w="0" w:type="dxa"/>
          </w:tblCellMar>
        </w:tblPrEx>
        <w:trPr>
          <w:trHeight w:val="520" w:hRule="atLeast"/>
        </w:trPr>
        <w:tc>
          <w:tcPr>
            <w:tcW w:w="369"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9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社会效益</w:t>
            </w:r>
          </w:p>
        </w:tc>
        <w:tc>
          <w:tcPr>
            <w:tcW w:w="22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新增固定资产投资</w:t>
            </w:r>
          </w:p>
        </w:tc>
        <w:tc>
          <w:tcPr>
            <w:tcW w:w="72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r>
      <w:tr>
        <w:tblPrEx>
          <w:shd w:val="clear" w:color="auto" w:fill="auto"/>
          <w:tblCellMar>
            <w:top w:w="0" w:type="dxa"/>
            <w:left w:w="0" w:type="dxa"/>
            <w:bottom w:w="0" w:type="dxa"/>
            <w:right w:w="0" w:type="dxa"/>
          </w:tblCellMar>
        </w:tblPrEx>
        <w:trPr>
          <w:trHeight w:val="780" w:hRule="atLeast"/>
        </w:trPr>
        <w:tc>
          <w:tcPr>
            <w:tcW w:w="369"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9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生态效益</w:t>
            </w:r>
          </w:p>
        </w:tc>
        <w:tc>
          <w:tcPr>
            <w:tcW w:w="22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空气质量综合指数变动情况</w:t>
            </w:r>
          </w:p>
        </w:tc>
        <w:tc>
          <w:tcPr>
            <w:tcW w:w="72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r>
      <w:tr>
        <w:tblPrEx>
          <w:shd w:val="clear" w:color="auto" w:fill="auto"/>
          <w:tblCellMar>
            <w:top w:w="0" w:type="dxa"/>
            <w:left w:w="0" w:type="dxa"/>
            <w:bottom w:w="0" w:type="dxa"/>
            <w:right w:w="0" w:type="dxa"/>
          </w:tblCellMar>
        </w:tblPrEx>
        <w:trPr>
          <w:trHeight w:val="520" w:hRule="atLeast"/>
        </w:trPr>
        <w:tc>
          <w:tcPr>
            <w:tcW w:w="369"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9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可持续影响</w:t>
            </w:r>
          </w:p>
        </w:tc>
        <w:tc>
          <w:tcPr>
            <w:tcW w:w="22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安全保障</w:t>
            </w:r>
          </w:p>
        </w:tc>
        <w:tc>
          <w:tcPr>
            <w:tcW w:w="72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r>
      <w:tr>
        <w:tblPrEx>
          <w:shd w:val="clear" w:color="auto" w:fill="auto"/>
          <w:tblCellMar>
            <w:top w:w="0" w:type="dxa"/>
            <w:left w:w="0" w:type="dxa"/>
            <w:bottom w:w="0" w:type="dxa"/>
            <w:right w:w="0" w:type="dxa"/>
          </w:tblCellMar>
        </w:tblPrEx>
        <w:trPr>
          <w:trHeight w:val="780" w:hRule="atLeast"/>
        </w:trPr>
        <w:tc>
          <w:tcPr>
            <w:tcW w:w="369"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9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满意度</w:t>
            </w:r>
          </w:p>
        </w:tc>
        <w:tc>
          <w:tcPr>
            <w:tcW w:w="22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社会公众或服务对象满意度</w:t>
            </w:r>
          </w:p>
        </w:tc>
        <w:tc>
          <w:tcPr>
            <w:tcW w:w="72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r>
      <w:tr>
        <w:tblPrEx>
          <w:shd w:val="clear" w:color="auto" w:fill="auto"/>
          <w:tblCellMar>
            <w:top w:w="0" w:type="dxa"/>
            <w:left w:w="0" w:type="dxa"/>
            <w:bottom w:w="0" w:type="dxa"/>
            <w:right w:w="0" w:type="dxa"/>
          </w:tblCellMar>
        </w:tblPrEx>
        <w:trPr>
          <w:trHeight w:val="300" w:hRule="atLeast"/>
        </w:trPr>
        <w:tc>
          <w:tcPr>
            <w:tcW w:w="3557" w:type="pct"/>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合计</w:t>
            </w:r>
          </w:p>
        </w:tc>
        <w:tc>
          <w:tcPr>
            <w:tcW w:w="72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100</w:t>
            </w: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 xml:space="preserve">88.14 </w:t>
            </w:r>
          </w:p>
        </w:tc>
      </w:tr>
    </w:tbl>
    <w:p>
      <w:pPr>
        <w:pStyle w:val="3"/>
        <w:sectPr>
          <w:pgSz w:w="11910" w:h="16840"/>
          <w:pgMar w:top="2098" w:right="1474" w:bottom="1984" w:left="1587" w:header="1017" w:footer="1206" w:gutter="0"/>
          <w:pgNumType w:fmt="numberInDash"/>
          <w:cols w:equalWidth="0" w:num="1">
            <w:col w:w="8810"/>
          </w:cols>
          <w:docGrid w:linePitch="326" w:charSpace="0"/>
        </w:sectPr>
      </w:pP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bookmarkStart w:id="36" w:name="_Toc2728"/>
      <w:bookmarkStart w:id="37" w:name="_Toc13811"/>
      <w:bookmarkStart w:id="38" w:name="_Toc2079370722_WPSOffice_Level2"/>
      <w:bookmarkStart w:id="39" w:name="_Toc1721938646_WPSOffice_Level2"/>
      <w:r>
        <w:rPr>
          <w:rFonts w:hint="eastAsia" w:ascii="黑体" w:hAnsi="黑体" w:eastAsia="黑体" w:cs="黑体"/>
          <w:color w:val="auto"/>
          <w:kern w:val="0"/>
          <w:sz w:val="32"/>
          <w:szCs w:val="32"/>
          <w:highlight w:val="none"/>
          <w:shd w:val="clear" w:color="auto" w:fill="FFFFFF"/>
          <w:lang w:val="en-US" w:eastAsia="zh-CN"/>
        </w:rPr>
        <w:t>附件2 问题清单</w:t>
      </w:r>
      <w:bookmarkEnd w:id="36"/>
    </w:p>
    <w:p>
      <w:pPr>
        <w:pStyle w:val="2"/>
        <w:rPr>
          <w:rFonts w:hint="eastAsia"/>
          <w:lang w:val="en-US" w:eastAsia="zh-CN"/>
        </w:rPr>
      </w:pPr>
    </w:p>
    <w:p>
      <w:pPr>
        <w:pStyle w:val="2"/>
        <w:keepNext w:val="0"/>
        <w:keepLines w:val="0"/>
        <w:pageBreakBefore w:val="0"/>
        <w:widowControl w:val="0"/>
        <w:kinsoku/>
        <w:wordWrap/>
        <w:overflowPunct/>
        <w:topLinePunct w:val="0"/>
        <w:autoSpaceDE w:val="0"/>
        <w:autoSpaceDN w:val="0"/>
        <w:bidi w:val="0"/>
        <w:adjustRightInd/>
        <w:snapToGrid/>
        <w:spacing w:before="0" w:line="600" w:lineRule="exact"/>
        <w:ind w:left="221"/>
        <w:jc w:val="center"/>
        <w:textAlignment w:val="auto"/>
        <w:rPr>
          <w:rFonts w:hint="eastAsia" w:asciiTheme="minorEastAsia" w:hAnsiTheme="minorEastAsia" w:eastAsiaTheme="minorEastAsia" w:cstheme="minorEastAsia"/>
          <w:b/>
          <w:bCs/>
          <w:color w:val="auto"/>
          <w:kern w:val="0"/>
          <w:sz w:val="36"/>
          <w:szCs w:val="36"/>
          <w:highlight w:val="none"/>
          <w:shd w:val="clear" w:color="auto" w:fill="FFFFFF"/>
          <w:lang w:val="en-US" w:eastAsia="zh-CN"/>
        </w:rPr>
      </w:pPr>
      <w:r>
        <w:rPr>
          <w:rFonts w:hint="eastAsia" w:asciiTheme="minorEastAsia" w:hAnsiTheme="minorEastAsia" w:eastAsiaTheme="minorEastAsia" w:cstheme="minorEastAsia"/>
          <w:b/>
          <w:bCs/>
          <w:color w:val="auto"/>
          <w:kern w:val="0"/>
          <w:sz w:val="36"/>
          <w:szCs w:val="36"/>
          <w:highlight w:val="none"/>
          <w:shd w:val="clear" w:color="auto" w:fill="FFFFFF"/>
          <w:lang w:val="en-US" w:eastAsia="zh-CN"/>
        </w:rPr>
        <w:t>铜川市新区2021年度住房建设和交通运输局部门整体</w:t>
      </w:r>
    </w:p>
    <w:p>
      <w:pPr>
        <w:pStyle w:val="2"/>
        <w:keepNext w:val="0"/>
        <w:keepLines w:val="0"/>
        <w:pageBreakBefore w:val="0"/>
        <w:widowControl w:val="0"/>
        <w:kinsoku/>
        <w:wordWrap/>
        <w:overflowPunct/>
        <w:topLinePunct w:val="0"/>
        <w:autoSpaceDE w:val="0"/>
        <w:autoSpaceDN w:val="0"/>
        <w:bidi w:val="0"/>
        <w:adjustRightInd/>
        <w:snapToGrid/>
        <w:spacing w:before="0" w:line="600" w:lineRule="exact"/>
        <w:ind w:left="221"/>
        <w:jc w:val="center"/>
        <w:textAlignment w:val="auto"/>
        <w:rPr>
          <w:rFonts w:hint="default"/>
          <w:lang w:val="en-US" w:eastAsia="zh-CN"/>
        </w:rPr>
      </w:pPr>
      <w:r>
        <w:rPr>
          <w:rFonts w:hint="eastAsia" w:asciiTheme="minorEastAsia" w:hAnsiTheme="minorEastAsia" w:eastAsiaTheme="minorEastAsia" w:cstheme="minorEastAsia"/>
          <w:b/>
          <w:bCs/>
          <w:color w:val="auto"/>
          <w:kern w:val="0"/>
          <w:sz w:val="36"/>
          <w:szCs w:val="36"/>
          <w:highlight w:val="none"/>
          <w:shd w:val="clear" w:color="auto" w:fill="FFFFFF"/>
          <w:lang w:val="en-US" w:eastAsia="zh-CN"/>
        </w:rPr>
        <w:t>绩效评价</w:t>
      </w:r>
      <w:r>
        <w:rPr>
          <w:rFonts w:hint="eastAsia" w:ascii="宋体" w:hAnsi="宋体" w:eastAsia="宋体" w:cs="宋体"/>
          <w:b/>
          <w:bCs/>
          <w:color w:val="auto"/>
          <w:kern w:val="0"/>
          <w:sz w:val="36"/>
          <w:szCs w:val="36"/>
          <w:highlight w:val="none"/>
          <w:shd w:val="clear" w:color="auto" w:fill="FFFFFF"/>
          <w:lang w:val="en-US" w:eastAsia="zh-CN"/>
        </w:rPr>
        <w:t>问题清单</w:t>
      </w:r>
    </w:p>
    <w:tbl>
      <w:tblPr>
        <w:tblStyle w:val="16"/>
        <w:tblW w:w="4925" w:type="pct"/>
        <w:tblInd w:w="-2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53"/>
        <w:gridCol w:w="765"/>
        <w:gridCol w:w="54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0" w:hRule="atLeast"/>
        </w:trPr>
        <w:tc>
          <w:tcPr>
            <w:tcW w:w="1492"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问题分类</w:t>
            </w:r>
          </w:p>
        </w:tc>
        <w:tc>
          <w:tcPr>
            <w:tcW w:w="430"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序号</w:t>
            </w:r>
          </w:p>
        </w:tc>
        <w:tc>
          <w:tcPr>
            <w:tcW w:w="3077"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问题描述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1492"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投入存在的问题</w:t>
            </w:r>
          </w:p>
        </w:tc>
        <w:tc>
          <w:tcPr>
            <w:tcW w:w="430"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w:t>
            </w:r>
          </w:p>
        </w:tc>
        <w:tc>
          <w:tcPr>
            <w:tcW w:w="3077"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未设定部门整体支出绩效目标。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1492" w:type="pct"/>
            <w:vMerge w:val="restar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过程存在的问题</w:t>
            </w:r>
          </w:p>
        </w:tc>
        <w:tc>
          <w:tcPr>
            <w:tcW w:w="430"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w:t>
            </w:r>
          </w:p>
        </w:tc>
        <w:tc>
          <w:tcPr>
            <w:tcW w:w="3077"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预算调整比例较高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1492" w:type="pct"/>
            <w:vMerge w:val="continue"/>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430"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w:t>
            </w:r>
          </w:p>
        </w:tc>
        <w:tc>
          <w:tcPr>
            <w:tcW w:w="3077"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公用经费支出控制力度不足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1492" w:type="pct"/>
            <w:vMerge w:val="continue"/>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430"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w:t>
            </w:r>
          </w:p>
        </w:tc>
        <w:tc>
          <w:tcPr>
            <w:tcW w:w="3077"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政府采购执行率有待加强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1492"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产出存在的问题</w:t>
            </w:r>
          </w:p>
        </w:tc>
        <w:tc>
          <w:tcPr>
            <w:tcW w:w="430"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w:t>
            </w:r>
          </w:p>
        </w:tc>
        <w:tc>
          <w:tcPr>
            <w:tcW w:w="3077"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提升绩效目标项目指标值合理性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1492"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效益存在的问题</w:t>
            </w:r>
          </w:p>
        </w:tc>
        <w:tc>
          <w:tcPr>
            <w:tcW w:w="430"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w:t>
            </w:r>
          </w:p>
        </w:tc>
        <w:tc>
          <w:tcPr>
            <w:tcW w:w="3077"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default" w:ascii="仿宋" w:hAnsi="仿宋" w:eastAsia="仿宋" w:cs="仿宋"/>
                <w:i w:val="0"/>
                <w:iCs w:val="0"/>
                <w:color w:val="000000"/>
                <w:kern w:val="0"/>
                <w:sz w:val="24"/>
                <w:szCs w:val="24"/>
                <w:highlight w:val="none"/>
                <w:u w:val="none"/>
                <w:lang w:val="en-US" w:eastAsia="zh-CN" w:bidi="ar"/>
              </w:rPr>
              <w:t>特色农业发展</w:t>
            </w:r>
            <w:r>
              <w:rPr>
                <w:rFonts w:hint="eastAsia" w:ascii="仿宋" w:hAnsi="仿宋" w:eastAsia="仿宋" w:cs="仿宋"/>
                <w:i w:val="0"/>
                <w:iCs w:val="0"/>
                <w:color w:val="000000"/>
                <w:kern w:val="0"/>
                <w:sz w:val="24"/>
                <w:szCs w:val="24"/>
                <w:highlight w:val="none"/>
                <w:u w:val="none"/>
                <w:lang w:val="en-US" w:eastAsia="zh-CN" w:bidi="ar"/>
              </w:rPr>
              <w:t>需进一步推动</w:t>
            </w:r>
          </w:p>
        </w:tc>
      </w:tr>
    </w:tbl>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sectPr>
          <w:footerReference r:id="rId6" w:type="default"/>
          <w:pgSz w:w="11910" w:h="16840"/>
          <w:pgMar w:top="2098" w:right="1474" w:bottom="1984" w:left="1587" w:header="1017" w:footer="1206" w:gutter="0"/>
          <w:pgNumType w:fmt="numberInDash"/>
          <w:cols w:equalWidth="0" w:num="1">
            <w:col w:w="8810"/>
          </w:cols>
        </w:sectPr>
      </w:pPr>
    </w:p>
    <w:p>
      <w:pPr>
        <w:widowControl w:val="0"/>
        <w:numPr>
          <w:ilvl w:val="0"/>
          <w:numId w:val="0"/>
        </w:numPr>
        <w:jc w:val="both"/>
        <w:outlineLvl w:val="9"/>
        <w:rPr>
          <w:rFonts w:hint="eastAsia" w:cs="宋体"/>
          <w:b/>
          <w:bCs/>
          <w:color w:val="auto"/>
          <w:kern w:val="0"/>
          <w:sz w:val="36"/>
          <w:szCs w:val="36"/>
          <w:highlight w:val="none"/>
          <w:shd w:val="clear" w:color="auto" w:fill="FFFFFF"/>
          <w:lang w:val="en-US" w:eastAsia="zh-CN"/>
        </w:rPr>
      </w:pPr>
      <w:r>
        <w:rPr>
          <w:rFonts w:hint="eastAsia" w:cs="宋体"/>
          <w:b/>
          <w:bCs/>
          <w:color w:val="auto"/>
          <w:kern w:val="0"/>
          <w:sz w:val="36"/>
          <w:szCs w:val="36"/>
          <w:highlight w:val="none"/>
          <w:shd w:val="clear" w:color="auto" w:fill="FFFFFF"/>
          <w:lang w:val="en-US" w:eastAsia="zh-CN"/>
        </w:rPr>
        <w:t xml:space="preserve">附件3 </w:t>
      </w:r>
    </w:p>
    <w:p>
      <w:pPr>
        <w:widowControl w:val="0"/>
        <w:numPr>
          <w:ilvl w:val="0"/>
          <w:numId w:val="0"/>
        </w:numPr>
        <w:jc w:val="center"/>
        <w:outlineLvl w:val="9"/>
        <w:rPr>
          <w:rFonts w:hint="eastAsia" w:ascii="宋体" w:hAnsi="宋体" w:eastAsia="宋体" w:cs="宋体"/>
          <w:b/>
          <w:bCs/>
          <w:color w:val="auto"/>
          <w:kern w:val="0"/>
          <w:sz w:val="36"/>
          <w:szCs w:val="36"/>
          <w:highlight w:val="none"/>
          <w:shd w:val="clear" w:color="auto" w:fill="FFFFFF"/>
          <w:lang w:val="en-US" w:eastAsia="zh-Hans"/>
        </w:rPr>
      </w:pPr>
      <w:r>
        <w:rPr>
          <w:rFonts w:hint="eastAsia" w:ascii="宋体" w:hAnsi="宋体" w:eastAsia="宋体" w:cs="宋体"/>
          <w:b/>
          <w:bCs/>
          <w:color w:val="auto"/>
          <w:kern w:val="0"/>
          <w:sz w:val="36"/>
          <w:szCs w:val="36"/>
          <w:highlight w:val="none"/>
          <w:shd w:val="clear" w:color="auto" w:fill="FFFFFF"/>
          <w:lang w:val="en-US" w:eastAsia="zh-Hans"/>
        </w:rPr>
        <w:t>202</w:t>
      </w:r>
      <w:r>
        <w:rPr>
          <w:rFonts w:hint="eastAsia" w:cs="宋体"/>
          <w:b/>
          <w:bCs/>
          <w:color w:val="auto"/>
          <w:kern w:val="0"/>
          <w:sz w:val="36"/>
          <w:szCs w:val="36"/>
          <w:highlight w:val="none"/>
          <w:shd w:val="clear" w:color="auto" w:fill="FFFFFF"/>
          <w:lang w:val="en-US" w:eastAsia="zh-CN"/>
        </w:rPr>
        <w:t>1</w:t>
      </w:r>
      <w:r>
        <w:rPr>
          <w:rFonts w:hint="eastAsia" w:ascii="宋体" w:hAnsi="宋体" w:eastAsia="宋体" w:cs="宋体"/>
          <w:b/>
          <w:bCs/>
          <w:color w:val="auto"/>
          <w:kern w:val="0"/>
          <w:sz w:val="36"/>
          <w:szCs w:val="36"/>
          <w:highlight w:val="none"/>
          <w:shd w:val="clear" w:color="auto" w:fill="FFFFFF"/>
          <w:lang w:val="en-US" w:eastAsia="zh-Hans"/>
        </w:rPr>
        <w:t>年度</w:t>
      </w:r>
      <w:r>
        <w:rPr>
          <w:rFonts w:hint="eastAsia" w:ascii="宋体" w:hAnsi="宋体" w:eastAsia="宋体" w:cs="宋体"/>
          <w:b/>
          <w:bCs/>
          <w:color w:val="auto"/>
          <w:kern w:val="0"/>
          <w:sz w:val="36"/>
          <w:szCs w:val="36"/>
          <w:highlight w:val="none"/>
          <w:shd w:val="clear" w:color="auto" w:fill="FFFFFF"/>
          <w:lang w:val="en-US" w:eastAsia="zh-CN"/>
        </w:rPr>
        <w:t>铜川市新区</w:t>
      </w:r>
      <w:r>
        <w:rPr>
          <w:rFonts w:hint="eastAsia" w:cs="宋体"/>
          <w:b/>
          <w:bCs/>
          <w:color w:val="auto"/>
          <w:kern w:val="0"/>
          <w:sz w:val="36"/>
          <w:szCs w:val="36"/>
          <w:highlight w:val="none"/>
          <w:shd w:val="clear" w:color="auto" w:fill="FFFFFF"/>
          <w:lang w:val="en-US" w:eastAsia="zh-CN"/>
        </w:rPr>
        <w:t>住房建设和交通运输局</w:t>
      </w:r>
      <w:r>
        <w:rPr>
          <w:rFonts w:hint="eastAsia" w:ascii="宋体" w:hAnsi="宋体" w:eastAsia="宋体" w:cs="宋体"/>
          <w:b/>
          <w:bCs/>
          <w:color w:val="auto"/>
          <w:kern w:val="0"/>
          <w:sz w:val="36"/>
          <w:szCs w:val="36"/>
          <w:highlight w:val="none"/>
          <w:shd w:val="clear" w:color="auto" w:fill="FFFFFF"/>
          <w:lang w:val="en-US" w:eastAsia="zh-CN"/>
        </w:rPr>
        <w:t>部门</w:t>
      </w:r>
      <w:r>
        <w:rPr>
          <w:rFonts w:hint="eastAsia" w:ascii="宋体" w:hAnsi="宋体" w:eastAsia="宋体" w:cs="宋体"/>
          <w:b/>
          <w:bCs/>
          <w:color w:val="auto"/>
          <w:kern w:val="0"/>
          <w:sz w:val="36"/>
          <w:szCs w:val="36"/>
          <w:highlight w:val="none"/>
          <w:shd w:val="clear" w:color="auto" w:fill="FFFFFF"/>
          <w:lang w:val="en-US" w:eastAsia="zh-Hans"/>
        </w:rPr>
        <w:t>整体</w:t>
      </w:r>
    </w:p>
    <w:p>
      <w:pPr>
        <w:widowControl w:val="0"/>
        <w:numPr>
          <w:ilvl w:val="0"/>
          <w:numId w:val="0"/>
        </w:numPr>
        <w:jc w:val="center"/>
        <w:outlineLvl w:val="9"/>
        <w:rPr>
          <w:rFonts w:hint="eastAsia" w:cs="宋体"/>
          <w:b/>
          <w:bCs/>
          <w:color w:val="auto"/>
          <w:kern w:val="0"/>
          <w:sz w:val="36"/>
          <w:szCs w:val="36"/>
          <w:highlight w:val="none"/>
          <w:shd w:val="clear" w:color="auto" w:fill="FFFFFF"/>
          <w:lang w:val="en-US" w:eastAsia="zh-CN"/>
        </w:rPr>
      </w:pPr>
      <w:r>
        <w:rPr>
          <w:rFonts w:hint="eastAsia" w:ascii="宋体" w:hAnsi="宋体" w:eastAsia="宋体" w:cs="宋体"/>
          <w:b/>
          <w:bCs/>
          <w:color w:val="auto"/>
          <w:kern w:val="0"/>
          <w:sz w:val="36"/>
          <w:szCs w:val="36"/>
          <w:highlight w:val="none"/>
          <w:shd w:val="clear" w:color="auto" w:fill="FFFFFF"/>
          <w:lang w:val="en-US" w:eastAsia="zh-CN"/>
        </w:rPr>
        <w:t>绩效评价</w:t>
      </w:r>
      <w:r>
        <w:rPr>
          <w:rFonts w:hint="eastAsia" w:cs="宋体"/>
          <w:b/>
          <w:bCs/>
          <w:color w:val="auto"/>
          <w:kern w:val="0"/>
          <w:sz w:val="36"/>
          <w:szCs w:val="36"/>
          <w:highlight w:val="none"/>
          <w:shd w:val="clear" w:color="auto" w:fill="FFFFFF"/>
          <w:lang w:val="en-US" w:eastAsia="zh-CN"/>
        </w:rPr>
        <w:t>指标体系</w:t>
      </w:r>
    </w:p>
    <w:tbl>
      <w:tblPr>
        <w:tblStyle w:val="16"/>
        <w:tblW w:w="4998" w:type="pct"/>
        <w:tblInd w:w="0" w:type="dxa"/>
        <w:shd w:val="clear" w:color="auto" w:fill="auto"/>
        <w:tblLayout w:type="autofit"/>
        <w:tblCellMar>
          <w:top w:w="0" w:type="dxa"/>
          <w:left w:w="0" w:type="dxa"/>
          <w:bottom w:w="0" w:type="dxa"/>
          <w:right w:w="0" w:type="dxa"/>
        </w:tblCellMar>
      </w:tblPr>
      <w:tblGrid>
        <w:gridCol w:w="877"/>
        <w:gridCol w:w="878"/>
        <w:gridCol w:w="878"/>
        <w:gridCol w:w="1907"/>
        <w:gridCol w:w="3408"/>
        <w:gridCol w:w="878"/>
      </w:tblGrid>
      <w:tr>
        <w:tblPrEx>
          <w:shd w:val="clear" w:color="auto" w:fill="auto"/>
          <w:tblCellMar>
            <w:top w:w="0" w:type="dxa"/>
            <w:left w:w="0" w:type="dxa"/>
            <w:bottom w:w="0" w:type="dxa"/>
            <w:right w:w="0" w:type="dxa"/>
          </w:tblCellMar>
        </w:tblPrEx>
        <w:trPr>
          <w:trHeight w:val="520" w:hRule="atLeast"/>
        </w:trPr>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b/>
                <w:i w:val="0"/>
                <w:color w:val="000000"/>
                <w:kern w:val="0"/>
                <w:sz w:val="20"/>
                <w:szCs w:val="20"/>
                <w:u w:val="none"/>
                <w:lang w:val="en-US" w:eastAsia="zh-CN" w:bidi="ar"/>
              </w:rPr>
            </w:pPr>
            <w:r>
              <w:rPr>
                <w:rFonts w:hint="default" w:ascii="楷体_GB2312" w:hAnsi="宋体" w:eastAsia="楷体_GB2312" w:cs="楷体_GB2312"/>
                <w:b/>
                <w:i w:val="0"/>
                <w:color w:val="000000"/>
                <w:kern w:val="0"/>
                <w:sz w:val="20"/>
                <w:szCs w:val="20"/>
                <w:u w:val="none"/>
                <w:lang w:val="en-US" w:eastAsia="zh-CN" w:bidi="ar"/>
              </w:rPr>
              <w:t>一级</w:t>
            </w:r>
          </w:p>
          <w:p>
            <w:pPr>
              <w:keepNext w:val="0"/>
              <w:keepLines w:val="0"/>
              <w:widowControl/>
              <w:suppressLineNumbers w:val="0"/>
              <w:jc w:val="center"/>
              <w:textAlignment w:val="center"/>
              <w:rPr>
                <w:rFonts w:ascii="楷体_GB2312" w:hAnsi="宋体" w:eastAsia="楷体_GB2312" w:cs="楷体_GB2312"/>
                <w:b/>
                <w:i w:val="0"/>
                <w:color w:val="000000"/>
                <w:sz w:val="20"/>
                <w:szCs w:val="20"/>
                <w:u w:val="none"/>
              </w:rPr>
            </w:pPr>
            <w:r>
              <w:rPr>
                <w:rFonts w:hint="default" w:ascii="楷体_GB2312" w:hAnsi="宋体" w:eastAsia="楷体_GB2312" w:cs="楷体_GB2312"/>
                <w:b/>
                <w:i w:val="0"/>
                <w:color w:val="000000"/>
                <w:kern w:val="0"/>
                <w:sz w:val="20"/>
                <w:szCs w:val="20"/>
                <w:u w:val="none"/>
                <w:lang w:val="en-US" w:eastAsia="zh-CN" w:bidi="ar"/>
              </w:rPr>
              <w:t>指标</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b/>
                <w:i w:val="0"/>
                <w:color w:val="000000"/>
                <w:kern w:val="0"/>
                <w:sz w:val="20"/>
                <w:szCs w:val="20"/>
                <w:u w:val="none"/>
                <w:lang w:val="en-US" w:eastAsia="zh-CN" w:bidi="ar"/>
              </w:rPr>
            </w:pPr>
            <w:r>
              <w:rPr>
                <w:rFonts w:hint="default" w:ascii="楷体_GB2312" w:hAnsi="宋体" w:eastAsia="楷体_GB2312" w:cs="楷体_GB2312"/>
                <w:b/>
                <w:i w:val="0"/>
                <w:color w:val="000000"/>
                <w:kern w:val="0"/>
                <w:sz w:val="20"/>
                <w:szCs w:val="20"/>
                <w:u w:val="none"/>
                <w:lang w:val="en-US" w:eastAsia="zh-CN" w:bidi="ar"/>
              </w:rPr>
              <w:t>二级</w:t>
            </w:r>
          </w:p>
          <w:p>
            <w:pPr>
              <w:keepNext w:val="0"/>
              <w:keepLines w:val="0"/>
              <w:widowControl/>
              <w:suppressLineNumbers w:val="0"/>
              <w:jc w:val="center"/>
              <w:textAlignment w:val="center"/>
              <w:rPr>
                <w:rFonts w:hint="default" w:ascii="楷体_GB2312" w:hAnsi="宋体" w:eastAsia="楷体_GB2312" w:cs="楷体_GB2312"/>
                <w:b/>
                <w:i w:val="0"/>
                <w:color w:val="000000"/>
                <w:sz w:val="20"/>
                <w:szCs w:val="20"/>
                <w:u w:val="none"/>
              </w:rPr>
            </w:pPr>
            <w:r>
              <w:rPr>
                <w:rFonts w:hint="default" w:ascii="楷体_GB2312" w:hAnsi="宋体" w:eastAsia="楷体_GB2312" w:cs="楷体_GB2312"/>
                <w:b/>
                <w:i w:val="0"/>
                <w:color w:val="000000"/>
                <w:kern w:val="0"/>
                <w:sz w:val="20"/>
                <w:szCs w:val="20"/>
                <w:u w:val="none"/>
                <w:lang w:val="en-US" w:eastAsia="zh-CN" w:bidi="ar"/>
              </w:rPr>
              <w:t>指标</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b/>
                <w:i w:val="0"/>
                <w:color w:val="000000"/>
                <w:sz w:val="20"/>
                <w:szCs w:val="20"/>
                <w:u w:val="none"/>
              </w:rPr>
            </w:pPr>
            <w:r>
              <w:rPr>
                <w:rFonts w:hint="default" w:ascii="楷体_GB2312" w:hAnsi="宋体" w:eastAsia="楷体_GB2312" w:cs="楷体_GB2312"/>
                <w:b/>
                <w:i w:val="0"/>
                <w:color w:val="000000"/>
                <w:kern w:val="0"/>
                <w:sz w:val="20"/>
                <w:szCs w:val="20"/>
                <w:u w:val="none"/>
                <w:lang w:val="en-US" w:eastAsia="zh-CN" w:bidi="ar"/>
              </w:rPr>
              <w:t>三级指标</w:t>
            </w:r>
          </w:p>
        </w:tc>
        <w:tc>
          <w:tcPr>
            <w:tcW w:w="107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b/>
                <w:i w:val="0"/>
                <w:color w:val="000000"/>
                <w:sz w:val="20"/>
                <w:szCs w:val="20"/>
                <w:u w:val="none"/>
              </w:rPr>
            </w:pPr>
            <w:r>
              <w:rPr>
                <w:rFonts w:hint="default" w:ascii="楷体_GB2312" w:hAnsi="宋体" w:eastAsia="楷体_GB2312" w:cs="楷体_GB2312"/>
                <w:b/>
                <w:i w:val="0"/>
                <w:color w:val="000000"/>
                <w:kern w:val="0"/>
                <w:sz w:val="20"/>
                <w:szCs w:val="20"/>
                <w:u w:val="none"/>
                <w:lang w:val="en-US" w:eastAsia="zh-CN" w:bidi="ar"/>
              </w:rPr>
              <w:t>指标解释</w:t>
            </w:r>
          </w:p>
        </w:tc>
        <w:tc>
          <w:tcPr>
            <w:tcW w:w="193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b/>
                <w:i w:val="0"/>
                <w:color w:val="000000"/>
                <w:sz w:val="20"/>
                <w:szCs w:val="20"/>
                <w:u w:val="none"/>
              </w:rPr>
            </w:pPr>
            <w:r>
              <w:rPr>
                <w:rFonts w:hint="default" w:ascii="楷体_GB2312" w:hAnsi="宋体" w:eastAsia="楷体_GB2312" w:cs="楷体_GB2312"/>
                <w:b/>
                <w:i w:val="0"/>
                <w:color w:val="000000"/>
                <w:kern w:val="0"/>
                <w:sz w:val="20"/>
                <w:szCs w:val="20"/>
                <w:u w:val="none"/>
                <w:lang w:val="en-US" w:eastAsia="zh-CN" w:bidi="ar"/>
              </w:rPr>
              <w:t>评分标准</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b/>
                <w:i w:val="0"/>
                <w:color w:val="000000"/>
                <w:sz w:val="20"/>
                <w:szCs w:val="20"/>
                <w:u w:val="none"/>
              </w:rPr>
            </w:pPr>
            <w:r>
              <w:rPr>
                <w:rFonts w:hint="default" w:ascii="楷体_GB2312" w:hAnsi="宋体" w:eastAsia="楷体_GB2312" w:cs="楷体_GB2312"/>
                <w:b/>
                <w:i w:val="0"/>
                <w:color w:val="000000"/>
                <w:kern w:val="0"/>
                <w:sz w:val="20"/>
                <w:szCs w:val="20"/>
                <w:u w:val="none"/>
                <w:lang w:val="en-US" w:eastAsia="zh-CN" w:bidi="ar"/>
              </w:rPr>
              <w:t>指标分值</w:t>
            </w:r>
          </w:p>
        </w:tc>
      </w:tr>
      <w:tr>
        <w:tblPrEx>
          <w:shd w:val="clear" w:color="auto" w:fill="auto"/>
          <w:tblCellMar>
            <w:top w:w="0" w:type="dxa"/>
            <w:left w:w="0" w:type="dxa"/>
            <w:bottom w:w="0" w:type="dxa"/>
            <w:right w:w="0" w:type="dxa"/>
          </w:tblCellMar>
        </w:tblPrEx>
        <w:trPr>
          <w:trHeight w:val="1820" w:hRule="atLeast"/>
        </w:trPr>
        <w:tc>
          <w:tcPr>
            <w:tcW w:w="497"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投入</w:t>
            </w:r>
          </w:p>
        </w:tc>
        <w:tc>
          <w:tcPr>
            <w:tcW w:w="497"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目标</w:t>
            </w:r>
          </w:p>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设定</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绩效目标合理性</w:t>
            </w:r>
          </w:p>
        </w:tc>
        <w:tc>
          <w:tcPr>
            <w:tcW w:w="107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部门（单位）所设立的整体绩效目标依据充分，符合客观实际，用以反映和考核部门（单位）整体绩效目标与部门履职、年度工作任务的相符性情况。</w:t>
            </w:r>
          </w:p>
        </w:tc>
        <w:tc>
          <w:tcPr>
            <w:tcW w:w="193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1.符合国家法律法规、国民经济和社会发展总体规划；（1分）</w:t>
            </w: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2.符合部门“三定”方案确定的职责；（1分）</w:t>
            </w:r>
          </w:p>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3.符合部门制定的中长期实施规划。（1分）</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3分</w:t>
            </w:r>
          </w:p>
        </w:tc>
      </w:tr>
      <w:tr>
        <w:tblPrEx>
          <w:shd w:val="clear" w:color="auto" w:fill="auto"/>
          <w:tblCellMar>
            <w:top w:w="0" w:type="dxa"/>
            <w:left w:w="0" w:type="dxa"/>
            <w:bottom w:w="0" w:type="dxa"/>
            <w:right w:w="0" w:type="dxa"/>
          </w:tblCellMar>
        </w:tblPrEx>
        <w:trPr>
          <w:trHeight w:val="2080" w:hRule="atLeast"/>
        </w:trPr>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rPr>
                <w:rFonts w:hint="default" w:ascii="楷体_GB2312" w:hAnsi="宋体" w:eastAsia="楷体_GB2312" w:cs="楷体_GB2312"/>
                <w:i w:val="0"/>
                <w:color w:val="000000"/>
                <w:sz w:val="20"/>
                <w:szCs w:val="20"/>
                <w:u w:val="none"/>
              </w:rPr>
            </w:pPr>
          </w:p>
        </w:tc>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绩效指标明确性</w:t>
            </w:r>
          </w:p>
        </w:tc>
        <w:tc>
          <w:tcPr>
            <w:tcW w:w="107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部门（单位）依据整体绩效目标所设定的绩效指标清晰、细化、可衡量，用以反映和考核部门（单位）整体绩效目标的明细化情况。</w:t>
            </w:r>
          </w:p>
        </w:tc>
        <w:tc>
          <w:tcPr>
            <w:tcW w:w="193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1.将部门整体的绩效目标细化分解为具体的工作任务；（1分）</w:t>
            </w: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2.通过清晰、可衡量的指标值予以体现。（1分）                                   3.与部门年度的任务数或计划数相对应；（1分）</w:t>
            </w:r>
          </w:p>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4.与本年度部门预算资金相匹配。（1分）</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4分</w:t>
            </w:r>
          </w:p>
        </w:tc>
      </w:tr>
      <w:tr>
        <w:tblPrEx>
          <w:shd w:val="clear" w:color="auto" w:fill="auto"/>
          <w:tblCellMar>
            <w:top w:w="0" w:type="dxa"/>
            <w:left w:w="0" w:type="dxa"/>
            <w:bottom w:w="0" w:type="dxa"/>
            <w:right w:w="0" w:type="dxa"/>
          </w:tblCellMar>
        </w:tblPrEx>
        <w:trPr>
          <w:trHeight w:val="2080" w:hRule="atLeast"/>
        </w:trPr>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rPr>
                <w:rFonts w:hint="default" w:ascii="楷体_GB2312" w:hAnsi="宋体" w:eastAsia="楷体_GB2312" w:cs="楷体_GB2312"/>
                <w:i w:val="0"/>
                <w:color w:val="000000"/>
                <w:sz w:val="20"/>
                <w:szCs w:val="20"/>
                <w:u w:val="none"/>
              </w:rPr>
            </w:pPr>
          </w:p>
        </w:tc>
        <w:tc>
          <w:tcPr>
            <w:tcW w:w="497"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预算</w:t>
            </w:r>
          </w:p>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配置</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在职人员控制率</w:t>
            </w:r>
          </w:p>
        </w:tc>
        <w:tc>
          <w:tcPr>
            <w:tcW w:w="107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部门（单位）本年度实际在职人员数与编制数的比率，用以反映和考核部门（单位）对人员成本的控制程度。</w:t>
            </w:r>
          </w:p>
        </w:tc>
        <w:tc>
          <w:tcPr>
            <w:tcW w:w="193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在职人员控制率=（在职人员数/编制数）×100%。</w:t>
            </w: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在职人员数：部门（单位）实际在职人数，以财政部确定的部门决算编制口径为准。</w:t>
            </w:r>
          </w:p>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编制数：机构编制部门核定批复的部门（单位）的人员编制数。                                                                                                                                                                       得分=在职人员控制率*2分，此项最高得2分。</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2分</w:t>
            </w:r>
          </w:p>
        </w:tc>
      </w:tr>
      <w:tr>
        <w:tblPrEx>
          <w:shd w:val="clear" w:color="auto" w:fill="auto"/>
          <w:tblCellMar>
            <w:top w:w="0" w:type="dxa"/>
            <w:left w:w="0" w:type="dxa"/>
            <w:bottom w:w="0" w:type="dxa"/>
            <w:right w:w="0" w:type="dxa"/>
          </w:tblCellMar>
        </w:tblPrEx>
        <w:trPr>
          <w:trHeight w:val="1820" w:hRule="atLeast"/>
        </w:trPr>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rPr>
                <w:rFonts w:hint="default" w:ascii="楷体_GB2312" w:hAnsi="宋体" w:eastAsia="楷体_GB2312" w:cs="楷体_GB2312"/>
                <w:i w:val="0"/>
                <w:color w:val="000000"/>
                <w:sz w:val="20"/>
                <w:szCs w:val="20"/>
                <w:u w:val="none"/>
              </w:rPr>
            </w:pPr>
          </w:p>
        </w:tc>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“三公经费”变动率</w:t>
            </w:r>
          </w:p>
        </w:tc>
        <w:tc>
          <w:tcPr>
            <w:tcW w:w="107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部门（单位）本年度“三公经费”预算数与上年度“三公经费”预算数的变动比率，用以反映和考核部门（单位）对控制重点行政成本的努力程度。</w:t>
            </w:r>
          </w:p>
        </w:tc>
        <w:tc>
          <w:tcPr>
            <w:tcW w:w="193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“三公经费”变动率=[（本年度“三公经费”总额-上年度“三公经费”总额）/上年度“三公经费”总额]×100%。</w:t>
            </w:r>
          </w:p>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“三公经费”：年度预算安排的因公出国（境）费、公务车辆购置及运行费和公务招待费。                                                                                                                                                       得分=“三公经费”变动率*2分。</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2分</w:t>
            </w:r>
          </w:p>
        </w:tc>
      </w:tr>
      <w:tr>
        <w:tblPrEx>
          <w:shd w:val="clear" w:color="auto" w:fill="auto"/>
          <w:tblCellMar>
            <w:top w:w="0" w:type="dxa"/>
            <w:left w:w="0" w:type="dxa"/>
            <w:bottom w:w="0" w:type="dxa"/>
            <w:right w:w="0" w:type="dxa"/>
          </w:tblCellMar>
        </w:tblPrEx>
        <w:trPr>
          <w:trHeight w:val="3120" w:hRule="atLeast"/>
        </w:trPr>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rPr>
                <w:rFonts w:hint="default" w:ascii="楷体_GB2312" w:hAnsi="宋体" w:eastAsia="楷体_GB2312" w:cs="楷体_GB2312"/>
                <w:i w:val="0"/>
                <w:color w:val="000000"/>
                <w:sz w:val="20"/>
                <w:szCs w:val="20"/>
                <w:u w:val="none"/>
              </w:rPr>
            </w:pPr>
          </w:p>
        </w:tc>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重点支出安排率</w:t>
            </w:r>
          </w:p>
        </w:tc>
        <w:tc>
          <w:tcPr>
            <w:tcW w:w="107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部门（单位）本年度预算安排的重点项目支出与部门项目总支出的比率，用以反映和考核部门（单位）对履行主要职责或完成重点任务的保障程度。</w:t>
            </w:r>
          </w:p>
        </w:tc>
        <w:tc>
          <w:tcPr>
            <w:tcW w:w="193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重点支出安排率=（重点项目支出/项目总支出）×100%。</w:t>
            </w: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重点项目支出：部门（单位）年度预算安排的，与本部门履职和发展密切相关、具有明显社会和经济影响、党委政府关心或社会比较关注的项目支出总额。</w:t>
            </w:r>
          </w:p>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项目总支出：部门（单位）年度预算安排的项目支出总额。                                                          重点支出安排率大于等于95%的，得满分；完成率小于等于85%的，得0分；完成率在95%-85%之间的，按公式计算得分，得分=重点支出安排率*4分。</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4分</w:t>
            </w:r>
          </w:p>
        </w:tc>
      </w:tr>
      <w:tr>
        <w:tblPrEx>
          <w:shd w:val="clear" w:color="auto" w:fill="auto"/>
          <w:tblCellMar>
            <w:top w:w="0" w:type="dxa"/>
            <w:left w:w="0" w:type="dxa"/>
            <w:bottom w:w="0" w:type="dxa"/>
            <w:right w:w="0" w:type="dxa"/>
          </w:tblCellMar>
        </w:tblPrEx>
        <w:trPr>
          <w:trHeight w:val="2600" w:hRule="atLeast"/>
        </w:trPr>
        <w:tc>
          <w:tcPr>
            <w:tcW w:w="497"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过程</w:t>
            </w:r>
          </w:p>
        </w:tc>
        <w:tc>
          <w:tcPr>
            <w:tcW w:w="497"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预算</w:t>
            </w:r>
          </w:p>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执行</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预算完成率</w:t>
            </w:r>
          </w:p>
        </w:tc>
        <w:tc>
          <w:tcPr>
            <w:tcW w:w="107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 xml:space="preserve"> </w:t>
            </w:r>
          </w:p>
        </w:tc>
        <w:tc>
          <w:tcPr>
            <w:tcW w:w="193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预算完成率=（决算完成数/预算数）×100%。</w:t>
            </w: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决算完成数：部门（单位）本年度实际完成的支出数。</w:t>
            </w:r>
          </w:p>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预算数：财政部门批复的本年度部门（单位）预算数。                                                                                 预算完成率大于等于95%的，得满分；完成率小于等于85%的，得0分；完成率在95%-85%之间的，按公式计算得分，得分=预算完成率*1.5分，此项最高得1.5分。</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1.5分</w:t>
            </w:r>
          </w:p>
        </w:tc>
      </w:tr>
      <w:tr>
        <w:tblPrEx>
          <w:shd w:val="clear" w:color="auto" w:fill="auto"/>
          <w:tblCellMar>
            <w:top w:w="0" w:type="dxa"/>
            <w:left w:w="0" w:type="dxa"/>
            <w:bottom w:w="0" w:type="dxa"/>
            <w:right w:w="0" w:type="dxa"/>
          </w:tblCellMar>
        </w:tblPrEx>
        <w:trPr>
          <w:trHeight w:val="2080" w:hRule="atLeast"/>
        </w:trPr>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预算调整率</w:t>
            </w:r>
          </w:p>
        </w:tc>
        <w:tc>
          <w:tcPr>
            <w:tcW w:w="107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部门（单位）本年度预算调整数与预算数的比率，用以反映和考核部门（单位）预算的调整程度。</w:t>
            </w:r>
          </w:p>
        </w:tc>
        <w:tc>
          <w:tcPr>
            <w:tcW w:w="193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预算调整率=（预算调整数/预算数）×100%。</w:t>
            </w:r>
          </w:p>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预算调整数：部门（单位）在本年度内涉及预算的追加、追减或结构调整的资金总和（因落实国家政策、发生不可抗力、上级部门或本级党委政府临时交办而产生的调整除外）。                                                               得分=（1-预算调整率）×1分</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1分</w:t>
            </w:r>
          </w:p>
        </w:tc>
      </w:tr>
      <w:tr>
        <w:tblPrEx>
          <w:shd w:val="clear" w:color="auto" w:fill="auto"/>
          <w:tblCellMar>
            <w:top w:w="0" w:type="dxa"/>
            <w:left w:w="0" w:type="dxa"/>
            <w:bottom w:w="0" w:type="dxa"/>
            <w:right w:w="0" w:type="dxa"/>
          </w:tblCellMar>
        </w:tblPrEx>
        <w:trPr>
          <w:trHeight w:val="2340" w:hRule="atLeast"/>
        </w:trPr>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支付进度率</w:t>
            </w:r>
          </w:p>
        </w:tc>
        <w:tc>
          <w:tcPr>
            <w:tcW w:w="107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部门（单位）实际支付进度与既定支付进度的比率，用以反映和考核部门（单位）预算执行的及时性和均衡性程度。</w:t>
            </w:r>
          </w:p>
        </w:tc>
        <w:tc>
          <w:tcPr>
            <w:tcW w:w="193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支付进度率=（公共财政支出进度/序时支出进度）×100%。</w:t>
            </w:r>
          </w:p>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 xml:space="preserve">                                                         以3月、6月、9月、11月为时点，用每个时点月底的公共财政支出进度与其序时支出进度的比率。部门实际支出进度大于序时支出进度时，得满分；小于序时支出进度时，按公式计算得分，得分=支付进度率×1.5分。以四个时点平均分为最终得分。</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1.5分</w:t>
            </w:r>
          </w:p>
        </w:tc>
      </w:tr>
      <w:tr>
        <w:tblPrEx>
          <w:shd w:val="clear" w:color="auto" w:fill="auto"/>
          <w:tblCellMar>
            <w:top w:w="0" w:type="dxa"/>
            <w:left w:w="0" w:type="dxa"/>
            <w:bottom w:w="0" w:type="dxa"/>
            <w:right w:w="0" w:type="dxa"/>
          </w:tblCellMar>
        </w:tblPrEx>
        <w:trPr>
          <w:trHeight w:val="2080" w:hRule="atLeast"/>
        </w:trPr>
        <w:tc>
          <w:tcPr>
            <w:tcW w:w="497"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过程</w:t>
            </w:r>
          </w:p>
        </w:tc>
        <w:tc>
          <w:tcPr>
            <w:tcW w:w="497"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预算执行</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结转结余率</w:t>
            </w:r>
          </w:p>
        </w:tc>
        <w:tc>
          <w:tcPr>
            <w:tcW w:w="107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部门（单位）本年度结转结余总额与支出预算数的比率，用以反映和考核部门（单位）对本年度结转结余资金的实际控制程度。</w:t>
            </w:r>
          </w:p>
        </w:tc>
        <w:tc>
          <w:tcPr>
            <w:tcW w:w="193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结转结余率=结转结余总额/决算收入数×100%。</w:t>
            </w:r>
          </w:p>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结转结余总额：部门（单位）本年度的结转资金与结余资金之和（以决算数为准）。                                                      结转结余率小于或等于5%的，得满分；结转结余率大于或等于15%的，得0分；结转结余率在5%-15%之间的，按公式计算得分，得分=（15%-结转结余率)÷（15%-5%）×1分。</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1分</w:t>
            </w:r>
          </w:p>
        </w:tc>
      </w:tr>
      <w:tr>
        <w:tblPrEx>
          <w:shd w:val="clear" w:color="auto" w:fill="auto"/>
          <w:tblCellMar>
            <w:top w:w="0" w:type="dxa"/>
            <w:left w:w="0" w:type="dxa"/>
            <w:bottom w:w="0" w:type="dxa"/>
            <w:right w:w="0" w:type="dxa"/>
          </w:tblCellMar>
        </w:tblPrEx>
        <w:trPr>
          <w:trHeight w:val="1820" w:hRule="atLeast"/>
        </w:trPr>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结转结余变动率</w:t>
            </w:r>
          </w:p>
        </w:tc>
        <w:tc>
          <w:tcPr>
            <w:tcW w:w="107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部门（单位）本年度结转结余资金总额与上年度结转结余资金总额的变动比率，用以反映和考核部门（单位）对控制结转结余资金的努力程度。</w:t>
            </w:r>
          </w:p>
        </w:tc>
        <w:tc>
          <w:tcPr>
            <w:tcW w:w="193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结转结余变动率=[（本年度累计结转结余资金总额-上年度累计结转结余资金总额）/上年度累计结转结余资金总额]×100%。                                                                                                              结转结余变动率小于或等于5%的，得满分；大于或等于15%的，得0分；在5%-15%之间的，按公式计算得分，得分=（15%-结转结余变动率)÷（15%-5%）×1分。</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1分</w:t>
            </w:r>
          </w:p>
        </w:tc>
      </w:tr>
      <w:tr>
        <w:tblPrEx>
          <w:shd w:val="clear" w:color="auto" w:fill="auto"/>
          <w:tblCellMar>
            <w:top w:w="0" w:type="dxa"/>
            <w:left w:w="0" w:type="dxa"/>
            <w:bottom w:w="0" w:type="dxa"/>
            <w:right w:w="0" w:type="dxa"/>
          </w:tblCellMar>
        </w:tblPrEx>
        <w:trPr>
          <w:trHeight w:val="1820" w:hRule="atLeast"/>
        </w:trPr>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公用经费控制率</w:t>
            </w:r>
          </w:p>
        </w:tc>
        <w:tc>
          <w:tcPr>
            <w:tcW w:w="107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部门（单位）本年度实际支出的公用经费总额与预算安排的公用经费总额的比率，用以反映和考核部门（单位）对机构运转成本的实际控制程度。</w:t>
            </w:r>
          </w:p>
        </w:tc>
        <w:tc>
          <w:tcPr>
            <w:tcW w:w="193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公用经费控制率=（实际支出公用经费总额/预算安排公用经费总额）×100%。                                                       公用经费控制率小于或等于100%的得满分，否则得0分。</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1分</w:t>
            </w:r>
          </w:p>
        </w:tc>
      </w:tr>
      <w:tr>
        <w:tblPrEx>
          <w:shd w:val="clear" w:color="auto" w:fill="auto"/>
          <w:tblCellMar>
            <w:top w:w="0" w:type="dxa"/>
            <w:left w:w="0" w:type="dxa"/>
            <w:bottom w:w="0" w:type="dxa"/>
            <w:right w:w="0" w:type="dxa"/>
          </w:tblCellMar>
        </w:tblPrEx>
        <w:trPr>
          <w:trHeight w:val="1560" w:hRule="atLeast"/>
        </w:trPr>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“三公经费”控制率</w:t>
            </w:r>
          </w:p>
        </w:tc>
        <w:tc>
          <w:tcPr>
            <w:tcW w:w="107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部门（单位）本年度“三公经费”实际支出数与预算安排数的比率，用以反映和考核部门（单位）对“三公经费”的实际控制程度。</w:t>
            </w:r>
          </w:p>
        </w:tc>
        <w:tc>
          <w:tcPr>
            <w:tcW w:w="193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“三公经费”控制率=（“三公经费”实际支出数/“三公经费”预算安排数）×100%。                                                     部门三公经费控制率小于或等于100%时，得满分，控制率大于100%的，得0分。</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1.5分</w:t>
            </w:r>
          </w:p>
        </w:tc>
      </w:tr>
      <w:tr>
        <w:tblPrEx>
          <w:shd w:val="clear" w:color="auto" w:fill="auto"/>
          <w:tblCellMar>
            <w:top w:w="0" w:type="dxa"/>
            <w:left w:w="0" w:type="dxa"/>
            <w:bottom w:w="0" w:type="dxa"/>
            <w:right w:w="0" w:type="dxa"/>
          </w:tblCellMar>
        </w:tblPrEx>
        <w:trPr>
          <w:trHeight w:val="2340" w:hRule="atLeast"/>
        </w:trPr>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政府采购执行率</w:t>
            </w:r>
          </w:p>
        </w:tc>
        <w:tc>
          <w:tcPr>
            <w:tcW w:w="107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部门（单位）本年度实际政府采购金额与年初政府采购预算的比率，用以反映和考核部门（单位）政府采购预算执行情况。</w:t>
            </w:r>
          </w:p>
        </w:tc>
        <w:tc>
          <w:tcPr>
            <w:tcW w:w="193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政府采购执行率=（实际政府采购金额/政府采购预算数）×100%；</w:t>
            </w:r>
          </w:p>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政府采购预算：采购机关根据事业发展计划和行政任务编制的、并经过规定程序批准的年度政府采购计划。                                                 政府采购执行率大于等于95%的，得满分；执行率在70%-95%的，按公式计算得分得分=（[政府采购预算完成率-70%]÷（95%-70%）×分值；小于等于70%的，得0分。</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1.5分</w:t>
            </w:r>
          </w:p>
        </w:tc>
      </w:tr>
      <w:tr>
        <w:tblPrEx>
          <w:shd w:val="clear" w:color="auto" w:fill="auto"/>
          <w:tblCellMar>
            <w:top w:w="0" w:type="dxa"/>
            <w:left w:w="0" w:type="dxa"/>
            <w:bottom w:w="0" w:type="dxa"/>
            <w:right w:w="0" w:type="dxa"/>
          </w:tblCellMar>
        </w:tblPrEx>
        <w:trPr>
          <w:trHeight w:val="2080" w:hRule="atLeast"/>
        </w:trPr>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497"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预算</w:t>
            </w:r>
          </w:p>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管理</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管理制度健全性</w:t>
            </w:r>
          </w:p>
        </w:tc>
        <w:tc>
          <w:tcPr>
            <w:tcW w:w="107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部门（单位）为加强预算管理、规范财务行为而制定的管理制度健全完整，用以反映和考核部门（单位）预算管理制度对完成主要职责或促进事业发展的保障情况。</w:t>
            </w:r>
          </w:p>
        </w:tc>
        <w:tc>
          <w:tcPr>
            <w:tcW w:w="193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1.已制定或具有预算资金管理办法、内部财务管理制度、会计核算制度等管理制度；（1分）</w:t>
            </w: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2.相关管理制度合法、合规、完整；（1分）</w:t>
            </w:r>
          </w:p>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3.相关管理制度得到有效执行。（1分）</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3分</w:t>
            </w:r>
          </w:p>
        </w:tc>
      </w:tr>
      <w:tr>
        <w:tblPrEx>
          <w:shd w:val="clear" w:color="auto" w:fill="auto"/>
          <w:tblCellMar>
            <w:top w:w="0" w:type="dxa"/>
            <w:left w:w="0" w:type="dxa"/>
            <w:bottom w:w="0" w:type="dxa"/>
            <w:right w:w="0" w:type="dxa"/>
          </w:tblCellMar>
        </w:tblPrEx>
        <w:trPr>
          <w:trHeight w:val="2340" w:hRule="atLeast"/>
        </w:trPr>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资金使用合规性</w:t>
            </w:r>
          </w:p>
        </w:tc>
        <w:tc>
          <w:tcPr>
            <w:tcW w:w="107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部门（单位）使用预算资金符合相关的预算财务管理制度的规定，用以反映和考核部门（单位）预算资金的规范运行情况。</w:t>
            </w:r>
          </w:p>
        </w:tc>
        <w:tc>
          <w:tcPr>
            <w:tcW w:w="193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1.符合国家财经法规和财务管理制度规定以及有关专项资金管理办法的规定；（0.5分）</w:t>
            </w: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2.资金的拨付有完整的审批程序和手续；（0.5分）</w:t>
            </w: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3.项目的重大开支经过评估论证；（0.5分）</w:t>
            </w: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4.符合部门预算批复的用途；（0.5分）</w:t>
            </w:r>
          </w:p>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5.不存在截留、挤占、挪用、虚列支出等情况。（0.5分）</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2.5分</w:t>
            </w:r>
          </w:p>
        </w:tc>
      </w:tr>
      <w:tr>
        <w:tblPrEx>
          <w:shd w:val="clear" w:color="auto" w:fill="auto"/>
          <w:tblCellMar>
            <w:top w:w="0" w:type="dxa"/>
            <w:left w:w="0" w:type="dxa"/>
            <w:bottom w:w="0" w:type="dxa"/>
            <w:right w:w="0" w:type="dxa"/>
          </w:tblCellMar>
        </w:tblPrEx>
        <w:trPr>
          <w:trHeight w:val="1560" w:hRule="atLeast"/>
        </w:trPr>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预决算信息公开性</w:t>
            </w:r>
          </w:p>
        </w:tc>
        <w:tc>
          <w:tcPr>
            <w:tcW w:w="107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部门（单位）是否按照政府信息公开有关规定公开相关预决算信息，用以反映和考核部门（单位）预决算管理的公开透明情况。</w:t>
            </w:r>
          </w:p>
        </w:tc>
        <w:tc>
          <w:tcPr>
            <w:tcW w:w="193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1.是否按规定内容公开预决算信息；（0.3分）</w:t>
            </w: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2.是否按规定时限公开预决算信息。（0.3）</w:t>
            </w:r>
          </w:p>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预决算信息是指与部门预算、执行、决算、监督、绩效等管理相关的信息。</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0.6分</w:t>
            </w:r>
          </w:p>
        </w:tc>
      </w:tr>
      <w:tr>
        <w:tblPrEx>
          <w:shd w:val="clear" w:color="auto" w:fill="auto"/>
          <w:tblCellMar>
            <w:top w:w="0" w:type="dxa"/>
            <w:left w:w="0" w:type="dxa"/>
            <w:bottom w:w="0" w:type="dxa"/>
            <w:right w:w="0" w:type="dxa"/>
          </w:tblCellMar>
        </w:tblPrEx>
        <w:trPr>
          <w:trHeight w:val="1040" w:hRule="atLeast"/>
        </w:trPr>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运行监控和自评有效性</w:t>
            </w:r>
          </w:p>
        </w:tc>
        <w:tc>
          <w:tcPr>
            <w:tcW w:w="107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项目主管单位按照绩效运行监控和绩效自评管理要求开展相关工作。</w:t>
            </w:r>
          </w:p>
        </w:tc>
        <w:tc>
          <w:tcPr>
            <w:tcW w:w="193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1.项目主管单位开展绩效运行监控工作，按时完整报送资料；（1.5分）                                                                                                                                                                           2.项目主管单位开展绩效自评管理工作，按时完整报送资料。（1.5分）</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3分</w:t>
            </w:r>
          </w:p>
        </w:tc>
      </w:tr>
      <w:tr>
        <w:tblPrEx>
          <w:shd w:val="clear" w:color="auto" w:fill="auto"/>
          <w:tblCellMar>
            <w:top w:w="0" w:type="dxa"/>
            <w:left w:w="0" w:type="dxa"/>
            <w:bottom w:w="0" w:type="dxa"/>
            <w:right w:w="0" w:type="dxa"/>
          </w:tblCellMar>
        </w:tblPrEx>
        <w:trPr>
          <w:trHeight w:val="1820" w:hRule="atLeast"/>
        </w:trPr>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基础信息完善性</w:t>
            </w:r>
          </w:p>
        </w:tc>
        <w:tc>
          <w:tcPr>
            <w:tcW w:w="107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部门（单位）基础信息完善，用以反映和考核基础信息对预算管理工作的支撑情况。</w:t>
            </w:r>
          </w:p>
        </w:tc>
        <w:tc>
          <w:tcPr>
            <w:tcW w:w="193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1.基础数据信息和会计信息资料真实；（0.3分）</w:t>
            </w: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2.基础数据信息和会计信息资料完整；（0.3分）</w:t>
            </w:r>
          </w:p>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3.基础数据信息和会计信息资料准确。（0.3分）</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0.9分</w:t>
            </w:r>
          </w:p>
        </w:tc>
      </w:tr>
      <w:tr>
        <w:tblPrEx>
          <w:shd w:val="clear" w:color="auto" w:fill="auto"/>
          <w:tblCellMar>
            <w:top w:w="0" w:type="dxa"/>
            <w:left w:w="0" w:type="dxa"/>
            <w:bottom w:w="0" w:type="dxa"/>
            <w:right w:w="0" w:type="dxa"/>
          </w:tblCellMar>
        </w:tblPrEx>
        <w:trPr>
          <w:trHeight w:val="2080" w:hRule="atLeast"/>
        </w:trPr>
        <w:tc>
          <w:tcPr>
            <w:tcW w:w="497"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过   程</w:t>
            </w:r>
          </w:p>
        </w:tc>
        <w:tc>
          <w:tcPr>
            <w:tcW w:w="497"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资产</w:t>
            </w:r>
          </w:p>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管理</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管理制度健全性</w:t>
            </w:r>
          </w:p>
        </w:tc>
        <w:tc>
          <w:tcPr>
            <w:tcW w:w="107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部门（单位）为加强资产管理、规范资产管理行为而制定的管理制度健全完整，用以反映和考核部门（单位）资产管理制度对完成主要职责或促进社会发展的保障情况。</w:t>
            </w:r>
          </w:p>
        </w:tc>
        <w:tc>
          <w:tcPr>
            <w:tcW w:w="193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1.已制定或具有资产管理制度；（0.5分）                                                                                                                                                                                                2.相关资金管理制度合法、合规、完整；（0.5分）</w:t>
            </w:r>
          </w:p>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3.相关资产管理制度得到有效执行。（0.5分）</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1.5分</w:t>
            </w:r>
          </w:p>
        </w:tc>
      </w:tr>
      <w:tr>
        <w:tblPrEx>
          <w:shd w:val="clear" w:color="auto" w:fill="auto"/>
          <w:tblCellMar>
            <w:top w:w="0" w:type="dxa"/>
            <w:left w:w="0" w:type="dxa"/>
            <w:bottom w:w="0" w:type="dxa"/>
            <w:right w:w="0" w:type="dxa"/>
          </w:tblCellMar>
        </w:tblPrEx>
        <w:trPr>
          <w:trHeight w:val="1820" w:hRule="atLeast"/>
        </w:trPr>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资产管理安全性</w:t>
            </w:r>
          </w:p>
        </w:tc>
        <w:tc>
          <w:tcPr>
            <w:tcW w:w="107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部门（单位）的资产保存完整、使用合规、配置合理、处置规范、收入及时足额上缴，用以反映和考核部门（单位）资产安全运行情况。</w:t>
            </w:r>
          </w:p>
        </w:tc>
        <w:tc>
          <w:tcPr>
            <w:tcW w:w="193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1.资产保存完整；（0.3分）</w:t>
            </w: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2.资产配置合理；（0.3分）</w:t>
            </w: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3.资产处置规范；（0.3分）</w:t>
            </w: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4.资产账务管理合规，帐实相符；（0.3分）</w:t>
            </w:r>
          </w:p>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5.资产有偿使用及处置收入及时足额上缴。（0.3分）</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1.5分</w:t>
            </w:r>
          </w:p>
        </w:tc>
      </w:tr>
      <w:tr>
        <w:tblPrEx>
          <w:shd w:val="clear" w:color="auto" w:fill="auto"/>
          <w:tblCellMar>
            <w:top w:w="0" w:type="dxa"/>
            <w:left w:w="0" w:type="dxa"/>
            <w:bottom w:w="0" w:type="dxa"/>
            <w:right w:w="0" w:type="dxa"/>
          </w:tblCellMar>
        </w:tblPrEx>
        <w:trPr>
          <w:trHeight w:val="1560" w:hRule="atLeast"/>
        </w:trPr>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固定资产利用率</w:t>
            </w:r>
          </w:p>
        </w:tc>
        <w:tc>
          <w:tcPr>
            <w:tcW w:w="107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部门（单位）实际在用固定资产总额与所有固定资产总额的比率，用以反映和考核部门（单位）固定资产使用效率程度。</w:t>
            </w:r>
          </w:p>
        </w:tc>
        <w:tc>
          <w:tcPr>
            <w:tcW w:w="193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固定资产利用率=（实际在用固定资产总额/所有固定资产总额）×100%。                                                                                                                                                                    得分=固定资产利用率×2分</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2分</w:t>
            </w:r>
          </w:p>
        </w:tc>
      </w:tr>
      <w:tr>
        <w:tblPrEx>
          <w:shd w:val="clear" w:color="auto" w:fill="auto"/>
          <w:tblCellMar>
            <w:top w:w="0" w:type="dxa"/>
            <w:left w:w="0" w:type="dxa"/>
            <w:bottom w:w="0" w:type="dxa"/>
            <w:right w:w="0" w:type="dxa"/>
          </w:tblCellMar>
        </w:tblPrEx>
        <w:trPr>
          <w:trHeight w:val="2340" w:hRule="atLeast"/>
        </w:trPr>
        <w:tc>
          <w:tcPr>
            <w:tcW w:w="497"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产出</w:t>
            </w:r>
          </w:p>
        </w:tc>
        <w:tc>
          <w:tcPr>
            <w:tcW w:w="497"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职责</w:t>
            </w:r>
          </w:p>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履行</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实际完成率</w:t>
            </w:r>
          </w:p>
        </w:tc>
        <w:tc>
          <w:tcPr>
            <w:tcW w:w="107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部门（单位）履行职责而实际完成工作数与计划工作数的比率，用以反映和考核部门（单位）履职工作任务目标的实现程度。</w:t>
            </w:r>
          </w:p>
        </w:tc>
        <w:tc>
          <w:tcPr>
            <w:tcW w:w="193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实际完成率=（实际完成工作数/计划工作数）×100%。</w:t>
            </w: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实际完成工作数：一定时期（年度或规划期）内部门（单位）实际完成工作任务的数量。</w:t>
            </w:r>
          </w:p>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计划工作数：部门（单位）整体绩效目标确定的一定时期（年度或规划期）内预计完成工作任务的数量。                                                                                                                                         得分=实际完成率×10分</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10分</w:t>
            </w:r>
          </w:p>
        </w:tc>
      </w:tr>
      <w:tr>
        <w:tblPrEx>
          <w:shd w:val="clear" w:color="auto" w:fill="auto"/>
          <w:tblCellMar>
            <w:top w:w="0" w:type="dxa"/>
            <w:left w:w="0" w:type="dxa"/>
            <w:bottom w:w="0" w:type="dxa"/>
            <w:right w:w="0" w:type="dxa"/>
          </w:tblCellMar>
        </w:tblPrEx>
        <w:trPr>
          <w:trHeight w:val="1560" w:hRule="atLeast"/>
        </w:trPr>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完成及时率</w:t>
            </w:r>
          </w:p>
        </w:tc>
        <w:tc>
          <w:tcPr>
            <w:tcW w:w="107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部门（单位）在规定时限内及时完成的实际工作数与计划工作数的比率,用以反映和考核部门履职时效目标的实现程度。</w:t>
            </w:r>
          </w:p>
        </w:tc>
        <w:tc>
          <w:tcPr>
            <w:tcW w:w="193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完成及时率=（及时完成实际工作数/计划工作数）×100%。</w:t>
            </w:r>
          </w:p>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及时完成实际工作数：部门（单位）按照整体绩效目标确定的时限实际完成的工作任务数量。                                                                                                                                                    得分=完成及时率×8分</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8分</w:t>
            </w:r>
          </w:p>
        </w:tc>
      </w:tr>
      <w:tr>
        <w:tblPrEx>
          <w:shd w:val="clear" w:color="auto" w:fill="auto"/>
          <w:tblCellMar>
            <w:top w:w="0" w:type="dxa"/>
            <w:left w:w="0" w:type="dxa"/>
            <w:bottom w:w="0" w:type="dxa"/>
            <w:right w:w="0" w:type="dxa"/>
          </w:tblCellMar>
        </w:tblPrEx>
        <w:trPr>
          <w:trHeight w:val="1560" w:hRule="atLeast"/>
        </w:trPr>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质量达标率</w:t>
            </w:r>
          </w:p>
        </w:tc>
        <w:tc>
          <w:tcPr>
            <w:tcW w:w="107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达到质量标准（绩效标准值）的实际工作数与计划工作数的比率,用以反映和考核部门履职质量目标的实现程度。</w:t>
            </w:r>
          </w:p>
        </w:tc>
        <w:tc>
          <w:tcPr>
            <w:tcW w:w="193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质量达标率=（质量达标实际工作数/计划工作数）×100%。</w:t>
            </w:r>
          </w:p>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质量达标实际工作数：一定时期（年度或规划期）内部门（单位）实际完成工作数中达到部门绩效目标要求（绩效标准值）的工作任务数量。</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8分</w:t>
            </w:r>
          </w:p>
        </w:tc>
      </w:tr>
      <w:tr>
        <w:tblPrEx>
          <w:shd w:val="clear" w:color="auto" w:fill="auto"/>
          <w:tblCellMar>
            <w:top w:w="0" w:type="dxa"/>
            <w:left w:w="0" w:type="dxa"/>
            <w:bottom w:w="0" w:type="dxa"/>
            <w:right w:w="0" w:type="dxa"/>
          </w:tblCellMar>
        </w:tblPrEx>
        <w:trPr>
          <w:trHeight w:val="1560" w:hRule="atLeast"/>
        </w:trPr>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重点工作办结率</w:t>
            </w:r>
          </w:p>
        </w:tc>
        <w:tc>
          <w:tcPr>
            <w:tcW w:w="107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部门（单位）年度重点工作实际完成数与交办或下达数的比率，用以反映部门（单位）对重点工作的办理落实程度。</w:t>
            </w:r>
          </w:p>
        </w:tc>
        <w:tc>
          <w:tcPr>
            <w:tcW w:w="193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重点工作办结率=（重点工作实际完成数/交办或下达数）×100%。</w:t>
            </w:r>
          </w:p>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重点工作是指党委、政府、人大、相关部门交办或下达的工作任务。</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9分</w:t>
            </w:r>
          </w:p>
        </w:tc>
      </w:tr>
      <w:tr>
        <w:tblPrEx>
          <w:shd w:val="clear" w:color="auto" w:fill="auto"/>
          <w:tblCellMar>
            <w:top w:w="0" w:type="dxa"/>
            <w:left w:w="0" w:type="dxa"/>
            <w:bottom w:w="0" w:type="dxa"/>
            <w:right w:w="0" w:type="dxa"/>
          </w:tblCellMar>
        </w:tblPrEx>
        <w:trPr>
          <w:trHeight w:val="1560" w:hRule="atLeast"/>
        </w:trPr>
        <w:tc>
          <w:tcPr>
            <w:tcW w:w="497"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效果</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经济效益</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农村居民人均可支配收入增速</w:t>
            </w:r>
          </w:p>
        </w:tc>
        <w:tc>
          <w:tcPr>
            <w:tcW w:w="107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部门履职对农村居民人均可支配收入增速推动。用以反映和考核部门履职所带来的经济效益。</w:t>
            </w:r>
          </w:p>
        </w:tc>
        <w:tc>
          <w:tcPr>
            <w:tcW w:w="193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2021年度铜川市农村居民人均可支配收入增速大于全国2021年农村居民人均可支配收入增速对比情况。得满分。                                     2021年度铜川市农村居民人均可支配收入增速小于全国2021年农村居民人均可支配收入增速对比情况，不得分</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5分</w:t>
            </w:r>
          </w:p>
        </w:tc>
      </w:tr>
      <w:tr>
        <w:tblPrEx>
          <w:shd w:val="clear" w:color="auto" w:fill="auto"/>
          <w:tblCellMar>
            <w:top w:w="0" w:type="dxa"/>
            <w:left w:w="0" w:type="dxa"/>
            <w:bottom w:w="0" w:type="dxa"/>
            <w:right w:w="0" w:type="dxa"/>
          </w:tblCellMar>
        </w:tblPrEx>
        <w:trPr>
          <w:trHeight w:val="1040" w:hRule="atLeast"/>
        </w:trPr>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社会效益</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新增固定资产投资</w:t>
            </w:r>
          </w:p>
        </w:tc>
        <w:tc>
          <w:tcPr>
            <w:tcW w:w="107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部门履职新增固定资产投资。用以反映和考核部门履职所带来的社会效益。</w:t>
            </w:r>
          </w:p>
        </w:tc>
        <w:tc>
          <w:tcPr>
            <w:tcW w:w="193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2021年度地区新增固定资产投资超过40亿元以上，得满分，不足40亿元，按比例得分。</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5分</w:t>
            </w:r>
          </w:p>
        </w:tc>
      </w:tr>
      <w:tr>
        <w:tblPrEx>
          <w:shd w:val="clear" w:color="auto" w:fill="auto"/>
          <w:tblCellMar>
            <w:top w:w="0" w:type="dxa"/>
            <w:left w:w="0" w:type="dxa"/>
            <w:bottom w:w="0" w:type="dxa"/>
            <w:right w:w="0" w:type="dxa"/>
          </w:tblCellMar>
        </w:tblPrEx>
        <w:trPr>
          <w:trHeight w:val="1040" w:hRule="atLeast"/>
        </w:trPr>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生态效益</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空气质量综合指数变动情况</w:t>
            </w:r>
          </w:p>
        </w:tc>
        <w:tc>
          <w:tcPr>
            <w:tcW w:w="107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部门履职新增对环境改善。用以反映和考核部门履职所带来的生态效益。</w:t>
            </w:r>
          </w:p>
        </w:tc>
        <w:tc>
          <w:tcPr>
            <w:tcW w:w="193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2021年铜川市环境空气质量综合指数同比降低，得5分。                                         2021年铜川市环境空气质量综合指数同比增长，不得分。</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5分</w:t>
            </w:r>
          </w:p>
        </w:tc>
      </w:tr>
      <w:tr>
        <w:tblPrEx>
          <w:shd w:val="clear" w:color="auto" w:fill="auto"/>
          <w:tblCellMar>
            <w:top w:w="0" w:type="dxa"/>
            <w:left w:w="0" w:type="dxa"/>
            <w:bottom w:w="0" w:type="dxa"/>
            <w:right w:w="0" w:type="dxa"/>
          </w:tblCellMar>
        </w:tblPrEx>
        <w:trPr>
          <w:trHeight w:val="1300" w:hRule="atLeast"/>
        </w:trPr>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可持续影响</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安全保障</w:t>
            </w:r>
          </w:p>
        </w:tc>
        <w:tc>
          <w:tcPr>
            <w:tcW w:w="107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部门履职对市政道路、农村公路的施工和居民居住安全保障。用以反映和考核部门履职所带来的可持续性影响。</w:t>
            </w:r>
          </w:p>
        </w:tc>
        <w:tc>
          <w:tcPr>
            <w:tcW w:w="193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2021年度铜川市新区是否发生农村公路、市政道路等工程施工安全事故或农村住房安全事故。发生1起扣1分。扣完为止。</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5分</w:t>
            </w:r>
          </w:p>
        </w:tc>
      </w:tr>
      <w:tr>
        <w:tblPrEx>
          <w:shd w:val="clear" w:color="auto" w:fill="auto"/>
          <w:tblCellMar>
            <w:top w:w="0" w:type="dxa"/>
            <w:left w:w="0" w:type="dxa"/>
            <w:bottom w:w="0" w:type="dxa"/>
            <w:right w:w="0" w:type="dxa"/>
          </w:tblCellMar>
        </w:tblPrEx>
        <w:trPr>
          <w:trHeight w:val="1820" w:hRule="atLeast"/>
        </w:trPr>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满意度</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社会公众或服务对象满意度</w:t>
            </w:r>
          </w:p>
        </w:tc>
        <w:tc>
          <w:tcPr>
            <w:tcW w:w="107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社会公众或部门（单位）的服务对象对部门履职效果的满意程度。</w:t>
            </w:r>
          </w:p>
        </w:tc>
        <w:tc>
          <w:tcPr>
            <w:tcW w:w="193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社会公众或服务对象是指部门（单位）履行职责而影响到的部门、群体或个人。一般采取社会调查的方式。                                                                                                                                              1. 100%≥满意度＞90%为满意；（5分）                                                                                                                                                                                                    2. 90%≥满意度＞80%；（3分）</w:t>
            </w: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3. 80%≥满意度≥60%；（1分）</w:t>
            </w:r>
          </w:p>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4. 满意度＜60%不得分。（0分）</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5分</w:t>
            </w:r>
          </w:p>
        </w:tc>
      </w:tr>
      <w:tr>
        <w:tblPrEx>
          <w:shd w:val="clear" w:color="auto" w:fill="auto"/>
          <w:tblCellMar>
            <w:top w:w="0" w:type="dxa"/>
            <w:left w:w="0" w:type="dxa"/>
            <w:bottom w:w="0" w:type="dxa"/>
            <w:right w:w="0" w:type="dxa"/>
          </w:tblCellMar>
        </w:tblPrEx>
        <w:trPr>
          <w:trHeight w:val="300" w:hRule="atLeast"/>
        </w:trPr>
        <w:tc>
          <w:tcPr>
            <w:tcW w:w="2571" w:type="pct"/>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合计</w:t>
            </w:r>
          </w:p>
        </w:tc>
        <w:tc>
          <w:tcPr>
            <w:tcW w:w="1930"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rPr>
                <w:rFonts w:hint="eastAsia" w:ascii="宋体" w:hAnsi="宋体" w:eastAsia="宋体" w:cs="宋体"/>
                <w:i w:val="0"/>
                <w:color w:val="000000"/>
                <w:sz w:val="24"/>
                <w:szCs w:val="24"/>
                <w:u w:val="none"/>
              </w:rPr>
            </w:pP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100分</w:t>
            </w:r>
          </w:p>
        </w:tc>
      </w:tr>
    </w:tbl>
    <w:p>
      <w:pPr>
        <w:pStyle w:val="3"/>
        <w:rPr>
          <w:rFonts w:hint="eastAsia"/>
          <w:lang w:val="en-US" w:eastAsia="zh-CN"/>
        </w:rPr>
        <w:sectPr>
          <w:pgSz w:w="11910" w:h="16840"/>
          <w:pgMar w:top="2098" w:right="1474" w:bottom="1984" w:left="1587" w:header="1017" w:footer="1206" w:gutter="0"/>
          <w:pgNumType w:fmt="numberInDash"/>
          <w:cols w:equalWidth="0" w:num="1">
            <w:col w:w="8810"/>
          </w:cols>
        </w:sectPr>
      </w:pPr>
    </w:p>
    <w:bookmarkEnd w:id="37"/>
    <w:bookmarkEnd w:id="38"/>
    <w:bookmarkEnd w:id="39"/>
    <w:p>
      <w:pPr>
        <w:spacing w:before="120" w:beforeLines="50" w:after="120" w:afterLines="50" w:line="360" w:lineRule="auto"/>
        <w:outlineLvl w:val="9"/>
        <w:rPr>
          <w:rFonts w:hint="eastAsia"/>
          <w:highlight w:val="none"/>
          <w:lang w:eastAsia="zh-Hans"/>
        </w:rPr>
      </w:pPr>
    </w:p>
    <w:sectPr>
      <w:headerReference r:id="rId7" w:type="default"/>
      <w:pgSz w:w="11910" w:h="16840"/>
      <w:pgMar w:top="2098" w:right="1474" w:bottom="1984" w:left="1587" w:header="1017" w:footer="1206" w:gutter="0"/>
      <w:pgNumType w:fmt="numberInDash"/>
      <w:cols w:equalWidth="0" w:num="1">
        <w:col w:w="881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DejaVu Sans">
    <w:altName w:val="Times New Roman"/>
    <w:panose1 w:val="02020603050405020304"/>
    <w:charset w:val="00"/>
    <w:family w:val="roman"/>
    <w:pitch w:val="default"/>
    <w:sig w:usb0="00000000" w:usb1="00000000" w:usb2="00000008" w:usb3="00000000" w:csb0="0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
    <w:altName w:val="宋体"/>
    <w:panose1 w:val="00000000000000000000"/>
    <w:charset w:val="00"/>
    <w:family w:val="auto"/>
    <w:pitch w:val="default"/>
    <w:sig w:usb0="00000000" w:usb1="00000000" w:usb2="00000000" w:usb3="00000000" w:csb0="00000000" w:csb1="00000000"/>
  </w:font>
  <w:font w:name="楷体_GB2312">
    <w:altName w:val="楷体"/>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- 1 -</w:t>
                          </w:r>
                          <w:r>
                            <w:rPr>
                              <w:sz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- 1 -</w:t>
                    </w:r>
                    <w:r>
                      <w:rPr>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
      </w:rPr>
    </w:pPr>
    <w:r>
      <w:rPr>
        <w:sz w:val="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- 27 -</w:t>
                          </w:r>
                          <w:r>
                            <w:rPr>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- 27 -</w:t>
                    </w:r>
                    <w:r>
                      <w:rPr>
                        <w:sz w:val="18"/>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
      </w:rPr>
    </w:pP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- 27 -</w:t>
                          </w:r>
                          <w:r>
                            <w:rPr>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- 27 -</w:t>
                    </w:r>
                    <w:r>
                      <w:rPr>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bottom w:val="none" w:color="auto" w:sz="0" w:space="0"/>
      </w:pBdr>
      <w:spacing w:before="0" w:line="14" w:lineRule="auto"/>
      <w:ind w:left="0"/>
      <w:rPr>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bottom w:val="none" w:color="auto" w:sz="0" w:space="0"/>
      </w:pBdr>
      <w:spacing w:before="0" w:line="14" w:lineRule="auto"/>
      <w:ind w:left="0"/>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B7BD52"/>
    <w:multiLevelType w:val="singleLevel"/>
    <w:tmpl w:val="8CB7BD52"/>
    <w:lvl w:ilvl="0" w:tentative="0">
      <w:start w:val="2"/>
      <w:numFmt w:val="decimal"/>
      <w:suff w:val="nothing"/>
      <w:lvlText w:val="（%1）"/>
      <w:lvlJc w:val="left"/>
    </w:lvl>
  </w:abstractNum>
  <w:abstractNum w:abstractNumId="1">
    <w:nsid w:val="0D3EE8BB"/>
    <w:multiLevelType w:val="singleLevel"/>
    <w:tmpl w:val="0D3EE8BB"/>
    <w:lvl w:ilvl="0" w:tentative="0">
      <w:start w:val="3"/>
      <w:numFmt w:val="chineseCounting"/>
      <w:suff w:val="nothing"/>
      <w:lvlText w:val="（%1）"/>
      <w:lvlJc w:val="left"/>
      <w:rPr>
        <w:rFonts w:hint="eastAsia"/>
      </w:rPr>
    </w:lvl>
  </w:abstractNum>
  <w:abstractNum w:abstractNumId="2">
    <w:nsid w:val="699CFC09"/>
    <w:multiLevelType w:val="singleLevel"/>
    <w:tmpl w:val="699CFC09"/>
    <w:lvl w:ilvl="0" w:tentative="0">
      <w:start w:val="1"/>
      <w:numFmt w:val="chineseCounting"/>
      <w:suff w:val="space"/>
      <w:lvlText w:val="%1、"/>
      <w:lvlJc w:val="left"/>
      <w:rPr>
        <w:rFonts w:hint="eastAsia"/>
      </w:rPr>
    </w:lvl>
  </w:abstractNum>
  <w:abstractNum w:abstractNumId="3">
    <w:nsid w:val="70F3CFB0"/>
    <w:multiLevelType w:val="singleLevel"/>
    <w:tmpl w:val="70F3CFB0"/>
    <w:lvl w:ilvl="0" w:tentative="0">
      <w:start w:val="5"/>
      <w:numFmt w:val="chineseCounting"/>
      <w:suff w:val="nothing"/>
      <w:lvlText w:val="%1、"/>
      <w:lvlJc w:val="left"/>
      <w:rPr>
        <w:rFonts w:hint="eastAsia"/>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hhZGQ2ZGMxODE1ZWZmNTNlZjVlMmFhYzZmNzU3YzAifQ=="/>
  </w:docVars>
  <w:rsids>
    <w:rsidRoot w:val="D779509E"/>
    <w:rsid w:val="000012FE"/>
    <w:rsid w:val="00033DCF"/>
    <w:rsid w:val="000A4298"/>
    <w:rsid w:val="000C18C9"/>
    <w:rsid w:val="00135EF6"/>
    <w:rsid w:val="00136F12"/>
    <w:rsid w:val="00193A3E"/>
    <w:rsid w:val="001A570D"/>
    <w:rsid w:val="001C51AB"/>
    <w:rsid w:val="00262AA9"/>
    <w:rsid w:val="00277917"/>
    <w:rsid w:val="002B1E7D"/>
    <w:rsid w:val="003D0043"/>
    <w:rsid w:val="00420C10"/>
    <w:rsid w:val="00447529"/>
    <w:rsid w:val="004709C6"/>
    <w:rsid w:val="00475D62"/>
    <w:rsid w:val="004B344F"/>
    <w:rsid w:val="004C51A4"/>
    <w:rsid w:val="004F7D6F"/>
    <w:rsid w:val="00525570"/>
    <w:rsid w:val="00546BF5"/>
    <w:rsid w:val="00563C88"/>
    <w:rsid w:val="0057025D"/>
    <w:rsid w:val="005B05EB"/>
    <w:rsid w:val="005C5E71"/>
    <w:rsid w:val="00643454"/>
    <w:rsid w:val="006A3C6A"/>
    <w:rsid w:val="006B6C4F"/>
    <w:rsid w:val="006B789A"/>
    <w:rsid w:val="006F65A7"/>
    <w:rsid w:val="00763DE0"/>
    <w:rsid w:val="00780296"/>
    <w:rsid w:val="007B41AD"/>
    <w:rsid w:val="007C3CAD"/>
    <w:rsid w:val="00851E6F"/>
    <w:rsid w:val="00893CA6"/>
    <w:rsid w:val="008E5AF9"/>
    <w:rsid w:val="00910385"/>
    <w:rsid w:val="009523D1"/>
    <w:rsid w:val="00960C52"/>
    <w:rsid w:val="009613AB"/>
    <w:rsid w:val="00970B18"/>
    <w:rsid w:val="009870FD"/>
    <w:rsid w:val="009E4828"/>
    <w:rsid w:val="009F30A0"/>
    <w:rsid w:val="00A32055"/>
    <w:rsid w:val="00A35DDB"/>
    <w:rsid w:val="00A47C8B"/>
    <w:rsid w:val="00A80360"/>
    <w:rsid w:val="00AA4420"/>
    <w:rsid w:val="00AD16A7"/>
    <w:rsid w:val="00B03739"/>
    <w:rsid w:val="00B707ED"/>
    <w:rsid w:val="00B9048D"/>
    <w:rsid w:val="00BA0D97"/>
    <w:rsid w:val="00BA691D"/>
    <w:rsid w:val="00C068CC"/>
    <w:rsid w:val="00C36E68"/>
    <w:rsid w:val="00C43B5A"/>
    <w:rsid w:val="00C76FBD"/>
    <w:rsid w:val="00C94E20"/>
    <w:rsid w:val="00CE1753"/>
    <w:rsid w:val="00D71E77"/>
    <w:rsid w:val="00D925A8"/>
    <w:rsid w:val="00DA1C50"/>
    <w:rsid w:val="00DD1C49"/>
    <w:rsid w:val="00E03C8C"/>
    <w:rsid w:val="00E21638"/>
    <w:rsid w:val="00EB2C85"/>
    <w:rsid w:val="00F43C4D"/>
    <w:rsid w:val="00FA78FE"/>
    <w:rsid w:val="014E6F2D"/>
    <w:rsid w:val="015E6B70"/>
    <w:rsid w:val="016C782E"/>
    <w:rsid w:val="017A2629"/>
    <w:rsid w:val="018777BB"/>
    <w:rsid w:val="01B7514A"/>
    <w:rsid w:val="01E82D68"/>
    <w:rsid w:val="02C91315"/>
    <w:rsid w:val="0329694A"/>
    <w:rsid w:val="03763AF9"/>
    <w:rsid w:val="037954DB"/>
    <w:rsid w:val="03FD3C8E"/>
    <w:rsid w:val="041A57B3"/>
    <w:rsid w:val="0429325B"/>
    <w:rsid w:val="044779A9"/>
    <w:rsid w:val="04956E50"/>
    <w:rsid w:val="04E356F0"/>
    <w:rsid w:val="054A78C5"/>
    <w:rsid w:val="05706033"/>
    <w:rsid w:val="05A142BC"/>
    <w:rsid w:val="05B04835"/>
    <w:rsid w:val="05C76026"/>
    <w:rsid w:val="05C77A61"/>
    <w:rsid w:val="05E0082C"/>
    <w:rsid w:val="05FD20FC"/>
    <w:rsid w:val="061F613C"/>
    <w:rsid w:val="06320448"/>
    <w:rsid w:val="06364AC5"/>
    <w:rsid w:val="06524DB7"/>
    <w:rsid w:val="066731F5"/>
    <w:rsid w:val="06767EE0"/>
    <w:rsid w:val="06A76340"/>
    <w:rsid w:val="06CC6314"/>
    <w:rsid w:val="07596AFB"/>
    <w:rsid w:val="078B3248"/>
    <w:rsid w:val="07AFA6BE"/>
    <w:rsid w:val="07C1430F"/>
    <w:rsid w:val="07C2597F"/>
    <w:rsid w:val="07E92068"/>
    <w:rsid w:val="07EE5A94"/>
    <w:rsid w:val="08440002"/>
    <w:rsid w:val="0880581D"/>
    <w:rsid w:val="08E156A4"/>
    <w:rsid w:val="08E763B1"/>
    <w:rsid w:val="09282892"/>
    <w:rsid w:val="09381814"/>
    <w:rsid w:val="09A97142"/>
    <w:rsid w:val="09B75971"/>
    <w:rsid w:val="09D5139F"/>
    <w:rsid w:val="0A0E6F09"/>
    <w:rsid w:val="0A12741A"/>
    <w:rsid w:val="0A300905"/>
    <w:rsid w:val="0A541ADF"/>
    <w:rsid w:val="0A753250"/>
    <w:rsid w:val="0A7D57D6"/>
    <w:rsid w:val="0ACC7640"/>
    <w:rsid w:val="0AF76836"/>
    <w:rsid w:val="0B08550F"/>
    <w:rsid w:val="0B575902"/>
    <w:rsid w:val="0B5C6090"/>
    <w:rsid w:val="0B7752FB"/>
    <w:rsid w:val="0BBE17ED"/>
    <w:rsid w:val="0BDC27C2"/>
    <w:rsid w:val="0C105AEF"/>
    <w:rsid w:val="0C2B3DE6"/>
    <w:rsid w:val="0C2F33B4"/>
    <w:rsid w:val="0C632B33"/>
    <w:rsid w:val="0CB1757F"/>
    <w:rsid w:val="0CED0034"/>
    <w:rsid w:val="0CFC1745"/>
    <w:rsid w:val="0D310454"/>
    <w:rsid w:val="0D44070F"/>
    <w:rsid w:val="0D8D3876"/>
    <w:rsid w:val="0DB3038F"/>
    <w:rsid w:val="0DDE22FC"/>
    <w:rsid w:val="0DE26B97"/>
    <w:rsid w:val="0DEA6DBD"/>
    <w:rsid w:val="0DED0A90"/>
    <w:rsid w:val="0E093187"/>
    <w:rsid w:val="0E325784"/>
    <w:rsid w:val="0E3A028A"/>
    <w:rsid w:val="0E5173ED"/>
    <w:rsid w:val="0E6A680D"/>
    <w:rsid w:val="0E7C7AE0"/>
    <w:rsid w:val="0E8A62E7"/>
    <w:rsid w:val="0EA01665"/>
    <w:rsid w:val="0EA13B8C"/>
    <w:rsid w:val="0F182F0B"/>
    <w:rsid w:val="0F404C85"/>
    <w:rsid w:val="0F446D5E"/>
    <w:rsid w:val="0F7221FC"/>
    <w:rsid w:val="0F8A32B1"/>
    <w:rsid w:val="0F9D5B98"/>
    <w:rsid w:val="0FA5679E"/>
    <w:rsid w:val="0FB6670F"/>
    <w:rsid w:val="0FFD40FD"/>
    <w:rsid w:val="103857B0"/>
    <w:rsid w:val="104D2379"/>
    <w:rsid w:val="10537D9F"/>
    <w:rsid w:val="10654BC8"/>
    <w:rsid w:val="10707038"/>
    <w:rsid w:val="10C01577"/>
    <w:rsid w:val="10C67A5F"/>
    <w:rsid w:val="10D0317D"/>
    <w:rsid w:val="11250954"/>
    <w:rsid w:val="114A13EC"/>
    <w:rsid w:val="114C4A28"/>
    <w:rsid w:val="120704DD"/>
    <w:rsid w:val="12407B51"/>
    <w:rsid w:val="126C79C9"/>
    <w:rsid w:val="12804956"/>
    <w:rsid w:val="12A07F1B"/>
    <w:rsid w:val="12B25490"/>
    <w:rsid w:val="13292527"/>
    <w:rsid w:val="13776976"/>
    <w:rsid w:val="13782917"/>
    <w:rsid w:val="13D70B3C"/>
    <w:rsid w:val="13EF2888"/>
    <w:rsid w:val="14B50AFC"/>
    <w:rsid w:val="14BC12BD"/>
    <w:rsid w:val="14C63493"/>
    <w:rsid w:val="14E922E3"/>
    <w:rsid w:val="1513305A"/>
    <w:rsid w:val="156163BD"/>
    <w:rsid w:val="15913ACC"/>
    <w:rsid w:val="159C452D"/>
    <w:rsid w:val="15DE418A"/>
    <w:rsid w:val="16017D11"/>
    <w:rsid w:val="163300CC"/>
    <w:rsid w:val="163460BC"/>
    <w:rsid w:val="16425049"/>
    <w:rsid w:val="16A134CE"/>
    <w:rsid w:val="16C96F93"/>
    <w:rsid w:val="171133F3"/>
    <w:rsid w:val="17250B2C"/>
    <w:rsid w:val="17311A4C"/>
    <w:rsid w:val="17382826"/>
    <w:rsid w:val="17513854"/>
    <w:rsid w:val="176F2D8B"/>
    <w:rsid w:val="17805205"/>
    <w:rsid w:val="179B56FF"/>
    <w:rsid w:val="17BB19F6"/>
    <w:rsid w:val="17C94D8E"/>
    <w:rsid w:val="184833AC"/>
    <w:rsid w:val="18587C33"/>
    <w:rsid w:val="18DF219F"/>
    <w:rsid w:val="18F4174E"/>
    <w:rsid w:val="190C4AB7"/>
    <w:rsid w:val="191B665E"/>
    <w:rsid w:val="19506113"/>
    <w:rsid w:val="195236FE"/>
    <w:rsid w:val="19716DA1"/>
    <w:rsid w:val="197F4FD8"/>
    <w:rsid w:val="1A19496A"/>
    <w:rsid w:val="1A4F1286"/>
    <w:rsid w:val="1A591792"/>
    <w:rsid w:val="1A7365CF"/>
    <w:rsid w:val="1A783987"/>
    <w:rsid w:val="1AD204DE"/>
    <w:rsid w:val="1AD65B30"/>
    <w:rsid w:val="1B0A5701"/>
    <w:rsid w:val="1B0C1BB0"/>
    <w:rsid w:val="1B143312"/>
    <w:rsid w:val="1B2B1B0F"/>
    <w:rsid w:val="1B4968E8"/>
    <w:rsid w:val="1B4C1B81"/>
    <w:rsid w:val="1B5B356A"/>
    <w:rsid w:val="1B82655F"/>
    <w:rsid w:val="1B884599"/>
    <w:rsid w:val="1BE50B84"/>
    <w:rsid w:val="1BF5374B"/>
    <w:rsid w:val="1C0254E8"/>
    <w:rsid w:val="1C4110E8"/>
    <w:rsid w:val="1C440A92"/>
    <w:rsid w:val="1C6C3DB9"/>
    <w:rsid w:val="1C816DB5"/>
    <w:rsid w:val="1CA10911"/>
    <w:rsid w:val="1CA55000"/>
    <w:rsid w:val="1CAD4EA9"/>
    <w:rsid w:val="1CC30C5A"/>
    <w:rsid w:val="1CC85C7A"/>
    <w:rsid w:val="1CDF6E50"/>
    <w:rsid w:val="1D1E76E6"/>
    <w:rsid w:val="1D274E35"/>
    <w:rsid w:val="1D311AD8"/>
    <w:rsid w:val="1D3B7055"/>
    <w:rsid w:val="1D562959"/>
    <w:rsid w:val="1DFE7366"/>
    <w:rsid w:val="1E1C526B"/>
    <w:rsid w:val="1E2A06AB"/>
    <w:rsid w:val="1E3258CA"/>
    <w:rsid w:val="1E6A5B1C"/>
    <w:rsid w:val="1E6D2384"/>
    <w:rsid w:val="1E7D37A1"/>
    <w:rsid w:val="1E80293A"/>
    <w:rsid w:val="1E8D36F6"/>
    <w:rsid w:val="1EB972CB"/>
    <w:rsid w:val="1ED77E4D"/>
    <w:rsid w:val="1EDA1CAA"/>
    <w:rsid w:val="1EE10438"/>
    <w:rsid w:val="1F5A653C"/>
    <w:rsid w:val="1F98298D"/>
    <w:rsid w:val="1FB638D4"/>
    <w:rsid w:val="1FC5557E"/>
    <w:rsid w:val="1FCE652E"/>
    <w:rsid w:val="1FED0E93"/>
    <w:rsid w:val="203C75C9"/>
    <w:rsid w:val="208D2567"/>
    <w:rsid w:val="20983D56"/>
    <w:rsid w:val="20F97EA2"/>
    <w:rsid w:val="21216934"/>
    <w:rsid w:val="21346671"/>
    <w:rsid w:val="217B0B87"/>
    <w:rsid w:val="21E22BA8"/>
    <w:rsid w:val="21E44818"/>
    <w:rsid w:val="223C43FE"/>
    <w:rsid w:val="22911CA3"/>
    <w:rsid w:val="22955EFD"/>
    <w:rsid w:val="22B36B8A"/>
    <w:rsid w:val="23084BF1"/>
    <w:rsid w:val="23484DA8"/>
    <w:rsid w:val="23546255"/>
    <w:rsid w:val="23760F4A"/>
    <w:rsid w:val="23926449"/>
    <w:rsid w:val="23DB6624"/>
    <w:rsid w:val="23E059E6"/>
    <w:rsid w:val="23F11418"/>
    <w:rsid w:val="23F52926"/>
    <w:rsid w:val="23FB3A65"/>
    <w:rsid w:val="24485925"/>
    <w:rsid w:val="245836A7"/>
    <w:rsid w:val="24661512"/>
    <w:rsid w:val="246B040E"/>
    <w:rsid w:val="24786622"/>
    <w:rsid w:val="247F1BFC"/>
    <w:rsid w:val="24FE4594"/>
    <w:rsid w:val="25006FD0"/>
    <w:rsid w:val="250C675E"/>
    <w:rsid w:val="251C38FE"/>
    <w:rsid w:val="251E6154"/>
    <w:rsid w:val="25761DD0"/>
    <w:rsid w:val="25935A82"/>
    <w:rsid w:val="259A7BE4"/>
    <w:rsid w:val="25A42DC0"/>
    <w:rsid w:val="25B84E4B"/>
    <w:rsid w:val="25C62D01"/>
    <w:rsid w:val="25CC5E57"/>
    <w:rsid w:val="25CF71A4"/>
    <w:rsid w:val="2602774C"/>
    <w:rsid w:val="26175D3C"/>
    <w:rsid w:val="261841F8"/>
    <w:rsid w:val="26675F9C"/>
    <w:rsid w:val="26687BC1"/>
    <w:rsid w:val="266D4FC8"/>
    <w:rsid w:val="26AE6A99"/>
    <w:rsid w:val="270742FB"/>
    <w:rsid w:val="27323C04"/>
    <w:rsid w:val="276C35AB"/>
    <w:rsid w:val="278E2DBC"/>
    <w:rsid w:val="27944151"/>
    <w:rsid w:val="27B309E0"/>
    <w:rsid w:val="27DE13CD"/>
    <w:rsid w:val="27DE7AF8"/>
    <w:rsid w:val="28061A88"/>
    <w:rsid w:val="28964888"/>
    <w:rsid w:val="28D6709F"/>
    <w:rsid w:val="28F9256E"/>
    <w:rsid w:val="28FD0B24"/>
    <w:rsid w:val="291B6739"/>
    <w:rsid w:val="292D7338"/>
    <w:rsid w:val="29526988"/>
    <w:rsid w:val="296D689E"/>
    <w:rsid w:val="297D4346"/>
    <w:rsid w:val="29884008"/>
    <w:rsid w:val="29E26ED7"/>
    <w:rsid w:val="2A185AAA"/>
    <w:rsid w:val="2A2B053E"/>
    <w:rsid w:val="2AA62052"/>
    <w:rsid w:val="2AEF620D"/>
    <w:rsid w:val="2B004A03"/>
    <w:rsid w:val="2B667741"/>
    <w:rsid w:val="2B952DC9"/>
    <w:rsid w:val="2B9C7A00"/>
    <w:rsid w:val="2BF751C8"/>
    <w:rsid w:val="2C1B65AB"/>
    <w:rsid w:val="2C266A13"/>
    <w:rsid w:val="2C2D5BE9"/>
    <w:rsid w:val="2C413F15"/>
    <w:rsid w:val="2C484ADF"/>
    <w:rsid w:val="2C863B0A"/>
    <w:rsid w:val="2C913C57"/>
    <w:rsid w:val="2CB67628"/>
    <w:rsid w:val="2D7711F4"/>
    <w:rsid w:val="2D7E5D38"/>
    <w:rsid w:val="2DB2412B"/>
    <w:rsid w:val="2DBA2C9C"/>
    <w:rsid w:val="2DFE1003"/>
    <w:rsid w:val="2E125EE8"/>
    <w:rsid w:val="2E127055"/>
    <w:rsid w:val="2E2D4431"/>
    <w:rsid w:val="2E636917"/>
    <w:rsid w:val="2E8D72B0"/>
    <w:rsid w:val="2E937434"/>
    <w:rsid w:val="2EDD13FD"/>
    <w:rsid w:val="2EF608E5"/>
    <w:rsid w:val="2EFF4609"/>
    <w:rsid w:val="2F4078ED"/>
    <w:rsid w:val="2F436126"/>
    <w:rsid w:val="2F5D2AAD"/>
    <w:rsid w:val="2F5F0DD2"/>
    <w:rsid w:val="2F895979"/>
    <w:rsid w:val="2F963B68"/>
    <w:rsid w:val="2FAF3FA5"/>
    <w:rsid w:val="2FB61835"/>
    <w:rsid w:val="2FE81203"/>
    <w:rsid w:val="30002233"/>
    <w:rsid w:val="301A49E7"/>
    <w:rsid w:val="30484816"/>
    <w:rsid w:val="304C2229"/>
    <w:rsid w:val="30891D2F"/>
    <w:rsid w:val="30AB434B"/>
    <w:rsid w:val="30B94BC4"/>
    <w:rsid w:val="30DD69AA"/>
    <w:rsid w:val="315F23CD"/>
    <w:rsid w:val="31D411F6"/>
    <w:rsid w:val="32054CF6"/>
    <w:rsid w:val="320B0DAE"/>
    <w:rsid w:val="3216747E"/>
    <w:rsid w:val="324F10BD"/>
    <w:rsid w:val="3255427B"/>
    <w:rsid w:val="32945AB3"/>
    <w:rsid w:val="32E813AE"/>
    <w:rsid w:val="32F62F6C"/>
    <w:rsid w:val="32FF0698"/>
    <w:rsid w:val="330A2337"/>
    <w:rsid w:val="33344C0B"/>
    <w:rsid w:val="33A30157"/>
    <w:rsid w:val="33BC0FA8"/>
    <w:rsid w:val="343217EE"/>
    <w:rsid w:val="34371F3F"/>
    <w:rsid w:val="34395313"/>
    <w:rsid w:val="34446958"/>
    <w:rsid w:val="344554F3"/>
    <w:rsid w:val="344E1E03"/>
    <w:rsid w:val="34592AF6"/>
    <w:rsid w:val="3493621B"/>
    <w:rsid w:val="34B351F5"/>
    <w:rsid w:val="34CF7A80"/>
    <w:rsid w:val="34EB417E"/>
    <w:rsid w:val="3522609B"/>
    <w:rsid w:val="357445C6"/>
    <w:rsid w:val="358950ED"/>
    <w:rsid w:val="35AA2847"/>
    <w:rsid w:val="35BD038B"/>
    <w:rsid w:val="35C46A8B"/>
    <w:rsid w:val="35F57C0E"/>
    <w:rsid w:val="360355C8"/>
    <w:rsid w:val="36121383"/>
    <w:rsid w:val="36190C78"/>
    <w:rsid w:val="36607590"/>
    <w:rsid w:val="36820561"/>
    <w:rsid w:val="36CD592E"/>
    <w:rsid w:val="36E62DA0"/>
    <w:rsid w:val="36E815C4"/>
    <w:rsid w:val="36EC39E6"/>
    <w:rsid w:val="3747685D"/>
    <w:rsid w:val="375D844E"/>
    <w:rsid w:val="37BA40DC"/>
    <w:rsid w:val="37C63DFA"/>
    <w:rsid w:val="38247311"/>
    <w:rsid w:val="38284218"/>
    <w:rsid w:val="383B3A62"/>
    <w:rsid w:val="383F05AD"/>
    <w:rsid w:val="388536F6"/>
    <w:rsid w:val="38AE3781"/>
    <w:rsid w:val="38DB6D55"/>
    <w:rsid w:val="38F47CA6"/>
    <w:rsid w:val="390A46C3"/>
    <w:rsid w:val="393775B4"/>
    <w:rsid w:val="3940552D"/>
    <w:rsid w:val="39452513"/>
    <w:rsid w:val="39830796"/>
    <w:rsid w:val="39942F29"/>
    <w:rsid w:val="39B530CA"/>
    <w:rsid w:val="39BE2D40"/>
    <w:rsid w:val="39E735EB"/>
    <w:rsid w:val="39FC04BC"/>
    <w:rsid w:val="3A2C5419"/>
    <w:rsid w:val="3A5B4EA8"/>
    <w:rsid w:val="3A5F60E2"/>
    <w:rsid w:val="3A766500"/>
    <w:rsid w:val="3A8E4210"/>
    <w:rsid w:val="3A9C475D"/>
    <w:rsid w:val="3ABF5FCF"/>
    <w:rsid w:val="3AC31978"/>
    <w:rsid w:val="3AFB625F"/>
    <w:rsid w:val="3B091EF2"/>
    <w:rsid w:val="3B3310D4"/>
    <w:rsid w:val="3B882245"/>
    <w:rsid w:val="3BC14E56"/>
    <w:rsid w:val="3BCB389C"/>
    <w:rsid w:val="3BF87FC2"/>
    <w:rsid w:val="3BFE92E6"/>
    <w:rsid w:val="3C1F6E45"/>
    <w:rsid w:val="3C5D7628"/>
    <w:rsid w:val="3C7E08AD"/>
    <w:rsid w:val="3C8C47A8"/>
    <w:rsid w:val="3C925432"/>
    <w:rsid w:val="3CA774F5"/>
    <w:rsid w:val="3CAA50ED"/>
    <w:rsid w:val="3CB05723"/>
    <w:rsid w:val="3CD576EC"/>
    <w:rsid w:val="3CEE7F7E"/>
    <w:rsid w:val="3D492FB7"/>
    <w:rsid w:val="3D4D580B"/>
    <w:rsid w:val="3D767E1F"/>
    <w:rsid w:val="3D982F80"/>
    <w:rsid w:val="3DB362DB"/>
    <w:rsid w:val="3DCF3C04"/>
    <w:rsid w:val="3DF84D4A"/>
    <w:rsid w:val="3DFD758E"/>
    <w:rsid w:val="3E1D3474"/>
    <w:rsid w:val="3E2C5CE3"/>
    <w:rsid w:val="3E971C2C"/>
    <w:rsid w:val="3E9F0CDD"/>
    <w:rsid w:val="3EBF4761"/>
    <w:rsid w:val="3ED87201"/>
    <w:rsid w:val="3EE02645"/>
    <w:rsid w:val="3EF35958"/>
    <w:rsid w:val="3EF83F8F"/>
    <w:rsid w:val="3F3123B0"/>
    <w:rsid w:val="3F4C3C76"/>
    <w:rsid w:val="3F5A6BDC"/>
    <w:rsid w:val="3F72FB8E"/>
    <w:rsid w:val="3F857BF7"/>
    <w:rsid w:val="3FB80B02"/>
    <w:rsid w:val="3FCF87E2"/>
    <w:rsid w:val="3FE4F30A"/>
    <w:rsid w:val="3FEA7C05"/>
    <w:rsid w:val="3FED7CA3"/>
    <w:rsid w:val="3FFDE92B"/>
    <w:rsid w:val="3FFF2BBB"/>
    <w:rsid w:val="400E1481"/>
    <w:rsid w:val="401671AA"/>
    <w:rsid w:val="408E2BEB"/>
    <w:rsid w:val="40934335"/>
    <w:rsid w:val="40B225AE"/>
    <w:rsid w:val="40C800AC"/>
    <w:rsid w:val="40E404D8"/>
    <w:rsid w:val="411A31F7"/>
    <w:rsid w:val="415B2671"/>
    <w:rsid w:val="416B6FE1"/>
    <w:rsid w:val="41FE0CE6"/>
    <w:rsid w:val="42127509"/>
    <w:rsid w:val="42134965"/>
    <w:rsid w:val="42A725A6"/>
    <w:rsid w:val="42BB7FAC"/>
    <w:rsid w:val="42D22654"/>
    <w:rsid w:val="43427F96"/>
    <w:rsid w:val="43534EDF"/>
    <w:rsid w:val="43556E1D"/>
    <w:rsid w:val="43DD6659"/>
    <w:rsid w:val="43F00A88"/>
    <w:rsid w:val="440C1A62"/>
    <w:rsid w:val="441F27E8"/>
    <w:rsid w:val="442E6626"/>
    <w:rsid w:val="44904A20"/>
    <w:rsid w:val="44AF72AA"/>
    <w:rsid w:val="450646CD"/>
    <w:rsid w:val="453F6242"/>
    <w:rsid w:val="45410BEF"/>
    <w:rsid w:val="454D3391"/>
    <w:rsid w:val="457202BD"/>
    <w:rsid w:val="45980D6F"/>
    <w:rsid w:val="45995097"/>
    <w:rsid w:val="45B07BCD"/>
    <w:rsid w:val="45B15AFC"/>
    <w:rsid w:val="45B267FE"/>
    <w:rsid w:val="45D65E43"/>
    <w:rsid w:val="45ED1180"/>
    <w:rsid w:val="45F13BAE"/>
    <w:rsid w:val="45FEEC7A"/>
    <w:rsid w:val="46087030"/>
    <w:rsid w:val="46327DEB"/>
    <w:rsid w:val="46431B5C"/>
    <w:rsid w:val="465034C7"/>
    <w:rsid w:val="466677DA"/>
    <w:rsid w:val="46685015"/>
    <w:rsid w:val="467D76E6"/>
    <w:rsid w:val="46CE74F7"/>
    <w:rsid w:val="46D30868"/>
    <w:rsid w:val="47586DE9"/>
    <w:rsid w:val="47AA4550"/>
    <w:rsid w:val="47AE2D1A"/>
    <w:rsid w:val="47D83DA2"/>
    <w:rsid w:val="483779F8"/>
    <w:rsid w:val="4841622C"/>
    <w:rsid w:val="48505862"/>
    <w:rsid w:val="48917863"/>
    <w:rsid w:val="48A94735"/>
    <w:rsid w:val="48BF69FA"/>
    <w:rsid w:val="495A275A"/>
    <w:rsid w:val="4966280A"/>
    <w:rsid w:val="497046E6"/>
    <w:rsid w:val="499D6C40"/>
    <w:rsid w:val="49A04D73"/>
    <w:rsid w:val="49CF0300"/>
    <w:rsid w:val="49D6035C"/>
    <w:rsid w:val="49E40A38"/>
    <w:rsid w:val="49F62F02"/>
    <w:rsid w:val="49F83792"/>
    <w:rsid w:val="4A0B526B"/>
    <w:rsid w:val="4AA449D8"/>
    <w:rsid w:val="4AE740B0"/>
    <w:rsid w:val="4AED00BD"/>
    <w:rsid w:val="4B4C0B57"/>
    <w:rsid w:val="4B94403A"/>
    <w:rsid w:val="4BB739C4"/>
    <w:rsid w:val="4BEC716C"/>
    <w:rsid w:val="4C0A41FE"/>
    <w:rsid w:val="4C544D34"/>
    <w:rsid w:val="4C9F0FCC"/>
    <w:rsid w:val="4C9F5E75"/>
    <w:rsid w:val="4D1D7752"/>
    <w:rsid w:val="4D434595"/>
    <w:rsid w:val="4D4A1762"/>
    <w:rsid w:val="4D543FB6"/>
    <w:rsid w:val="4D596307"/>
    <w:rsid w:val="4D750090"/>
    <w:rsid w:val="4D9B160E"/>
    <w:rsid w:val="4DB847AB"/>
    <w:rsid w:val="4DC5726B"/>
    <w:rsid w:val="4DEE2383"/>
    <w:rsid w:val="4E180AAD"/>
    <w:rsid w:val="4E3D5C6A"/>
    <w:rsid w:val="4E401BA3"/>
    <w:rsid w:val="4E744B01"/>
    <w:rsid w:val="4E776117"/>
    <w:rsid w:val="4EEA5B73"/>
    <w:rsid w:val="4EEB1428"/>
    <w:rsid w:val="4EFD6F34"/>
    <w:rsid w:val="4F150B43"/>
    <w:rsid w:val="4F1D6068"/>
    <w:rsid w:val="4F311BAF"/>
    <w:rsid w:val="4F5376AB"/>
    <w:rsid w:val="4F7F1927"/>
    <w:rsid w:val="4FB753CF"/>
    <w:rsid w:val="4FCD5443"/>
    <w:rsid w:val="4FEF641E"/>
    <w:rsid w:val="4FF87736"/>
    <w:rsid w:val="50103A3F"/>
    <w:rsid w:val="50316C0A"/>
    <w:rsid w:val="5069215F"/>
    <w:rsid w:val="50775897"/>
    <w:rsid w:val="50A1408A"/>
    <w:rsid w:val="50AC2D0F"/>
    <w:rsid w:val="50B204D7"/>
    <w:rsid w:val="50CB6BAB"/>
    <w:rsid w:val="51060167"/>
    <w:rsid w:val="5144716F"/>
    <w:rsid w:val="51975976"/>
    <w:rsid w:val="520B7E90"/>
    <w:rsid w:val="52144851"/>
    <w:rsid w:val="52280045"/>
    <w:rsid w:val="523D0359"/>
    <w:rsid w:val="525F00E3"/>
    <w:rsid w:val="527C456F"/>
    <w:rsid w:val="52900D0E"/>
    <w:rsid w:val="52993572"/>
    <w:rsid w:val="52C94A24"/>
    <w:rsid w:val="52E577DB"/>
    <w:rsid w:val="531B02FB"/>
    <w:rsid w:val="531C4BE8"/>
    <w:rsid w:val="536A1860"/>
    <w:rsid w:val="53847CE6"/>
    <w:rsid w:val="539C678F"/>
    <w:rsid w:val="539E2F31"/>
    <w:rsid w:val="53AC44AB"/>
    <w:rsid w:val="53DE2EAE"/>
    <w:rsid w:val="53DE689E"/>
    <w:rsid w:val="542820A7"/>
    <w:rsid w:val="54493BC0"/>
    <w:rsid w:val="545C4A7B"/>
    <w:rsid w:val="546623FD"/>
    <w:rsid w:val="54785C77"/>
    <w:rsid w:val="54CE491A"/>
    <w:rsid w:val="54F91522"/>
    <w:rsid w:val="550A5A6C"/>
    <w:rsid w:val="55154380"/>
    <w:rsid w:val="552E27A5"/>
    <w:rsid w:val="556C4F7B"/>
    <w:rsid w:val="55895C10"/>
    <w:rsid w:val="56160AE4"/>
    <w:rsid w:val="564E228B"/>
    <w:rsid w:val="56587D0D"/>
    <w:rsid w:val="565E7B59"/>
    <w:rsid w:val="567B1F78"/>
    <w:rsid w:val="56A37B65"/>
    <w:rsid w:val="56A61FE8"/>
    <w:rsid w:val="56A70057"/>
    <w:rsid w:val="56C41FE1"/>
    <w:rsid w:val="56CF3B57"/>
    <w:rsid w:val="56DB676E"/>
    <w:rsid w:val="56EF0626"/>
    <w:rsid w:val="57027F3F"/>
    <w:rsid w:val="5707272C"/>
    <w:rsid w:val="57323AEE"/>
    <w:rsid w:val="573937E1"/>
    <w:rsid w:val="57675951"/>
    <w:rsid w:val="579328B7"/>
    <w:rsid w:val="57A02B3A"/>
    <w:rsid w:val="57A83FB3"/>
    <w:rsid w:val="57AE0D7D"/>
    <w:rsid w:val="57B6441C"/>
    <w:rsid w:val="580876A4"/>
    <w:rsid w:val="58432E17"/>
    <w:rsid w:val="58576E0C"/>
    <w:rsid w:val="586100EB"/>
    <w:rsid w:val="58A77221"/>
    <w:rsid w:val="58D42924"/>
    <w:rsid w:val="58D75F64"/>
    <w:rsid w:val="58DE6357"/>
    <w:rsid w:val="59151653"/>
    <w:rsid w:val="59155C76"/>
    <w:rsid w:val="593B2FB5"/>
    <w:rsid w:val="596155CD"/>
    <w:rsid w:val="597619CB"/>
    <w:rsid w:val="5A3D527E"/>
    <w:rsid w:val="5A4C209B"/>
    <w:rsid w:val="5A5D00D0"/>
    <w:rsid w:val="5A9B0EC0"/>
    <w:rsid w:val="5AB51435"/>
    <w:rsid w:val="5AF202DB"/>
    <w:rsid w:val="5AF36B25"/>
    <w:rsid w:val="5B1C4FC1"/>
    <w:rsid w:val="5B5F8D84"/>
    <w:rsid w:val="5B7E99B1"/>
    <w:rsid w:val="5B95210F"/>
    <w:rsid w:val="5BB160B9"/>
    <w:rsid w:val="5BBC5FA1"/>
    <w:rsid w:val="5BBE098C"/>
    <w:rsid w:val="5BC17349"/>
    <w:rsid w:val="5BEF5BA4"/>
    <w:rsid w:val="5C03659B"/>
    <w:rsid w:val="5C1944E7"/>
    <w:rsid w:val="5C476A03"/>
    <w:rsid w:val="5C701DAF"/>
    <w:rsid w:val="5CAC3EEA"/>
    <w:rsid w:val="5CBB4D88"/>
    <w:rsid w:val="5CC003C5"/>
    <w:rsid w:val="5CC03254"/>
    <w:rsid w:val="5CD36FB4"/>
    <w:rsid w:val="5CEA675A"/>
    <w:rsid w:val="5D443C68"/>
    <w:rsid w:val="5D4F69A5"/>
    <w:rsid w:val="5D5B032C"/>
    <w:rsid w:val="5D845F7E"/>
    <w:rsid w:val="5D852A13"/>
    <w:rsid w:val="5DF802B8"/>
    <w:rsid w:val="5E346467"/>
    <w:rsid w:val="5E6F2728"/>
    <w:rsid w:val="5E8500B8"/>
    <w:rsid w:val="5EAA3A0A"/>
    <w:rsid w:val="5EDF2B36"/>
    <w:rsid w:val="5F16422C"/>
    <w:rsid w:val="5F186462"/>
    <w:rsid w:val="5F283E0F"/>
    <w:rsid w:val="5F363017"/>
    <w:rsid w:val="5F396915"/>
    <w:rsid w:val="602521ED"/>
    <w:rsid w:val="60293898"/>
    <w:rsid w:val="603E5B2B"/>
    <w:rsid w:val="606A4797"/>
    <w:rsid w:val="60784320"/>
    <w:rsid w:val="60A02D1C"/>
    <w:rsid w:val="60B85F8B"/>
    <w:rsid w:val="60E9232C"/>
    <w:rsid w:val="61164DA4"/>
    <w:rsid w:val="61262367"/>
    <w:rsid w:val="6154274D"/>
    <w:rsid w:val="618C6C06"/>
    <w:rsid w:val="619C127E"/>
    <w:rsid w:val="61E2013C"/>
    <w:rsid w:val="61EE3D90"/>
    <w:rsid w:val="622D5E1C"/>
    <w:rsid w:val="62367FF4"/>
    <w:rsid w:val="62464D15"/>
    <w:rsid w:val="62663B03"/>
    <w:rsid w:val="628F52BA"/>
    <w:rsid w:val="62B742C2"/>
    <w:rsid w:val="62BC27FD"/>
    <w:rsid w:val="62D95169"/>
    <w:rsid w:val="62EB0B21"/>
    <w:rsid w:val="633036EE"/>
    <w:rsid w:val="634E3F4F"/>
    <w:rsid w:val="63835372"/>
    <w:rsid w:val="63A56B8C"/>
    <w:rsid w:val="63B81771"/>
    <w:rsid w:val="63C4604E"/>
    <w:rsid w:val="63CD2F02"/>
    <w:rsid w:val="640B490F"/>
    <w:rsid w:val="64282A7D"/>
    <w:rsid w:val="642C1B5F"/>
    <w:rsid w:val="644867EA"/>
    <w:rsid w:val="645F5F1F"/>
    <w:rsid w:val="64B1586E"/>
    <w:rsid w:val="652964C8"/>
    <w:rsid w:val="65D2365D"/>
    <w:rsid w:val="66124ABB"/>
    <w:rsid w:val="665055A1"/>
    <w:rsid w:val="6655583A"/>
    <w:rsid w:val="66782B50"/>
    <w:rsid w:val="66797031"/>
    <w:rsid w:val="668E6D55"/>
    <w:rsid w:val="66B62AAF"/>
    <w:rsid w:val="66B63F0F"/>
    <w:rsid w:val="67171FE6"/>
    <w:rsid w:val="67365440"/>
    <w:rsid w:val="677C10DD"/>
    <w:rsid w:val="67AA26A2"/>
    <w:rsid w:val="67AF2C39"/>
    <w:rsid w:val="68382BFC"/>
    <w:rsid w:val="68702643"/>
    <w:rsid w:val="687A4C34"/>
    <w:rsid w:val="687C1128"/>
    <w:rsid w:val="68A64087"/>
    <w:rsid w:val="68C97156"/>
    <w:rsid w:val="68D9613A"/>
    <w:rsid w:val="69296815"/>
    <w:rsid w:val="69740BF3"/>
    <w:rsid w:val="697A1AE8"/>
    <w:rsid w:val="69852D69"/>
    <w:rsid w:val="69CD5350"/>
    <w:rsid w:val="69E96E42"/>
    <w:rsid w:val="69EF5E36"/>
    <w:rsid w:val="69F10A19"/>
    <w:rsid w:val="6A0E2CAA"/>
    <w:rsid w:val="6A312F47"/>
    <w:rsid w:val="6A426532"/>
    <w:rsid w:val="6A541877"/>
    <w:rsid w:val="6A5B0688"/>
    <w:rsid w:val="6A6D435E"/>
    <w:rsid w:val="6A9768D5"/>
    <w:rsid w:val="6AC21FEA"/>
    <w:rsid w:val="6AC44E48"/>
    <w:rsid w:val="6B416891"/>
    <w:rsid w:val="6B730ADB"/>
    <w:rsid w:val="6B973F54"/>
    <w:rsid w:val="6BB82F93"/>
    <w:rsid w:val="6BC81445"/>
    <w:rsid w:val="6BE66DBF"/>
    <w:rsid w:val="6BFC559A"/>
    <w:rsid w:val="6C7301EE"/>
    <w:rsid w:val="6C735685"/>
    <w:rsid w:val="6C907842"/>
    <w:rsid w:val="6CA12127"/>
    <w:rsid w:val="6CE74ADB"/>
    <w:rsid w:val="6D0A1AB7"/>
    <w:rsid w:val="6D1562FB"/>
    <w:rsid w:val="6D23490B"/>
    <w:rsid w:val="6D2D2F65"/>
    <w:rsid w:val="6D6D126F"/>
    <w:rsid w:val="6D7F079A"/>
    <w:rsid w:val="6D7F0B21"/>
    <w:rsid w:val="6D89420F"/>
    <w:rsid w:val="6DA51B0D"/>
    <w:rsid w:val="6DE17F5E"/>
    <w:rsid w:val="6DE425DD"/>
    <w:rsid w:val="6DFF493C"/>
    <w:rsid w:val="6E1E0067"/>
    <w:rsid w:val="6E3103DE"/>
    <w:rsid w:val="6E371FB1"/>
    <w:rsid w:val="6E522A93"/>
    <w:rsid w:val="6E9F7D57"/>
    <w:rsid w:val="6ED82463"/>
    <w:rsid w:val="6EFC2E3B"/>
    <w:rsid w:val="6F072FE0"/>
    <w:rsid w:val="6F2D403A"/>
    <w:rsid w:val="6F510FC5"/>
    <w:rsid w:val="6F686B2C"/>
    <w:rsid w:val="6F95430A"/>
    <w:rsid w:val="6FAF9792"/>
    <w:rsid w:val="6FCB6674"/>
    <w:rsid w:val="6FDA1680"/>
    <w:rsid w:val="6FDE6D4B"/>
    <w:rsid w:val="6FDF92CE"/>
    <w:rsid w:val="6FED039D"/>
    <w:rsid w:val="6FEE0A49"/>
    <w:rsid w:val="6FF62692"/>
    <w:rsid w:val="6FFB20AD"/>
    <w:rsid w:val="6FFE7D7E"/>
    <w:rsid w:val="703F39D2"/>
    <w:rsid w:val="704B4B6F"/>
    <w:rsid w:val="706A2D4C"/>
    <w:rsid w:val="70954FF6"/>
    <w:rsid w:val="70C3244C"/>
    <w:rsid w:val="70E456DE"/>
    <w:rsid w:val="70EA4B85"/>
    <w:rsid w:val="70EB2596"/>
    <w:rsid w:val="71296B94"/>
    <w:rsid w:val="71537B1E"/>
    <w:rsid w:val="71826C7B"/>
    <w:rsid w:val="718568D4"/>
    <w:rsid w:val="719271D0"/>
    <w:rsid w:val="71DF59C4"/>
    <w:rsid w:val="723914B4"/>
    <w:rsid w:val="723B07CB"/>
    <w:rsid w:val="7257755F"/>
    <w:rsid w:val="72BC7438"/>
    <w:rsid w:val="72C826B7"/>
    <w:rsid w:val="72D60E3E"/>
    <w:rsid w:val="72EA3CA9"/>
    <w:rsid w:val="73180AD2"/>
    <w:rsid w:val="7353633E"/>
    <w:rsid w:val="737E14FB"/>
    <w:rsid w:val="73954CE5"/>
    <w:rsid w:val="73A77236"/>
    <w:rsid w:val="73B76B14"/>
    <w:rsid w:val="73CE05C8"/>
    <w:rsid w:val="74027120"/>
    <w:rsid w:val="7440414A"/>
    <w:rsid w:val="74597322"/>
    <w:rsid w:val="74B37547"/>
    <w:rsid w:val="74EA3E90"/>
    <w:rsid w:val="74EBB814"/>
    <w:rsid w:val="74F42793"/>
    <w:rsid w:val="75092ABC"/>
    <w:rsid w:val="750D7E98"/>
    <w:rsid w:val="751F5C31"/>
    <w:rsid w:val="75499311"/>
    <w:rsid w:val="755F6773"/>
    <w:rsid w:val="756E67ED"/>
    <w:rsid w:val="757B07FD"/>
    <w:rsid w:val="75A41141"/>
    <w:rsid w:val="75AA02D5"/>
    <w:rsid w:val="75B118FB"/>
    <w:rsid w:val="75FB5E58"/>
    <w:rsid w:val="76117975"/>
    <w:rsid w:val="7632520E"/>
    <w:rsid w:val="765615F1"/>
    <w:rsid w:val="76622199"/>
    <w:rsid w:val="76712296"/>
    <w:rsid w:val="767652A8"/>
    <w:rsid w:val="76A82910"/>
    <w:rsid w:val="76E807EC"/>
    <w:rsid w:val="76FD7797"/>
    <w:rsid w:val="77192D56"/>
    <w:rsid w:val="777079AD"/>
    <w:rsid w:val="77DFB228"/>
    <w:rsid w:val="77F932E0"/>
    <w:rsid w:val="78385573"/>
    <w:rsid w:val="78646262"/>
    <w:rsid w:val="78874BB4"/>
    <w:rsid w:val="78946A6F"/>
    <w:rsid w:val="78960857"/>
    <w:rsid w:val="78CF4C8A"/>
    <w:rsid w:val="78CF590A"/>
    <w:rsid w:val="7913706C"/>
    <w:rsid w:val="794B7D9C"/>
    <w:rsid w:val="799338DA"/>
    <w:rsid w:val="799C6B9D"/>
    <w:rsid w:val="799F3238"/>
    <w:rsid w:val="79A70B92"/>
    <w:rsid w:val="79BD41C2"/>
    <w:rsid w:val="7A3B36A9"/>
    <w:rsid w:val="7A401A3A"/>
    <w:rsid w:val="7A611CBD"/>
    <w:rsid w:val="7ACF01A2"/>
    <w:rsid w:val="7AD061B2"/>
    <w:rsid w:val="7AD84697"/>
    <w:rsid w:val="7AE918CD"/>
    <w:rsid w:val="7B3303F3"/>
    <w:rsid w:val="7B6833E5"/>
    <w:rsid w:val="7B9D0E88"/>
    <w:rsid w:val="7BE17CCF"/>
    <w:rsid w:val="7BEF4C56"/>
    <w:rsid w:val="7BFBA993"/>
    <w:rsid w:val="7BFBAB29"/>
    <w:rsid w:val="7C10559B"/>
    <w:rsid w:val="7C3471C4"/>
    <w:rsid w:val="7D033001"/>
    <w:rsid w:val="7D500092"/>
    <w:rsid w:val="7D584CA2"/>
    <w:rsid w:val="7D5C3245"/>
    <w:rsid w:val="7D6925E9"/>
    <w:rsid w:val="7D6F453F"/>
    <w:rsid w:val="7DCB1578"/>
    <w:rsid w:val="7DFB7239"/>
    <w:rsid w:val="7DFD5226"/>
    <w:rsid w:val="7E1D7FA5"/>
    <w:rsid w:val="7E2969CB"/>
    <w:rsid w:val="7E380D33"/>
    <w:rsid w:val="7E3A1FB9"/>
    <w:rsid w:val="7E515F86"/>
    <w:rsid w:val="7E5B2F60"/>
    <w:rsid w:val="7ECD4EAB"/>
    <w:rsid w:val="7ED43DD4"/>
    <w:rsid w:val="7F023C68"/>
    <w:rsid w:val="7F027446"/>
    <w:rsid w:val="7F104911"/>
    <w:rsid w:val="7F3C5DB2"/>
    <w:rsid w:val="7F50607E"/>
    <w:rsid w:val="7F5724B5"/>
    <w:rsid w:val="7F5E96C4"/>
    <w:rsid w:val="7F73122C"/>
    <w:rsid w:val="7F7F9C3C"/>
    <w:rsid w:val="7F854EFC"/>
    <w:rsid w:val="7F8963F8"/>
    <w:rsid w:val="7FBF5E51"/>
    <w:rsid w:val="7FD2F7DB"/>
    <w:rsid w:val="7FF65F05"/>
    <w:rsid w:val="7FFC03A8"/>
    <w:rsid w:val="7FFDD5E0"/>
    <w:rsid w:val="7FFFD2A8"/>
    <w:rsid w:val="97BF568E"/>
    <w:rsid w:val="97FF0C9B"/>
    <w:rsid w:val="A65BFCF2"/>
    <w:rsid w:val="AD3F6BA7"/>
    <w:rsid w:val="AEBF24CF"/>
    <w:rsid w:val="BEFEAF53"/>
    <w:rsid w:val="BF9B9E8B"/>
    <w:rsid w:val="BFEF0A90"/>
    <w:rsid w:val="BFFB8A96"/>
    <w:rsid w:val="BFFBC8E2"/>
    <w:rsid w:val="CF5FAA61"/>
    <w:rsid w:val="CFFDE188"/>
    <w:rsid w:val="D779509E"/>
    <w:rsid w:val="DAE98030"/>
    <w:rsid w:val="DBFC2DAC"/>
    <w:rsid w:val="DEF79C17"/>
    <w:rsid w:val="DFFD4476"/>
    <w:rsid w:val="E3F31B5A"/>
    <w:rsid w:val="E77FB029"/>
    <w:rsid w:val="E7FF7D65"/>
    <w:rsid w:val="E7FFFCB9"/>
    <w:rsid w:val="EBFB0AF1"/>
    <w:rsid w:val="ECFE597C"/>
    <w:rsid w:val="EEC5936D"/>
    <w:rsid w:val="EF7F6E0E"/>
    <w:rsid w:val="EFAFA580"/>
    <w:rsid w:val="EFE31AD5"/>
    <w:rsid w:val="EFF7C251"/>
    <w:rsid w:val="EFFC0CE8"/>
    <w:rsid w:val="F5F6466D"/>
    <w:rsid w:val="F77EABDF"/>
    <w:rsid w:val="FAE43EF2"/>
    <w:rsid w:val="FAFF6502"/>
    <w:rsid w:val="FC963BD8"/>
    <w:rsid w:val="FDE81FC7"/>
    <w:rsid w:val="FDFF782F"/>
    <w:rsid w:val="FEBF9360"/>
    <w:rsid w:val="FEC0D99D"/>
    <w:rsid w:val="FECF7BEC"/>
    <w:rsid w:val="FF075838"/>
    <w:rsid w:val="FF5F9900"/>
    <w:rsid w:val="FFDFCB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宋体" w:hAnsi="宋体" w:eastAsia="宋体" w:cs="宋体"/>
      <w:sz w:val="24"/>
      <w:szCs w:val="24"/>
      <w:lang w:val="en-US" w:eastAsia="zh-CN" w:bidi="ar-SA"/>
    </w:rPr>
  </w:style>
  <w:style w:type="paragraph" w:styleId="4">
    <w:name w:val="heading 1"/>
    <w:basedOn w:val="1"/>
    <w:next w:val="1"/>
    <w:qFormat/>
    <w:uiPriority w:val="0"/>
    <w:pPr>
      <w:widowControl w:val="0"/>
      <w:autoSpaceDE w:val="0"/>
      <w:autoSpaceDN w:val="0"/>
      <w:ind w:left="860"/>
      <w:outlineLvl w:val="0"/>
    </w:pPr>
    <w:rPr>
      <w:rFonts w:ascii="微软雅黑" w:hAnsi="微软雅黑" w:eastAsia="微软雅黑" w:cs="微软雅黑"/>
      <w:b/>
      <w:bCs/>
      <w:sz w:val="32"/>
      <w:szCs w:val="32"/>
    </w:rPr>
  </w:style>
  <w:style w:type="paragraph" w:styleId="5">
    <w:name w:val="heading 2"/>
    <w:basedOn w:val="1"/>
    <w:next w:val="1"/>
    <w:unhideWhenUsed/>
    <w:qFormat/>
    <w:uiPriority w:val="0"/>
    <w:pPr>
      <w:keepNext/>
      <w:keepLines/>
      <w:widowControl w:val="0"/>
      <w:autoSpaceDE w:val="0"/>
      <w:autoSpaceDN w:val="0"/>
      <w:spacing w:before="260" w:after="260" w:line="416" w:lineRule="auto"/>
      <w:outlineLvl w:val="1"/>
    </w:pPr>
    <w:rPr>
      <w:rFonts w:ascii="Arial" w:hAnsi="Arial" w:eastAsia="黑体"/>
      <w:b/>
      <w:bCs/>
      <w:sz w:val="32"/>
      <w:szCs w:val="32"/>
    </w:rPr>
  </w:style>
  <w:style w:type="paragraph" w:styleId="6">
    <w:name w:val="heading 3"/>
    <w:basedOn w:val="1"/>
    <w:next w:val="1"/>
    <w:unhideWhenUsed/>
    <w:qFormat/>
    <w:uiPriority w:val="0"/>
    <w:pPr>
      <w:widowControl w:val="0"/>
      <w:autoSpaceDE w:val="0"/>
      <w:autoSpaceDN w:val="0"/>
      <w:ind w:left="1093"/>
      <w:outlineLvl w:val="2"/>
    </w:pPr>
    <w:rPr>
      <w:rFonts w:ascii="微软雅黑" w:hAnsi="微软雅黑" w:eastAsia="微软雅黑" w:cs="微软雅黑"/>
      <w:b/>
      <w:bCs/>
      <w:sz w:val="28"/>
      <w:szCs w:val="28"/>
    </w:rPr>
  </w:style>
  <w:style w:type="character" w:default="1" w:styleId="18">
    <w:name w:val="Default Paragraph Font"/>
    <w:unhideWhenUsed/>
    <w:qFormat/>
    <w:uiPriority w:val="1"/>
  </w:style>
  <w:style w:type="table" w:default="1" w:styleId="16">
    <w:name w:val="Normal Table"/>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widowControl w:val="0"/>
      <w:autoSpaceDE w:val="0"/>
      <w:autoSpaceDN w:val="0"/>
      <w:spacing w:before="190"/>
      <w:ind w:left="220"/>
    </w:pPr>
    <w:rPr>
      <w:sz w:val="32"/>
      <w:szCs w:val="32"/>
    </w:rPr>
  </w:style>
  <w:style w:type="paragraph" w:styleId="3">
    <w:name w:val="toc 5"/>
    <w:basedOn w:val="1"/>
    <w:next w:val="1"/>
    <w:qFormat/>
    <w:uiPriority w:val="0"/>
    <w:pPr>
      <w:spacing w:line="360" w:lineRule="auto"/>
      <w:ind w:left="840"/>
      <w:jc w:val="left"/>
    </w:pPr>
    <w:rPr>
      <w:rFonts w:cs="Calibri"/>
      <w:sz w:val="18"/>
      <w:szCs w:val="18"/>
    </w:rPr>
  </w:style>
  <w:style w:type="paragraph" w:styleId="7">
    <w:name w:val="annotation text"/>
    <w:basedOn w:val="1"/>
    <w:link w:val="30"/>
    <w:qFormat/>
    <w:uiPriority w:val="0"/>
  </w:style>
  <w:style w:type="paragraph" w:styleId="8">
    <w:name w:val="toc 3"/>
    <w:basedOn w:val="1"/>
    <w:next w:val="1"/>
    <w:qFormat/>
    <w:uiPriority w:val="0"/>
    <w:pPr>
      <w:ind w:left="840" w:leftChars="400"/>
    </w:pPr>
  </w:style>
  <w:style w:type="paragraph" w:styleId="9">
    <w:name w:val="footer"/>
    <w:basedOn w:val="1"/>
    <w:qFormat/>
    <w:uiPriority w:val="0"/>
    <w:pPr>
      <w:widowControl w:val="0"/>
      <w:tabs>
        <w:tab w:val="center" w:pos="4153"/>
        <w:tab w:val="right" w:pos="8306"/>
      </w:tabs>
      <w:autoSpaceDE w:val="0"/>
      <w:autoSpaceDN w:val="0"/>
      <w:snapToGrid w:val="0"/>
    </w:pPr>
    <w:rPr>
      <w:sz w:val="18"/>
      <w:szCs w:val="22"/>
    </w:rPr>
  </w:style>
  <w:style w:type="paragraph" w:styleId="10">
    <w:name w:val="header"/>
    <w:basedOn w:val="1"/>
    <w:qFormat/>
    <w:uiPriority w:val="0"/>
    <w:pPr>
      <w:widowControl w:val="0"/>
      <w:pBdr>
        <w:top w:val="none" w:color="auto" w:sz="0" w:space="1"/>
        <w:left w:val="none" w:color="auto" w:sz="0" w:space="4"/>
        <w:bottom w:val="none" w:color="auto" w:sz="0" w:space="1"/>
        <w:right w:val="none" w:color="auto" w:sz="0" w:space="4"/>
      </w:pBdr>
      <w:tabs>
        <w:tab w:val="center" w:pos="4153"/>
        <w:tab w:val="right" w:pos="8306"/>
      </w:tabs>
      <w:autoSpaceDE w:val="0"/>
      <w:autoSpaceDN w:val="0"/>
      <w:snapToGrid w:val="0"/>
      <w:jc w:val="both"/>
    </w:pPr>
    <w:rPr>
      <w:rFonts w:ascii="DejaVu Sans" w:hAnsi="DejaVu Sans"/>
      <w:sz w:val="18"/>
      <w:szCs w:val="22"/>
    </w:rPr>
  </w:style>
  <w:style w:type="paragraph" w:styleId="11">
    <w:name w:val="toc 1"/>
    <w:basedOn w:val="1"/>
    <w:next w:val="1"/>
    <w:qFormat/>
    <w:uiPriority w:val="0"/>
    <w:pPr>
      <w:widowControl w:val="0"/>
      <w:autoSpaceDE w:val="0"/>
      <w:autoSpaceDN w:val="0"/>
      <w:spacing w:before="119"/>
      <w:ind w:left="220"/>
    </w:pPr>
    <w:rPr>
      <w:rFonts w:ascii="微软雅黑" w:hAnsi="微软雅黑" w:eastAsia="微软雅黑" w:cs="微软雅黑"/>
      <w:b/>
      <w:bCs/>
      <w:sz w:val="20"/>
      <w:szCs w:val="20"/>
    </w:rPr>
  </w:style>
  <w:style w:type="paragraph" w:styleId="12">
    <w:name w:val="toc 2"/>
    <w:basedOn w:val="1"/>
    <w:next w:val="1"/>
    <w:qFormat/>
    <w:uiPriority w:val="0"/>
    <w:pPr>
      <w:widowControl w:val="0"/>
      <w:autoSpaceDE w:val="0"/>
      <w:autoSpaceDN w:val="0"/>
      <w:spacing w:before="183"/>
      <w:ind w:left="779"/>
    </w:pPr>
    <w:rPr>
      <w:sz w:val="20"/>
      <w:szCs w:val="20"/>
    </w:rPr>
  </w:style>
  <w:style w:type="paragraph" w:styleId="13">
    <w:name w:val="Normal (Web)"/>
    <w:basedOn w:val="1"/>
    <w:unhideWhenUsed/>
    <w:qFormat/>
    <w:uiPriority w:val="99"/>
    <w:pPr>
      <w:spacing w:before="100" w:beforeAutospacing="1" w:after="100" w:afterAutospacing="1"/>
    </w:pPr>
  </w:style>
  <w:style w:type="paragraph" w:styleId="14">
    <w:name w:val="Title"/>
    <w:basedOn w:val="1"/>
    <w:qFormat/>
    <w:uiPriority w:val="0"/>
    <w:pPr>
      <w:widowControl w:val="0"/>
      <w:autoSpaceDE w:val="0"/>
      <w:autoSpaceDN w:val="0"/>
      <w:spacing w:before="21"/>
      <w:ind w:left="1964" w:right="784" w:hanging="1282"/>
    </w:pPr>
    <w:rPr>
      <w:rFonts w:ascii="黑体" w:hAnsi="黑体" w:eastAsia="黑体" w:cs="黑体"/>
      <w:b/>
      <w:bCs/>
      <w:sz w:val="56"/>
      <w:szCs w:val="56"/>
    </w:rPr>
  </w:style>
  <w:style w:type="paragraph" w:styleId="15">
    <w:name w:val="annotation subject"/>
    <w:basedOn w:val="7"/>
    <w:next w:val="7"/>
    <w:link w:val="31"/>
    <w:qFormat/>
    <w:uiPriority w:val="0"/>
    <w:rPr>
      <w:b/>
      <w:bCs/>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FollowedHyperlink"/>
    <w:basedOn w:val="18"/>
    <w:qFormat/>
    <w:uiPriority w:val="0"/>
    <w:rPr>
      <w:color w:val="800080"/>
      <w:u w:val="single"/>
    </w:rPr>
  </w:style>
  <w:style w:type="character" w:styleId="20">
    <w:name w:val="Hyperlink"/>
    <w:basedOn w:val="18"/>
    <w:qFormat/>
    <w:uiPriority w:val="0"/>
    <w:rPr>
      <w:color w:val="0000FF"/>
      <w:u w:val="single"/>
    </w:rPr>
  </w:style>
  <w:style w:type="character" w:styleId="21">
    <w:name w:val="annotation reference"/>
    <w:basedOn w:val="18"/>
    <w:qFormat/>
    <w:uiPriority w:val="0"/>
    <w:rPr>
      <w:sz w:val="21"/>
      <w:szCs w:val="21"/>
    </w:rPr>
  </w:style>
  <w:style w:type="paragraph" w:customStyle="1" w:styleId="22">
    <w:name w:val="列表段落1"/>
    <w:basedOn w:val="1"/>
    <w:qFormat/>
    <w:uiPriority w:val="1"/>
    <w:pPr>
      <w:widowControl w:val="0"/>
      <w:autoSpaceDE w:val="0"/>
      <w:autoSpaceDN w:val="0"/>
      <w:spacing w:before="190"/>
      <w:ind w:left="1182" w:hanging="323"/>
    </w:pPr>
    <w:rPr>
      <w:sz w:val="22"/>
      <w:szCs w:val="22"/>
    </w:rPr>
  </w:style>
  <w:style w:type="paragraph" w:customStyle="1" w:styleId="23">
    <w:name w:val="Table Paragraph"/>
    <w:basedOn w:val="1"/>
    <w:qFormat/>
    <w:uiPriority w:val="1"/>
    <w:pPr>
      <w:widowControl w:val="0"/>
      <w:autoSpaceDE w:val="0"/>
      <w:autoSpaceDN w:val="0"/>
    </w:pPr>
    <w:rPr>
      <w:sz w:val="22"/>
      <w:szCs w:val="22"/>
    </w:rPr>
  </w:style>
  <w:style w:type="paragraph" w:customStyle="1" w:styleId="24">
    <w:name w:val="WPSOffice手动目录 1"/>
    <w:qFormat/>
    <w:uiPriority w:val="0"/>
    <w:rPr>
      <w:rFonts w:ascii="Times New Roman" w:hAnsi="Times New Roman" w:eastAsia="宋体" w:cs="Times New Roman"/>
      <w:lang w:val="en-US" w:eastAsia="zh-CN" w:bidi="ar-SA"/>
    </w:rPr>
  </w:style>
  <w:style w:type="paragraph" w:customStyle="1" w:styleId="25">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6">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27">
    <w:name w:val="列出段落1"/>
    <w:basedOn w:val="1"/>
    <w:qFormat/>
    <w:uiPriority w:val="34"/>
    <w:pPr>
      <w:widowControl w:val="0"/>
      <w:autoSpaceDE w:val="0"/>
      <w:autoSpaceDN w:val="0"/>
      <w:ind w:firstLine="420" w:firstLineChars="200"/>
    </w:pPr>
    <w:rPr>
      <w:sz w:val="22"/>
      <w:szCs w:val="22"/>
    </w:rPr>
  </w:style>
  <w:style w:type="character" w:customStyle="1" w:styleId="28">
    <w:name w:val="apple-converted-space"/>
    <w:basedOn w:val="18"/>
    <w:qFormat/>
    <w:uiPriority w:val="0"/>
  </w:style>
  <w:style w:type="paragraph" w:customStyle="1" w:styleId="29">
    <w:name w:val="List Paragraph"/>
    <w:basedOn w:val="1"/>
    <w:qFormat/>
    <w:uiPriority w:val="99"/>
    <w:pPr>
      <w:widowControl w:val="0"/>
      <w:autoSpaceDE w:val="0"/>
      <w:autoSpaceDN w:val="0"/>
      <w:ind w:firstLine="420" w:firstLineChars="200"/>
    </w:pPr>
    <w:rPr>
      <w:sz w:val="22"/>
      <w:szCs w:val="22"/>
    </w:rPr>
  </w:style>
  <w:style w:type="character" w:customStyle="1" w:styleId="30">
    <w:name w:val="批注文字 字符"/>
    <w:basedOn w:val="18"/>
    <w:link w:val="7"/>
    <w:qFormat/>
    <w:uiPriority w:val="0"/>
    <w:rPr>
      <w:rFonts w:ascii="宋体" w:hAnsi="宋体" w:cs="宋体"/>
      <w:sz w:val="24"/>
      <w:szCs w:val="24"/>
    </w:rPr>
  </w:style>
  <w:style w:type="character" w:customStyle="1" w:styleId="31">
    <w:name w:val="批注主题 字符"/>
    <w:basedOn w:val="30"/>
    <w:link w:val="15"/>
    <w:qFormat/>
    <w:uiPriority w:val="0"/>
    <w:rPr>
      <w:rFonts w:ascii="宋体" w:hAnsi="宋体" w:cs="宋体"/>
      <w:b/>
      <w:bCs/>
      <w:sz w:val="24"/>
      <w:szCs w:val="24"/>
    </w:rPr>
  </w:style>
  <w:style w:type="character" w:customStyle="1" w:styleId="32">
    <w:name w:val="font11"/>
    <w:basedOn w:val="18"/>
    <w:qFormat/>
    <w:uiPriority w:val="0"/>
    <w:rPr>
      <w:rFonts w:hint="default" w:ascii="仿宋_GB2312" w:eastAsia="仿宋_GB2312" w:cs="仿宋_GB2312"/>
      <w:color w:val="000000"/>
      <w:sz w:val="24"/>
      <w:szCs w:val="24"/>
      <w:u w:val="none"/>
    </w:rPr>
  </w:style>
  <w:style w:type="character" w:customStyle="1" w:styleId="33">
    <w:name w:val="font01"/>
    <w:basedOn w:val="18"/>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49</Pages>
  <Words>21578</Words>
  <Characters>23183</Characters>
  <Lines>226</Lines>
  <Paragraphs>63</Paragraphs>
  <TotalTime>2</TotalTime>
  <ScaleCrop>false</ScaleCrop>
  <LinksUpToDate>false</LinksUpToDate>
  <CharactersWithSpaces>25461</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2021-07-29T07:54:00Z</dcterms:created>
  <dc:creator>michaelzhang</dc:creator>
  <cp:lastModifiedBy>℉™</cp:lastModifiedBy>
  <dcterms:modified xsi:type="dcterms:W3CDTF">2022-10-31T01:43:10Z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8569F57E886743CFBF8F065686E960A4</vt:lpwstr>
  </property>
</Properties>
</file>