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line="360" w:lineRule="auto"/>
        <w:ind w:left="0" w:right="0" w:firstLine="0"/>
        <w:jc w:val="center"/>
        <w:rPr>
          <w:rFonts w:hint="eastAsia" w:ascii="楷体" w:hAnsi="楷体" w:eastAsia="楷体" w:cs="楷体"/>
          <w:sz w:val="36"/>
          <w:szCs w:val="36"/>
          <w:highlight w:val="none"/>
        </w:rPr>
      </w:pPr>
    </w:p>
    <w:p>
      <w:pPr>
        <w:pStyle w:val="13"/>
        <w:spacing w:before="0" w:line="360" w:lineRule="auto"/>
        <w:ind w:left="0" w:right="0" w:firstLine="0"/>
        <w:jc w:val="center"/>
        <w:rPr>
          <w:rFonts w:hint="eastAsia" w:ascii="楷体" w:hAnsi="楷体" w:eastAsia="楷体" w:cs="楷体"/>
          <w:sz w:val="36"/>
          <w:szCs w:val="36"/>
          <w:highlight w:val="none"/>
        </w:rPr>
      </w:pPr>
    </w:p>
    <w:p>
      <w:pPr>
        <w:pStyle w:val="13"/>
        <w:spacing w:before="0" w:line="360" w:lineRule="auto"/>
        <w:ind w:left="0" w:right="0" w:firstLine="0"/>
        <w:jc w:val="center"/>
        <w:rPr>
          <w:rFonts w:hint="eastAsia" w:ascii="楷体" w:hAnsi="楷体" w:eastAsia="楷体" w:cs="楷体"/>
          <w:sz w:val="36"/>
          <w:szCs w:val="36"/>
          <w:highlight w:val="none"/>
          <w:lang w:eastAsia="zh-Hans"/>
        </w:rPr>
      </w:pPr>
      <w:r>
        <w:rPr>
          <w:rFonts w:hint="eastAsia" w:ascii="楷体" w:hAnsi="楷体" w:eastAsia="楷体" w:cs="楷体"/>
          <w:sz w:val="36"/>
          <w:szCs w:val="36"/>
          <w:highlight w:val="none"/>
        </w:rPr>
        <w:t>铜川市</w:t>
      </w:r>
      <w:r>
        <w:rPr>
          <w:rFonts w:hint="eastAsia" w:ascii="楷体" w:hAnsi="楷体" w:eastAsia="楷体" w:cs="楷体"/>
          <w:sz w:val="36"/>
          <w:szCs w:val="36"/>
          <w:highlight w:val="none"/>
          <w:lang w:val="en-US" w:eastAsia="zh-CN"/>
        </w:rPr>
        <w:t>新区2020年度统计局</w:t>
      </w:r>
      <w:r>
        <w:rPr>
          <w:rFonts w:hint="eastAsia" w:ascii="楷体" w:hAnsi="楷体" w:eastAsia="楷体" w:cs="楷体"/>
          <w:sz w:val="36"/>
          <w:szCs w:val="36"/>
          <w:highlight w:val="none"/>
          <w:lang w:eastAsia="zh-Hans"/>
        </w:rPr>
        <w:t>部门</w:t>
      </w:r>
      <w:r>
        <w:rPr>
          <w:rFonts w:hint="eastAsia" w:ascii="楷体" w:hAnsi="楷体" w:eastAsia="楷体" w:cs="楷体"/>
          <w:sz w:val="36"/>
          <w:szCs w:val="36"/>
          <w:highlight w:val="none"/>
        </w:rPr>
        <w:t>整体支出</w:t>
      </w:r>
      <w:r>
        <w:rPr>
          <w:rFonts w:hint="eastAsia" w:ascii="楷体" w:hAnsi="楷体" w:eastAsia="楷体" w:cs="楷体"/>
          <w:sz w:val="36"/>
          <w:szCs w:val="36"/>
          <w:highlight w:val="none"/>
          <w:lang w:eastAsia="zh-Hans"/>
        </w:rPr>
        <w:t>重点</w:t>
      </w:r>
    </w:p>
    <w:p>
      <w:pPr>
        <w:pStyle w:val="13"/>
        <w:keepNext w:val="0"/>
        <w:keepLines w:val="0"/>
        <w:pageBreakBefore w:val="0"/>
        <w:widowControl w:val="0"/>
        <w:kinsoku/>
        <w:wordWrap/>
        <w:overflowPunct/>
        <w:topLinePunct w:val="0"/>
        <w:autoSpaceDE w:val="0"/>
        <w:autoSpaceDN w:val="0"/>
        <w:bidi w:val="0"/>
        <w:adjustRightInd/>
        <w:snapToGrid/>
        <w:spacing w:before="0" w:line="1200" w:lineRule="exact"/>
        <w:ind w:left="0" w:right="0" w:firstLine="0"/>
        <w:jc w:val="center"/>
        <w:textAlignment w:val="auto"/>
        <w:rPr>
          <w:sz w:val="72"/>
          <w:szCs w:val="72"/>
          <w:highlight w:val="none"/>
        </w:rPr>
      </w:pPr>
      <w:r>
        <w:rPr>
          <w:rFonts w:hint="eastAsia"/>
          <w:sz w:val="72"/>
          <w:szCs w:val="72"/>
          <w:highlight w:val="none"/>
        </w:rPr>
        <w:t>绩</w:t>
      </w:r>
      <w:r>
        <w:rPr>
          <w:rFonts w:hint="eastAsia"/>
          <w:sz w:val="72"/>
          <w:szCs w:val="72"/>
          <w:highlight w:val="none"/>
          <w:lang w:val="en-US" w:eastAsia="zh-CN"/>
        </w:rPr>
        <w:t xml:space="preserve"> </w:t>
      </w:r>
      <w:r>
        <w:rPr>
          <w:rFonts w:hint="eastAsia"/>
          <w:sz w:val="72"/>
          <w:szCs w:val="72"/>
          <w:highlight w:val="none"/>
        </w:rPr>
        <w:t>效</w:t>
      </w:r>
      <w:r>
        <w:rPr>
          <w:rFonts w:hint="eastAsia"/>
          <w:sz w:val="72"/>
          <w:szCs w:val="72"/>
          <w:highlight w:val="none"/>
          <w:lang w:val="en-US" w:eastAsia="zh-CN"/>
        </w:rPr>
        <w:t xml:space="preserve"> </w:t>
      </w:r>
      <w:r>
        <w:rPr>
          <w:rFonts w:hint="eastAsia"/>
          <w:sz w:val="72"/>
          <w:szCs w:val="72"/>
          <w:highlight w:val="none"/>
        </w:rPr>
        <w:t>评</w:t>
      </w:r>
      <w:r>
        <w:rPr>
          <w:rFonts w:hint="eastAsia"/>
          <w:sz w:val="72"/>
          <w:szCs w:val="72"/>
          <w:highlight w:val="none"/>
          <w:lang w:val="en-US" w:eastAsia="zh-CN"/>
        </w:rPr>
        <w:t xml:space="preserve"> </w:t>
      </w:r>
      <w:r>
        <w:rPr>
          <w:rFonts w:hint="eastAsia"/>
          <w:sz w:val="72"/>
          <w:szCs w:val="72"/>
          <w:highlight w:val="none"/>
        </w:rPr>
        <w:t>价</w:t>
      </w:r>
      <w:r>
        <w:rPr>
          <w:rFonts w:hint="eastAsia"/>
          <w:sz w:val="72"/>
          <w:szCs w:val="72"/>
          <w:highlight w:val="none"/>
          <w:lang w:val="en-US" w:eastAsia="zh-CN"/>
        </w:rPr>
        <w:t xml:space="preserve"> </w:t>
      </w:r>
      <w:r>
        <w:rPr>
          <w:sz w:val="72"/>
          <w:szCs w:val="72"/>
          <w:highlight w:val="none"/>
        </w:rPr>
        <w:t>报</w:t>
      </w:r>
      <w:r>
        <w:rPr>
          <w:rFonts w:hint="eastAsia"/>
          <w:sz w:val="72"/>
          <w:szCs w:val="72"/>
          <w:highlight w:val="none"/>
          <w:lang w:val="en-US" w:eastAsia="zh-CN"/>
        </w:rPr>
        <w:t xml:space="preserve"> </w:t>
      </w:r>
      <w:r>
        <w:rPr>
          <w:sz w:val="72"/>
          <w:szCs w:val="72"/>
          <w:highlight w:val="none"/>
        </w:rPr>
        <w:t>告</w:t>
      </w:r>
    </w:p>
    <w:p>
      <w:pPr>
        <w:pStyle w:val="2"/>
        <w:spacing w:before="0"/>
        <w:ind w:left="0"/>
        <w:rPr>
          <w:rFonts w:ascii="黑体"/>
          <w:b/>
          <w:sz w:val="56"/>
          <w:highlight w:val="none"/>
        </w:rPr>
      </w:pPr>
    </w:p>
    <w:p>
      <w:pPr>
        <w:pStyle w:val="2"/>
        <w:spacing w:before="0"/>
        <w:ind w:left="0"/>
        <w:rPr>
          <w:rFonts w:ascii="黑体"/>
          <w:b/>
          <w:sz w:val="56"/>
          <w:highlight w:val="none"/>
        </w:rPr>
      </w:pPr>
    </w:p>
    <w:p>
      <w:pPr>
        <w:pStyle w:val="2"/>
        <w:spacing w:before="0"/>
        <w:ind w:left="0"/>
        <w:rPr>
          <w:rFonts w:ascii="黑体"/>
          <w:b/>
          <w:sz w:val="56"/>
          <w:highlight w:val="none"/>
        </w:rPr>
      </w:pPr>
    </w:p>
    <w:p>
      <w:pPr>
        <w:pStyle w:val="2"/>
        <w:spacing w:before="0"/>
        <w:ind w:left="0"/>
        <w:rPr>
          <w:rFonts w:ascii="黑体"/>
          <w:b/>
          <w:sz w:val="56"/>
          <w:highlight w:val="none"/>
        </w:rPr>
      </w:pPr>
    </w:p>
    <w:p>
      <w:pPr>
        <w:pStyle w:val="2"/>
        <w:spacing w:before="0"/>
        <w:ind w:left="0"/>
        <w:rPr>
          <w:rFonts w:ascii="黑体"/>
          <w:b/>
          <w:sz w:val="56"/>
          <w:highlight w:val="none"/>
        </w:rPr>
      </w:pPr>
    </w:p>
    <w:p>
      <w:pPr>
        <w:widowControl w:val="0"/>
        <w:ind w:firstLine="562" w:firstLineChars="100"/>
        <w:jc w:val="both"/>
        <w:rPr>
          <w:rFonts w:ascii="黑体"/>
          <w:b/>
          <w:sz w:val="56"/>
          <w:highlight w:val="none"/>
        </w:rPr>
      </w:pPr>
    </w:p>
    <w:p>
      <w:pPr>
        <w:pStyle w:val="2"/>
        <w:spacing w:before="0"/>
        <w:ind w:left="0"/>
        <w:rPr>
          <w:rFonts w:ascii="黑体"/>
          <w:b w:val="0"/>
          <w:bCs/>
          <w:sz w:val="56"/>
          <w:highlight w:val="none"/>
          <w:u w:val="none"/>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default" w:ascii="楷体" w:hAnsi="楷体" w:eastAsia="楷体" w:cs="楷体"/>
          <w:b w:val="0"/>
          <w:bCs/>
          <w:color w:val="auto"/>
          <w:sz w:val="32"/>
          <w:szCs w:val="32"/>
          <w:highlight w:val="none"/>
          <w:u w:val="none"/>
          <w:lang w:val="en-US" w:eastAsia="zh-CN" w:bidi="ar-SA"/>
        </w:rPr>
      </w:pPr>
      <w:r>
        <w:rPr>
          <w:rFonts w:hint="eastAsia" w:ascii="楷体" w:hAnsi="楷体" w:eastAsia="楷体" w:cs="楷体"/>
          <w:b w:val="0"/>
          <w:bCs/>
          <w:color w:val="auto"/>
          <w:sz w:val="32"/>
          <w:szCs w:val="32"/>
          <w:highlight w:val="none"/>
          <w:u w:val="none"/>
          <w:lang w:val="en-US" w:eastAsia="zh-CN"/>
        </w:rPr>
        <w:t>项目单位</w:t>
      </w:r>
      <w:bookmarkStart w:id="43" w:name="_GoBack"/>
      <w:bookmarkEnd w:id="43"/>
      <w:r>
        <w:rPr>
          <w:rFonts w:hint="eastAsia" w:ascii="楷体" w:hAnsi="楷体" w:eastAsia="楷体" w:cs="楷体"/>
          <w:b w:val="0"/>
          <w:bCs/>
          <w:color w:val="auto"/>
          <w:sz w:val="32"/>
          <w:szCs w:val="32"/>
          <w:highlight w:val="none"/>
          <w:u w:val="none"/>
          <w:lang w:val="en-US" w:eastAsia="zh-CN"/>
        </w:rPr>
        <w:t xml:space="preserve">：铜川市新区统计局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组织</w:t>
      </w:r>
      <w:r>
        <w:rPr>
          <w:rFonts w:hint="eastAsia" w:ascii="楷体" w:hAnsi="楷体" w:eastAsia="楷体" w:cs="楷体"/>
          <w:b w:val="0"/>
          <w:bCs/>
          <w:color w:val="auto"/>
          <w:sz w:val="32"/>
          <w:szCs w:val="32"/>
          <w:highlight w:val="none"/>
          <w:u w:val="none"/>
          <w:lang w:val="en-US" w:eastAsia="zh-Hans"/>
        </w:rPr>
        <w:t>单位</w:t>
      </w:r>
      <w:r>
        <w:rPr>
          <w:rFonts w:hint="eastAsia" w:ascii="楷体" w:hAnsi="楷体" w:eastAsia="楷体" w:cs="楷体"/>
          <w:b w:val="0"/>
          <w:bCs/>
          <w:color w:val="auto"/>
          <w:sz w:val="32"/>
          <w:szCs w:val="32"/>
          <w:highlight w:val="none"/>
          <w:u w:val="none"/>
          <w:lang w:val="en-US" w:eastAsia="zh-CN"/>
        </w:rPr>
        <w:t xml:space="preserve">：铜川市新区财政局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Hans"/>
        </w:rPr>
        <w:t>评价</w:t>
      </w:r>
      <w:r>
        <w:rPr>
          <w:rFonts w:hint="eastAsia" w:ascii="楷体" w:hAnsi="楷体" w:eastAsia="楷体" w:cs="楷体"/>
          <w:b w:val="0"/>
          <w:bCs/>
          <w:color w:val="auto"/>
          <w:sz w:val="32"/>
          <w:szCs w:val="32"/>
          <w:highlight w:val="none"/>
          <w:u w:val="none"/>
          <w:lang w:val="en-US" w:eastAsia="zh-CN"/>
        </w:rPr>
        <w:t>机构：深圳市万德公共咨询有限公司</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 xml:space="preserve">报告编号：铜新评价2021-07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1280" w:firstLineChars="400"/>
        <w:jc w:val="both"/>
        <w:textAlignment w:val="auto"/>
        <w:outlineLvl w:val="9"/>
        <w:rPr>
          <w:rFonts w:hint="default" w:ascii="楷体" w:hAnsi="楷体" w:eastAsia="楷体" w:cs="楷体"/>
          <w:b w:val="0"/>
          <w:bCs/>
          <w:sz w:val="32"/>
          <w:szCs w:val="32"/>
          <w:highlight w:val="none"/>
          <w:u w:val="none"/>
          <w:lang w:val="en-US"/>
        </w:rPr>
      </w:pPr>
      <w:r>
        <w:rPr>
          <w:rFonts w:hint="eastAsia" w:ascii="楷体" w:hAnsi="楷体" w:eastAsia="楷体" w:cs="楷体"/>
          <w:b w:val="0"/>
          <w:bCs/>
          <w:color w:val="auto"/>
          <w:sz w:val="32"/>
          <w:szCs w:val="32"/>
          <w:highlight w:val="none"/>
          <w:u w:val="none"/>
          <w:lang w:val="en-US" w:eastAsia="zh-CN"/>
        </w:rPr>
        <w:t xml:space="preserve">编制日期：2021年11月            </w:t>
      </w:r>
    </w:p>
    <w:p>
      <w:pPr>
        <w:pStyle w:val="2"/>
        <w:ind w:left="0" w:leftChars="0" w:firstLine="0" w:firstLineChars="0"/>
        <w:rPr>
          <w:rFonts w:hint="default" w:ascii="楷体" w:hAnsi="楷体" w:eastAsia="楷体" w:cs="楷体"/>
          <w:b w:val="0"/>
          <w:bCs/>
          <w:color w:val="auto"/>
          <w:kern w:val="2"/>
          <w:sz w:val="32"/>
          <w:szCs w:val="32"/>
          <w:highlight w:val="none"/>
          <w:u w:val="single"/>
          <w:lang w:val="en-US" w:eastAsia="zh-CN"/>
        </w:rPr>
      </w:pPr>
    </w:p>
    <w:p>
      <w:pPr>
        <w:pStyle w:val="2"/>
        <w:rPr>
          <w:rFonts w:hint="default" w:ascii="楷体" w:hAnsi="楷体" w:eastAsia="楷体" w:cs="楷体"/>
          <w:b w:val="0"/>
          <w:bCs/>
          <w:color w:val="auto"/>
          <w:kern w:val="2"/>
          <w:sz w:val="32"/>
          <w:szCs w:val="32"/>
          <w:highlight w:val="none"/>
          <w:u w:val="single"/>
          <w:lang w:val="en-US" w:eastAsia="zh-CN"/>
        </w:rPr>
      </w:pP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b/>
          <w:bCs/>
          <w:color w:val="auto"/>
          <w:sz w:val="36"/>
          <w:szCs w:val="36"/>
          <w:highlight w:val="none"/>
          <w:lang w:val="en-US" w:eastAsia="zh-CN"/>
        </w:rPr>
      </w:pPr>
      <w:r>
        <w:rPr>
          <w:rFonts w:hint="eastAsia" w:ascii="宋体" w:hAnsi="宋体"/>
          <w:b/>
          <w:bCs/>
          <w:color w:val="auto"/>
          <w:sz w:val="36"/>
          <w:szCs w:val="36"/>
          <w:highlight w:val="none"/>
          <w:lang w:val="en-US" w:eastAsia="zh-CN"/>
        </w:rPr>
        <w:t>铜川市</w:t>
      </w:r>
      <w:r>
        <w:rPr>
          <w:rFonts w:hint="eastAsia"/>
          <w:b/>
          <w:bCs/>
          <w:color w:val="auto"/>
          <w:sz w:val="36"/>
          <w:szCs w:val="36"/>
          <w:highlight w:val="none"/>
          <w:lang w:val="en-US" w:eastAsia="zh-CN"/>
        </w:rPr>
        <w:t>新区</w:t>
      </w:r>
      <w:r>
        <w:rPr>
          <w:rFonts w:hint="eastAsia" w:ascii="宋体" w:hAnsi="宋体"/>
          <w:b/>
          <w:bCs/>
          <w:color w:val="auto"/>
          <w:sz w:val="36"/>
          <w:szCs w:val="36"/>
          <w:highlight w:val="none"/>
          <w:lang w:val="en-US" w:eastAsia="zh-CN"/>
        </w:rPr>
        <w:t>2020年度</w:t>
      </w:r>
      <w:r>
        <w:rPr>
          <w:rFonts w:hint="eastAsia"/>
          <w:b/>
          <w:bCs/>
          <w:color w:val="auto"/>
          <w:sz w:val="36"/>
          <w:szCs w:val="36"/>
          <w:highlight w:val="none"/>
          <w:lang w:val="en-US" w:eastAsia="zh-CN"/>
        </w:rPr>
        <w:t>统计局</w:t>
      </w:r>
      <w:r>
        <w:rPr>
          <w:rFonts w:hint="eastAsia" w:ascii="宋体" w:hAnsi="宋体"/>
          <w:b/>
          <w:bCs/>
          <w:color w:val="auto"/>
          <w:sz w:val="36"/>
          <w:szCs w:val="36"/>
          <w:highlight w:val="none"/>
          <w:lang w:val="en-US" w:eastAsia="zh-CN"/>
        </w:rPr>
        <w:t>部门整体支出重点</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eastAsia="宋体" w:cs="宋体"/>
          <w:b/>
          <w:bCs/>
          <w:color w:val="auto"/>
          <w:kern w:val="2"/>
          <w:sz w:val="36"/>
          <w:szCs w:val="36"/>
          <w:highlight w:val="none"/>
        </w:rPr>
      </w:pPr>
      <w:r>
        <w:rPr>
          <w:rFonts w:hint="eastAsia" w:ascii="宋体" w:hAnsi="宋体"/>
          <w:b/>
          <w:bCs/>
          <w:color w:val="auto"/>
          <w:sz w:val="36"/>
          <w:szCs w:val="36"/>
          <w:highlight w:val="none"/>
          <w:lang w:val="en-US" w:eastAsia="zh-CN"/>
        </w:rPr>
        <w:t>绩效评价总览</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2042"/>
        <w:gridCol w:w="1726"/>
        <w:gridCol w:w="3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一、项目预算资金安排和使用情况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铜川市新区2020年度统计局部门整体支出重点绩效评价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实施单位</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铜川市新区统计局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主管处室</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铜川市新区财政局国库科</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主管部门</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铜川市新区统计局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年度预算资金安排</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290.87万元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其中</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当年财政拨款290.87万元（100%）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年度实际支出</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年度支出146.16万元，占比50.25%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二、项目绩效目标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绩效目标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在工委管委会的正确领导和上级统计部门的精心指导下，紧紧围绕全区重点工作，坚持做好统计监测，提供统计咨询，优化统计服务，为全区经济社会发展提供坚实的统计保障，全面完成第七次全国人口普查和2020年脱贫攻坚普查任务和抽样调查工作，为各级政府制定政策提供源头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主要指标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劳动工资统计改革培训人数，城乡收入调查户数、城乡收入调查次数、城乡收入调查培训次数、劳动工资调查数据合格率、城乡收入调查数据合格率、城乡收入调查时间、劳动工资调查时间等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241" w:type="pct"/>
            <w:noWrap w:val="0"/>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完成情况</w:t>
            </w:r>
          </w:p>
        </w:tc>
        <w:tc>
          <w:tcPr>
            <w:tcW w:w="3758" w:type="pct"/>
            <w:gridSpan w:val="3"/>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1.年内完成劳动工资统计调查工资。</w:t>
            </w:r>
          </w:p>
          <w:p>
            <w:pPr>
              <w:keepNext w:val="0"/>
              <w:keepLines w:val="0"/>
              <w:widowControl/>
              <w:suppressLineNumbers w:val="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2.年内完成城乡收入调查工作。</w:t>
            </w:r>
          </w:p>
          <w:p>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3.年内完成全国第七次人口普查工作。             </w:t>
            </w:r>
          </w:p>
          <w:p>
            <w:pPr>
              <w:keepNext w:val="0"/>
              <w:keepLines w:val="0"/>
              <w:widowControl/>
              <w:suppressLineNumbers w:val="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4.年内完成脱贫攻坚普查工作。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三、综合评价结论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restart"/>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经综合评价表明，专项资金使用情况整体表现良好，综合评分为81.03分，绩效等级为“良”。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四、主要经验及做法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信息公开及时。新区统计局2020年度及时完整的在新区管委会网站予以公开相关文件内容。2.作产出良好。2020年度部门及时保质保量完成国家政策性原因增加的重点工作，顺利完成了脱贫攻坚普查任务和全国第七次人口普查重点工作。3.保障效益明显。部门逐月全面审核联网直报企业所报每笔数据，确保统计数据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五、存在主要问题及有关建议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存在问题：1.绩效指标不明确，预算绩效不契合。2.预算执行无监控，结转结余超控制。3.人员控制待加强，成本支出超预算。                            </w:t>
            </w:r>
          </w:p>
          <w:p>
            <w:pPr>
              <w:keepNext w:val="0"/>
              <w:keepLines w:val="0"/>
              <w:widowControl/>
              <w:suppressLineNumbers w:val="0"/>
              <w:ind w:firstLine="480" w:firstLineChars="20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相关建议：1.强化绩效目标管理，树立绩效管理理念。2.加强预算执行监控，避免资金过度结余。3.加强部门成本控制，落实“过紧日子”思想。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六、综合评价得分和等级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13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67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投入</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14</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10.81</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77.21%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22</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15.5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70.45%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20</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14</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效果</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44</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40.72</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92.55%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2042"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u w:val="none"/>
                <w:lang w:val="en-US" w:eastAsia="zh-CN" w:bidi="ar"/>
              </w:rPr>
              <w:t>100</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宋体" w:hAnsi="宋体" w:eastAsia="宋体" w:cs="宋体"/>
                <w:i w:val="0"/>
                <w:color w:val="000000"/>
                <w:kern w:val="0"/>
                <w:sz w:val="24"/>
                <w:szCs w:val="24"/>
                <w:u w:val="none"/>
                <w:lang w:val="en-US" w:eastAsia="zh-CN" w:bidi="ar"/>
              </w:rPr>
              <w:t>81.03</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81.03%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绩效评价得分：</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81.03</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良</w:t>
            </w:r>
          </w:p>
        </w:tc>
      </w:tr>
    </w:tbl>
    <w:p>
      <w:pPr>
        <w:tabs>
          <w:tab w:val="left" w:pos="281"/>
        </w:tabs>
        <w:bidi w:val="0"/>
        <w:jc w:val="left"/>
        <w:rPr>
          <w:rFonts w:hint="eastAsia"/>
          <w:lang w:val="en-US" w:eastAsia="zh-CN"/>
        </w:rPr>
        <w:sectPr>
          <w:headerReference r:id="rId3" w:type="default"/>
          <w:footerReference r:id="rId4" w:type="default"/>
          <w:pgSz w:w="11910" w:h="16840"/>
          <w:pgMar w:top="2098" w:right="1474" w:bottom="1984" w:left="1587" w:header="1017" w:footer="1206" w:gutter="0"/>
          <w:pgNumType w:fmt="decimal" w:start="1"/>
          <w:cols w:equalWidth="0" w:num="1">
            <w:col w:w="8810"/>
          </w:cols>
          <w:docGrid w:linePitch="326" w:charSpace="0"/>
        </w:sect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铜川市</w:t>
      </w:r>
      <w:r>
        <w:rPr>
          <w:rFonts w:hint="eastAsia" w:ascii="方正小标宋" w:hAnsi="方正小标宋" w:eastAsia="方正小标宋" w:cs="方正小标宋"/>
          <w:b/>
          <w:sz w:val="36"/>
          <w:highlight w:val="none"/>
          <w:lang w:val="en-US" w:eastAsia="zh-CN"/>
        </w:rPr>
        <w:t>新区2020年度统计局</w:t>
      </w:r>
      <w:r>
        <w:rPr>
          <w:rFonts w:hint="eastAsia" w:ascii="方正小标宋" w:hAnsi="方正小标宋" w:eastAsia="方正小标宋" w:cs="方正小标宋"/>
          <w:b/>
          <w:sz w:val="36"/>
          <w:highlight w:val="none"/>
        </w:rPr>
        <w:t>部门整体支出</w:t>
      </w: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2020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铜新财评〔2021〕1号）文件要求，从投入、过程、产出、效果四个维度对新区统计局2020年度部门整体支出进行绩效评价。经过资料审查、数据采集、现场访谈、社会调查等评价程序，运用科学、合理的绩效评价方法，形成本绩效评价报告。</w:t>
      </w:r>
      <w:bookmarkStart w:id="0" w:name="一、项目基本情况"/>
      <w:bookmarkEnd w:id="0"/>
      <w:bookmarkStart w:id="1" w:name="_bookmark0"/>
      <w:bookmarkEnd w:id="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2" w:name="_Toc31592"/>
      <w:r>
        <w:rPr>
          <w:rFonts w:hint="eastAsia" w:ascii="黑体" w:hAnsi="黑体" w:eastAsia="黑体" w:cs="黑体"/>
          <w:b w:val="0"/>
          <w:bCs w:val="0"/>
          <w:color w:val="auto"/>
          <w:kern w:val="0"/>
          <w:sz w:val="32"/>
          <w:szCs w:val="32"/>
          <w:highlight w:val="none"/>
          <w:lang w:val="en-US" w:eastAsia="zh-CN"/>
        </w:rPr>
        <w:t>一、部门基本情况</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3" w:name="_Toc19240"/>
      <w:r>
        <w:rPr>
          <w:rFonts w:hint="eastAsia" w:ascii="楷体" w:hAnsi="楷体" w:eastAsia="楷体" w:cs="楷体"/>
          <w:b/>
          <w:bCs/>
          <w:color w:val="auto"/>
          <w:kern w:val="0"/>
          <w:sz w:val="32"/>
          <w:szCs w:val="32"/>
          <w:highlight w:val="none"/>
          <w:lang w:val="en-US" w:eastAsia="zh-CN"/>
        </w:rPr>
        <w:t>（一）部门概况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1.主要职</w:t>
      </w:r>
      <w:r>
        <w:rPr>
          <w:rFonts w:hint="eastAsia" w:ascii="仿宋" w:hAnsi="仿宋" w:eastAsia="仿宋" w:cs="仿宋"/>
          <w:b/>
          <w:bCs/>
          <w:color w:val="auto"/>
          <w:kern w:val="0"/>
          <w:sz w:val="32"/>
          <w:szCs w:val="32"/>
          <w:highlight w:val="none"/>
          <w:lang w:val="en-US" w:eastAsia="zh-Hans"/>
        </w:rPr>
        <w:t>责</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（1）依照国家法律、法规和国家、省、市有关统计工作方针、政策，组织领导和协调全区统计工作;制订全区统计工作规划，统计调查计划，并组织实施。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（2）宣传、贯彻执行《中华人民共和国统计法》、《统计法实施细则》及其他统计法规，检查监督统计法规的实施，配合市统计局法规科查处统计违法案件。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（3）组织实施国家统一的基本统计报表制度和国民经济核算制度；完成全区的社会经济调查统计报表工作。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（4）搜集、整理、提供全区基本统计资料，并对全区国民经济和社会发展的基本情况进行统计分析，统计预测和统计监督，为区工委、管委会宏观管理和科学决策提供提供参考依据。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（5）在区工委、管委会领导下，按照国家统一安排，会同有关部门组织实施人口、农业、经济等重大事宜。</w:t>
      </w:r>
    </w:p>
    <w:p>
      <w:pPr>
        <w:pStyle w:val="2"/>
        <w:ind w:left="0" w:leftChars="0" w:firstLine="640" w:firstLineChars="200"/>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（6）负责对本区统计机构和统计人员进行业务培训。</w:t>
      </w:r>
    </w:p>
    <w:p>
      <w:pPr>
        <w:pStyle w:val="2"/>
        <w:ind w:left="0" w:leftChars="0" w:firstLine="640" w:firstLineChars="20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（7）完成区工委、管委会及市统计局交办的其他工作事项。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2.组织机构。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根据国民经济和社会统计工作需要，新区统计局共设置“两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办五科”即办公室、普查办，综合科、农贸科、工交科、投资科、法规科7个业务科室。截止 2020 年底，本部门人员编制5人，其中行政编制5人、事业编制 0 人；实有人员7人，其中行政5人、事业2人。单位管理的离退休人员0人。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Hans"/>
        </w:rPr>
        <w:t>3.财政预决算及项目支出情况</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default" w:ascii="仿宋" w:hAnsi="仿宋" w:eastAsia="仿宋" w:cs="仿宋"/>
          <w:b/>
          <w:bCs/>
          <w:color w:val="auto"/>
          <w:kern w:val="0"/>
          <w:sz w:val="28"/>
          <w:szCs w:val="28"/>
          <w:highlight w:val="none"/>
          <w:lang w:val="en-US" w:eastAsia="zh-CN"/>
        </w:rPr>
      </w:pPr>
      <w:r>
        <w:rPr>
          <w:rFonts w:hint="eastAsia" w:ascii="仿宋" w:hAnsi="仿宋" w:eastAsia="仿宋" w:cs="仿宋"/>
          <w:color w:val="auto"/>
          <w:kern w:val="0"/>
          <w:sz w:val="32"/>
          <w:szCs w:val="32"/>
          <w:highlight w:val="none"/>
          <w:lang w:val="en-US" w:eastAsia="zh-CN"/>
        </w:rPr>
        <w:t>根据新区统计局2020年部门预算和决算文件公开内容，2020年新区统计局部门年初预算资金为76.92万元，由于第七次全国人口普查项目增加，年度财政资金调整213.95万元，最终年度部门调整财政预算资金总计为290.87万元。实际完成财政拨款支出146.16万元，当年预算执行率50.25%。其中：第七次全国人口普查工作支出20.68万元，2020年城乡收入调查工作经费支出7.28万元，2020年劳动工资调查工作经费支出1.1万元，脱贫攻坚普查工作经费支出1.87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4" w:name="_Toc2651"/>
      <w:r>
        <w:rPr>
          <w:rFonts w:hint="eastAsia" w:ascii="楷体" w:hAnsi="楷体" w:eastAsia="楷体" w:cs="楷体"/>
          <w:b/>
          <w:bCs/>
          <w:color w:val="auto"/>
          <w:kern w:val="0"/>
          <w:sz w:val="32"/>
          <w:szCs w:val="32"/>
          <w:highlight w:val="none"/>
          <w:shd w:val="clear" w:color="auto" w:fill="FFFFFF"/>
          <w:lang w:val="en-US" w:eastAsia="zh-CN"/>
        </w:rPr>
        <w:t>（二）绩效目标</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1.总体绩效目标</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全区统计工作在工委管委会的正确领导和上级统计部门的精心指导下，紧紧围绕全区重点工作，坚持做好统计监测，提供统计咨询，优化统计服务，为全区经济社会发展提供坚实的统计保障，全面完成第七次全国人口普查和2020年脱贫攻坚普查任务和抽样调查工作，为各级政府制定政策提供源头数据</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2.年度绩效目标。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根据《2020年</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部门整体支出绩效目标申报表》和《2020年</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部门整体绩效自评报告》，</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2020年度绩效</w:t>
      </w:r>
      <w:r>
        <w:rPr>
          <w:rFonts w:hint="eastAsia" w:ascii="仿宋" w:hAnsi="仿宋" w:eastAsia="仿宋" w:cs="仿宋"/>
          <w:color w:val="auto"/>
          <w:kern w:val="0"/>
          <w:sz w:val="32"/>
          <w:szCs w:val="32"/>
          <w:highlight w:val="none"/>
          <w:shd w:val="clear" w:color="auto" w:fill="FFFFFF"/>
          <w:lang w:val="en-US" w:eastAsia="zh-CN"/>
        </w:rPr>
        <w:t>目标</w:t>
      </w:r>
      <w:r>
        <w:rPr>
          <w:rFonts w:hint="eastAsia" w:ascii="仿宋" w:hAnsi="仿宋" w:eastAsia="仿宋" w:cs="仿宋"/>
          <w:color w:val="auto"/>
          <w:kern w:val="0"/>
          <w:sz w:val="32"/>
          <w:szCs w:val="32"/>
          <w:highlight w:val="none"/>
          <w:shd w:val="clear" w:color="auto" w:fill="FFFFFF"/>
          <w:lang w:val="en-US" w:eastAsia="zh-Hans"/>
        </w:rPr>
        <w:t>设置情况如</w:t>
      </w:r>
      <w:r>
        <w:rPr>
          <w:rFonts w:hint="eastAsia" w:ascii="仿宋" w:hAnsi="仿宋" w:eastAsia="仿宋" w:cs="仿宋"/>
          <w:color w:val="auto"/>
          <w:kern w:val="0"/>
          <w:sz w:val="32"/>
          <w:szCs w:val="32"/>
          <w:highlight w:val="none"/>
          <w:shd w:val="clear" w:color="auto" w:fill="FFFFFF"/>
          <w:lang w:val="en-US" w:eastAsia="zh-CN"/>
        </w:rPr>
        <w:t>表1-1</w:t>
      </w:r>
      <w:r>
        <w:rPr>
          <w:rFonts w:hint="eastAsia" w:ascii="仿宋" w:hAnsi="仿宋" w:eastAsia="仿宋" w:cs="仿宋"/>
          <w:color w:val="auto"/>
          <w:kern w:val="0"/>
          <w:sz w:val="32"/>
          <w:szCs w:val="32"/>
          <w:highlight w:val="none"/>
          <w:shd w:val="clear" w:color="auto" w:fill="FFFFFF"/>
          <w:lang w:val="en-US" w:eastAsia="zh-Hans"/>
        </w:rPr>
        <w:t>所示：</w:t>
      </w:r>
      <w:bookmarkStart w:id="5" w:name="_Toc2080160388_WPSOffice_Level2"/>
      <w:bookmarkStart w:id="6" w:name="_Toc100973726_WPSOffice_Level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default"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表1-1 新区统计局部门整体支出年度绩效目标</w:t>
      </w:r>
      <w:bookmarkEnd w:id="5"/>
      <w:bookmarkEnd w:id="6"/>
      <w:r>
        <w:rPr>
          <w:rFonts w:hint="eastAsia" w:ascii="仿宋" w:hAnsi="仿宋" w:eastAsia="仿宋" w:cs="仿宋"/>
          <w:b/>
          <w:bCs/>
          <w:color w:val="auto"/>
          <w:kern w:val="0"/>
          <w:sz w:val="28"/>
          <w:szCs w:val="28"/>
          <w:highlight w:val="none"/>
          <w:lang w:val="en-US" w:eastAsia="zh-CN"/>
        </w:rPr>
        <w:t>表</w:t>
      </w:r>
    </w:p>
    <w:tbl>
      <w:tblPr>
        <w:tblStyle w:val="15"/>
        <w:tblW w:w="4998" w:type="pct"/>
        <w:tblInd w:w="0" w:type="dxa"/>
        <w:shd w:val="clear" w:color="auto" w:fill="auto"/>
        <w:tblLayout w:type="autofit"/>
        <w:tblCellMar>
          <w:top w:w="0" w:type="dxa"/>
          <w:left w:w="0" w:type="dxa"/>
          <w:bottom w:w="0" w:type="dxa"/>
          <w:right w:w="0" w:type="dxa"/>
        </w:tblCellMar>
      </w:tblPr>
      <w:tblGrid>
        <w:gridCol w:w="1116"/>
        <w:gridCol w:w="1141"/>
        <w:gridCol w:w="1220"/>
        <w:gridCol w:w="3834"/>
        <w:gridCol w:w="1515"/>
      </w:tblGrid>
      <w:tr>
        <w:tblPrEx>
          <w:tblCellMar>
            <w:top w:w="0" w:type="dxa"/>
            <w:left w:w="0" w:type="dxa"/>
            <w:bottom w:w="0" w:type="dxa"/>
            <w:right w:w="0" w:type="dxa"/>
          </w:tblCellMar>
        </w:tblPrEx>
        <w:trPr>
          <w:trHeight w:val="300"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预算部门</w:t>
            </w:r>
          </w:p>
        </w:tc>
        <w:tc>
          <w:tcPr>
            <w:tcW w:w="64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6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二级指标</w:t>
            </w: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指标内容</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指标值</w:t>
            </w:r>
          </w:p>
        </w:tc>
      </w:tr>
      <w:tr>
        <w:tblPrEx>
          <w:shd w:val="clear" w:color="auto" w:fill="auto"/>
          <w:tblCellMar>
            <w:top w:w="0" w:type="dxa"/>
            <w:left w:w="0" w:type="dxa"/>
            <w:bottom w:w="0" w:type="dxa"/>
            <w:right w:w="0" w:type="dxa"/>
          </w:tblCellMar>
        </w:tblPrEx>
        <w:trPr>
          <w:trHeight w:val="300" w:hRule="atLeast"/>
        </w:trPr>
        <w:tc>
          <w:tcPr>
            <w:tcW w:w="63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新区统计局</w:t>
            </w:r>
          </w:p>
        </w:tc>
        <w:tc>
          <w:tcPr>
            <w:tcW w:w="64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w:t>
            </w:r>
          </w:p>
        </w:tc>
        <w:tc>
          <w:tcPr>
            <w:tcW w:w="69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w:t>
            </w: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人员经费保障职工人数</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5人</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公用经费保障职工人数</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13人</w:t>
            </w:r>
          </w:p>
        </w:tc>
      </w:tr>
      <w:tr>
        <w:tblPrEx>
          <w:shd w:val="clear" w:color="auto" w:fill="auto"/>
          <w:tblCellMar>
            <w:top w:w="0" w:type="dxa"/>
            <w:left w:w="0" w:type="dxa"/>
            <w:bottom w:w="0" w:type="dxa"/>
            <w:right w:w="0" w:type="dxa"/>
          </w:tblCellMar>
        </w:tblPrEx>
        <w:trPr>
          <w:trHeight w:val="9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工业、能源、农业、商贸、投资、房地产、服务业等国民经济和社会发展各个领域的常规统计调查单位数</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175户</w:t>
            </w:r>
          </w:p>
        </w:tc>
      </w:tr>
      <w:tr>
        <w:tblPrEx>
          <w:shd w:val="clear" w:color="auto" w:fill="auto"/>
          <w:tblCellMar>
            <w:top w:w="0" w:type="dxa"/>
            <w:left w:w="0" w:type="dxa"/>
            <w:bottom w:w="0" w:type="dxa"/>
            <w:right w:w="0" w:type="dxa"/>
          </w:tblCellMar>
        </w:tblPrEx>
        <w:trPr>
          <w:trHeight w:val="6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工业、能源、农业、商贸、投资、房地产、服务业等常规统计调查次数</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11次</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印刷2020年新区经济运行监测数量</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400册</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劳动工资统计改革培训次数</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2次</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劳动工资统计改革培训人数</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160人</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劳动工资调查单位户数</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60户</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城乡收入调查户数</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50户</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城乡收入调查次数</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12次</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城乡收入调查培训次数</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2次</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城乡收入调查培训人数</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120人</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城乡收入调查临聘人员数量</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2人</w:t>
            </w:r>
          </w:p>
        </w:tc>
      </w:tr>
      <w:tr>
        <w:tblPrEx>
          <w:shd w:val="clear" w:color="auto" w:fill="auto"/>
          <w:tblCellMar>
            <w:top w:w="0" w:type="dxa"/>
            <w:left w:w="0" w:type="dxa"/>
            <w:bottom w:w="0" w:type="dxa"/>
            <w:right w:w="0" w:type="dxa"/>
          </w:tblCellMar>
        </w:tblPrEx>
        <w:trPr>
          <w:trHeight w:val="6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质量</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w:t>
            </w: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工业、能源、农业、商贸、投资、房地产、服务业等常规统计调查数据合格率</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劳动工资调查数据合格率</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劳动工资调查培训合格率</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≧95%</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城乡收入调查数据合格率</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城乡收入调查培训合格率</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≧95%</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临聘人员到岗率</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时效</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w:t>
            </w: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常规统计调查时间</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2020年2月-12月</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城乡收入调查时间</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2020年1月-12月</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劳动工资调查时间</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2020年4月-6月</w:t>
            </w:r>
          </w:p>
        </w:tc>
      </w:tr>
      <w:tr>
        <w:tblPrEx>
          <w:shd w:val="clear" w:color="auto" w:fill="auto"/>
          <w:tblCellMar>
            <w:top w:w="0" w:type="dxa"/>
            <w:left w:w="0" w:type="dxa"/>
            <w:bottom w:w="0" w:type="dxa"/>
            <w:right w:w="0" w:type="dxa"/>
          </w:tblCellMar>
        </w:tblPrEx>
        <w:trPr>
          <w:trHeight w:val="6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成本</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w:t>
            </w: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编制内人员工资补贴、养老、医保、房补等</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49.82万元</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全局人员办公费</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1万元</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2020年新区经济运行监测印刷费</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0.3万元</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工会经费</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4万元</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其他商品和服务支出</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1万元</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劳动工资调查员补贴</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1万元</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劳动工资调查培训费</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2.6万元</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劳动工资调查办公费</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1.4万元</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城乡收入调查记账户补贴</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7.8万元</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城乡收入调查区级临聘人员报酬</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5万元</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城乡收入调查工作办公费</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2万元</w:t>
            </w:r>
          </w:p>
        </w:tc>
      </w:tr>
      <w:tr>
        <w:tblPrEx>
          <w:shd w:val="clear" w:color="auto" w:fill="auto"/>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城乡收入调查会议、培训费</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1万元</w:t>
            </w:r>
          </w:p>
        </w:tc>
      </w:tr>
      <w:tr>
        <w:tblPrEx>
          <w:shd w:val="clear" w:color="auto" w:fill="auto"/>
          <w:tblCellMar>
            <w:top w:w="0" w:type="dxa"/>
            <w:left w:w="0" w:type="dxa"/>
            <w:bottom w:w="0" w:type="dxa"/>
            <w:right w:w="0" w:type="dxa"/>
          </w:tblCellMar>
        </w:tblPrEx>
        <w:trPr>
          <w:trHeight w:val="12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效益</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w:t>
            </w:r>
          </w:p>
        </w:tc>
        <w:tc>
          <w:tcPr>
            <w:tcW w:w="69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社会</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效益</w:t>
            </w: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为区工委、管委会提供工业、能源、农业、商贸、投资、房地产、服务业等国民经济和社会发展各个领域宏观管理和科学决策提供数据参考依据</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有效提供</w:t>
            </w:r>
          </w:p>
        </w:tc>
      </w:tr>
      <w:tr>
        <w:tblPrEx>
          <w:shd w:val="clear" w:color="auto" w:fill="auto"/>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满足新区国民经济核算下算一级需要</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有效保障</w:t>
            </w:r>
          </w:p>
        </w:tc>
      </w:tr>
      <w:tr>
        <w:tblPrEx>
          <w:shd w:val="clear" w:color="auto" w:fill="auto"/>
          <w:tblCellMar>
            <w:top w:w="0" w:type="dxa"/>
            <w:left w:w="0" w:type="dxa"/>
            <w:bottom w:w="0" w:type="dxa"/>
            <w:right w:w="0" w:type="dxa"/>
          </w:tblCellMar>
        </w:tblPrEx>
        <w:trPr>
          <w:trHeight w:val="6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为新区工委、管委会提供城乡地域全口径法人单位平均工资</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有效满足</w:t>
            </w:r>
          </w:p>
        </w:tc>
      </w:tr>
      <w:tr>
        <w:tblPrEx>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评估全区城乡居民人均可支配收入</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有效保障</w:t>
            </w:r>
          </w:p>
        </w:tc>
      </w:tr>
      <w:tr>
        <w:tblPrEx>
          <w:tblCellMar>
            <w:top w:w="0" w:type="dxa"/>
            <w:left w:w="0" w:type="dxa"/>
            <w:bottom w:w="0" w:type="dxa"/>
            <w:right w:w="0" w:type="dxa"/>
          </w:tblCellMar>
        </w:tblPrEx>
        <w:trPr>
          <w:trHeight w:val="9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可持续</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影响</w:t>
            </w: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工业、能源、农业、商贸、投资、房地产、服务业等国民经济和社会发展各个领域的常规统计数据可持续使用时间</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≥10年</w:t>
            </w:r>
          </w:p>
        </w:tc>
      </w:tr>
      <w:tr>
        <w:tblPrEx>
          <w:tblCellMar>
            <w:top w:w="0" w:type="dxa"/>
            <w:left w:w="0" w:type="dxa"/>
            <w:bottom w:w="0" w:type="dxa"/>
            <w:right w:w="0" w:type="dxa"/>
          </w:tblCellMar>
        </w:tblPrEx>
        <w:trPr>
          <w:trHeight w:val="6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2020年劳动工资调查统计数据可持续使用时间</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≥10年</w:t>
            </w:r>
          </w:p>
        </w:tc>
      </w:tr>
      <w:tr>
        <w:tblPrEx>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2020年城乡收入统计数据可持续使用时间</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长期</w:t>
            </w:r>
          </w:p>
        </w:tc>
      </w:tr>
      <w:tr>
        <w:tblPrEx>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满意度</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w:t>
            </w:r>
          </w:p>
        </w:tc>
        <w:tc>
          <w:tcPr>
            <w:tcW w:w="69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服务对象</w:t>
            </w:r>
          </w:p>
          <w:p>
            <w:pPr>
              <w:jc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满意度</w:t>
            </w: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铜川市统计局对数据满意度</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w:t>
            </w:r>
          </w:p>
        </w:tc>
      </w:tr>
      <w:tr>
        <w:tblPrEx>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新区工委、管委会对数据满意度</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w:t>
            </w:r>
          </w:p>
        </w:tc>
      </w:tr>
      <w:tr>
        <w:tblPrEx>
          <w:tblCellMar>
            <w:top w:w="0" w:type="dxa"/>
            <w:left w:w="0" w:type="dxa"/>
            <w:bottom w:w="0" w:type="dxa"/>
            <w:right w:w="0" w:type="dxa"/>
          </w:tblCellMar>
        </w:tblPrEx>
        <w:trPr>
          <w:trHeight w:val="300" w:hRule="atLeast"/>
        </w:trPr>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21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国家统计局铜川调查队数据满意度</w:t>
            </w:r>
          </w:p>
        </w:tc>
        <w:tc>
          <w:tcPr>
            <w:tcW w:w="8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7" w:name="_Toc22489"/>
      <w:r>
        <w:rPr>
          <w:rFonts w:hint="eastAsia" w:ascii="黑体" w:hAnsi="黑体" w:eastAsia="黑体" w:cs="黑体"/>
          <w:b w:val="0"/>
          <w:bCs w:val="0"/>
          <w:color w:val="auto"/>
          <w:kern w:val="0"/>
          <w:sz w:val="32"/>
          <w:szCs w:val="32"/>
          <w:highlight w:val="none"/>
          <w:lang w:val="en-US" w:eastAsia="zh-CN"/>
        </w:rPr>
        <w:t>二、绩效评价工作开展情况</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8" w:name="_Toc19145"/>
      <w:r>
        <w:rPr>
          <w:rFonts w:hint="eastAsia" w:ascii="楷体" w:hAnsi="楷体" w:eastAsia="楷体" w:cs="楷体"/>
          <w:b/>
          <w:bCs/>
          <w:color w:val="auto"/>
          <w:kern w:val="0"/>
          <w:sz w:val="32"/>
          <w:szCs w:val="32"/>
          <w:highlight w:val="none"/>
          <w:lang w:val="en-US" w:eastAsia="zh-CN"/>
        </w:rPr>
        <w:t>（一）绩效评价目的和依据</w:t>
      </w:r>
      <w:bookmarkEnd w:id="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推进预算绩效管理是贯彻落实党中央、国务院要求，从根本上深化行政管理体制改革、促进政府职能转变、提高部门责任意识，建设高效、责任、透明政府的有效举措，是贯彻落实科学发展观的必然选择,是实施行政问责制和加强政府效能建设的重要抓手。为深入贯彻落实科学发展观，完善公共财政体系，进一步推进财政预算绩效管理，不断提升财政管理科学化精细化水平，根据《关于全面实施预算绩效管理的意见》（中发〔2018〕34号）、《项目支出绩效评价管理办法》（财预〔2020〕10号）等文件要求，依据</w:t>
      </w:r>
      <w:r>
        <w:rPr>
          <w:rFonts w:hint="eastAsia" w:ascii="仿宋" w:hAnsi="仿宋" w:eastAsia="仿宋" w:cs="仿宋"/>
          <w:color w:val="auto"/>
          <w:kern w:val="0"/>
          <w:sz w:val="32"/>
          <w:szCs w:val="32"/>
          <w:highlight w:val="none"/>
          <w:lang w:val="en-US" w:eastAsia="zh-CN"/>
        </w:rPr>
        <w:t>铜川市新区财政局《关于开展2020年新区项目和部门整体支出绩效自评及重点项目绩效评价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的通知》（铜新财评〔2021〕1号）</w:t>
      </w:r>
      <w:r>
        <w:rPr>
          <w:rFonts w:hint="eastAsia" w:ascii="仿宋" w:hAnsi="仿宋" w:eastAsia="仿宋" w:cs="仿宋"/>
          <w:color w:val="auto"/>
          <w:kern w:val="0"/>
          <w:sz w:val="32"/>
          <w:szCs w:val="32"/>
          <w:highlight w:val="none"/>
          <w:shd w:val="clear" w:color="auto" w:fill="FFFFFF"/>
          <w:lang w:val="en-US" w:eastAsia="zh-Hans"/>
        </w:rPr>
        <w:t>文件规定，对</w:t>
      </w:r>
      <w:r>
        <w:rPr>
          <w:rFonts w:hint="eastAsia" w:ascii="仿宋" w:hAnsi="仿宋" w:eastAsia="仿宋" w:cs="仿宋"/>
          <w:color w:val="auto"/>
          <w:kern w:val="0"/>
          <w:sz w:val="32"/>
          <w:szCs w:val="32"/>
          <w:highlight w:val="none"/>
          <w:shd w:val="clear" w:color="auto" w:fill="FFFFFF"/>
          <w:lang w:val="en-US" w:eastAsia="zh-CN"/>
        </w:rPr>
        <w:t>铜川市新区统计局</w:t>
      </w:r>
      <w:r>
        <w:rPr>
          <w:rFonts w:hint="eastAsia" w:ascii="仿宋" w:hAnsi="仿宋" w:eastAsia="仿宋" w:cs="仿宋"/>
          <w:color w:val="auto"/>
          <w:kern w:val="0"/>
          <w:sz w:val="32"/>
          <w:szCs w:val="32"/>
          <w:highlight w:val="none"/>
          <w:shd w:val="clear" w:color="auto" w:fill="FFFFFF"/>
          <w:lang w:val="en-US" w:eastAsia="zh-Hans"/>
        </w:rPr>
        <w:t>2020年度</w:t>
      </w:r>
      <w:r>
        <w:rPr>
          <w:rFonts w:hint="eastAsia" w:ascii="仿宋" w:hAnsi="仿宋" w:eastAsia="仿宋" w:cs="仿宋"/>
          <w:color w:val="auto"/>
          <w:kern w:val="0"/>
          <w:sz w:val="32"/>
          <w:szCs w:val="32"/>
          <w:highlight w:val="none"/>
          <w:shd w:val="clear" w:color="auto" w:fill="FFFFFF"/>
          <w:lang w:val="en-US" w:eastAsia="zh-CN"/>
        </w:rPr>
        <w:t>部门</w:t>
      </w:r>
      <w:r>
        <w:rPr>
          <w:rFonts w:hint="eastAsia" w:ascii="仿宋" w:hAnsi="仿宋" w:eastAsia="仿宋" w:cs="仿宋"/>
          <w:color w:val="auto"/>
          <w:kern w:val="0"/>
          <w:sz w:val="32"/>
          <w:szCs w:val="32"/>
          <w:highlight w:val="none"/>
          <w:shd w:val="clear" w:color="auto" w:fill="FFFFFF"/>
          <w:lang w:val="en-US" w:eastAsia="zh-Hans"/>
        </w:rPr>
        <w:t>整体支出资金使用情况，以及部门职能及重点工作执行情况进行绩效评价。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1.评价目的</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本次绩效评价工作主要目的包括如下两部分：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一是通过开展部门整体支出绩效评价，促进部门从整体上提升预算绩效管理工作水平，强化部门支出责任，规范资金管理行为，提高财政资金使用效益，保障部门更好地履行职责。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二是通过本次绩效评价工作的开展，为铜川市</w:t>
      </w:r>
      <w:r>
        <w:rPr>
          <w:rFonts w:hint="eastAsia" w:ascii="仿宋" w:hAnsi="仿宋" w:eastAsia="仿宋" w:cs="仿宋"/>
          <w:color w:val="auto"/>
          <w:kern w:val="0"/>
          <w:sz w:val="32"/>
          <w:szCs w:val="32"/>
          <w:highlight w:val="none"/>
          <w:shd w:val="clear" w:color="auto" w:fill="FFFFFF"/>
          <w:lang w:val="en-US" w:eastAsia="zh-CN"/>
        </w:rPr>
        <w:t>新区</w:t>
      </w:r>
      <w:r>
        <w:rPr>
          <w:rFonts w:hint="eastAsia" w:ascii="仿宋" w:hAnsi="仿宋" w:eastAsia="仿宋" w:cs="仿宋"/>
          <w:color w:val="auto"/>
          <w:kern w:val="0"/>
          <w:sz w:val="32"/>
          <w:szCs w:val="32"/>
          <w:highlight w:val="none"/>
          <w:shd w:val="clear" w:color="auto" w:fill="FFFFFF"/>
          <w:lang w:val="en-US" w:eastAsia="zh-Hans"/>
        </w:rPr>
        <w:t>财政绩效管理工作积累经验，并有效落实绩效评价结果应用，探索更加符合财政项目管理特点的绩效管理模式和方法，优化</w:t>
      </w:r>
      <w:r>
        <w:rPr>
          <w:rFonts w:hint="eastAsia" w:ascii="仿宋" w:hAnsi="仿宋" w:eastAsia="仿宋" w:cs="仿宋"/>
          <w:color w:val="auto"/>
          <w:kern w:val="0"/>
          <w:sz w:val="32"/>
          <w:szCs w:val="32"/>
          <w:highlight w:val="none"/>
          <w:shd w:val="clear" w:color="auto" w:fill="FFFFFF"/>
          <w:lang w:val="en-US" w:eastAsia="zh-CN"/>
        </w:rPr>
        <w:t>财政支出结构</w:t>
      </w:r>
      <w:r>
        <w:rPr>
          <w:rFonts w:hint="eastAsia" w:ascii="仿宋" w:hAnsi="仿宋" w:eastAsia="仿宋" w:cs="仿宋"/>
          <w:color w:val="auto"/>
          <w:kern w:val="0"/>
          <w:sz w:val="32"/>
          <w:szCs w:val="32"/>
          <w:highlight w:val="none"/>
          <w:shd w:val="clear" w:color="auto" w:fill="FFFFFF"/>
          <w:lang w:val="en-US" w:eastAsia="zh-Hans"/>
        </w:rPr>
        <w:t>，提升财政支出</w:t>
      </w:r>
      <w:r>
        <w:rPr>
          <w:rFonts w:hint="eastAsia" w:ascii="仿宋" w:hAnsi="仿宋" w:eastAsia="仿宋" w:cs="仿宋"/>
          <w:color w:val="auto"/>
          <w:kern w:val="0"/>
          <w:sz w:val="32"/>
          <w:szCs w:val="32"/>
          <w:highlight w:val="none"/>
          <w:shd w:val="clear" w:color="auto" w:fill="FFFFFF"/>
          <w:lang w:val="en-US" w:eastAsia="zh-CN"/>
        </w:rPr>
        <w:t>预算</w:t>
      </w:r>
      <w:r>
        <w:rPr>
          <w:rFonts w:hint="eastAsia" w:ascii="仿宋" w:hAnsi="仿宋" w:eastAsia="仿宋" w:cs="仿宋"/>
          <w:color w:val="auto"/>
          <w:kern w:val="0"/>
          <w:sz w:val="32"/>
          <w:szCs w:val="32"/>
          <w:highlight w:val="none"/>
          <w:shd w:val="clear" w:color="auto" w:fill="FFFFFF"/>
          <w:lang w:val="en-US" w:eastAsia="zh-Hans"/>
        </w:rPr>
        <w:t>执行效率。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2.评价依据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（1）《财政部关于印发&lt;项目支出绩效评价管理办法&gt;的通知》（财预〔2020〕10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（2）《预算绩效评价共性指标体系框架》（财预〔2013〕53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（3）陕西省财政厅关于印发《省级部门整体支出绩效评价办法》的通知(陕财办预〔2017〕80 号)</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w:t>
      </w:r>
      <w:r>
        <w:rPr>
          <w:rFonts w:hint="eastAsia" w:ascii="仿宋" w:hAnsi="仿宋" w:eastAsia="仿宋" w:cs="仿宋"/>
          <w:color w:val="auto"/>
          <w:kern w:val="0"/>
          <w:sz w:val="32"/>
          <w:szCs w:val="32"/>
          <w:highlight w:val="none"/>
          <w:lang w:val="en-US" w:eastAsia="zh-CN"/>
        </w:rPr>
        <w:t>铜川市新区财政局《关于开展2020年新区项目和部门整体支出绩效自评及重点项目绩效评价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的通知》（铜新财评〔2021〕1号）</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（5）</w:t>
      </w:r>
      <w:r>
        <w:rPr>
          <w:rFonts w:hint="eastAsia" w:ascii="仿宋" w:hAnsi="仿宋" w:eastAsia="仿宋" w:cs="仿宋"/>
          <w:color w:val="auto"/>
          <w:kern w:val="0"/>
          <w:sz w:val="32"/>
          <w:szCs w:val="32"/>
          <w:highlight w:val="none"/>
          <w:shd w:val="clear" w:color="auto" w:fill="FFFFFF"/>
          <w:lang w:val="en-US" w:eastAsia="zh-CN"/>
        </w:rPr>
        <w:t>铜川市新区财政局《关于下达2020年部门预算的通知》（铜新财预</w:t>
      </w:r>
      <w:r>
        <w:rPr>
          <w:rFonts w:hint="eastAsia" w:ascii="仿宋" w:hAnsi="仿宋" w:eastAsia="仿宋" w:cs="仿宋"/>
          <w:color w:val="auto"/>
          <w:kern w:val="0"/>
          <w:sz w:val="32"/>
          <w:szCs w:val="32"/>
          <w:highlight w:val="none"/>
          <w:shd w:val="clear" w:color="auto" w:fill="FFFFFF"/>
          <w:lang w:val="en-US" w:eastAsia="zh-Hans"/>
        </w:rPr>
        <w:t>〔2020〕</w:t>
      </w:r>
      <w:r>
        <w:rPr>
          <w:rFonts w:hint="eastAsia" w:ascii="仿宋" w:hAnsi="仿宋" w:eastAsia="仿宋" w:cs="仿宋"/>
          <w:color w:val="auto"/>
          <w:kern w:val="0"/>
          <w:sz w:val="32"/>
          <w:szCs w:val="32"/>
          <w:highlight w:val="none"/>
          <w:shd w:val="clear" w:color="auto" w:fill="FFFFFF"/>
          <w:lang w:val="en-US" w:eastAsia="zh-CN"/>
        </w:rPr>
        <w:t>3号）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（6）</w:t>
      </w:r>
      <w:r>
        <w:rPr>
          <w:rFonts w:hint="eastAsia" w:ascii="仿宋" w:hAnsi="仿宋" w:eastAsia="仿宋" w:cs="仿宋"/>
          <w:color w:val="auto"/>
          <w:kern w:val="0"/>
          <w:sz w:val="32"/>
          <w:szCs w:val="32"/>
          <w:highlight w:val="none"/>
          <w:shd w:val="clear" w:color="auto" w:fill="FFFFFF"/>
          <w:lang w:val="en-US" w:eastAsia="zh-Hans"/>
        </w:rPr>
        <w:t>《关于做好2020年部门预算公开的通知》（铜财预〔2020〕41号）；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（6）《铜川市预决算公开工作考核办法》（铜财预〔2018〕117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7</w:t>
      </w:r>
      <w:r>
        <w:rPr>
          <w:rFonts w:hint="eastAsia" w:ascii="仿宋" w:hAnsi="仿宋" w:eastAsia="仿宋" w:cs="仿宋"/>
          <w:color w:val="auto"/>
          <w:kern w:val="0"/>
          <w:sz w:val="32"/>
          <w:szCs w:val="32"/>
          <w:highlight w:val="none"/>
          <w:shd w:val="clear" w:color="auto" w:fill="FFFFFF"/>
          <w:lang w:val="en-US" w:eastAsia="zh-Hans"/>
        </w:rPr>
        <w:t>）《地方预决算公开操作规程》（铜财预〔2016〕102号）；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8</w:t>
      </w:r>
      <w:r>
        <w:rPr>
          <w:rFonts w:hint="eastAsia" w:ascii="仿宋" w:hAnsi="仿宋" w:eastAsia="仿宋" w:cs="仿宋"/>
          <w:color w:val="auto"/>
          <w:kern w:val="0"/>
          <w:sz w:val="32"/>
          <w:szCs w:val="32"/>
          <w:highlight w:val="none"/>
          <w:shd w:val="clear" w:color="auto" w:fill="FFFFFF"/>
          <w:lang w:val="en-US" w:eastAsia="zh-Hans"/>
        </w:rPr>
        <w:t>）铜川市财政局印发的《市级部门预算绩效目标管理暂行办法》（铜财预〔2016〕74号）；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9</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铜川市新区统计局《关于报送2020年重点项目绩效自评的报告》（铜新统发</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8号）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（10）铜川市新区统计局2020年度部门综合预算和决算文件；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（11）</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相关职责、制度及管理办法；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新区统计局2020年度重点工作</w:t>
      </w:r>
      <w:r>
        <w:rPr>
          <w:rFonts w:hint="eastAsia" w:ascii="仿宋" w:hAnsi="仿宋" w:eastAsia="仿宋" w:cs="仿宋"/>
          <w:color w:val="auto"/>
          <w:kern w:val="0"/>
          <w:sz w:val="32"/>
          <w:szCs w:val="32"/>
          <w:highlight w:val="none"/>
          <w:shd w:val="clear" w:color="auto" w:fill="FFFFFF"/>
          <w:lang w:val="en-US" w:eastAsia="zh-Hans"/>
        </w:rPr>
        <w:t>资料（预算批复文件、项目支出明细账、会计凭证等财务资料，年度工作计划、项目实施方案、年度工作总结、阶段总结、绩效佐证资料等档案资料）。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9" w:name="_Toc10668"/>
      <w:r>
        <w:rPr>
          <w:rFonts w:hint="eastAsia" w:ascii="楷体" w:hAnsi="楷体" w:eastAsia="楷体" w:cs="楷体"/>
          <w:b/>
          <w:bCs/>
          <w:color w:val="auto"/>
          <w:kern w:val="0"/>
          <w:sz w:val="32"/>
          <w:szCs w:val="32"/>
          <w:highlight w:val="none"/>
          <w:shd w:val="clear" w:color="auto" w:fill="FFFFFF"/>
          <w:lang w:val="en-US" w:eastAsia="zh-Hans"/>
        </w:rPr>
        <w:t>（二）评价对象、范围和时段</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评价对象：铜川市</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2020年部门</w:t>
      </w:r>
      <w:r>
        <w:rPr>
          <w:rFonts w:hint="eastAsia" w:ascii="仿宋" w:hAnsi="仿宋" w:eastAsia="仿宋" w:cs="仿宋"/>
          <w:color w:val="auto"/>
          <w:kern w:val="0"/>
          <w:sz w:val="32"/>
          <w:szCs w:val="32"/>
          <w:highlight w:val="none"/>
          <w:shd w:val="clear" w:color="auto" w:fill="FFFFFF"/>
          <w:lang w:val="en-US" w:eastAsia="zh-CN"/>
        </w:rPr>
        <w:t>财政拨款</w:t>
      </w:r>
      <w:r>
        <w:rPr>
          <w:rFonts w:hint="eastAsia" w:ascii="仿宋" w:hAnsi="仿宋" w:eastAsia="仿宋" w:cs="仿宋"/>
          <w:color w:val="auto"/>
          <w:kern w:val="0"/>
          <w:sz w:val="32"/>
          <w:szCs w:val="32"/>
          <w:highlight w:val="none"/>
          <w:shd w:val="clear" w:color="auto" w:fill="FFFFFF"/>
          <w:lang w:val="en-US" w:eastAsia="zh-Hans"/>
        </w:rPr>
        <w:t>资金</w:t>
      </w:r>
      <w:r>
        <w:rPr>
          <w:rFonts w:hint="eastAsia" w:ascii="仿宋" w:hAnsi="仿宋" w:eastAsia="仿宋" w:cs="仿宋"/>
          <w:color w:val="auto"/>
          <w:kern w:val="0"/>
          <w:sz w:val="32"/>
          <w:szCs w:val="32"/>
          <w:highlight w:val="none"/>
          <w:shd w:val="clear" w:color="auto" w:fill="FFFFFF"/>
          <w:lang w:val="en-US" w:eastAsia="zh-CN"/>
        </w:rPr>
        <w:t>290.87</w:t>
      </w:r>
      <w:r>
        <w:rPr>
          <w:rFonts w:hint="eastAsia" w:ascii="仿宋" w:hAnsi="仿宋" w:eastAsia="仿宋" w:cs="仿宋"/>
          <w:color w:val="auto"/>
          <w:kern w:val="0"/>
          <w:sz w:val="32"/>
          <w:szCs w:val="32"/>
          <w:highlight w:val="none"/>
          <w:shd w:val="clear" w:color="auto" w:fill="FFFFFF"/>
          <w:lang w:val="en-US" w:eastAsia="zh-Hans"/>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评价范围：铜川市</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2020年度依据部门职能开展的工作，以及职责范围内开展的</w:t>
      </w:r>
      <w:r>
        <w:rPr>
          <w:rFonts w:hint="eastAsia" w:ascii="仿宋" w:hAnsi="仿宋" w:eastAsia="仿宋" w:cs="仿宋"/>
          <w:color w:val="auto"/>
          <w:kern w:val="0"/>
          <w:sz w:val="32"/>
          <w:szCs w:val="32"/>
          <w:highlight w:val="none"/>
          <w:shd w:val="clear" w:color="auto" w:fill="FFFFFF"/>
          <w:lang w:val="en-US" w:eastAsia="zh-CN"/>
        </w:rPr>
        <w:t>重点工作安排</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评价时段：2020年1月1日-2020年12月31日。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10" w:name="_Toc18458"/>
      <w:r>
        <w:rPr>
          <w:rFonts w:hint="eastAsia" w:ascii="楷体" w:hAnsi="楷体" w:eastAsia="楷体" w:cs="楷体"/>
          <w:b/>
          <w:bCs/>
          <w:color w:val="auto"/>
          <w:kern w:val="0"/>
          <w:sz w:val="32"/>
          <w:szCs w:val="32"/>
          <w:highlight w:val="none"/>
          <w:shd w:val="clear" w:color="auto" w:fill="FFFFFF"/>
          <w:lang w:val="en-US" w:eastAsia="zh-Hans"/>
        </w:rPr>
        <w:t>（三）绩效评价原则、方法</w:t>
      </w:r>
      <w:r>
        <w:rPr>
          <w:rFonts w:hint="eastAsia" w:ascii="楷体" w:hAnsi="楷体" w:eastAsia="楷体" w:cs="楷体"/>
          <w:b/>
          <w:bCs/>
          <w:color w:val="auto"/>
          <w:kern w:val="0"/>
          <w:sz w:val="32"/>
          <w:szCs w:val="32"/>
          <w:highlight w:val="none"/>
          <w:shd w:val="clear" w:color="auto" w:fill="FFFFFF"/>
          <w:lang w:val="en-US" w:eastAsia="zh-CN"/>
        </w:rPr>
        <w:t>和</w:t>
      </w:r>
      <w:r>
        <w:rPr>
          <w:rFonts w:hint="eastAsia" w:ascii="楷体" w:hAnsi="楷体" w:eastAsia="楷体" w:cs="楷体"/>
          <w:b/>
          <w:bCs/>
          <w:color w:val="auto"/>
          <w:kern w:val="0"/>
          <w:sz w:val="32"/>
          <w:szCs w:val="32"/>
          <w:highlight w:val="none"/>
          <w:shd w:val="clear" w:color="auto" w:fill="FFFFFF"/>
          <w:lang w:val="en-US" w:eastAsia="zh-Hans"/>
        </w:rPr>
        <w:t>指标体系</w:t>
      </w:r>
      <w:bookmarkEnd w:id="1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1.评价原则</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（1）科学规范原则。本次绩效评价工作按照科学可行的原则，采取定量分析与定性分析相结合的评价方法，评价机构设计绩效评价</w:t>
      </w:r>
      <w:r>
        <w:rPr>
          <w:rFonts w:hint="eastAsia" w:ascii="仿宋" w:hAnsi="仿宋" w:eastAsia="仿宋" w:cs="仿宋"/>
          <w:color w:val="auto"/>
          <w:kern w:val="0"/>
          <w:sz w:val="32"/>
          <w:szCs w:val="32"/>
          <w:highlight w:val="none"/>
          <w:shd w:val="clear" w:color="auto" w:fill="FFFFFF"/>
          <w:lang w:val="en-US" w:eastAsia="zh-CN"/>
        </w:rPr>
        <w:t>指标体系</w:t>
      </w:r>
      <w:r>
        <w:rPr>
          <w:rFonts w:hint="eastAsia" w:ascii="仿宋" w:hAnsi="仿宋" w:eastAsia="仿宋" w:cs="仿宋"/>
          <w:color w:val="auto"/>
          <w:kern w:val="0"/>
          <w:sz w:val="32"/>
          <w:szCs w:val="32"/>
          <w:highlight w:val="none"/>
          <w:shd w:val="clear" w:color="auto" w:fill="FFFFFF"/>
          <w:lang w:val="en-US" w:eastAsia="zh-Hans"/>
        </w:rPr>
        <w:t>并组织实施绩效评价。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（2）独立公正原则。以真实、客观、公正的要求完成本次绩效评价工作，并接受相关部门监督。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（3）绩效相关原则。本次绩效评价工作重点对该项目财政支出及其产出绩效进行评价，评价结果反映项目支出与产出绩效之间的紧密对应关系。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（4）简便有效原则。本次绩效评价工作尽量简化工作程序，尽量减少委托方、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工作负担，通过科学合理的工作方式与方法，在全面分析绩效材料，并在与委托方、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充分沟通的基础上，着力保障绩效评价工作本身的“绩效”。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2.评价方法</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本次评价将通过文件资料研读、现场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等方法进行定性评价；通过基础数据统计分析等方法，进行定量评价。在定性评价中，也须明确支撑评价结果的证明材料，尽量减少定性评价带有的主观随意性。本次绩效评价使用（但不限于）以下几种具体的评价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比较法。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通过对绩效目标与实施效果、历史与当期情况、不同部门和地区同类支出的比较，综合分析绩效目标实现程度。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（2）案卷研究法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对于</w:t>
      </w:r>
      <w:r>
        <w:rPr>
          <w:rFonts w:hint="eastAsia" w:ascii="仿宋" w:hAnsi="仿宋" w:eastAsia="仿宋" w:cs="仿宋"/>
          <w:color w:val="auto"/>
          <w:kern w:val="0"/>
          <w:sz w:val="32"/>
          <w:szCs w:val="32"/>
          <w:highlight w:val="none"/>
          <w:shd w:val="clear" w:color="auto" w:fill="FFFFFF"/>
          <w:lang w:val="en-US" w:eastAsia="zh-CN"/>
        </w:rPr>
        <w:t>部门提供的</w:t>
      </w:r>
      <w:r>
        <w:rPr>
          <w:rFonts w:hint="eastAsia" w:ascii="仿宋" w:hAnsi="仿宋" w:eastAsia="仿宋" w:cs="仿宋"/>
          <w:color w:val="auto"/>
          <w:kern w:val="0"/>
          <w:sz w:val="32"/>
          <w:szCs w:val="32"/>
          <w:highlight w:val="none"/>
          <w:shd w:val="clear" w:color="auto" w:fill="FFFFFF"/>
          <w:lang w:val="en-US" w:eastAsia="zh-Hans"/>
        </w:rPr>
        <w:t>相关</w:t>
      </w:r>
      <w:r>
        <w:rPr>
          <w:rFonts w:hint="eastAsia" w:ascii="仿宋" w:hAnsi="仿宋" w:eastAsia="仿宋" w:cs="仿宋"/>
          <w:color w:val="auto"/>
          <w:kern w:val="0"/>
          <w:sz w:val="32"/>
          <w:szCs w:val="32"/>
          <w:highlight w:val="none"/>
          <w:shd w:val="clear" w:color="auto" w:fill="FFFFFF"/>
          <w:lang w:val="en-US" w:eastAsia="zh-CN"/>
        </w:rPr>
        <w:t>资料</w:t>
      </w:r>
      <w:r>
        <w:rPr>
          <w:rFonts w:hint="eastAsia" w:ascii="仿宋" w:hAnsi="仿宋" w:eastAsia="仿宋" w:cs="仿宋"/>
          <w:color w:val="auto"/>
          <w:kern w:val="0"/>
          <w:sz w:val="32"/>
          <w:szCs w:val="32"/>
          <w:highlight w:val="none"/>
          <w:shd w:val="clear" w:color="auto" w:fill="FFFFFF"/>
          <w:lang w:val="en-US" w:eastAsia="zh-Hans"/>
        </w:rPr>
        <w:t>和文件通知、实施方案、政府采购相关文件、资金支出程序文件、工作总结、服务对象满意度调查等相关资料进行深入研究、比较、分析，提取重要信息，为绩效评价提供支撑依据。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（3）现场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是本次评价的一个重要手段，通过对</w:t>
      </w:r>
      <w:r>
        <w:rPr>
          <w:rFonts w:hint="eastAsia" w:ascii="仿宋" w:hAnsi="仿宋" w:eastAsia="仿宋" w:cs="仿宋"/>
          <w:color w:val="auto"/>
          <w:kern w:val="0"/>
          <w:sz w:val="32"/>
          <w:szCs w:val="32"/>
          <w:highlight w:val="none"/>
          <w:shd w:val="clear" w:color="auto" w:fill="FFFFFF"/>
          <w:lang w:val="en-US" w:eastAsia="zh-CN"/>
        </w:rPr>
        <w:t>新区统计局年度重点工作安排等</w:t>
      </w:r>
      <w:r>
        <w:rPr>
          <w:rFonts w:hint="eastAsia" w:ascii="仿宋" w:hAnsi="仿宋" w:eastAsia="仿宋" w:cs="仿宋"/>
          <w:color w:val="auto"/>
          <w:kern w:val="0"/>
          <w:sz w:val="32"/>
          <w:szCs w:val="32"/>
          <w:highlight w:val="none"/>
          <w:shd w:val="clear" w:color="auto" w:fill="FFFFFF"/>
          <w:lang w:val="en-US" w:eastAsia="zh-Hans"/>
        </w:rPr>
        <w:t>等进行现场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，并在前期书面资料分析的基础上，进一步核查重点</w:t>
      </w:r>
      <w:r>
        <w:rPr>
          <w:rFonts w:hint="eastAsia" w:ascii="仿宋" w:hAnsi="仿宋" w:eastAsia="仿宋" w:cs="仿宋"/>
          <w:color w:val="auto"/>
          <w:kern w:val="0"/>
          <w:sz w:val="32"/>
          <w:szCs w:val="32"/>
          <w:highlight w:val="none"/>
          <w:shd w:val="clear" w:color="auto" w:fill="FFFFFF"/>
          <w:lang w:val="en-US" w:eastAsia="zh-CN"/>
        </w:rPr>
        <w:t>工作安排情况，</w:t>
      </w:r>
      <w:r>
        <w:rPr>
          <w:rFonts w:hint="eastAsia" w:ascii="仿宋" w:hAnsi="仿宋" w:eastAsia="仿宋" w:cs="仿宋"/>
          <w:color w:val="auto"/>
          <w:kern w:val="0"/>
          <w:sz w:val="32"/>
          <w:szCs w:val="32"/>
          <w:highlight w:val="none"/>
          <w:shd w:val="clear" w:color="auto" w:fill="FFFFFF"/>
          <w:lang w:val="en-US" w:eastAsia="zh-Hans"/>
        </w:rPr>
        <w:t>任务完成及效益实现等情况，修正指标评分，发现典型问题并探究原因。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（4）因素分析法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在评价过程中，通过综合分析相关资料，挖掘影响绩效目标实现、实施效果的内外部因素，科学评判项目实施过程中存在的问题，有效提出相关建议。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3、评价指标体系</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根据部门整体支出绩效评价的基本原理、原则和部门特点，结合《铜川市市级部门整体支出绩效评价指标及评分标准》的要求，本次绩效评价指标体系包括投入、过程、产出及效果4个一级指标，7个二级指标和2</w:t>
      </w:r>
      <w:r>
        <w:rPr>
          <w:rFonts w:hint="eastAsia" w:ascii="仿宋" w:hAnsi="仿宋" w:eastAsia="仿宋" w:cs="仿宋"/>
          <w:color w:val="auto"/>
          <w:kern w:val="0"/>
          <w:sz w:val="32"/>
          <w:szCs w:val="32"/>
          <w:highlight w:val="none"/>
          <w:shd w:val="clear" w:color="auto" w:fill="FFFFFF"/>
          <w:lang w:val="en-US" w:eastAsia="zh-CN"/>
        </w:rPr>
        <w:t>7</w:t>
      </w:r>
      <w:r>
        <w:rPr>
          <w:rFonts w:hint="eastAsia" w:ascii="仿宋" w:hAnsi="仿宋" w:eastAsia="仿宋" w:cs="仿宋"/>
          <w:color w:val="auto"/>
          <w:kern w:val="0"/>
          <w:sz w:val="32"/>
          <w:szCs w:val="32"/>
          <w:highlight w:val="none"/>
          <w:shd w:val="clear" w:color="auto" w:fill="FFFFFF"/>
          <w:lang w:val="en-US" w:eastAsia="zh-Hans"/>
        </w:rPr>
        <w:t>个三级指标（详见附件</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），满分为100分。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（1）投入：从目标设定和预算配置两方面评价绩效目标合理性、绩效指标明确性、在职人员控制率</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三公</w:t>
      </w:r>
      <w:r>
        <w:rPr>
          <w:rFonts w:hint="eastAsia" w:ascii="仿宋" w:hAnsi="仿宋" w:eastAsia="仿宋" w:cs="仿宋"/>
          <w:color w:val="auto"/>
          <w:kern w:val="0"/>
          <w:sz w:val="32"/>
          <w:szCs w:val="32"/>
          <w:highlight w:val="none"/>
          <w:shd w:val="clear" w:color="auto" w:fill="FFFFFF"/>
          <w:lang w:val="en-US" w:eastAsia="zh-Hans"/>
        </w:rPr>
        <w:t>经费”变动率、重点支出安排率等内容。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（2）过程：从预算执行、预算管理和资产管理三方面评价预算完成率、</w:t>
      </w:r>
      <w:r>
        <w:rPr>
          <w:rFonts w:hint="eastAsia" w:ascii="仿宋" w:hAnsi="仿宋" w:eastAsia="仿宋" w:cs="仿宋"/>
          <w:color w:val="auto"/>
          <w:kern w:val="0"/>
          <w:sz w:val="32"/>
          <w:szCs w:val="32"/>
          <w:highlight w:val="none"/>
          <w:shd w:val="clear" w:color="auto" w:fill="FFFFFF"/>
          <w:lang w:val="en-US" w:eastAsia="zh-CN"/>
        </w:rPr>
        <w:t>预算调整率、</w:t>
      </w:r>
      <w:r>
        <w:rPr>
          <w:rFonts w:hint="eastAsia" w:ascii="仿宋" w:hAnsi="仿宋" w:eastAsia="仿宋" w:cs="仿宋"/>
          <w:color w:val="auto"/>
          <w:kern w:val="0"/>
          <w:sz w:val="32"/>
          <w:szCs w:val="32"/>
          <w:highlight w:val="none"/>
          <w:shd w:val="clear" w:color="auto" w:fill="FFFFFF"/>
          <w:lang w:val="en-US" w:eastAsia="zh-Hans"/>
        </w:rPr>
        <w:t>结转结余率、</w:t>
      </w:r>
      <w:r>
        <w:rPr>
          <w:rFonts w:hint="eastAsia" w:ascii="仿宋" w:hAnsi="仿宋" w:eastAsia="仿宋" w:cs="仿宋"/>
          <w:color w:val="auto"/>
          <w:kern w:val="0"/>
          <w:sz w:val="32"/>
          <w:szCs w:val="32"/>
          <w:highlight w:val="none"/>
          <w:shd w:val="clear" w:color="auto" w:fill="FFFFFF"/>
          <w:lang w:val="en-US" w:eastAsia="zh-CN"/>
        </w:rPr>
        <w:t>结转结余变动率、</w:t>
      </w:r>
      <w:r>
        <w:rPr>
          <w:rFonts w:hint="eastAsia" w:ascii="仿宋" w:hAnsi="仿宋" w:eastAsia="仿宋" w:cs="仿宋"/>
          <w:color w:val="auto"/>
          <w:kern w:val="0"/>
          <w:sz w:val="32"/>
          <w:szCs w:val="32"/>
          <w:highlight w:val="none"/>
          <w:shd w:val="clear" w:color="auto" w:fill="FFFFFF"/>
          <w:lang w:val="en-US" w:eastAsia="zh-Hans"/>
        </w:rPr>
        <w:t>公用经费控制率、“三公经费”控制率、政府采购执行率和管理制度健全性、资金使用合规性、</w:t>
      </w:r>
      <w:r>
        <w:rPr>
          <w:rFonts w:hint="eastAsia" w:ascii="仿宋" w:hAnsi="仿宋" w:eastAsia="仿宋" w:cs="仿宋"/>
          <w:color w:val="auto"/>
          <w:kern w:val="0"/>
          <w:sz w:val="32"/>
          <w:szCs w:val="32"/>
          <w:highlight w:val="none"/>
          <w:shd w:val="clear" w:color="auto" w:fill="FFFFFF"/>
          <w:lang w:val="en-US" w:eastAsia="zh-CN"/>
        </w:rPr>
        <w:t>预算执行监控、</w:t>
      </w:r>
      <w:r>
        <w:rPr>
          <w:rFonts w:hint="eastAsia" w:ascii="仿宋" w:hAnsi="仿宋" w:eastAsia="仿宋" w:cs="仿宋"/>
          <w:color w:val="auto"/>
          <w:kern w:val="0"/>
          <w:sz w:val="32"/>
          <w:szCs w:val="32"/>
          <w:highlight w:val="none"/>
          <w:shd w:val="clear" w:color="auto" w:fill="FFFFFF"/>
          <w:lang w:val="en-US" w:eastAsia="zh-Hans"/>
        </w:rPr>
        <w:t>预决算信息公开性、</w:t>
      </w:r>
      <w:r>
        <w:rPr>
          <w:rFonts w:hint="eastAsia" w:ascii="仿宋" w:hAnsi="仿宋" w:eastAsia="仿宋" w:cs="仿宋"/>
          <w:color w:val="auto"/>
          <w:kern w:val="0"/>
          <w:sz w:val="32"/>
          <w:szCs w:val="32"/>
          <w:highlight w:val="none"/>
          <w:shd w:val="clear" w:color="auto" w:fill="FFFFFF"/>
          <w:lang w:val="en-US" w:eastAsia="zh-CN"/>
        </w:rPr>
        <w:t>管理制度健全性</w:t>
      </w:r>
      <w:r>
        <w:rPr>
          <w:rFonts w:hint="eastAsia" w:ascii="仿宋" w:hAnsi="仿宋" w:eastAsia="仿宋" w:cs="仿宋"/>
          <w:color w:val="auto"/>
          <w:kern w:val="0"/>
          <w:sz w:val="32"/>
          <w:szCs w:val="32"/>
          <w:highlight w:val="none"/>
          <w:shd w:val="clear" w:color="auto" w:fill="FFFFFF"/>
          <w:lang w:val="en-US" w:eastAsia="zh-Hans"/>
        </w:rPr>
        <w:t>以及资产管理</w:t>
      </w:r>
      <w:r>
        <w:rPr>
          <w:rFonts w:hint="eastAsia" w:ascii="仿宋" w:hAnsi="仿宋" w:eastAsia="仿宋" w:cs="仿宋"/>
          <w:color w:val="auto"/>
          <w:kern w:val="0"/>
          <w:sz w:val="32"/>
          <w:szCs w:val="32"/>
          <w:highlight w:val="none"/>
          <w:shd w:val="clear" w:color="auto" w:fill="FFFFFF"/>
          <w:lang w:val="en-US" w:eastAsia="zh-CN"/>
        </w:rPr>
        <w:t>完全</w:t>
      </w:r>
      <w:r>
        <w:rPr>
          <w:rFonts w:hint="eastAsia" w:ascii="仿宋" w:hAnsi="仿宋" w:eastAsia="仿宋" w:cs="仿宋"/>
          <w:color w:val="auto"/>
          <w:kern w:val="0"/>
          <w:sz w:val="32"/>
          <w:szCs w:val="32"/>
          <w:highlight w:val="none"/>
          <w:shd w:val="clear" w:color="auto" w:fill="FFFFFF"/>
          <w:lang w:val="en-US" w:eastAsia="zh-Hans"/>
        </w:rPr>
        <w:t>性、固定资产利用率等内容。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（3）产出：用于考察年度</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重点工作办结率</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重点工作</w:t>
      </w:r>
      <w:r>
        <w:rPr>
          <w:rFonts w:hint="eastAsia" w:ascii="仿宋" w:hAnsi="仿宋" w:eastAsia="仿宋" w:cs="仿宋"/>
          <w:color w:val="auto"/>
          <w:kern w:val="0"/>
          <w:sz w:val="32"/>
          <w:szCs w:val="32"/>
          <w:highlight w:val="none"/>
          <w:shd w:val="clear" w:color="auto" w:fill="FFFFFF"/>
          <w:lang w:val="en-US" w:eastAsia="zh-Hans"/>
        </w:rPr>
        <w:t>完成及时率、</w:t>
      </w:r>
      <w:r>
        <w:rPr>
          <w:rFonts w:hint="eastAsia" w:ascii="仿宋" w:hAnsi="仿宋" w:eastAsia="仿宋" w:cs="仿宋"/>
          <w:color w:val="auto"/>
          <w:kern w:val="0"/>
          <w:sz w:val="32"/>
          <w:szCs w:val="32"/>
          <w:highlight w:val="none"/>
          <w:shd w:val="clear" w:color="auto" w:fill="FFFFFF"/>
          <w:lang w:val="en-US" w:eastAsia="zh-CN"/>
        </w:rPr>
        <w:t>重点工作</w:t>
      </w:r>
      <w:r>
        <w:rPr>
          <w:rFonts w:hint="eastAsia" w:ascii="仿宋" w:hAnsi="仿宋" w:eastAsia="仿宋" w:cs="仿宋"/>
          <w:color w:val="auto"/>
          <w:kern w:val="0"/>
          <w:sz w:val="32"/>
          <w:szCs w:val="32"/>
          <w:highlight w:val="none"/>
          <w:shd w:val="clear" w:color="auto" w:fill="FFFFFF"/>
          <w:lang w:val="en-US" w:eastAsia="zh-Hans"/>
        </w:rPr>
        <w:t>质量达标率和</w:t>
      </w:r>
      <w:r>
        <w:rPr>
          <w:rFonts w:hint="eastAsia" w:ascii="仿宋" w:hAnsi="仿宋" w:eastAsia="仿宋" w:cs="仿宋"/>
          <w:color w:val="auto"/>
          <w:kern w:val="0"/>
          <w:sz w:val="32"/>
          <w:szCs w:val="32"/>
          <w:highlight w:val="none"/>
          <w:shd w:val="clear" w:color="auto" w:fill="FFFFFF"/>
          <w:lang w:val="en-US" w:eastAsia="zh-CN"/>
        </w:rPr>
        <w:t>成本节约</w:t>
      </w:r>
      <w:r>
        <w:rPr>
          <w:rFonts w:hint="eastAsia" w:ascii="仿宋" w:hAnsi="仿宋" w:eastAsia="仿宋" w:cs="仿宋"/>
          <w:color w:val="auto"/>
          <w:kern w:val="0"/>
          <w:sz w:val="32"/>
          <w:szCs w:val="32"/>
          <w:highlight w:val="none"/>
          <w:shd w:val="clear" w:color="auto" w:fill="FFFFFF"/>
          <w:lang w:val="en-US" w:eastAsia="zh-Hans"/>
        </w:rPr>
        <w:t>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（4）效果：用于综合评价部门年度总体工作及资金投用所得项目产出产生的</w:t>
      </w:r>
      <w:r>
        <w:rPr>
          <w:rFonts w:hint="eastAsia" w:ascii="仿宋" w:hAnsi="仿宋" w:eastAsia="仿宋" w:cs="仿宋"/>
          <w:color w:val="auto"/>
          <w:kern w:val="0"/>
          <w:sz w:val="32"/>
          <w:szCs w:val="32"/>
          <w:highlight w:val="none"/>
          <w:shd w:val="clear" w:color="auto" w:fill="FFFFFF"/>
          <w:lang w:val="en-US" w:eastAsia="zh-CN"/>
        </w:rPr>
        <w:t>经济效益、</w:t>
      </w:r>
      <w:r>
        <w:rPr>
          <w:rFonts w:hint="eastAsia" w:ascii="仿宋" w:hAnsi="仿宋" w:eastAsia="仿宋" w:cs="仿宋"/>
          <w:color w:val="auto"/>
          <w:kern w:val="0"/>
          <w:sz w:val="32"/>
          <w:szCs w:val="32"/>
          <w:highlight w:val="none"/>
          <w:shd w:val="clear" w:color="auto" w:fill="FFFFFF"/>
          <w:lang w:val="en-US" w:eastAsia="zh-Hans"/>
        </w:rPr>
        <w:t>社会效益、</w:t>
      </w:r>
      <w:r>
        <w:rPr>
          <w:rFonts w:hint="eastAsia" w:ascii="仿宋" w:hAnsi="仿宋" w:eastAsia="仿宋" w:cs="仿宋"/>
          <w:color w:val="auto"/>
          <w:kern w:val="0"/>
          <w:sz w:val="32"/>
          <w:szCs w:val="32"/>
          <w:highlight w:val="none"/>
          <w:shd w:val="clear" w:color="auto" w:fill="FFFFFF"/>
          <w:lang w:val="en-US" w:eastAsia="zh-CN"/>
        </w:rPr>
        <w:t>可持续行影响</w:t>
      </w:r>
      <w:r>
        <w:rPr>
          <w:rFonts w:hint="eastAsia" w:ascii="仿宋" w:hAnsi="仿宋" w:eastAsia="仿宋" w:cs="仿宋"/>
          <w:color w:val="auto"/>
          <w:kern w:val="0"/>
          <w:sz w:val="32"/>
          <w:szCs w:val="32"/>
          <w:highlight w:val="none"/>
          <w:shd w:val="clear" w:color="auto" w:fill="FFFFFF"/>
          <w:lang w:val="en-US" w:eastAsia="zh-Hans"/>
        </w:rPr>
        <w:t>及社会公众满意度。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4、绩效评价的局限性</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bookmarkStart w:id="11" w:name="_Toc1318217999"/>
      <w:r>
        <w:rPr>
          <w:rFonts w:hint="eastAsia" w:ascii="仿宋" w:hAnsi="仿宋" w:eastAsia="仿宋" w:cs="仿宋"/>
          <w:color w:val="auto"/>
          <w:kern w:val="0"/>
          <w:sz w:val="32"/>
          <w:szCs w:val="32"/>
          <w:highlight w:val="none"/>
          <w:shd w:val="clear" w:color="auto" w:fill="FFFFFF"/>
          <w:lang w:val="en-US" w:eastAsia="zh-Hans"/>
        </w:rPr>
        <w:t>本次对</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2020年度部门整体支出绩效进行分析和评价打分的基础数据来源于其提供的2020年</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本级部门预算表、2020年度部门决算报表、</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提供的档案资料以及调查者反映的情况等资料，上述数据的完整性、真实性、准确性直接影响绩效评价结果。</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color w:val="auto"/>
          <w:kern w:val="0"/>
          <w:sz w:val="32"/>
          <w:szCs w:val="32"/>
          <w:highlight w:val="none"/>
          <w:shd w:val="clear" w:color="auto" w:fill="FFFFFF"/>
          <w:lang w:val="en-US" w:eastAsia="zh-Hans"/>
        </w:rPr>
      </w:pPr>
      <w:bookmarkStart w:id="12" w:name="_Toc21754"/>
      <w:r>
        <w:rPr>
          <w:rFonts w:hint="eastAsia" w:ascii="楷体" w:hAnsi="楷体" w:eastAsia="楷体" w:cs="楷体"/>
          <w:b/>
          <w:bCs/>
          <w:color w:val="auto"/>
          <w:kern w:val="0"/>
          <w:sz w:val="32"/>
          <w:szCs w:val="32"/>
          <w:highlight w:val="none"/>
          <w:shd w:val="clear" w:color="auto" w:fill="FFFFFF"/>
          <w:lang w:val="en-US" w:eastAsia="zh-Hans"/>
        </w:rPr>
        <w:t>（四）评价工作过程</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本次绩效评价工作主要分为前期准备、组织实施、</w:t>
      </w:r>
      <w:r>
        <w:rPr>
          <w:rFonts w:hint="eastAsia" w:ascii="仿宋" w:hAnsi="仿宋" w:eastAsia="仿宋" w:cs="仿宋"/>
          <w:color w:val="auto"/>
          <w:kern w:val="0"/>
          <w:sz w:val="32"/>
          <w:szCs w:val="32"/>
          <w:highlight w:val="none"/>
          <w:shd w:val="clear" w:color="auto" w:fill="FFFFFF"/>
          <w:lang w:val="en-US" w:eastAsia="zh-CN"/>
        </w:rPr>
        <w:t>报告撰写</w:t>
      </w:r>
      <w:r>
        <w:rPr>
          <w:rFonts w:hint="eastAsia" w:ascii="仿宋" w:hAnsi="仿宋" w:eastAsia="仿宋" w:cs="仿宋"/>
          <w:color w:val="auto"/>
          <w:kern w:val="0"/>
          <w:sz w:val="32"/>
          <w:szCs w:val="32"/>
          <w:highlight w:val="none"/>
          <w:shd w:val="clear" w:color="auto" w:fill="FFFFFF"/>
          <w:lang w:val="en-US" w:eastAsia="zh-Hans"/>
        </w:rPr>
        <w:t>以及资料整理归档四个阶段。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1.前期准备阶段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（1）项目启动。</w:t>
      </w:r>
      <w:r>
        <w:rPr>
          <w:rFonts w:hint="eastAsia" w:ascii="仿宋" w:hAnsi="仿宋" w:eastAsia="仿宋" w:cs="仿宋"/>
          <w:color w:val="auto"/>
          <w:kern w:val="0"/>
          <w:sz w:val="32"/>
          <w:szCs w:val="32"/>
          <w:highlight w:val="none"/>
          <w:shd w:val="clear" w:color="auto" w:fill="FFFFFF"/>
          <w:lang w:val="en-US" w:eastAsia="zh-CN"/>
        </w:rPr>
        <w:t>首先成立</w:t>
      </w:r>
      <w:r>
        <w:rPr>
          <w:rFonts w:hint="eastAsia" w:ascii="仿宋" w:hAnsi="仿宋" w:eastAsia="仿宋" w:cs="仿宋"/>
          <w:color w:val="auto"/>
          <w:kern w:val="0"/>
          <w:sz w:val="32"/>
          <w:szCs w:val="32"/>
          <w:highlight w:val="none"/>
          <w:shd w:val="clear" w:color="auto" w:fill="FFFFFF"/>
          <w:lang w:val="en-US" w:eastAsia="zh-Hans"/>
        </w:rPr>
        <w:t>评价小组，联络本次绩效评价的相关部门及人员，收集相关资料。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（2）开展前期调研并</w:t>
      </w:r>
      <w:r>
        <w:rPr>
          <w:rFonts w:hint="eastAsia" w:ascii="仿宋" w:hAnsi="仿宋" w:eastAsia="仿宋" w:cs="仿宋"/>
          <w:color w:val="auto"/>
          <w:kern w:val="0"/>
          <w:sz w:val="32"/>
          <w:szCs w:val="32"/>
          <w:highlight w:val="none"/>
          <w:shd w:val="clear" w:color="auto" w:fill="FFFFFF"/>
          <w:lang w:val="en-US" w:eastAsia="zh-CN"/>
        </w:rPr>
        <w:t>制定指标体系</w:t>
      </w:r>
      <w:r>
        <w:rPr>
          <w:rFonts w:hint="eastAsia" w:ascii="仿宋" w:hAnsi="仿宋" w:eastAsia="仿宋" w:cs="仿宋"/>
          <w:color w:val="auto"/>
          <w:kern w:val="0"/>
          <w:sz w:val="32"/>
          <w:szCs w:val="32"/>
          <w:highlight w:val="none"/>
          <w:shd w:val="clear" w:color="auto" w:fill="FFFFFF"/>
          <w:lang w:val="en-US" w:eastAsia="zh-Hans"/>
        </w:rPr>
        <w:t>。由评价小组成员与被评价部门进行充分沟通，了解部门的机构职能、职责划分、内设机构、下属预算单位等基本信息，并收集该部门2020年度内开展建设及运营监管项目的立项文件、预算安排、项目年度目标、工作实施计划、管理制度等文件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根据部门实际情况和</w:t>
      </w:r>
      <w:r>
        <w:rPr>
          <w:rFonts w:hint="eastAsia" w:ascii="仿宋" w:hAnsi="仿宋" w:eastAsia="仿宋" w:cs="仿宋"/>
          <w:color w:val="auto"/>
          <w:kern w:val="0"/>
          <w:sz w:val="32"/>
          <w:szCs w:val="32"/>
          <w:highlight w:val="none"/>
          <w:shd w:val="clear" w:color="auto" w:fill="FFFFFF"/>
          <w:lang w:val="en-US" w:eastAsia="zh-CN"/>
        </w:rPr>
        <w:t>统计局</w:t>
      </w:r>
      <w:r>
        <w:rPr>
          <w:rFonts w:hint="eastAsia" w:ascii="仿宋" w:hAnsi="仿宋" w:eastAsia="仿宋" w:cs="仿宋"/>
          <w:color w:val="auto"/>
          <w:kern w:val="0"/>
          <w:sz w:val="32"/>
          <w:szCs w:val="32"/>
          <w:highlight w:val="none"/>
          <w:shd w:val="clear" w:color="auto" w:fill="FFFFFF"/>
          <w:lang w:val="en-US" w:eastAsia="zh-Hans"/>
        </w:rPr>
        <w:t>工作特点，形成绩效评价的总体思路，设计指标体系、问卷调查及访谈内容广泛听取意见、进行完善。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2.组织实施阶段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（1）数据收集和审核资料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小组根据评价工作需要和相关要求，多渠道收集基础信息资料，根据绩效目标设立的依据和调整情况，整理投入、过程、产出和效果资料，相关业务和财务资料，管理措施及组织实施情况与绩效评价相关的计划标准、行业标准、历史标准等，以及其他必要的相关资料。在收集齐全的基础上对所有资料进行分类整理，对相关资料进行核实和分析，并要求预算单位对缺失的资料及时补充，对存在疑问的资料和数据进行解释和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及社会调查阶段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对部门单位及实施项目进行访谈、联系部门和项目单位组织人员进行社会调查，对有关情况和基础材料进行核实，掌握评价基础资料。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w:t>
      </w:r>
      <w:r>
        <w:rPr>
          <w:rFonts w:hint="eastAsia" w:ascii="仿宋" w:hAnsi="仿宋" w:eastAsia="仿宋" w:cs="仿宋"/>
          <w:b/>
          <w:bCs/>
          <w:color w:val="auto"/>
          <w:kern w:val="0"/>
          <w:sz w:val="32"/>
          <w:szCs w:val="32"/>
          <w:highlight w:val="none"/>
          <w:shd w:val="clear" w:color="auto" w:fill="FFFFFF"/>
          <w:lang w:val="en-US" w:eastAsia="zh-CN"/>
        </w:rPr>
        <w:t>报告撰写</w:t>
      </w:r>
      <w:r>
        <w:rPr>
          <w:rFonts w:hint="eastAsia" w:ascii="仿宋" w:hAnsi="仿宋" w:eastAsia="仿宋" w:cs="仿宋"/>
          <w:b/>
          <w:bCs/>
          <w:color w:val="auto"/>
          <w:kern w:val="0"/>
          <w:sz w:val="32"/>
          <w:szCs w:val="32"/>
          <w:highlight w:val="none"/>
          <w:shd w:val="clear" w:color="auto" w:fill="FFFFFF"/>
          <w:lang w:val="en-US" w:eastAsia="zh-Hans"/>
        </w:rPr>
        <w:t>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（1）综合分析评价。根据收集和审核的基础资料，结合现场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的有关情况，整理出绩效评价所需的资料和数据；按照评价工作方案确定的评价指标、评价标准和评价方法，对本部门的绩效情况进行全面的定量、定性分析和综合评价，并进行量化打分，根据评分结果确定相应档次，并形成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撰写提交绩效评价报告。综合前期收集和审核的部门及项目资料、现场调研的结果，评价工作组对部门年度工作情况进行综合分析，并按照规定的文本格式和相关要求撰写评价报告。报告内容翔实，逻辑清晰，结论鲜明，依据真实、充分，底稿及附件齐全。评价报告在经过与委托方沟通意见，修改完善绩效评价报告，及时提交</w:t>
      </w:r>
      <w:r>
        <w:rPr>
          <w:rFonts w:hint="eastAsia" w:ascii="仿宋" w:hAnsi="仿宋" w:eastAsia="仿宋" w:cs="仿宋"/>
          <w:color w:val="auto"/>
          <w:kern w:val="0"/>
          <w:sz w:val="32"/>
          <w:szCs w:val="32"/>
          <w:highlight w:val="none"/>
          <w:shd w:val="clear" w:color="auto" w:fill="FFFFFF"/>
          <w:lang w:val="en-US" w:eastAsia="zh-CN"/>
        </w:rPr>
        <w:t>委托方</w:t>
      </w:r>
      <w:r>
        <w:rPr>
          <w:rFonts w:hint="eastAsia" w:ascii="仿宋" w:hAnsi="仿宋" w:eastAsia="仿宋" w:cs="仿宋"/>
          <w:color w:val="auto"/>
          <w:kern w:val="0"/>
          <w:sz w:val="32"/>
          <w:szCs w:val="32"/>
          <w:highlight w:val="none"/>
          <w:shd w:val="clear" w:color="auto" w:fill="FFFFFF"/>
          <w:lang w:val="en-US" w:eastAsia="zh-Hans"/>
        </w:rPr>
        <w:t>确认。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4.资料整理阶段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绩效评价工作结束后，评价工作组将绩效评价过程中所涉及的材料（电子版、纸质版），及时收集和整理，并归档备查。同时，根据绩效评价结果，应相关要求，及时帮助被评价方就相关问题、建议积极落实结果应用，切实提升项目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13" w:name="_Toc27023"/>
      <w:r>
        <w:rPr>
          <w:rFonts w:hint="eastAsia" w:ascii="黑体" w:hAnsi="黑体" w:eastAsia="黑体" w:cs="黑体"/>
          <w:b w:val="0"/>
          <w:bCs w:val="0"/>
          <w:color w:val="auto"/>
          <w:kern w:val="0"/>
          <w:sz w:val="32"/>
          <w:szCs w:val="32"/>
          <w:highlight w:val="none"/>
          <w:shd w:val="clear" w:color="auto" w:fill="FFFFFF"/>
          <w:lang w:val="en-US" w:eastAsia="zh-Hans"/>
        </w:rPr>
        <w:t>三、评价结论</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通过对</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相关</w:t>
      </w:r>
      <w:r>
        <w:rPr>
          <w:rFonts w:hint="eastAsia" w:ascii="仿宋" w:hAnsi="仿宋" w:eastAsia="仿宋" w:cs="仿宋"/>
          <w:color w:val="auto"/>
          <w:kern w:val="0"/>
          <w:sz w:val="32"/>
          <w:szCs w:val="32"/>
          <w:highlight w:val="none"/>
          <w:shd w:val="clear" w:color="auto" w:fill="FFFFFF"/>
          <w:lang w:val="en-US" w:eastAsia="zh-Hans"/>
        </w:rPr>
        <w:t>材料审核和现场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、评审等，从</w:t>
      </w:r>
      <w:r>
        <w:rPr>
          <w:rFonts w:hint="eastAsia" w:ascii="仿宋" w:hAnsi="仿宋" w:eastAsia="仿宋" w:cs="仿宋"/>
          <w:color w:val="auto"/>
          <w:kern w:val="0"/>
          <w:sz w:val="32"/>
          <w:szCs w:val="32"/>
          <w:highlight w:val="none"/>
          <w:shd w:val="clear" w:color="auto" w:fill="FFFFFF"/>
          <w:lang w:val="en-US" w:eastAsia="zh-CN"/>
        </w:rPr>
        <w:t>投入</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过程</w:t>
      </w:r>
      <w:r>
        <w:rPr>
          <w:rFonts w:hint="eastAsia" w:ascii="仿宋" w:hAnsi="仿宋" w:eastAsia="仿宋" w:cs="仿宋"/>
          <w:color w:val="auto"/>
          <w:kern w:val="0"/>
          <w:sz w:val="32"/>
          <w:szCs w:val="32"/>
          <w:highlight w:val="none"/>
          <w:shd w:val="clear" w:color="auto" w:fill="FFFFFF"/>
          <w:lang w:val="en-US" w:eastAsia="zh-Hans"/>
        </w:rPr>
        <w:t>、产出、</w:t>
      </w:r>
      <w:r>
        <w:rPr>
          <w:rFonts w:hint="eastAsia" w:ascii="仿宋" w:hAnsi="仿宋" w:eastAsia="仿宋" w:cs="仿宋"/>
          <w:color w:val="auto"/>
          <w:kern w:val="0"/>
          <w:sz w:val="32"/>
          <w:szCs w:val="32"/>
          <w:highlight w:val="none"/>
          <w:shd w:val="clear" w:color="auto" w:fill="FFFFFF"/>
          <w:lang w:val="en-US" w:eastAsia="zh-CN"/>
        </w:rPr>
        <w:t>效果</w:t>
      </w:r>
      <w:r>
        <w:rPr>
          <w:rFonts w:hint="eastAsia" w:ascii="仿宋" w:hAnsi="仿宋" w:eastAsia="仿宋" w:cs="仿宋"/>
          <w:color w:val="auto"/>
          <w:kern w:val="0"/>
          <w:sz w:val="32"/>
          <w:szCs w:val="32"/>
          <w:highlight w:val="none"/>
          <w:shd w:val="clear" w:color="auto" w:fill="FFFFFF"/>
          <w:lang w:val="en-US" w:eastAsia="zh-Hans"/>
        </w:rPr>
        <w:t>四个维度综合评价铜川市</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2020年部门整体支出绩效，评价工作组认为：总体上</w:t>
      </w:r>
      <w:r>
        <w:rPr>
          <w:rFonts w:hint="eastAsia" w:ascii="仿宋" w:hAnsi="仿宋" w:eastAsia="仿宋" w:cs="仿宋"/>
          <w:color w:val="auto"/>
          <w:kern w:val="0"/>
          <w:sz w:val="32"/>
          <w:szCs w:val="32"/>
          <w:highlight w:val="none"/>
          <w:shd w:val="clear" w:color="auto" w:fill="FFFFFF"/>
          <w:lang w:val="en-US" w:eastAsia="zh-CN"/>
        </w:rPr>
        <w:t>新区统计局在履职效益表现较好，但在投入、过程和职责履行方面存在一定问题。评价结果分为优(</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分以上)、良(</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分)、中(</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CN"/>
        </w:rPr>
        <w:t>分) 和差(</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CN"/>
        </w:rPr>
        <w:t>分以下)四个等次。经综合分析，该部门整体支出综合评价得分为81.03分，绩效等级为“良”。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仿宋" w:hAnsi="仿宋" w:eastAsia="仿宋" w:cs="仿宋"/>
          <w:b/>
          <w:bCs/>
          <w:color w:val="auto"/>
          <w:kern w:val="0"/>
          <w:sz w:val="28"/>
          <w:szCs w:val="28"/>
          <w:highlight w:val="none"/>
          <w:shd w:val="clear" w:color="auto" w:fill="FFFFFF"/>
          <w:lang w:val="en-US" w:eastAsia="zh-Hans"/>
        </w:rPr>
      </w:pPr>
      <w:r>
        <w:rPr>
          <w:rFonts w:hint="eastAsia" w:ascii="仿宋" w:hAnsi="仿宋" w:eastAsia="仿宋" w:cs="仿宋"/>
          <w:b/>
          <w:bCs/>
          <w:color w:val="auto"/>
          <w:kern w:val="0"/>
          <w:sz w:val="28"/>
          <w:szCs w:val="28"/>
          <w:highlight w:val="none"/>
          <w:shd w:val="clear" w:color="auto" w:fill="FFFFFF"/>
          <w:lang w:val="en-US" w:eastAsia="zh-Hans"/>
        </w:rPr>
        <w:t>表3-1 2020年</w:t>
      </w:r>
      <w:r>
        <w:rPr>
          <w:rFonts w:hint="eastAsia" w:ascii="仿宋" w:hAnsi="仿宋" w:eastAsia="仿宋" w:cs="仿宋"/>
          <w:b/>
          <w:bCs/>
          <w:color w:val="auto"/>
          <w:kern w:val="0"/>
          <w:sz w:val="28"/>
          <w:szCs w:val="28"/>
          <w:highlight w:val="none"/>
          <w:shd w:val="clear" w:color="auto" w:fill="FFFFFF"/>
          <w:lang w:val="en-US" w:eastAsia="zh-CN"/>
        </w:rPr>
        <w:t>新区统计局</w:t>
      </w:r>
      <w:r>
        <w:rPr>
          <w:rFonts w:hint="eastAsia" w:ascii="仿宋" w:hAnsi="仿宋" w:eastAsia="仿宋" w:cs="仿宋"/>
          <w:b/>
          <w:bCs/>
          <w:color w:val="auto"/>
          <w:kern w:val="0"/>
          <w:sz w:val="28"/>
          <w:szCs w:val="28"/>
          <w:highlight w:val="none"/>
          <w:shd w:val="clear" w:color="auto" w:fill="FFFFFF"/>
          <w:lang w:val="en-US" w:eastAsia="zh-Hans"/>
        </w:rPr>
        <w:t>部门整体支出绩效</w:t>
      </w:r>
      <w:r>
        <w:rPr>
          <w:rFonts w:hint="eastAsia" w:ascii="仿宋" w:hAnsi="仿宋" w:eastAsia="仿宋" w:cs="仿宋"/>
          <w:b/>
          <w:bCs/>
          <w:color w:val="auto"/>
          <w:kern w:val="0"/>
          <w:sz w:val="28"/>
          <w:szCs w:val="28"/>
          <w:highlight w:val="none"/>
          <w:shd w:val="clear" w:color="auto" w:fill="FFFFFF"/>
          <w:lang w:val="en-US" w:eastAsia="zh-CN"/>
        </w:rPr>
        <w:t>评价得分</w:t>
      </w:r>
      <w:r>
        <w:rPr>
          <w:rFonts w:hint="eastAsia" w:ascii="仿宋" w:hAnsi="仿宋" w:eastAsia="仿宋" w:cs="仿宋"/>
          <w:b/>
          <w:bCs/>
          <w:color w:val="auto"/>
          <w:kern w:val="0"/>
          <w:sz w:val="28"/>
          <w:szCs w:val="28"/>
          <w:highlight w:val="none"/>
          <w:shd w:val="clear" w:color="auto" w:fill="FFFFFF"/>
          <w:lang w:val="en-US" w:eastAsia="zh-Hans"/>
        </w:rPr>
        <w:t>表</w:t>
      </w:r>
    </w:p>
    <w:tbl>
      <w:tblPr>
        <w:tblStyle w:val="15"/>
        <w:tblW w:w="4998" w:type="pct"/>
        <w:tblInd w:w="0" w:type="dxa"/>
        <w:shd w:val="clear" w:color="auto" w:fill="auto"/>
        <w:tblLayout w:type="autofit"/>
        <w:tblCellMar>
          <w:top w:w="0" w:type="dxa"/>
          <w:left w:w="0" w:type="dxa"/>
          <w:bottom w:w="0" w:type="dxa"/>
          <w:right w:w="0" w:type="dxa"/>
        </w:tblCellMar>
      </w:tblPr>
      <w:tblGrid>
        <w:gridCol w:w="2076"/>
        <w:gridCol w:w="2076"/>
        <w:gridCol w:w="2595"/>
        <w:gridCol w:w="2079"/>
      </w:tblGrid>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得分率</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决策</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10.81</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77.21%</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70.45%</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70.00%</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效益</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44</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40.72</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92.55%</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合计</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81.03</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81.03%</w:t>
            </w:r>
          </w:p>
        </w:tc>
      </w:tr>
      <w:tr>
        <w:tblPrEx>
          <w:shd w:val="clear" w:color="auto" w:fill="auto"/>
          <w:tblCellMar>
            <w:top w:w="0" w:type="dxa"/>
            <w:left w:w="0" w:type="dxa"/>
            <w:bottom w:w="0" w:type="dxa"/>
            <w:right w:w="0" w:type="dxa"/>
          </w:tblCellMar>
        </w:tblPrEx>
        <w:trPr>
          <w:trHeight w:val="45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绩效评价得分：</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81.03</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综合评价结果等级：</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良</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Hans"/>
        </w:rPr>
      </w:pPr>
      <w:bookmarkStart w:id="14" w:name="_Toc24355"/>
      <w:r>
        <w:rPr>
          <w:rFonts w:hint="eastAsia" w:ascii="黑体" w:hAnsi="黑体" w:eastAsia="黑体" w:cs="黑体"/>
          <w:b w:val="0"/>
          <w:bCs w:val="0"/>
          <w:color w:val="auto"/>
          <w:kern w:val="0"/>
          <w:sz w:val="32"/>
          <w:szCs w:val="32"/>
          <w:highlight w:val="none"/>
          <w:lang w:val="en-US" w:eastAsia="zh-Hans"/>
        </w:rPr>
        <w:t>四、绩效评价分析</w:t>
      </w:r>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5" w:name="_Toc30110"/>
      <w:r>
        <w:rPr>
          <w:rFonts w:hint="eastAsia" w:ascii="楷体" w:hAnsi="楷体" w:eastAsia="楷体" w:cs="楷体"/>
          <w:b/>
          <w:bCs/>
          <w:color w:val="auto"/>
          <w:kern w:val="0"/>
          <w:sz w:val="32"/>
          <w:szCs w:val="32"/>
          <w:highlight w:val="none"/>
          <w:shd w:val="clear" w:color="auto" w:fill="FFFFFF"/>
          <w:lang w:val="en-US" w:eastAsia="zh-CN"/>
        </w:rPr>
        <w:t>（一）投入方面</w:t>
      </w:r>
      <w:bookmarkEnd w:id="1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目标设定和预算配置两方面内容</w:t>
      </w:r>
      <w:r>
        <w:rPr>
          <w:rFonts w:hint="eastAsia" w:ascii="仿宋" w:hAnsi="仿宋" w:eastAsia="仿宋" w:cs="仿宋"/>
          <w:color w:val="auto"/>
          <w:kern w:val="0"/>
          <w:sz w:val="32"/>
          <w:szCs w:val="32"/>
          <w:highlight w:val="none"/>
          <w:shd w:val="clear" w:color="auto" w:fill="FFFFFF"/>
          <w:lang w:val="en-US" w:eastAsia="zh-CN"/>
        </w:rPr>
        <w:t>，包括绩效目标合理性、</w:t>
      </w:r>
      <w:r>
        <w:rPr>
          <w:rFonts w:hint="eastAsia" w:ascii="仿宋" w:hAnsi="仿宋" w:eastAsia="仿宋" w:cs="仿宋"/>
          <w:color w:val="auto"/>
          <w:kern w:val="0"/>
          <w:sz w:val="32"/>
          <w:szCs w:val="32"/>
          <w:highlight w:val="none"/>
          <w:shd w:val="clear" w:color="auto" w:fill="FFFFFF"/>
          <w:lang w:val="en-US" w:eastAsia="zh-Hans"/>
        </w:rPr>
        <w:t>绩效指标明确性、在职人员控制率、“</w:t>
      </w:r>
      <w:r>
        <w:rPr>
          <w:rFonts w:hint="eastAsia" w:ascii="仿宋" w:hAnsi="仿宋" w:eastAsia="仿宋" w:cs="仿宋"/>
          <w:color w:val="auto"/>
          <w:kern w:val="0"/>
          <w:sz w:val="32"/>
          <w:szCs w:val="32"/>
          <w:highlight w:val="none"/>
          <w:shd w:val="clear" w:color="auto" w:fill="FFFFFF"/>
          <w:lang w:val="en-US" w:eastAsia="zh-CN"/>
        </w:rPr>
        <w:t>三公经费</w:t>
      </w:r>
      <w:r>
        <w:rPr>
          <w:rFonts w:hint="eastAsia" w:ascii="仿宋" w:hAnsi="仿宋" w:eastAsia="仿宋" w:cs="仿宋"/>
          <w:color w:val="auto"/>
          <w:kern w:val="0"/>
          <w:sz w:val="32"/>
          <w:szCs w:val="32"/>
          <w:highlight w:val="none"/>
          <w:shd w:val="clear" w:color="auto" w:fill="FFFFFF"/>
          <w:lang w:val="en-US" w:eastAsia="zh-Hans"/>
        </w:rPr>
        <w:t>”变动率、重点支出安排率</w:t>
      </w:r>
      <w:r>
        <w:rPr>
          <w:rFonts w:hint="eastAsia" w:ascii="仿宋" w:hAnsi="仿宋" w:eastAsia="仿宋" w:cs="仿宋"/>
          <w:color w:val="auto"/>
          <w:kern w:val="0"/>
          <w:sz w:val="32"/>
          <w:szCs w:val="32"/>
          <w:highlight w:val="none"/>
          <w:shd w:val="clear" w:color="auto" w:fill="FFFFFF"/>
          <w:lang w:val="en-US" w:eastAsia="zh-CN"/>
        </w:rPr>
        <w:t>等5个三级指标，指标权重14分，评价得分10.81分，得分率为77.21%。</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1.目标设定</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（1）绩效目标合理性</w:t>
      </w:r>
      <w:r>
        <w:rPr>
          <w:rFonts w:hint="eastAsia" w:ascii="仿宋" w:hAnsi="仿宋" w:eastAsia="仿宋" w:cs="仿宋"/>
          <w:color w:val="auto"/>
          <w:kern w:val="0"/>
          <w:sz w:val="32"/>
          <w:szCs w:val="32"/>
          <w:highlight w:val="none"/>
          <w:shd w:val="clear" w:color="auto" w:fill="FFFFFF"/>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根据铜川市新区财政局《关于下达2020年部门预算的通知》</w:t>
      </w:r>
      <w:r>
        <w:rPr>
          <w:rFonts w:hint="eastAsia" w:ascii="仿宋" w:hAnsi="仿宋" w:eastAsia="仿宋" w:cs="仿宋"/>
          <w:color w:val="auto"/>
          <w:kern w:val="0"/>
          <w:sz w:val="32"/>
          <w:szCs w:val="32"/>
          <w:highlight w:val="none"/>
          <w:shd w:val="clear" w:color="auto" w:fill="FFFFFF"/>
          <w:lang w:val="en-US" w:eastAsia="zh-CN"/>
        </w:rPr>
        <w:t>（铜新财预</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0</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3号）</w:t>
      </w:r>
      <w:r>
        <w:rPr>
          <w:rFonts w:hint="eastAsia" w:ascii="仿宋" w:hAnsi="仿宋" w:eastAsia="仿宋" w:cs="仿宋"/>
          <w:color w:val="auto"/>
          <w:kern w:val="0"/>
          <w:sz w:val="32"/>
          <w:szCs w:val="32"/>
          <w:highlight w:val="none"/>
          <w:shd w:val="clear" w:color="auto" w:fill="FFFFFF"/>
          <w:lang w:val="en-US" w:eastAsia="zh-Hans"/>
        </w:rPr>
        <w:t>文件附件中的新区</w:t>
      </w:r>
      <w:r>
        <w:rPr>
          <w:rFonts w:hint="eastAsia" w:ascii="仿宋" w:hAnsi="仿宋" w:eastAsia="仿宋" w:cs="仿宋"/>
          <w:color w:val="auto"/>
          <w:kern w:val="0"/>
          <w:sz w:val="32"/>
          <w:szCs w:val="32"/>
          <w:highlight w:val="none"/>
          <w:shd w:val="clear" w:color="auto" w:fill="FFFFFF"/>
          <w:lang w:val="en-US" w:eastAsia="zh-CN"/>
        </w:rPr>
        <w:t>统计局</w:t>
      </w:r>
      <w:r>
        <w:rPr>
          <w:rFonts w:hint="eastAsia" w:ascii="仿宋" w:hAnsi="仿宋" w:eastAsia="仿宋" w:cs="仿宋"/>
          <w:color w:val="auto"/>
          <w:kern w:val="0"/>
          <w:sz w:val="32"/>
          <w:szCs w:val="32"/>
          <w:highlight w:val="none"/>
          <w:shd w:val="clear" w:color="auto" w:fill="FFFFFF"/>
          <w:lang w:val="en-US" w:eastAsia="zh-Hans"/>
        </w:rPr>
        <w:t>2020年部门整体支出绩效目标表内容，绩效目标设定符合国家法律法规和国民经济发展总体规划，符合部门职能职责范围，与部门年度工作任务和中长期工作规划相适应。</w:t>
      </w:r>
      <w:r>
        <w:rPr>
          <w:rFonts w:hint="eastAsia" w:ascii="仿宋" w:hAnsi="仿宋" w:eastAsia="仿宋" w:cs="仿宋"/>
          <w:color w:val="auto"/>
          <w:kern w:val="0"/>
          <w:sz w:val="32"/>
          <w:szCs w:val="32"/>
          <w:highlight w:val="none"/>
          <w:shd w:val="clear" w:color="auto" w:fill="FFFFFF"/>
          <w:lang w:val="en-US" w:eastAsia="zh-CN"/>
        </w:rPr>
        <w:t>年度部门整体支出绩效目标和重点安排工作绩效目标已在新区管委会官方网站予以公布，绩效目标合理性充分。结合部门整体绩效评价指标体系和评分标准，经综合评价，该项指标得分为4分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（2）绩效指标明确性</w:t>
      </w:r>
      <w:r>
        <w:rPr>
          <w:rFonts w:hint="eastAsia" w:ascii="仿宋" w:hAnsi="仿宋" w:eastAsia="仿宋" w:cs="仿宋"/>
          <w:color w:val="auto"/>
          <w:kern w:val="0"/>
          <w:sz w:val="32"/>
          <w:szCs w:val="32"/>
          <w:highlight w:val="none"/>
          <w:shd w:val="clear" w:color="auto" w:fill="FFFFFF"/>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.根据铜川市新区财政局《关于下达2020年部门预算的通知》</w:t>
      </w:r>
      <w:r>
        <w:rPr>
          <w:rFonts w:hint="eastAsia" w:ascii="仿宋" w:hAnsi="仿宋" w:eastAsia="仿宋" w:cs="仿宋"/>
          <w:color w:val="auto"/>
          <w:kern w:val="0"/>
          <w:sz w:val="32"/>
          <w:szCs w:val="32"/>
          <w:highlight w:val="none"/>
          <w:shd w:val="clear" w:color="auto" w:fill="FFFFFF"/>
          <w:lang w:val="en-US" w:eastAsia="zh-CN"/>
        </w:rPr>
        <w:t>（铜新财预</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0</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3号）</w:t>
      </w:r>
      <w:r>
        <w:rPr>
          <w:rFonts w:hint="eastAsia" w:ascii="仿宋" w:hAnsi="仿宋" w:eastAsia="仿宋" w:cs="仿宋"/>
          <w:color w:val="auto"/>
          <w:kern w:val="0"/>
          <w:sz w:val="32"/>
          <w:szCs w:val="32"/>
          <w:highlight w:val="none"/>
          <w:shd w:val="clear" w:color="auto" w:fill="FFFFFF"/>
          <w:lang w:val="en-US" w:eastAsia="zh-Hans"/>
        </w:rPr>
        <w:t>文件附件中的新区</w:t>
      </w:r>
      <w:r>
        <w:rPr>
          <w:rFonts w:hint="eastAsia" w:ascii="仿宋" w:hAnsi="仿宋" w:eastAsia="仿宋" w:cs="仿宋"/>
          <w:color w:val="auto"/>
          <w:kern w:val="0"/>
          <w:sz w:val="32"/>
          <w:szCs w:val="32"/>
          <w:highlight w:val="none"/>
          <w:shd w:val="clear" w:color="auto" w:fill="FFFFFF"/>
          <w:lang w:val="en-US" w:eastAsia="zh-CN"/>
        </w:rPr>
        <w:t>统计局</w:t>
      </w:r>
      <w:r>
        <w:rPr>
          <w:rFonts w:hint="eastAsia" w:ascii="仿宋" w:hAnsi="仿宋" w:eastAsia="仿宋" w:cs="仿宋"/>
          <w:color w:val="auto"/>
          <w:kern w:val="0"/>
          <w:sz w:val="32"/>
          <w:szCs w:val="32"/>
          <w:highlight w:val="none"/>
          <w:shd w:val="clear" w:color="auto" w:fill="FFFFFF"/>
          <w:lang w:val="en-US" w:eastAsia="zh-Hans"/>
        </w:rPr>
        <w:t>2020年部门整体支出绩效目标表内容</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绩效目标根据年度部门工作内容和工作计划细化为具体的产出指标，并根据对应指标量化为可衡量的指标值。产出指标设置合理，指向明确、清晰。</w:t>
      </w:r>
      <w:r>
        <w:rPr>
          <w:rFonts w:hint="eastAsia" w:ascii="仿宋" w:hAnsi="仿宋" w:eastAsia="仿宋" w:cs="仿宋"/>
          <w:color w:val="auto"/>
          <w:kern w:val="0"/>
          <w:sz w:val="32"/>
          <w:szCs w:val="32"/>
          <w:highlight w:val="none"/>
          <w:shd w:val="clear" w:color="auto" w:fill="FFFFFF"/>
          <w:lang w:val="en-US" w:eastAsia="zh-CN"/>
        </w:rPr>
        <w:t>但绩效目标未覆盖年度全部工作任务和工作计划内容，缺乏全国第七次人口普查和脱贫攻坚普查工作绩效目标和绩效指标内容，绩效指标的明确性不足，年度财政拨款资金与部门绩效目标匹配度欠缺。结合绩效评价指标体系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2.预算配置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）在职人员控制率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2020年度新区统计局部门决算公开文件内容，新区统计局部门人员编制5人，其中行政编制5人、事业编制0人。实有人员7人，其中在职行政人员5人，在职事业人员2人。在职人员控制率为140%。结合部门整体支出绩效评价指标体系和评分标准，该项指标得分为0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（2）“三公经费”变动率--2分。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根据铜川市新区统计局2020年度和2019部门综合预算公开内容，2019年部门“三公经费”预算金额为0.33万元。2020年部门“三公经费”预算为0.1万元，较2019年减少0.23万元。</w:t>
      </w:r>
      <w:r>
        <w:rPr>
          <w:rFonts w:hint="eastAsia" w:ascii="仿宋" w:hAnsi="仿宋" w:eastAsia="仿宋" w:cs="仿宋"/>
          <w:color w:val="auto"/>
          <w:kern w:val="0"/>
          <w:sz w:val="32"/>
          <w:szCs w:val="32"/>
          <w:highlight w:val="none"/>
          <w:shd w:val="clear" w:color="auto" w:fill="FFFFFF"/>
          <w:lang w:val="en-US" w:eastAsia="zh-CN"/>
        </w:rPr>
        <w:t>实现有效减少，结合部门绩效评价指标体系和评分标准，经综合评价，该项指标得分为2分</w:t>
      </w:r>
      <w:r>
        <w:rPr>
          <w:rFonts w:hint="eastAsia" w:ascii="仿宋" w:hAnsi="仿宋" w:eastAsia="仿宋" w:cs="仿宋"/>
          <w:color w:val="auto"/>
          <w:kern w:val="0"/>
          <w:sz w:val="32"/>
          <w:szCs w:val="32"/>
          <w:highlight w:val="none"/>
          <w:shd w:val="clear" w:color="auto" w:fill="FFFFFF"/>
          <w:lang w:val="en-US" w:eastAsia="zh-Hans"/>
        </w:rPr>
        <w:t>。</w:t>
      </w:r>
      <w:bookmarkStart w:id="16" w:name="_Toc373329643_WPSOffice_Level2"/>
      <w:bookmarkStart w:id="17" w:name="_Toc1682881084_WPSOffice_Level2"/>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（3）重点支出安排率--2分。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根据铜川市新区统计局2020年度部门</w:t>
      </w:r>
      <w:r>
        <w:rPr>
          <w:rFonts w:hint="eastAsia" w:ascii="仿宋" w:hAnsi="仿宋" w:eastAsia="仿宋" w:cs="仿宋"/>
          <w:color w:val="auto"/>
          <w:kern w:val="0"/>
          <w:sz w:val="32"/>
          <w:szCs w:val="32"/>
          <w:highlight w:val="none"/>
          <w:shd w:val="clear" w:color="auto" w:fill="FFFFFF"/>
          <w:lang w:val="en-US" w:eastAsia="zh-CN" w:bidi="ar-SA"/>
        </w:rPr>
        <w:t>预算和</w:t>
      </w:r>
      <w:r>
        <w:rPr>
          <w:rFonts w:hint="default" w:ascii="仿宋" w:hAnsi="仿宋" w:eastAsia="仿宋" w:cs="仿宋"/>
          <w:color w:val="auto"/>
          <w:kern w:val="0"/>
          <w:sz w:val="32"/>
          <w:szCs w:val="32"/>
          <w:highlight w:val="none"/>
          <w:shd w:val="clear" w:color="auto" w:fill="FFFFFF"/>
          <w:lang w:val="en-US" w:eastAsia="zh-CN" w:bidi="ar-SA"/>
        </w:rPr>
        <w:t>决算</w:t>
      </w:r>
      <w:r>
        <w:rPr>
          <w:rFonts w:hint="eastAsia" w:ascii="仿宋" w:hAnsi="仿宋" w:eastAsia="仿宋" w:cs="仿宋"/>
          <w:color w:val="auto"/>
          <w:kern w:val="0"/>
          <w:sz w:val="32"/>
          <w:szCs w:val="32"/>
          <w:highlight w:val="none"/>
          <w:shd w:val="clear" w:color="auto" w:fill="FFFFFF"/>
          <w:lang w:val="en-US" w:eastAsia="zh-CN" w:bidi="ar-SA"/>
        </w:rPr>
        <w:t>公开</w:t>
      </w:r>
      <w:r>
        <w:rPr>
          <w:rFonts w:hint="default" w:ascii="仿宋" w:hAnsi="仿宋" w:eastAsia="仿宋" w:cs="仿宋"/>
          <w:color w:val="auto"/>
          <w:kern w:val="0"/>
          <w:sz w:val="32"/>
          <w:szCs w:val="32"/>
          <w:highlight w:val="none"/>
          <w:shd w:val="clear" w:color="auto" w:fill="FFFFFF"/>
          <w:lang w:val="en-US" w:eastAsia="zh-CN" w:bidi="ar-SA"/>
        </w:rPr>
        <w:t>文件内容，年度项目总支出预算为213.04万元，重点项目支出主要包含第七次全国人口普查重点工作、2020年城乡收入调查工作、2020年劳动工资调查工作和脱贫攻坚普查等四项工作，合计安排支出193.25万元。重点支出安排率为90.71%</w:t>
      </w:r>
      <w:r>
        <w:rPr>
          <w:rFonts w:hint="eastAsia" w:ascii="仿宋" w:hAnsi="仿宋" w:eastAsia="仿宋" w:cs="仿宋"/>
          <w:color w:val="auto"/>
          <w:kern w:val="0"/>
          <w:sz w:val="32"/>
          <w:szCs w:val="32"/>
          <w:highlight w:val="none"/>
          <w:shd w:val="clear" w:color="auto" w:fill="FFFFFF"/>
          <w:lang w:val="en-US" w:eastAsia="zh-CN" w:bidi="ar-SA"/>
        </w:rPr>
        <w:t>，结合新区统计局部门整体支出绩效评价指标体系和评分标准，经综合评价，该项指标得分为1.81分。</w:t>
      </w:r>
    </w:p>
    <w:bookmarkEnd w:id="16"/>
    <w:bookmarkEnd w:id="17"/>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 w:hAnsi="仿宋" w:eastAsia="仿宋" w:cs="仿宋"/>
          <w:color w:val="auto"/>
          <w:kern w:val="0"/>
          <w:sz w:val="32"/>
          <w:szCs w:val="32"/>
          <w:highlight w:val="none"/>
          <w:shd w:val="clear" w:color="auto" w:fill="FFFFFF"/>
          <w:lang w:val="en-US" w:eastAsia="zh-CN"/>
        </w:rPr>
      </w:pPr>
      <w:bookmarkStart w:id="18" w:name="_Toc22772"/>
      <w:r>
        <w:rPr>
          <w:rFonts w:hint="eastAsia" w:ascii="楷体" w:hAnsi="楷体" w:eastAsia="楷体" w:cs="楷体"/>
          <w:b/>
          <w:bCs/>
          <w:color w:val="auto"/>
          <w:kern w:val="0"/>
          <w:sz w:val="32"/>
          <w:szCs w:val="32"/>
          <w:highlight w:val="none"/>
          <w:shd w:val="clear" w:color="auto" w:fill="FFFFFF"/>
          <w:lang w:val="en-US" w:eastAsia="zh-CN"/>
        </w:rPr>
        <w:t>（二）过程管理</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预算执行、预算管理和资产管理三方面内容</w:t>
      </w:r>
      <w:r>
        <w:rPr>
          <w:rFonts w:hint="eastAsia" w:ascii="仿宋" w:hAnsi="仿宋" w:eastAsia="仿宋" w:cs="仿宋"/>
          <w:color w:val="auto"/>
          <w:kern w:val="0"/>
          <w:sz w:val="32"/>
          <w:szCs w:val="32"/>
          <w:highlight w:val="none"/>
          <w:shd w:val="clear" w:color="auto" w:fill="FFFFFF"/>
          <w:lang w:val="en-US" w:eastAsia="zh-CN"/>
        </w:rPr>
        <w:t>，包括预算完成率、预算调整率、结转结余率、结转结余变动率、公用经费控制率、“三公经费”控制率、政府采购执行率、管理制度健全性、资金使用合规性、预算执行监控、预决算信息公开性、管理制度健全性、资产管理安全性、固定资产利用率等14个三级指标，指标权重22分，评价得分15.5分，得分率为70.45%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1.预算执行</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（1）预算完成率</w:t>
      </w:r>
      <w:r>
        <w:rPr>
          <w:rFonts w:hint="eastAsia" w:ascii="仿宋" w:hAnsi="仿宋" w:eastAsia="仿宋" w:cs="仿宋"/>
          <w:color w:val="auto"/>
          <w:kern w:val="0"/>
          <w:sz w:val="32"/>
          <w:szCs w:val="32"/>
          <w:highlight w:val="none"/>
          <w:shd w:val="clear" w:color="auto" w:fill="FFFFFF"/>
          <w:lang w:val="en-US" w:eastAsia="zh-CN"/>
        </w:rPr>
        <w:t>--1分。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根据铜川新区统计局2020年度部门综合预算、铜川市新区财政局《关于下达2020年部门预算的通知》（铜新财预</w:t>
      </w:r>
      <w:r>
        <w:rPr>
          <w:rFonts w:hint="eastAsia" w:ascii="仿宋" w:hAnsi="仿宋" w:eastAsia="仿宋" w:cs="仿宋"/>
          <w:color w:val="auto"/>
          <w:kern w:val="0"/>
          <w:sz w:val="32"/>
          <w:szCs w:val="32"/>
          <w:highlight w:val="none"/>
          <w:shd w:val="clear" w:color="auto" w:fill="FFFFFF"/>
          <w:lang w:val="en-US" w:eastAsia="zh-Hans"/>
        </w:rPr>
        <w:t>〔20</w:t>
      </w:r>
      <w:r>
        <w:rPr>
          <w:rFonts w:hint="eastAsia" w:ascii="仿宋" w:hAnsi="仿宋" w:eastAsia="仿宋" w:cs="仿宋"/>
          <w:color w:val="auto"/>
          <w:kern w:val="0"/>
          <w:sz w:val="32"/>
          <w:szCs w:val="32"/>
          <w:highlight w:val="none"/>
          <w:shd w:val="clear" w:color="auto" w:fill="FFFFFF"/>
          <w:lang w:val="en-US" w:eastAsia="zh-CN"/>
        </w:rPr>
        <w:t>20</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3号）及2020年度新区统计局部门决算公开文件内容，结合铜川市新区统计局《关于报送2020年重点项目绩效自评的报告》（铜新统发</w:t>
      </w:r>
      <w:r>
        <w:rPr>
          <w:rFonts w:hint="eastAsia" w:ascii="仿宋" w:hAnsi="仿宋" w:eastAsia="仿宋" w:cs="仿宋"/>
          <w:color w:val="auto"/>
          <w:kern w:val="0"/>
          <w:sz w:val="32"/>
          <w:szCs w:val="32"/>
          <w:highlight w:val="none"/>
          <w:shd w:val="clear" w:color="auto" w:fill="FFFFFF"/>
          <w:lang w:val="en-US" w:eastAsia="zh-Hans"/>
        </w:rPr>
        <w:t>〔20</w:t>
      </w:r>
      <w:r>
        <w:rPr>
          <w:rFonts w:hint="eastAsia" w:ascii="仿宋" w:hAnsi="仿宋" w:eastAsia="仿宋" w:cs="仿宋"/>
          <w:color w:val="auto"/>
          <w:kern w:val="0"/>
          <w:sz w:val="32"/>
          <w:szCs w:val="32"/>
          <w:highlight w:val="none"/>
          <w:shd w:val="clear" w:color="auto" w:fill="FFFFFF"/>
          <w:lang w:val="en-US" w:eastAsia="zh-CN"/>
        </w:rPr>
        <w:t>21</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8号）文件相关内容，年度调整预算数为290.87万元，结合统计局实际情况和相关资料内容，年度实际完成财政支出146.16万元。预算完成率为50.25%，结合部门整体支出绩效评价指标体系和评分标准，经综合评价，该项指标得分为0.50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2</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预算调整率--1分。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统计局2020年度部门预算和决算文件内容，年初部门预算资金安排76.92万元，年度调整预算数为290.87万元，2020年预算调整金额为213.95万元。预算调整率为73.55%。结合新区统计局部门整体支出绩效评价指标体系和评分标准，经综合评价，该项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3</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结转结余率--1分。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根据铜川新区统计局2020年度部门决算文件内容，当年度预算结余资金为192.24万元，年度支出调整预算数为290.87万元。结转结余率为66.09%</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4</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结转结余变动率--1分。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根据铜川新区统计局2019年和2020年度部门决算文件内容，2019年部门结转结余资金为51.32万元，2020年度部门当年度预算结余资金为192.24万元。结转结余变动率为274.61%。</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5</w:t>
      </w:r>
      <w:r>
        <w:rPr>
          <w:rFonts w:hint="eastAsia" w:ascii="仿宋" w:hAnsi="仿宋" w:eastAsia="仿宋" w:cs="仿宋"/>
          <w:color w:val="auto"/>
          <w:kern w:val="0"/>
          <w:sz w:val="32"/>
          <w:szCs w:val="32"/>
          <w:highlight w:val="none"/>
          <w:shd w:val="clear" w:color="auto" w:fill="FFFFFF"/>
          <w:lang w:val="en-US" w:eastAsia="zh-CN"/>
        </w:rPr>
        <w:t>）公用经费控制率--1分。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根据铜川市新区财政局《关于下达2020年部门预算的通知》（铜新财预</w:t>
      </w:r>
      <w:r>
        <w:rPr>
          <w:rFonts w:hint="eastAsia" w:ascii="仿宋" w:hAnsi="仿宋" w:eastAsia="仿宋" w:cs="仿宋"/>
          <w:color w:val="auto"/>
          <w:kern w:val="0"/>
          <w:sz w:val="32"/>
          <w:szCs w:val="32"/>
          <w:highlight w:val="none"/>
          <w:shd w:val="clear" w:color="auto" w:fill="FFFFFF"/>
          <w:lang w:val="en-US" w:eastAsia="zh-Hans"/>
        </w:rPr>
        <w:t>〔20</w:t>
      </w:r>
      <w:r>
        <w:rPr>
          <w:rFonts w:hint="eastAsia" w:ascii="仿宋" w:hAnsi="仿宋" w:eastAsia="仿宋" w:cs="仿宋"/>
          <w:color w:val="auto"/>
          <w:kern w:val="0"/>
          <w:sz w:val="32"/>
          <w:szCs w:val="32"/>
          <w:highlight w:val="none"/>
          <w:shd w:val="clear" w:color="auto" w:fill="FFFFFF"/>
          <w:lang w:val="en-US" w:eastAsia="zh-CN"/>
        </w:rPr>
        <w:t>20</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3号）和2020年度新区统计局部门决算公开文件内容，部门年度公用经费支出为8.22万元。年初预算资金为6.3万元。公用经费控制率为130.48%，公用经费年度支出未有效控制。结合部门整体支出绩效评价指标体系和评分标准，经综合评价，该项指标得分为0分。</w:t>
      </w:r>
    </w:p>
    <w:p>
      <w:pPr>
        <w:pStyle w:val="2"/>
        <w:numPr>
          <w:ilvl w:val="0"/>
          <w:numId w:val="0"/>
        </w:numPr>
        <w:ind w:firstLine="640" w:firstLineChars="200"/>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（6）“三公经费”控制率--1分。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Hans" w:bidi="ar-SA"/>
        </w:rPr>
        <w:t>根据铜川市新区统计局2020年度部门综合预算公开内容和2020年度部门决算文件内容，2020年部门“三公经费”预算为0.1万元，年度实际支出为0元。</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结合部门整体支出绩效评价指标体系和评分标准，经综合评价，该项指标得分为1分。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（7）政府采购执行率--1分。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根据铜川市新区统计局2020年度部门综合预算和决算文件内容，部门年度内未做相关政府采购活动</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。结合部门整体支出绩效评价指标体系和评分标准，经综合评价，该项指标得分为1分。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铜川市新区统计局预算管理制度文件，对预算编制的原则、预算编制的方法和程序、预算编制的具体步骤、部门预算的执行和监督等方面进行了明确规定。预算管理制度相关内容合法、合规、完整。结合部门整体支出绩效评价指标体系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资金使用合规性</w:t>
      </w:r>
      <w:r>
        <w:rPr>
          <w:rFonts w:hint="eastAsia" w:ascii="仿宋" w:hAnsi="仿宋" w:eastAsia="仿宋" w:cs="仿宋"/>
          <w:color w:val="auto"/>
          <w:kern w:val="0"/>
          <w:sz w:val="32"/>
          <w:szCs w:val="32"/>
          <w:highlight w:val="none"/>
          <w:shd w:val="clear" w:color="auto" w:fill="FFFFFF"/>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新区统计局部门整体</w:t>
      </w:r>
      <w:r>
        <w:rPr>
          <w:rFonts w:hint="eastAsia" w:ascii="仿宋" w:hAnsi="仿宋" w:eastAsia="仿宋" w:cs="仿宋"/>
          <w:color w:val="auto"/>
          <w:kern w:val="0"/>
          <w:sz w:val="32"/>
          <w:szCs w:val="32"/>
          <w:highlight w:val="none"/>
          <w:shd w:val="clear" w:color="auto" w:fill="FFFFFF"/>
          <w:lang w:val="en-US" w:eastAsia="zh-Hans"/>
        </w:rPr>
        <w:t>支出符合国家相关法规及部门内财务管理制度、会计核算制度以及项目资金管理办法规定，均按照单位财务管理制度、审批程序执行，实际支出与预算用途一致，未超范围超标准开支，决算与预算调整、账面一致，未发现截留、挪用、挤占、虚列支出等情况；资金核算符合部门预算批复的用途，资金的拨付有完整的审批程序和手续，符合财务管理制度关于资金</w:t>
      </w:r>
      <w:r>
        <w:rPr>
          <w:rFonts w:hint="eastAsia" w:ascii="仿宋" w:hAnsi="仿宋" w:eastAsia="仿宋" w:cs="仿宋"/>
          <w:color w:val="auto"/>
          <w:kern w:val="0"/>
          <w:sz w:val="32"/>
          <w:szCs w:val="32"/>
          <w:highlight w:val="none"/>
          <w:shd w:val="clear" w:color="auto" w:fill="FFFFFF"/>
          <w:lang w:val="en-US" w:eastAsia="zh-CN"/>
        </w:rPr>
        <w:t>使用和</w:t>
      </w:r>
      <w:r>
        <w:rPr>
          <w:rFonts w:hint="eastAsia" w:ascii="仿宋" w:hAnsi="仿宋" w:eastAsia="仿宋" w:cs="仿宋"/>
          <w:color w:val="auto"/>
          <w:kern w:val="0"/>
          <w:sz w:val="32"/>
          <w:szCs w:val="32"/>
          <w:highlight w:val="none"/>
          <w:shd w:val="clear" w:color="auto" w:fill="FFFFFF"/>
          <w:lang w:val="en-US" w:eastAsia="zh-Hans"/>
        </w:rPr>
        <w:t>管理的要求。</w:t>
      </w:r>
      <w:r>
        <w:rPr>
          <w:rFonts w:hint="eastAsia" w:ascii="仿宋" w:hAnsi="仿宋" w:eastAsia="仿宋" w:cs="仿宋"/>
          <w:color w:val="auto"/>
          <w:kern w:val="0"/>
          <w:sz w:val="32"/>
          <w:szCs w:val="32"/>
          <w:highlight w:val="none"/>
          <w:shd w:val="clear" w:color="auto" w:fill="FFFFFF"/>
          <w:lang w:val="en-US" w:eastAsia="zh-CN"/>
        </w:rPr>
        <w:t>根据部门整体支出绩效评价指标体系和评分标准，经综合评价，该项指标得分为2.5分。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（3）预算执行监控--2分。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根据新区统计局相关资料和现场座谈内容，</w:t>
      </w:r>
      <w:r>
        <w:rPr>
          <w:rFonts w:hint="default" w:ascii="仿宋" w:hAnsi="仿宋" w:eastAsia="仿宋" w:cs="仿宋"/>
          <w:color w:val="auto"/>
          <w:kern w:val="0"/>
          <w:sz w:val="32"/>
          <w:szCs w:val="32"/>
          <w:highlight w:val="none"/>
          <w:shd w:val="clear" w:color="auto" w:fill="FFFFFF"/>
          <w:lang w:val="en-US" w:eastAsia="zh-CN" w:bidi="ar-SA"/>
        </w:rPr>
        <w:t>部门未建立有效的预算执行监控机制，未对预算执行过程和绩效目标实现程度进行定期监控，对于预算执行偏差较大的项目未采取有效的纠偏措施</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w:t>
      </w:r>
      <w:r>
        <w:rPr>
          <w:rFonts w:hint="eastAsia" w:ascii="仿宋" w:hAnsi="仿宋" w:eastAsia="仿宋" w:cs="仿宋"/>
          <w:color w:val="auto"/>
          <w:kern w:val="0"/>
          <w:sz w:val="32"/>
          <w:szCs w:val="32"/>
          <w:highlight w:val="none"/>
          <w:shd w:val="clear" w:color="auto" w:fill="FFFFFF"/>
          <w:lang w:val="en-US" w:eastAsia="zh-Hans"/>
        </w:rPr>
        <w:t>预决算信息公开性</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lang w:val="en-US" w:eastAsia="zh-Hans"/>
        </w:rPr>
      </w:pPr>
      <w:r>
        <w:rPr>
          <w:rFonts w:hint="eastAsia" w:ascii="仿宋" w:hAnsi="仿宋" w:eastAsia="仿宋" w:cs="仿宋"/>
          <w:color w:val="auto"/>
          <w:kern w:val="0"/>
          <w:sz w:val="32"/>
          <w:szCs w:val="32"/>
          <w:highlight w:val="none"/>
          <w:shd w:val="clear" w:color="auto" w:fill="FFFFFF"/>
          <w:lang w:val="en-US" w:eastAsia="zh-CN"/>
        </w:rPr>
        <w:t>根据铜川市新区管委会网站政务公开资料，新区统计局2020年度部门预算文件已于2020年3月20日完成公开，2021年11月12日部门决算文件予以公开。结合部门整体支出绩效评价指标体系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3.资产管理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根据铜川市新区统计局资产管理制度文件内容，新区统计局已建立严格的国有资产管理责任制，对现有固定资产建立明细账，进行定期的财产物资清查盘点，确保财产物资的安全完整，做到账实相符。固定资产的出借、出租、出售、转让、置换等，需经会议审核后报财政局审批。建立了完善的资产管理制度</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根据铜川新区</w:t>
      </w:r>
      <w:r>
        <w:rPr>
          <w:rFonts w:hint="eastAsia" w:ascii="仿宋" w:hAnsi="仿宋" w:eastAsia="仿宋" w:cs="仿宋"/>
          <w:color w:val="auto"/>
          <w:kern w:val="0"/>
          <w:sz w:val="32"/>
          <w:szCs w:val="32"/>
          <w:highlight w:val="none"/>
          <w:shd w:val="clear" w:color="auto" w:fill="FFFFFF"/>
          <w:lang w:val="en-US" w:eastAsia="zh-CN"/>
        </w:rPr>
        <w:t>统计局</w:t>
      </w:r>
      <w:r>
        <w:rPr>
          <w:rFonts w:hint="eastAsia" w:ascii="仿宋" w:hAnsi="仿宋" w:eastAsia="仿宋" w:cs="仿宋"/>
          <w:color w:val="auto"/>
          <w:kern w:val="0"/>
          <w:sz w:val="32"/>
          <w:szCs w:val="32"/>
          <w:highlight w:val="none"/>
          <w:shd w:val="clear" w:color="auto" w:fill="FFFFFF"/>
          <w:lang w:val="en-US" w:eastAsia="zh-Hans"/>
        </w:rPr>
        <w:t>部门固定资产明细表内容等文件，各项资产</w:t>
      </w:r>
      <w:r>
        <w:rPr>
          <w:rFonts w:hint="eastAsia" w:ascii="仿宋" w:hAnsi="仿宋" w:eastAsia="仿宋" w:cs="仿宋"/>
          <w:color w:val="auto"/>
          <w:kern w:val="0"/>
          <w:sz w:val="32"/>
          <w:szCs w:val="32"/>
          <w:highlight w:val="none"/>
          <w:shd w:val="clear" w:color="auto" w:fill="FFFFFF"/>
          <w:lang w:val="en-US" w:eastAsia="zh-CN"/>
        </w:rPr>
        <w:t>全部入账</w:t>
      </w:r>
      <w:r>
        <w:rPr>
          <w:rFonts w:hint="eastAsia" w:ascii="仿宋" w:hAnsi="仿宋" w:eastAsia="仿宋" w:cs="仿宋"/>
          <w:color w:val="auto"/>
          <w:kern w:val="0"/>
          <w:sz w:val="32"/>
          <w:szCs w:val="32"/>
          <w:highlight w:val="none"/>
          <w:shd w:val="clear" w:color="auto" w:fill="FFFFFF"/>
          <w:lang w:val="en-US" w:eastAsia="zh-Hans"/>
        </w:rPr>
        <w:t>，并根据资产国标大类进行分类，形成了对应的资产编号便于核对和管理。资产保存完整。多为电脑、台桌、文件柜等办公设备，资产配置合理</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固定资产利用率</w:t>
      </w:r>
      <w:r>
        <w:rPr>
          <w:rFonts w:hint="eastAsia" w:ascii="仿宋" w:hAnsi="仿宋" w:eastAsia="仿宋" w:cs="仿宋"/>
          <w:color w:val="auto"/>
          <w:kern w:val="0"/>
          <w:sz w:val="32"/>
          <w:szCs w:val="32"/>
          <w:highlight w:val="none"/>
          <w:shd w:val="clear" w:color="auto" w:fill="FFFFFF"/>
          <w:lang w:val="en-US" w:eastAsia="zh-CN"/>
        </w:rPr>
        <w:t>--1分。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固定资产管理系统中资产明细表内容，所有固定资产目前使用状况均为在用，固定资产的使用率为100%</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，结合部门整体支出绩效评价指标体系和评分标准，经综合评价，该项指标得分为1分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9" w:name="_Toc21840"/>
      <w:r>
        <w:rPr>
          <w:rFonts w:hint="eastAsia" w:ascii="楷体" w:hAnsi="楷体" w:eastAsia="楷体" w:cs="楷体"/>
          <w:b/>
          <w:bCs/>
          <w:color w:val="auto"/>
          <w:kern w:val="0"/>
          <w:sz w:val="32"/>
          <w:szCs w:val="32"/>
          <w:highlight w:val="none"/>
          <w:shd w:val="clear" w:color="auto" w:fill="FFFFFF"/>
          <w:lang w:val="en-US" w:eastAsia="zh-CN"/>
        </w:rPr>
        <w:t>（三）产出方面</w:t>
      </w:r>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该指标主要考核新区统计局2020年度职责履行的内容，包括重点工作办结率、重点工作完成及时率、重点工作质量达标率、成本节约率等4个三级指标，指标权重20分，评价得分14分，得分率为70.00%。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1.重点工作办结</w:t>
      </w:r>
      <w:r>
        <w:rPr>
          <w:rFonts w:hint="eastAsia" w:ascii="仿宋" w:hAnsi="仿宋" w:eastAsia="仿宋" w:cs="仿宋"/>
          <w:color w:val="auto"/>
          <w:kern w:val="0"/>
          <w:sz w:val="32"/>
          <w:szCs w:val="32"/>
          <w:highlight w:val="none"/>
          <w:shd w:val="clear" w:color="auto" w:fill="FFFFFF"/>
          <w:lang w:val="en-US" w:eastAsia="zh-Hans"/>
        </w:rPr>
        <w:t>率</w:t>
      </w:r>
      <w:r>
        <w:rPr>
          <w:rFonts w:hint="eastAsia" w:ascii="仿宋" w:hAnsi="仿宋" w:eastAsia="仿宋" w:cs="仿宋"/>
          <w:color w:val="auto"/>
          <w:kern w:val="0"/>
          <w:sz w:val="32"/>
          <w:szCs w:val="32"/>
          <w:highlight w:val="none"/>
          <w:shd w:val="clear" w:color="auto" w:fill="FFFFFF"/>
          <w:lang w:val="en-US" w:eastAsia="zh-CN"/>
        </w:rPr>
        <w:t>--5分。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根据铜川新区</w:t>
      </w:r>
      <w:r>
        <w:rPr>
          <w:rFonts w:hint="eastAsia" w:ascii="仿宋" w:hAnsi="仿宋" w:eastAsia="仿宋" w:cs="仿宋"/>
          <w:color w:val="auto"/>
          <w:kern w:val="0"/>
          <w:sz w:val="32"/>
          <w:szCs w:val="32"/>
          <w:highlight w:val="none"/>
          <w:shd w:val="clear" w:color="auto" w:fill="FFFFFF"/>
          <w:lang w:val="en-US" w:eastAsia="zh-CN"/>
        </w:rPr>
        <w:t>统计局</w:t>
      </w:r>
      <w:r>
        <w:rPr>
          <w:rFonts w:hint="eastAsia" w:ascii="仿宋" w:hAnsi="仿宋" w:eastAsia="仿宋" w:cs="仿宋"/>
          <w:color w:val="auto"/>
          <w:kern w:val="0"/>
          <w:sz w:val="32"/>
          <w:szCs w:val="32"/>
          <w:highlight w:val="none"/>
          <w:shd w:val="clear" w:color="auto" w:fill="FFFFFF"/>
          <w:lang w:val="en-US" w:eastAsia="zh-Hans"/>
        </w:rPr>
        <w:t>2020年度部门综合预算、铜川市新区财政局《关于下达2020年部门预算的通知》（铜新财预〔20</w:t>
      </w:r>
      <w:r>
        <w:rPr>
          <w:rFonts w:hint="eastAsia" w:ascii="仿宋" w:hAnsi="仿宋" w:eastAsia="仿宋" w:cs="仿宋"/>
          <w:color w:val="auto"/>
          <w:kern w:val="0"/>
          <w:sz w:val="32"/>
          <w:szCs w:val="32"/>
          <w:highlight w:val="none"/>
          <w:shd w:val="clear" w:color="auto" w:fill="FFFFFF"/>
          <w:lang w:val="en-US" w:eastAsia="zh-CN"/>
        </w:rPr>
        <w:t>20</w:t>
      </w:r>
      <w:r>
        <w:rPr>
          <w:rFonts w:hint="eastAsia" w:ascii="仿宋" w:hAnsi="仿宋" w:eastAsia="仿宋" w:cs="仿宋"/>
          <w:color w:val="auto"/>
          <w:kern w:val="0"/>
          <w:sz w:val="32"/>
          <w:szCs w:val="32"/>
          <w:highlight w:val="none"/>
          <w:shd w:val="clear" w:color="auto" w:fill="FFFFFF"/>
          <w:lang w:val="en-US" w:eastAsia="zh-Hans"/>
        </w:rPr>
        <w:t>〕3号）及2020年度部门决算文件内容，结合铜川市新区</w:t>
      </w:r>
      <w:r>
        <w:rPr>
          <w:rFonts w:hint="eastAsia" w:ascii="仿宋" w:hAnsi="仿宋" w:eastAsia="仿宋" w:cs="仿宋"/>
          <w:color w:val="auto"/>
          <w:kern w:val="0"/>
          <w:sz w:val="32"/>
          <w:szCs w:val="32"/>
          <w:highlight w:val="none"/>
          <w:shd w:val="clear" w:color="auto" w:fill="FFFFFF"/>
          <w:lang w:val="en-US" w:eastAsia="zh-CN"/>
        </w:rPr>
        <w:t>统计局</w:t>
      </w:r>
      <w:r>
        <w:rPr>
          <w:rFonts w:hint="eastAsia" w:ascii="仿宋" w:hAnsi="仿宋" w:eastAsia="仿宋" w:cs="仿宋"/>
          <w:color w:val="auto"/>
          <w:kern w:val="0"/>
          <w:sz w:val="32"/>
          <w:szCs w:val="32"/>
          <w:highlight w:val="none"/>
          <w:shd w:val="clear" w:color="auto" w:fill="FFFFFF"/>
          <w:lang w:val="en-US" w:eastAsia="zh-Hans"/>
        </w:rPr>
        <w:t>《关于</w:t>
      </w:r>
      <w:r>
        <w:rPr>
          <w:rFonts w:hint="eastAsia" w:ascii="仿宋" w:hAnsi="仿宋" w:eastAsia="仿宋" w:cs="仿宋"/>
          <w:color w:val="auto"/>
          <w:kern w:val="0"/>
          <w:sz w:val="32"/>
          <w:szCs w:val="32"/>
          <w:highlight w:val="none"/>
          <w:shd w:val="clear" w:color="auto" w:fill="FFFFFF"/>
          <w:lang w:val="en-US" w:eastAsia="zh-CN"/>
        </w:rPr>
        <w:t>报送</w:t>
      </w:r>
      <w:r>
        <w:rPr>
          <w:rFonts w:hint="eastAsia" w:ascii="仿宋" w:hAnsi="仿宋" w:eastAsia="仿宋" w:cs="仿宋"/>
          <w:color w:val="auto"/>
          <w:kern w:val="0"/>
          <w:sz w:val="32"/>
          <w:szCs w:val="32"/>
          <w:highlight w:val="none"/>
          <w:shd w:val="clear" w:color="auto" w:fill="FFFFFF"/>
          <w:lang w:val="en-US" w:eastAsia="zh-Hans"/>
        </w:rPr>
        <w:t>2020年</w:t>
      </w:r>
      <w:r>
        <w:rPr>
          <w:rFonts w:hint="eastAsia" w:ascii="仿宋" w:hAnsi="仿宋" w:eastAsia="仿宋" w:cs="仿宋"/>
          <w:color w:val="auto"/>
          <w:kern w:val="0"/>
          <w:sz w:val="32"/>
          <w:szCs w:val="32"/>
          <w:highlight w:val="none"/>
          <w:shd w:val="clear" w:color="auto" w:fill="FFFFFF"/>
          <w:lang w:val="en-US" w:eastAsia="zh-CN"/>
        </w:rPr>
        <w:t>重点项目</w:t>
      </w:r>
      <w:r>
        <w:rPr>
          <w:rFonts w:hint="eastAsia" w:ascii="仿宋" w:hAnsi="仿宋" w:eastAsia="仿宋" w:cs="仿宋"/>
          <w:color w:val="auto"/>
          <w:kern w:val="0"/>
          <w:sz w:val="32"/>
          <w:szCs w:val="32"/>
          <w:highlight w:val="none"/>
          <w:shd w:val="clear" w:color="auto" w:fill="FFFFFF"/>
          <w:lang w:val="en-US" w:eastAsia="zh-Hans"/>
        </w:rPr>
        <w:t>绩效自评的报告》（铜新</w:t>
      </w:r>
      <w:r>
        <w:rPr>
          <w:rFonts w:hint="eastAsia" w:ascii="仿宋" w:hAnsi="仿宋" w:eastAsia="仿宋" w:cs="仿宋"/>
          <w:color w:val="auto"/>
          <w:kern w:val="0"/>
          <w:sz w:val="32"/>
          <w:szCs w:val="32"/>
          <w:highlight w:val="none"/>
          <w:shd w:val="clear" w:color="auto" w:fill="FFFFFF"/>
          <w:lang w:val="en-US" w:eastAsia="zh-CN"/>
        </w:rPr>
        <w:t>统</w:t>
      </w:r>
      <w:r>
        <w:rPr>
          <w:rFonts w:hint="eastAsia" w:ascii="仿宋" w:hAnsi="仿宋" w:eastAsia="仿宋" w:cs="仿宋"/>
          <w:color w:val="auto"/>
          <w:kern w:val="0"/>
          <w:sz w:val="32"/>
          <w:szCs w:val="32"/>
          <w:highlight w:val="none"/>
          <w:shd w:val="clear" w:color="auto" w:fill="FFFFFF"/>
          <w:lang w:val="en-US" w:eastAsia="zh-Hans"/>
        </w:rPr>
        <w:t>发〔20</w:t>
      </w:r>
      <w:r>
        <w:rPr>
          <w:rFonts w:hint="eastAsia" w:ascii="仿宋" w:hAnsi="仿宋" w:eastAsia="仿宋" w:cs="仿宋"/>
          <w:color w:val="auto"/>
          <w:kern w:val="0"/>
          <w:sz w:val="32"/>
          <w:szCs w:val="32"/>
          <w:highlight w:val="none"/>
          <w:shd w:val="clear" w:color="auto" w:fill="FFFFFF"/>
          <w:lang w:val="en-US" w:eastAsia="zh-CN"/>
        </w:rPr>
        <w:t>21</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8</w:t>
      </w:r>
      <w:r>
        <w:rPr>
          <w:rFonts w:hint="eastAsia" w:ascii="仿宋" w:hAnsi="仿宋" w:eastAsia="仿宋" w:cs="仿宋"/>
          <w:color w:val="auto"/>
          <w:kern w:val="0"/>
          <w:sz w:val="32"/>
          <w:szCs w:val="32"/>
          <w:highlight w:val="none"/>
          <w:shd w:val="clear" w:color="auto" w:fill="FFFFFF"/>
          <w:lang w:val="en-US" w:eastAsia="zh-Hans"/>
        </w:rPr>
        <w:t>号）文件相关内容，结合部门年度工作计划，年度部门重点工作主要包括：第七次全国人口普查工作、劳动工资调查工作、城乡收入调查工作和脱贫攻坚普查工作等四项工作内容。根据部门自评报告和相关工作资料内容，年内四项重点工作全部完成。</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结合部门整体支出绩效评价指标体系和评分标准，经综合评价，该项指标得分为5分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0" w:name="_Toc1854215658_WPSOffice_Level2"/>
      <w:bookmarkStart w:id="21" w:name="_Toc1802972864_WPSOffice_Level2"/>
      <w:r>
        <w:rPr>
          <w:rFonts w:hint="eastAsia" w:ascii="仿宋" w:hAnsi="仿宋" w:eastAsia="仿宋" w:cs="仿宋"/>
          <w:color w:val="auto"/>
          <w:kern w:val="0"/>
          <w:sz w:val="32"/>
          <w:szCs w:val="32"/>
          <w:highlight w:val="none"/>
          <w:shd w:val="clear" w:color="auto" w:fill="FFFFFF"/>
          <w:lang w:val="en-US" w:eastAsia="zh-CN"/>
        </w:rPr>
        <w:t>2.重点工作</w:t>
      </w:r>
      <w:r>
        <w:rPr>
          <w:rFonts w:hint="eastAsia" w:ascii="仿宋" w:hAnsi="仿宋" w:eastAsia="仿宋" w:cs="仿宋"/>
          <w:color w:val="auto"/>
          <w:kern w:val="0"/>
          <w:sz w:val="32"/>
          <w:szCs w:val="32"/>
          <w:highlight w:val="none"/>
          <w:shd w:val="clear" w:color="auto" w:fill="FFFFFF"/>
          <w:lang w:val="en-US" w:eastAsia="zh-Hans"/>
        </w:rPr>
        <w:t>完成及时率</w:t>
      </w:r>
      <w:bookmarkEnd w:id="20"/>
      <w:bookmarkEnd w:id="21"/>
      <w:r>
        <w:rPr>
          <w:rFonts w:hint="eastAsia" w:ascii="仿宋" w:hAnsi="仿宋" w:eastAsia="仿宋" w:cs="仿宋"/>
          <w:color w:val="auto"/>
          <w:kern w:val="0"/>
          <w:sz w:val="32"/>
          <w:szCs w:val="32"/>
          <w:highlight w:val="none"/>
          <w:shd w:val="clear" w:color="auto" w:fill="FFFFFF"/>
          <w:lang w:val="en-US" w:eastAsia="zh-CN"/>
        </w:rPr>
        <w:t>--5分。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新区统计局部门年度自评报告和重点工作自评报告内容，城乡收入调查共工作在2020年度12月份实现完成；劳动工资调查工作在2020年6月及时完成。全国第七次人口普查和脱贫攻坚普查工作在年内全部实现及时完成。结合部门整体支出绩效评价指标体系和评分标准，经综合评价，该项指标得分为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2" w:name="_Toc1667362389_WPSOffice_Level2"/>
      <w:bookmarkStart w:id="23" w:name="_Toc1570666078_WPSOffice_Level2"/>
      <w:r>
        <w:rPr>
          <w:rFonts w:hint="eastAsia" w:ascii="仿宋" w:hAnsi="仿宋" w:eastAsia="仿宋" w:cs="仿宋"/>
          <w:color w:val="auto"/>
          <w:kern w:val="0"/>
          <w:sz w:val="32"/>
          <w:szCs w:val="32"/>
          <w:highlight w:val="none"/>
          <w:shd w:val="clear" w:color="auto" w:fill="FFFFFF"/>
          <w:lang w:val="en-US" w:eastAsia="zh-CN"/>
        </w:rPr>
        <w:t>3.重点工作</w:t>
      </w:r>
      <w:r>
        <w:rPr>
          <w:rFonts w:hint="eastAsia" w:ascii="仿宋" w:hAnsi="仿宋" w:eastAsia="仿宋" w:cs="仿宋"/>
          <w:color w:val="auto"/>
          <w:kern w:val="0"/>
          <w:sz w:val="32"/>
          <w:szCs w:val="32"/>
          <w:highlight w:val="none"/>
          <w:shd w:val="clear" w:color="auto" w:fill="FFFFFF"/>
          <w:lang w:val="en-US" w:eastAsia="zh-Hans"/>
        </w:rPr>
        <w:t>质量达标率</w:t>
      </w:r>
      <w:bookmarkEnd w:id="22"/>
      <w:bookmarkEnd w:id="23"/>
      <w:r>
        <w:rPr>
          <w:rFonts w:hint="eastAsia" w:ascii="仿宋" w:hAnsi="仿宋" w:eastAsia="仿宋" w:cs="仿宋"/>
          <w:color w:val="auto"/>
          <w:kern w:val="0"/>
          <w:sz w:val="32"/>
          <w:szCs w:val="32"/>
          <w:highlight w:val="none"/>
          <w:shd w:val="clear" w:color="auto" w:fill="FFFFFF"/>
          <w:lang w:val="en-US" w:eastAsia="zh-CN"/>
        </w:rPr>
        <w:t>--5分。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统计局相关资料内容，城乡收入调查和劳动工资调查工作有效的完成了年度绩效目标。第七次全国人口普查工作和脱贫攻坚普查工作未设定年度绩效目标标准值，难以判定工作是否达标。但脱贫攻坚普查工作制定了相应的工作方案，第七次全国人口普查工作在2020年9月份开展了相关培训。第七次全国人口普查和脱贫攻坚普查缺乏绩效目标和标准，难以确定是否达标。结合部门整体支出绩效评价指标体系和评分标准，经综合评价，该项指标得分为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4" w:name="_Toc1742944595_WPSOffice_Level2"/>
      <w:bookmarkStart w:id="25" w:name="_Toc1464939341_WPSOffice_Level2"/>
      <w:r>
        <w:rPr>
          <w:rFonts w:hint="eastAsia" w:ascii="仿宋" w:hAnsi="仿宋" w:eastAsia="仿宋" w:cs="仿宋"/>
          <w:color w:val="auto"/>
          <w:kern w:val="0"/>
          <w:sz w:val="32"/>
          <w:szCs w:val="32"/>
          <w:highlight w:val="none"/>
          <w:shd w:val="clear" w:color="auto" w:fill="FFFFFF"/>
          <w:lang w:val="en-US" w:eastAsia="zh-CN"/>
        </w:rPr>
        <w:t>4.成本节约</w:t>
      </w:r>
      <w:r>
        <w:rPr>
          <w:rFonts w:hint="eastAsia" w:ascii="仿宋" w:hAnsi="仿宋" w:eastAsia="仿宋" w:cs="仿宋"/>
          <w:color w:val="auto"/>
          <w:kern w:val="0"/>
          <w:sz w:val="32"/>
          <w:szCs w:val="32"/>
          <w:highlight w:val="none"/>
          <w:shd w:val="clear" w:color="auto" w:fill="FFFFFF"/>
          <w:lang w:val="en-US" w:eastAsia="zh-Hans"/>
        </w:rPr>
        <w:t>率</w:t>
      </w:r>
      <w:bookmarkEnd w:id="24"/>
      <w:bookmarkEnd w:id="25"/>
      <w:r>
        <w:rPr>
          <w:rFonts w:hint="eastAsia" w:ascii="仿宋" w:hAnsi="仿宋" w:eastAsia="仿宋" w:cs="仿宋"/>
          <w:color w:val="auto"/>
          <w:kern w:val="0"/>
          <w:sz w:val="32"/>
          <w:szCs w:val="32"/>
          <w:highlight w:val="none"/>
          <w:shd w:val="clear" w:color="auto" w:fill="FFFFFF"/>
          <w:lang w:val="en-US" w:eastAsia="zh-CN"/>
        </w:rPr>
        <w:t>--5分。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根据新区统计局2020年度部门综合决算数据内容，四项重点工作年度预算资金为193.25万元，年度实际支出为30.93万元。成本节约率为83.99%</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。结合部门整体支出绩效评价指标体系和评分标准，经综合评价，该项指标得分为0分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26" w:name="_Toc23833"/>
      <w:r>
        <w:rPr>
          <w:rFonts w:hint="eastAsia" w:ascii="楷体" w:hAnsi="楷体" w:eastAsia="楷体" w:cs="楷体"/>
          <w:b/>
          <w:bCs/>
          <w:color w:val="auto"/>
          <w:kern w:val="0"/>
          <w:sz w:val="32"/>
          <w:szCs w:val="32"/>
          <w:highlight w:val="none"/>
          <w:shd w:val="clear" w:color="auto" w:fill="FFFFFF"/>
          <w:lang w:val="en-US" w:eastAsia="zh-CN"/>
        </w:rPr>
        <w:t>（四）效果方面</w:t>
      </w:r>
      <w:bookmarkEnd w:id="2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该指标主要考核新区统计局履职效益的内容，包括经济</w:t>
      </w:r>
      <w:r>
        <w:rPr>
          <w:rFonts w:hint="eastAsia" w:ascii="仿宋" w:hAnsi="仿宋" w:eastAsia="仿宋" w:cs="仿宋"/>
          <w:color w:val="auto"/>
          <w:kern w:val="0"/>
          <w:sz w:val="32"/>
          <w:szCs w:val="32"/>
          <w:highlight w:val="none"/>
          <w:shd w:val="clear" w:color="auto" w:fill="FFFFFF"/>
          <w:lang w:val="en-US" w:eastAsia="zh-Hans"/>
        </w:rPr>
        <w:t>效益、</w:t>
      </w:r>
      <w:r>
        <w:rPr>
          <w:rFonts w:hint="eastAsia" w:ascii="仿宋" w:hAnsi="仿宋" w:eastAsia="仿宋" w:cs="仿宋"/>
          <w:color w:val="auto"/>
          <w:kern w:val="0"/>
          <w:sz w:val="32"/>
          <w:szCs w:val="32"/>
          <w:highlight w:val="none"/>
          <w:shd w:val="clear" w:color="auto" w:fill="FFFFFF"/>
          <w:lang w:val="en-US" w:eastAsia="zh-CN"/>
        </w:rPr>
        <w:t>社会</w:t>
      </w:r>
      <w:r>
        <w:rPr>
          <w:rFonts w:hint="eastAsia" w:ascii="仿宋" w:hAnsi="仿宋" w:eastAsia="仿宋" w:cs="仿宋"/>
          <w:color w:val="auto"/>
          <w:kern w:val="0"/>
          <w:sz w:val="32"/>
          <w:szCs w:val="32"/>
          <w:highlight w:val="none"/>
          <w:shd w:val="clear" w:color="auto" w:fill="FFFFFF"/>
          <w:lang w:val="en-US" w:eastAsia="zh-Hans"/>
        </w:rPr>
        <w:t>效益、</w:t>
      </w:r>
      <w:r>
        <w:rPr>
          <w:rFonts w:hint="eastAsia" w:ascii="仿宋" w:hAnsi="仿宋" w:eastAsia="仿宋" w:cs="仿宋"/>
          <w:color w:val="auto"/>
          <w:kern w:val="0"/>
          <w:sz w:val="32"/>
          <w:szCs w:val="32"/>
          <w:highlight w:val="none"/>
          <w:shd w:val="clear" w:color="auto" w:fill="FFFFFF"/>
          <w:lang w:val="en-US" w:eastAsia="zh-CN"/>
        </w:rPr>
        <w:t>可持续性影响</w:t>
      </w:r>
      <w:r>
        <w:rPr>
          <w:rFonts w:hint="eastAsia" w:ascii="仿宋" w:hAnsi="仿宋" w:eastAsia="仿宋" w:cs="仿宋"/>
          <w:color w:val="auto"/>
          <w:kern w:val="0"/>
          <w:sz w:val="32"/>
          <w:szCs w:val="32"/>
          <w:highlight w:val="none"/>
          <w:shd w:val="clear" w:color="auto" w:fill="FFFFFF"/>
          <w:lang w:val="en-US" w:eastAsia="zh-Hans"/>
        </w:rPr>
        <w:t>和社会公众满意度</w:t>
      </w:r>
      <w:r>
        <w:rPr>
          <w:rFonts w:hint="eastAsia" w:ascii="仿宋" w:hAnsi="仿宋" w:eastAsia="仿宋" w:cs="仿宋"/>
          <w:color w:val="auto"/>
          <w:kern w:val="0"/>
          <w:sz w:val="32"/>
          <w:szCs w:val="32"/>
          <w:highlight w:val="none"/>
          <w:shd w:val="clear" w:color="auto" w:fill="FFFFFF"/>
          <w:lang w:val="en-US" w:eastAsia="zh-CN"/>
        </w:rPr>
        <w:t>4个三级指标，指标权重44分，评价得分40.72分，得分率为92.55%。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1.经济</w:t>
      </w:r>
      <w:r>
        <w:rPr>
          <w:rFonts w:hint="eastAsia" w:ascii="仿宋" w:hAnsi="仿宋" w:eastAsia="仿宋" w:cs="仿宋"/>
          <w:b/>
          <w:bCs/>
          <w:color w:val="auto"/>
          <w:kern w:val="0"/>
          <w:sz w:val="32"/>
          <w:szCs w:val="32"/>
          <w:highlight w:val="none"/>
          <w:shd w:val="clear" w:color="auto" w:fill="FFFFFF"/>
          <w:lang w:val="en-US" w:eastAsia="zh-Hans"/>
        </w:rPr>
        <w:t>效益</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（1）对经济运行的监控作用--6分。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w:t>
      </w:r>
      <w:r>
        <w:rPr>
          <w:rFonts w:hint="eastAsia" w:ascii="仿宋" w:hAnsi="仿宋" w:eastAsia="仿宋" w:cs="仿宋"/>
          <w:color w:val="auto"/>
          <w:kern w:val="0"/>
          <w:sz w:val="32"/>
          <w:szCs w:val="32"/>
          <w:highlight w:val="none"/>
          <w:shd w:val="clear" w:color="auto" w:fill="FFFFFF"/>
          <w:lang w:val="en-US" w:eastAsia="zh-CN"/>
        </w:rPr>
        <w:t>新区统计局</w:t>
      </w:r>
      <w:r>
        <w:rPr>
          <w:rFonts w:hint="eastAsia" w:ascii="仿宋" w:hAnsi="仿宋" w:eastAsia="仿宋" w:cs="仿宋"/>
          <w:color w:val="auto"/>
          <w:kern w:val="0"/>
          <w:sz w:val="32"/>
          <w:szCs w:val="32"/>
          <w:highlight w:val="none"/>
          <w:shd w:val="clear" w:color="auto" w:fill="FFFFFF"/>
          <w:lang w:val="en-US" w:eastAsia="zh-Hans"/>
        </w:rPr>
        <w:t>提供相关</w:t>
      </w:r>
      <w:r>
        <w:rPr>
          <w:rFonts w:hint="eastAsia" w:ascii="仿宋" w:hAnsi="仿宋" w:eastAsia="仿宋" w:cs="仿宋"/>
          <w:color w:val="auto"/>
          <w:kern w:val="0"/>
          <w:sz w:val="32"/>
          <w:szCs w:val="32"/>
          <w:highlight w:val="none"/>
          <w:shd w:val="clear" w:color="auto" w:fill="FFFFFF"/>
          <w:lang w:val="en-US" w:eastAsia="zh-CN"/>
        </w:rPr>
        <w:t>业务</w:t>
      </w:r>
      <w:r>
        <w:rPr>
          <w:rFonts w:hint="eastAsia" w:ascii="仿宋" w:hAnsi="仿宋" w:eastAsia="仿宋" w:cs="仿宋"/>
          <w:color w:val="auto"/>
          <w:kern w:val="0"/>
          <w:sz w:val="32"/>
          <w:szCs w:val="32"/>
          <w:highlight w:val="none"/>
          <w:shd w:val="clear" w:color="auto" w:fill="FFFFFF"/>
          <w:lang w:val="en-US" w:eastAsia="zh-Hans"/>
        </w:rPr>
        <w:t>资料和报送数据内容，新区统计局通过对于相关经济数据的调查形成了2020年度全区经济指标情况月度动态报表和新区经济运行监测季度期刊</w:t>
      </w:r>
      <w:r>
        <w:rPr>
          <w:rFonts w:hint="eastAsia" w:ascii="仿宋" w:hAnsi="仿宋" w:eastAsia="仿宋" w:cs="仿宋"/>
          <w:color w:val="auto"/>
          <w:kern w:val="0"/>
          <w:sz w:val="32"/>
          <w:szCs w:val="32"/>
          <w:highlight w:val="none"/>
          <w:shd w:val="clear" w:color="auto" w:fill="FFFFFF"/>
          <w:lang w:val="en-US" w:eastAsia="zh-CN"/>
        </w:rPr>
        <w:t>两类经济数据监测工具，相关监测数据包含国内生产总值、工业增加值、全区固定资产投资、社会消费品零售总额和地方财政收支情况等多维度数据，对年度经济运行情况形成全方位动态监控效果</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结合部门整体支出绩效评价指标体系和评分标准，经综合评价，该项指标得分为6分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（2）对经济发展的促进作用--6分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根据2020年度新区经济指标情况月度动态报表内容，地方财政收入超额完成年度3.64%的增速目标，实现27.6%的增长。全年国内生产总值年度目标5.2%，最终实现完成5.5%的增速。固定资产投资全区年度任务为19.0%，年度完成增速为14.6%，未完成年度任务增速目标。</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2.社会</w:t>
      </w:r>
      <w:r>
        <w:rPr>
          <w:rFonts w:hint="eastAsia" w:ascii="仿宋" w:hAnsi="仿宋" w:eastAsia="仿宋" w:cs="仿宋"/>
          <w:b/>
          <w:bCs/>
          <w:color w:val="auto"/>
          <w:kern w:val="0"/>
          <w:sz w:val="32"/>
          <w:szCs w:val="32"/>
          <w:highlight w:val="none"/>
          <w:shd w:val="clear" w:color="auto" w:fill="FFFFFF"/>
          <w:lang w:val="en-US" w:eastAsia="zh-Hans"/>
        </w:rPr>
        <w:t>效益</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（1）对社会发展的支持作用--6分。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根据国家统计局办公室《关于做好劳动工资统计改革的通知》（国统办人口字〔20</w:t>
      </w:r>
      <w:r>
        <w:rPr>
          <w:rFonts w:hint="eastAsia" w:ascii="仿宋" w:hAnsi="仿宋" w:eastAsia="仿宋" w:cs="仿宋"/>
          <w:color w:val="auto"/>
          <w:kern w:val="0"/>
          <w:sz w:val="32"/>
          <w:szCs w:val="32"/>
          <w:highlight w:val="none"/>
          <w:shd w:val="clear" w:color="auto" w:fill="FFFFFF"/>
          <w:lang w:val="en-US" w:eastAsia="zh-CN"/>
        </w:rPr>
        <w:t>19</w:t>
      </w:r>
      <w:r>
        <w:rPr>
          <w:rFonts w:hint="eastAsia" w:ascii="仿宋" w:hAnsi="仿宋" w:eastAsia="仿宋" w:cs="仿宋"/>
          <w:color w:val="auto"/>
          <w:kern w:val="0"/>
          <w:sz w:val="32"/>
          <w:szCs w:val="32"/>
          <w:highlight w:val="none"/>
          <w:shd w:val="clear" w:color="auto" w:fill="FFFFFF"/>
          <w:lang w:val="en-US" w:eastAsia="zh-Hans"/>
        </w:rPr>
        <w:t>〕72号）文件内容，采取全面调查和抽样调查相结合的方法，建立覆盖城乡法人单位的劳动工资统计调查制度，并于2020年一季度正式实施。2020年开展劳动工资季度调查，并形成四个季度的更行业分指标从业人员和工资情况汇总表</w:t>
      </w:r>
      <w:r>
        <w:rPr>
          <w:rFonts w:hint="eastAsia" w:ascii="仿宋" w:hAnsi="仿宋" w:eastAsia="仿宋" w:cs="仿宋"/>
          <w:color w:val="auto"/>
          <w:kern w:val="0"/>
          <w:sz w:val="32"/>
          <w:szCs w:val="32"/>
          <w:highlight w:val="none"/>
          <w:shd w:val="clear" w:color="auto" w:fill="FFFFFF"/>
          <w:lang w:val="en-US" w:eastAsia="zh-CN"/>
        </w:rPr>
        <w:t>，建立社会发展结构和行业发展水平动态监控机制，便于及时发现社会发展行业结构失衡问题。结合部门整体支出绩效评价指标体系和评分标准，经综合评价，该项指标得分为6分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（2）对脱贫攻坚工作的保障作用--6分。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根据相关资料内容和现场座谈内容，新区统计局2020年6月制定了铜川市新区脱贫攻坚普查实施方案，确定了普查范围、明确了职责分工、制定了时间计划。</w:t>
      </w:r>
      <w:r>
        <w:rPr>
          <w:rFonts w:hint="eastAsia" w:ascii="仿宋" w:hAnsi="仿宋" w:eastAsia="仿宋" w:cs="仿宋"/>
          <w:color w:val="auto"/>
          <w:kern w:val="0"/>
          <w:sz w:val="32"/>
          <w:szCs w:val="32"/>
          <w:highlight w:val="none"/>
          <w:shd w:val="clear" w:color="auto" w:fill="FFFFFF"/>
          <w:lang w:val="en-US" w:eastAsia="zh-CN" w:bidi="ar-SA"/>
        </w:rPr>
        <w:t>脱贫攻坚普查工作开展，有效保障精准脱贫、精准扶贫，极大提升脱贫工作开展效率和效果。结合部门整体支出绩效评价指标体系，经综合评价，该项指标得分为6分。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（3）对农民工监测情况--5分。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根据新区统计局相关资料内容，2020年度</w:t>
      </w:r>
      <w:r>
        <w:rPr>
          <w:rFonts w:hint="eastAsia" w:ascii="仿宋" w:hAnsi="仿宋" w:eastAsia="仿宋" w:cs="仿宋"/>
          <w:color w:val="auto"/>
          <w:kern w:val="0"/>
          <w:sz w:val="32"/>
          <w:szCs w:val="32"/>
          <w:highlight w:val="none"/>
          <w:shd w:val="clear" w:color="auto" w:fill="FFFFFF"/>
          <w:lang w:val="en-US" w:eastAsia="zh-CN" w:bidi="ar-SA"/>
        </w:rPr>
        <w:t>新区统计局完成</w:t>
      </w:r>
      <w:r>
        <w:rPr>
          <w:rFonts w:hint="default" w:ascii="仿宋" w:hAnsi="仿宋" w:eastAsia="仿宋" w:cs="仿宋"/>
          <w:color w:val="auto"/>
          <w:kern w:val="0"/>
          <w:sz w:val="32"/>
          <w:szCs w:val="32"/>
          <w:highlight w:val="none"/>
          <w:shd w:val="clear" w:color="auto" w:fill="FFFFFF"/>
          <w:lang w:val="en-US" w:eastAsia="zh-CN" w:bidi="ar-SA"/>
        </w:rPr>
        <w:t>了一季度、三季度、四季度和年度新区农民工监测评估报告。二季度因脱贫攻坚普查工作时间紧任务急，区县未上报二季度农民工监测评估报告</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。结合部门整体支出绩效评价指标体系和评分标准，经综合评价，该项指标得分为4分。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（4）“五上”企业培育变动情况--6分。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根据2019年年报新增“五上”企业名单汇总和2020年年报新增“五上”企业名单汇总内容</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2019年新增“五上”企业6家</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2020年新增“五上”企业15家</w:t>
      </w:r>
      <w:r>
        <w:rPr>
          <w:rFonts w:hint="eastAsia" w:ascii="仿宋" w:hAnsi="仿宋" w:eastAsia="仿宋" w:cs="仿宋"/>
          <w:color w:val="auto"/>
          <w:kern w:val="0"/>
          <w:sz w:val="32"/>
          <w:szCs w:val="32"/>
          <w:highlight w:val="none"/>
          <w:shd w:val="clear" w:color="auto" w:fill="FFFFFF"/>
          <w:lang w:val="en-US" w:eastAsia="zh-CN" w:bidi="ar-SA"/>
        </w:rPr>
        <w:t>，实现增加9家</w:t>
      </w:r>
      <w:r>
        <w:rPr>
          <w:rFonts w:hint="default" w:ascii="仿宋" w:hAnsi="仿宋" w:eastAsia="仿宋" w:cs="仿宋"/>
          <w:color w:val="auto"/>
          <w:kern w:val="0"/>
          <w:sz w:val="32"/>
          <w:szCs w:val="32"/>
          <w:highlight w:val="none"/>
          <w:shd w:val="clear" w:color="auto" w:fill="FFFFFF"/>
          <w:lang w:val="en-US" w:eastAsia="zh-CN" w:bidi="ar-SA"/>
        </w:rPr>
        <w:t>。</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结合部门整体支出绩效评价指标体系和评分标准，经综合评价，该项指标得分为6分。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3.可持续性影响。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（1）人员培训情况--5分。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根据新区统计局相关资料和线上培训记录，部门5人全部完成培训，人均学时100.26</w:t>
      </w:r>
      <w:r>
        <w:rPr>
          <w:rFonts w:hint="eastAsia" w:ascii="仿宋" w:hAnsi="仿宋" w:eastAsia="仿宋" w:cs="仿宋"/>
          <w:color w:val="auto"/>
          <w:kern w:val="0"/>
          <w:sz w:val="32"/>
          <w:szCs w:val="32"/>
          <w:highlight w:val="none"/>
          <w:shd w:val="clear" w:color="auto" w:fill="FFFFFF"/>
          <w:lang w:val="en-US" w:eastAsia="zh-CN"/>
        </w:rPr>
        <w:t>，培训完成率100%，参训率实现100%。有效保障新区统计局业务人员工作专业度，为部门提供可持续发展动力。结合部门整体支出绩效指标体系和评分标准，经综合评价，该项指标得分为5分。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4.服务对象</w:t>
      </w:r>
      <w:r>
        <w:rPr>
          <w:rFonts w:hint="eastAsia" w:ascii="仿宋" w:hAnsi="仿宋" w:eastAsia="仿宋" w:cs="仿宋"/>
          <w:color w:val="auto"/>
          <w:kern w:val="0"/>
          <w:sz w:val="32"/>
          <w:szCs w:val="32"/>
          <w:highlight w:val="none"/>
          <w:shd w:val="clear" w:color="auto" w:fill="FFFFFF"/>
          <w:lang w:val="en-US" w:eastAsia="zh-Hans"/>
        </w:rPr>
        <w:t>满意度</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对于服务对象满意度的评价，主要评价受益家庭的满意度情况。针对受益群众发放10分调查问卷，回收10分，调查问卷有效率为100%，调查问卷经汇总统计后，按照如下方式计算分值：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① Fi=4*p1+2*p2+1*p3+0*p4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Fi（i=1、2、</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5）:调查问卷中的第i个问题分值。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P1:同一对象问卷调查中的对应问题的满意情况占比。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P2:同一对象问卷调查中的对应问题的较满意情况占比。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P3:同一对象问卷调查中的对应问题的一般情况占比。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P4:同一对象问卷调查中的对应问题的不满意情况占比。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② F=(F1+F2+F3+F4+F5)/5(i=1、2…5)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F:服务对象满意度调查分值。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根据调查问卷收集情况相关数据和满意度调查分值计算公式统计如下：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表4-1  受益群众满意度调查问卷统计表</w:t>
      </w:r>
    </w:p>
    <w:tbl>
      <w:tblPr>
        <w:tblStyle w:val="15"/>
        <w:tblW w:w="4998" w:type="pct"/>
        <w:tblInd w:w="0" w:type="dxa"/>
        <w:shd w:val="clear" w:color="auto" w:fill="auto"/>
        <w:tblLayout w:type="autofit"/>
        <w:tblCellMar>
          <w:top w:w="0" w:type="dxa"/>
          <w:left w:w="0" w:type="dxa"/>
          <w:bottom w:w="0" w:type="dxa"/>
          <w:right w:w="0" w:type="dxa"/>
        </w:tblCellMar>
      </w:tblPr>
      <w:tblGrid>
        <w:gridCol w:w="4076"/>
        <w:gridCol w:w="1136"/>
        <w:gridCol w:w="862"/>
        <w:gridCol w:w="996"/>
        <w:gridCol w:w="878"/>
        <w:gridCol w:w="878"/>
      </w:tblGrid>
      <w:tr>
        <w:tblPrEx>
          <w:shd w:val="clear" w:color="auto" w:fill="auto"/>
          <w:tblCellMar>
            <w:top w:w="0" w:type="dxa"/>
            <w:left w:w="0" w:type="dxa"/>
            <w:bottom w:w="0" w:type="dxa"/>
            <w:right w:w="0" w:type="dxa"/>
          </w:tblCellMar>
        </w:tblPrEx>
        <w:trPr>
          <w:trHeight w:val="500" w:hRule="atLeast"/>
        </w:trPr>
        <w:tc>
          <w:tcPr>
            <w:tcW w:w="23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问题项</w:t>
            </w:r>
          </w:p>
        </w:tc>
        <w:tc>
          <w:tcPr>
            <w:tcW w:w="64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tblCellMar>
            <w:top w:w="0" w:type="dxa"/>
            <w:left w:w="0" w:type="dxa"/>
            <w:bottom w:w="0" w:type="dxa"/>
            <w:right w:w="0" w:type="dxa"/>
          </w:tblCellMar>
        </w:tblPrEx>
        <w:trPr>
          <w:trHeight w:val="500" w:hRule="atLeast"/>
        </w:trPr>
        <w:tc>
          <w:tcPr>
            <w:tcW w:w="23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您对开展劳动工资调查统计工作感觉怎么样？</w:t>
            </w:r>
          </w:p>
        </w:tc>
        <w:tc>
          <w:tcPr>
            <w:tcW w:w="64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3.8</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3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您对新区目前的经济发展感觉怎么样？</w:t>
            </w:r>
          </w:p>
        </w:tc>
        <w:tc>
          <w:tcPr>
            <w:tcW w:w="64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3.6</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0.8</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0.2</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3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您对目前新区的人均可支配收入情况感觉怎么样？</w:t>
            </w:r>
          </w:p>
        </w:tc>
        <w:tc>
          <w:tcPr>
            <w:tcW w:w="64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3.4</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0.7</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0.3</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3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您觉得脱贫攻坚普查工作对实现精准脱贫怎么样？</w:t>
            </w:r>
          </w:p>
        </w:tc>
        <w:tc>
          <w:tcPr>
            <w:tcW w:w="64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3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您觉得全国人口普查工作的开展怎么样？</w:t>
            </w:r>
          </w:p>
        </w:tc>
        <w:tc>
          <w:tcPr>
            <w:tcW w:w="64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3.8</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30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64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3.72</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根据绩效评价指标体系和满意度调查问卷数据统计情况和分值计算公式，新区统计局受益群众满意度指标得分为3.72分。</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27" w:name="_Toc16209"/>
      <w:r>
        <w:rPr>
          <w:rFonts w:hint="eastAsia" w:ascii="黑体" w:hAnsi="黑体" w:eastAsia="黑体" w:cs="黑体"/>
          <w:b w:val="0"/>
          <w:bCs w:val="0"/>
          <w:color w:val="auto"/>
          <w:kern w:val="0"/>
          <w:sz w:val="32"/>
          <w:szCs w:val="32"/>
          <w:highlight w:val="none"/>
          <w:shd w:val="clear" w:color="auto" w:fill="FFFFFF"/>
          <w:lang w:val="en-US" w:eastAsia="zh-CN"/>
        </w:rPr>
        <w:t>主要经验及做法</w:t>
      </w:r>
      <w:bookmarkEnd w:id="27"/>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通过对于2020年度新区统计局部门整体支出从目标设定、预算配置、预算执行、预算管理、资产管理、职责履行和履职效益七个方面进行全面绩效评价，部门在如下方面有明显的突破和表现：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信息公开及时。新区统计局2020年度预算文件、部门整体支出绩效目标、重点项目绩效目标、部门决算文件等内容根据相关规定要求，及时完整的在新区管委会网站予以公开，有助于提升政府公信力，强化市场监督、公众监督、社会监督。</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2.工作产出良好。2020年度部门及时保质保量完成国家政策性原因增加的重点工作，顺利完成了脱贫攻坚普查任务和全国第七次人口普查重点工作，为国家相关政策制定、战略布局提供了源头数据。</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3.保障效益明显。部门逐月全面审核联网直报企业所报每笔数据，确保统计数据质量，编制月度经济指标月度动态报表和新区经济监测期刊，为新区经济运行监控和相关经济政策制定提供了有效保障。部门按季度编制劳动工资统计调查汇总数据，对各行业从业人员数量和行业平均薪酬情况进行动态监控，为社会发展和行业可持续发展提供源头数据。保障新区经济社会发展趋于合理化、科学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28" w:name="_Toc7003"/>
      <w:bookmarkStart w:id="29" w:name="_Toc1742944595_WPSOffice_Level3"/>
      <w:bookmarkStart w:id="30" w:name="_Toc315842793_WPSOffice_Level2"/>
      <w:bookmarkStart w:id="31" w:name="_Toc1464939341_WPSOffice_Level3"/>
      <w:r>
        <w:rPr>
          <w:rFonts w:hint="eastAsia" w:ascii="黑体" w:hAnsi="黑体" w:eastAsia="黑体" w:cs="黑体"/>
          <w:b w:val="0"/>
          <w:bCs w:val="0"/>
          <w:color w:val="auto"/>
          <w:kern w:val="0"/>
          <w:sz w:val="32"/>
          <w:szCs w:val="32"/>
          <w:highlight w:val="none"/>
          <w:shd w:val="clear" w:color="auto" w:fill="FFFFFF"/>
          <w:lang w:val="en-US" w:eastAsia="zh-CN"/>
        </w:rPr>
        <w:t>六、存在的问题</w:t>
      </w:r>
      <w:bookmarkEnd w:id="2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绩效指标不明确，预算绩效不契合</w:t>
      </w:r>
    </w:p>
    <w:bookmarkEnd w:id="29"/>
    <w:bookmarkEnd w:id="30"/>
    <w:bookmarkEnd w:id="31"/>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部门整体支出绩效目标中社会效益指标未细化量化、多以“有效保障”“有效提供”等主观性标准作为指标值，难以有效的衡量、比对。受国家政策性影响新增重点工作支出未列入部门预算，未设定相应绩效目标和指标值。导致年度调整预算资金和年初部门预算文件数据出入较大，年度预算调整率较高，对于全国第七次人口普查和脱贫攻坚普查重点工作完成情况和效益情况缺乏合理判断，预算支出和绩效理念未深度融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预算执行无监控</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结转结余超控制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铜川市新区统计局未建立有效的预算执行监控机制，缺乏预算执行进度和绩效目标实现程度的日常监控和重点监控，2020年度预算执行率不足，结转结余率较高，2020年度新区统计局预算执行中，结转结余192.24万元，结转结余率高达66.09%；相比于2019年51.32万元结转结余资金，增加140.93万元，变动率为274.61%。过度结转结余资金，导致部门年度财政预算资金利用效率较低，财政资金分配合理性不足，部门整体财政支出绩效一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w:t>
      </w: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人员控制待加强，成本支出超预算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2020年度新区统计局部门人员编制5人，其中行政编制5人、事业编制0人。实有人员7人，其中在职行政人员5人，在职事业人员2人。在职人员控制率为140%，人员配置超出部门编制数量。年度公用经费实际支出8.22万元，超出年初6.3万元财政预算30.48%，年度运行成本支出未有效控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32" w:name="_Toc28892"/>
      <w:r>
        <w:rPr>
          <w:rFonts w:hint="eastAsia" w:ascii="黑体" w:hAnsi="黑体" w:eastAsia="黑体" w:cs="黑体"/>
          <w:b w:val="0"/>
          <w:bCs w:val="0"/>
          <w:color w:val="auto"/>
          <w:kern w:val="0"/>
          <w:sz w:val="32"/>
          <w:szCs w:val="32"/>
          <w:highlight w:val="none"/>
          <w:shd w:val="clear" w:color="auto" w:fill="FFFFFF"/>
          <w:lang w:val="en-US" w:eastAsia="zh-CN"/>
        </w:rPr>
        <w:t>七</w:t>
      </w:r>
      <w:r>
        <w:rPr>
          <w:rFonts w:hint="eastAsia" w:ascii="黑体" w:hAnsi="黑体" w:eastAsia="黑体" w:cs="黑体"/>
          <w:b w:val="0"/>
          <w:bCs w:val="0"/>
          <w:color w:val="auto"/>
          <w:kern w:val="0"/>
          <w:sz w:val="32"/>
          <w:szCs w:val="32"/>
          <w:highlight w:val="none"/>
          <w:shd w:val="clear" w:color="auto" w:fill="FFFFFF"/>
          <w:lang w:val="en-US" w:eastAsia="zh-Hans"/>
        </w:rPr>
        <w:t>、相关建议</w:t>
      </w:r>
      <w:bookmarkEnd w:id="3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bookmarkStart w:id="33" w:name="_Toc842199943_WPSOffice_Level2"/>
      <w:bookmarkStart w:id="34" w:name="_Toc1462379935_WPSOffice_Level2"/>
      <w:bookmarkStart w:id="35" w:name="_Toc994383943_WPSOffice_Level2"/>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强化绩效目标管理，树立绩效管理理念</w:t>
      </w:r>
      <w:r>
        <w:rPr>
          <w:rFonts w:hint="eastAsia" w:ascii="楷体" w:hAnsi="楷体" w:eastAsia="楷体" w:cs="楷体"/>
          <w:b/>
          <w:bCs/>
          <w:color w:val="auto"/>
          <w:kern w:val="0"/>
          <w:sz w:val="32"/>
          <w:szCs w:val="32"/>
          <w:highlight w:val="none"/>
          <w:shd w:val="clear" w:color="auto" w:fill="FFFFFF"/>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新区统计局需加强绩效目标设定，做好部门相关人员预算绩效管理培训工作，重点加强绩效目标管理培训，掌握绩效目标设定原则和设定标准，充分考量绩效目标内容全面性、目标合理性、指标明确性、数据可得性等多方面，加强部门内部绩效目标自审核，提升绩效目标的科学性、完整性。财政部门需加强预算部门和预算单位的重点审核，对于绩效目标不合理、绩效指标不明确等情况，进行重点说明审核未通过原因，督促预算部门及时整改。充分提升绩效目标的指导作用。预算部门需加强融合预算绩效管理思想，不断提升预算绩效管理意识，建立“支出必问效、无效必问责”的财政支出理念，不断提升财政支出效率、优化财政支出结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加强预算执行监控</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避免资金过度结余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新区统计局需建立预算执行监控机制，针对预算执行进度和绩效目标实现程度开展监控，落实部门预算执行监控主体责任，加强部门“日常监控”+“重点监控”双监控机制，定期进行预算执行监控分析，针对出现执行偏差较大的支出和项目，进行重点分析偏差原因，并采取对应纠偏措施。对于需要做资金调整的项目尽快及时调整，并同步调整预算和绩效目标内容。财政部门加强对预算部门重点监控，对出现预算执行偏差严重情况，重点监控，分析原因，督促整改，后续进行重点监控和定期汇报。通过预算执行监控机制，不断提升预算资金使用效率，优化财政支出结构，避免资金过度结余，造成财政资源浪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加强部门成本控制，落实“过紧日子”思想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部门需不断加强“公用经费”、“会议费”、“三公经费”等费用支出控制，避免出现超预算支出、过度支出等情况。</w:t>
      </w:r>
      <w:bookmarkEnd w:id="33"/>
      <w:bookmarkEnd w:id="34"/>
      <w:bookmarkEnd w:id="35"/>
      <w:r>
        <w:rPr>
          <w:rFonts w:hint="eastAsia" w:ascii="仿宋" w:hAnsi="仿宋" w:eastAsia="仿宋" w:cs="仿宋"/>
          <w:color w:val="auto"/>
          <w:kern w:val="0"/>
          <w:sz w:val="32"/>
          <w:szCs w:val="32"/>
          <w:highlight w:val="none"/>
          <w:shd w:val="clear" w:color="auto" w:fill="FFFFFF"/>
          <w:lang w:val="en-US" w:eastAsia="zh-CN"/>
        </w:rPr>
        <w:t>在保部门运转的基础上，合理控制运行成本支出，增加重点项目、重点工作支出安排，提升财政资金使用效益。部门需进一步加强人员数量控制，严格控制编制外人员数量，控制人员在职人数和部门编制人数比例，避免出现在职人员控制率过高情况，增加部门运行负担。</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sectPr>
          <w:footerReference r:id="rId5" w:type="default"/>
          <w:pgSz w:w="11910" w:h="16840"/>
          <w:pgMar w:top="2098" w:right="1474" w:bottom="1984" w:left="1587" w:header="1017" w:footer="1206" w:gutter="0"/>
          <w:pgNumType w:fmt="decimal"/>
          <w:cols w:equalWidth="0" w:num="1">
            <w:col w:w="8810"/>
          </w:cols>
          <w:docGrid w:linePitch="326" w:charSpace="0"/>
        </w:sectPr>
      </w:pPr>
      <w:r>
        <w:rPr>
          <w:rFonts w:hint="eastAsia" w:ascii="仿宋" w:hAnsi="仿宋" w:eastAsia="仿宋" w:cs="仿宋"/>
          <w:color w:val="auto"/>
          <w:kern w:val="0"/>
          <w:sz w:val="32"/>
          <w:szCs w:val="32"/>
          <w:highlight w:val="none"/>
          <w:shd w:val="clear" w:color="auto" w:fill="FFFFFF"/>
          <w:lang w:val="en-US" w:eastAsia="zh-CN" w:bidi="ar-SA"/>
        </w:rPr>
        <w:t xml:space="preserve">                     </w:t>
      </w: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6" w:name="_Toc7790"/>
      <w:r>
        <w:rPr>
          <w:rFonts w:hint="eastAsia" w:ascii="黑体" w:hAnsi="黑体" w:eastAsia="黑体" w:cs="黑体"/>
          <w:color w:val="auto"/>
          <w:kern w:val="0"/>
          <w:sz w:val="32"/>
          <w:szCs w:val="32"/>
          <w:highlight w:val="none"/>
          <w:shd w:val="clear" w:color="auto" w:fill="FFFFFF"/>
          <w:lang w:val="en-US" w:eastAsia="zh-CN"/>
        </w:rPr>
        <w:t>附件1评价工作底稿</w:t>
      </w:r>
      <w:bookmarkEnd w:id="36"/>
    </w:p>
    <w:p>
      <w:pPr>
        <w:pStyle w:val="2"/>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rPr>
          <w:rFonts w:hint="eastAsia" w:ascii="宋体" w:hAnsi="宋体" w:eastAsia="宋体" w:cs="宋体"/>
          <w:b/>
          <w:bCs/>
          <w:color w:val="auto"/>
          <w:kern w:val="0"/>
          <w:sz w:val="36"/>
          <w:szCs w:val="36"/>
          <w:highlight w:val="none"/>
          <w:shd w:val="clear" w:color="auto" w:fill="FFFFFF"/>
          <w:lang w:val="en-US" w:eastAsia="zh-Hans"/>
        </w:rPr>
      </w:pPr>
      <w:r>
        <w:rPr>
          <w:rFonts w:hint="eastAsia" w:ascii="宋体" w:hAnsi="宋体" w:eastAsia="宋体" w:cs="宋体"/>
          <w:b/>
          <w:bCs/>
          <w:color w:val="auto"/>
          <w:kern w:val="0"/>
          <w:sz w:val="36"/>
          <w:szCs w:val="36"/>
          <w:highlight w:val="none"/>
          <w:shd w:val="clear" w:color="auto" w:fill="FFFFFF"/>
          <w:lang w:val="en-US" w:eastAsia="zh-Hans"/>
        </w:rPr>
        <w:t>2020年度铜川市</w:t>
      </w:r>
      <w:r>
        <w:rPr>
          <w:rFonts w:hint="eastAsia" w:cs="宋体"/>
          <w:b/>
          <w:bCs/>
          <w:color w:val="auto"/>
          <w:kern w:val="0"/>
          <w:sz w:val="36"/>
          <w:szCs w:val="36"/>
          <w:highlight w:val="none"/>
          <w:shd w:val="clear" w:color="auto" w:fill="FFFFFF"/>
          <w:lang w:val="en-US" w:eastAsia="zh-CN"/>
        </w:rPr>
        <w:t>新区统计局部门</w:t>
      </w:r>
      <w:r>
        <w:rPr>
          <w:rFonts w:hint="eastAsia" w:ascii="宋体" w:hAnsi="宋体" w:eastAsia="宋体" w:cs="宋体"/>
          <w:b/>
          <w:bCs/>
          <w:color w:val="auto"/>
          <w:kern w:val="0"/>
          <w:sz w:val="36"/>
          <w:szCs w:val="36"/>
          <w:highlight w:val="none"/>
          <w:shd w:val="clear" w:color="auto" w:fill="FFFFFF"/>
          <w:lang w:val="en-US" w:eastAsia="zh-Hans"/>
        </w:rPr>
        <w:t>整体支出</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pPr>
      <w:r>
        <w:rPr>
          <w:rFonts w:hint="eastAsia" w:ascii="宋体" w:hAnsi="宋体" w:eastAsia="宋体" w:cs="宋体"/>
          <w:b/>
          <w:bCs/>
          <w:color w:val="auto"/>
          <w:kern w:val="0"/>
          <w:sz w:val="36"/>
          <w:szCs w:val="36"/>
          <w:highlight w:val="none"/>
          <w:shd w:val="clear" w:color="auto" w:fill="FFFFFF"/>
          <w:lang w:val="en-US" w:eastAsia="zh-Hans"/>
        </w:rPr>
        <w:t>绩效评价</w:t>
      </w:r>
      <w:r>
        <w:rPr>
          <w:rFonts w:hint="eastAsia" w:cs="宋体"/>
          <w:b/>
          <w:bCs/>
          <w:color w:val="auto"/>
          <w:kern w:val="0"/>
          <w:sz w:val="36"/>
          <w:szCs w:val="36"/>
          <w:highlight w:val="none"/>
          <w:shd w:val="clear" w:color="auto" w:fill="FFFFFF"/>
          <w:lang w:val="en-US" w:eastAsia="zh-CN"/>
        </w:rPr>
        <w:t>打</w:t>
      </w:r>
      <w:r>
        <w:rPr>
          <w:rFonts w:hint="eastAsia" w:ascii="宋体" w:hAnsi="宋体" w:eastAsia="宋体" w:cs="宋体"/>
          <w:b/>
          <w:bCs/>
          <w:color w:val="auto"/>
          <w:kern w:val="0"/>
          <w:sz w:val="36"/>
          <w:szCs w:val="36"/>
          <w:highlight w:val="none"/>
          <w:shd w:val="clear" w:color="auto" w:fill="FFFFFF"/>
          <w:lang w:val="en-US" w:eastAsia="zh-Hans"/>
        </w:rPr>
        <w:t>分表</w:t>
      </w:r>
    </w:p>
    <w:tbl>
      <w:tblPr>
        <w:tblStyle w:val="15"/>
        <w:tblW w:w="4998" w:type="pct"/>
        <w:tblInd w:w="0" w:type="dxa"/>
        <w:shd w:val="clear" w:color="auto" w:fill="auto"/>
        <w:tblLayout w:type="autofit"/>
        <w:tblCellMar>
          <w:top w:w="0" w:type="dxa"/>
          <w:left w:w="0" w:type="dxa"/>
          <w:bottom w:w="0" w:type="dxa"/>
          <w:right w:w="0" w:type="dxa"/>
        </w:tblCellMar>
      </w:tblPr>
      <w:tblGrid>
        <w:gridCol w:w="1670"/>
        <w:gridCol w:w="2303"/>
        <w:gridCol w:w="2119"/>
        <w:gridCol w:w="1367"/>
        <w:gridCol w:w="1367"/>
      </w:tblGrid>
      <w:tr>
        <w:tblPrEx>
          <w:shd w:val="clear" w:color="auto" w:fill="auto"/>
          <w:tblCellMar>
            <w:top w:w="0" w:type="dxa"/>
            <w:left w:w="0" w:type="dxa"/>
            <w:bottom w:w="0" w:type="dxa"/>
            <w:right w:w="0" w:type="dxa"/>
          </w:tblCellMar>
        </w:tblPrEx>
        <w:trPr>
          <w:trHeight w:val="90" w:hRule="atLeast"/>
        </w:trPr>
        <w:tc>
          <w:tcPr>
            <w:tcW w:w="94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130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二级指标</w:t>
            </w: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三级指标</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r>
      <w:tr>
        <w:tblPrEx>
          <w:shd w:val="clear" w:color="auto" w:fill="auto"/>
          <w:tblCellMar>
            <w:top w:w="0" w:type="dxa"/>
            <w:left w:w="0" w:type="dxa"/>
            <w:bottom w:w="0" w:type="dxa"/>
            <w:right w:w="0" w:type="dxa"/>
          </w:tblCellMar>
        </w:tblPrEx>
        <w:trPr>
          <w:trHeight w:val="600" w:hRule="atLeast"/>
        </w:trPr>
        <w:tc>
          <w:tcPr>
            <w:tcW w:w="94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投入</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1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目标设定</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绩效目标合理性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绩效指标明确性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预算配置</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在职人员控制率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47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“三公经费”变动率（2）</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重点支出安排率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1.81 </w:t>
            </w:r>
          </w:p>
        </w:tc>
      </w:tr>
      <w:tr>
        <w:tblPrEx>
          <w:shd w:val="clear" w:color="auto" w:fill="auto"/>
          <w:tblCellMar>
            <w:top w:w="0" w:type="dxa"/>
            <w:left w:w="0" w:type="dxa"/>
            <w:bottom w:w="0" w:type="dxa"/>
            <w:right w:w="0" w:type="dxa"/>
          </w:tblCellMar>
        </w:tblPrEx>
        <w:trPr>
          <w:trHeight w:val="600" w:hRule="atLeast"/>
        </w:trPr>
        <w:tc>
          <w:tcPr>
            <w:tcW w:w="94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过程</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w:t>
            </w:r>
          </w:p>
        </w:tc>
        <w:tc>
          <w:tcPr>
            <w:tcW w:w="1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预算执行</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w:t>
            </w: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预算完成率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0.50 </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预算调整率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结转结余率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结转结余变动率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公用经费控制率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7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“三公”经费控制率（1）</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政府采购执行率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预算管理</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（8.5）</w:t>
            </w: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管理制度健全性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资金使用合规性（2.5）</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预算执行监控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49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预决算信息公开性（2）</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资产管理</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（6.5）</w:t>
            </w: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管理制度健全性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7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资产管理安全性（2.5）</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固定资产利用率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600" w:hRule="atLeast"/>
        </w:trPr>
        <w:tc>
          <w:tcPr>
            <w:tcW w:w="94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w:t>
            </w:r>
          </w:p>
        </w:tc>
        <w:tc>
          <w:tcPr>
            <w:tcW w:w="1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职责履行</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w:t>
            </w: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重点工作办结率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26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重点工作完成及时率（5）</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5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重点工作质量达标率（5）</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成本节约率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94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效果</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（44）</w:t>
            </w:r>
          </w:p>
        </w:tc>
        <w:tc>
          <w:tcPr>
            <w:tcW w:w="1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履职效益</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（44）</w:t>
            </w:r>
          </w:p>
        </w:tc>
        <w:tc>
          <w:tcPr>
            <w:tcW w:w="119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经济效益</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3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3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tblCellMar>
            <w:top w:w="0" w:type="dxa"/>
            <w:left w:w="0" w:type="dxa"/>
            <w:bottom w:w="0" w:type="dxa"/>
            <w:right w:w="0" w:type="dxa"/>
          </w:tblCellMar>
        </w:tblPrEx>
        <w:trPr>
          <w:trHeight w:val="3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tblCellMar>
            <w:top w:w="0" w:type="dxa"/>
            <w:left w:w="0" w:type="dxa"/>
            <w:bottom w:w="0" w:type="dxa"/>
            <w:right w:w="0" w:type="dxa"/>
          </w:tblCellMar>
        </w:tblPrEx>
        <w:trPr>
          <w:trHeight w:val="3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tblCellMar>
            <w:top w:w="0" w:type="dxa"/>
            <w:left w:w="0" w:type="dxa"/>
            <w:bottom w:w="0" w:type="dxa"/>
            <w:right w:w="0" w:type="dxa"/>
          </w:tblCellMar>
        </w:tblPrEx>
        <w:trPr>
          <w:trHeight w:val="3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tblCellMar>
            <w:top w:w="0" w:type="dxa"/>
            <w:left w:w="0" w:type="dxa"/>
            <w:bottom w:w="0" w:type="dxa"/>
            <w:right w:w="0" w:type="dxa"/>
          </w:tblCellMar>
        </w:tblPrEx>
        <w:trPr>
          <w:trHeight w:val="48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600" w:hRule="atLeast"/>
        </w:trPr>
        <w:tc>
          <w:tcPr>
            <w:tcW w:w="9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服务对象满意度</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3.72</w:t>
            </w:r>
          </w:p>
        </w:tc>
      </w:tr>
      <w:tr>
        <w:tblPrEx>
          <w:tblCellMar>
            <w:top w:w="0" w:type="dxa"/>
            <w:left w:w="0" w:type="dxa"/>
            <w:bottom w:w="0" w:type="dxa"/>
            <w:right w:w="0" w:type="dxa"/>
          </w:tblCellMar>
        </w:tblPrEx>
        <w:trPr>
          <w:trHeight w:val="300" w:hRule="atLeast"/>
        </w:trPr>
        <w:tc>
          <w:tcPr>
            <w:tcW w:w="3450" w:type="pct"/>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81.03</w:t>
            </w:r>
          </w:p>
        </w:tc>
      </w:tr>
    </w:tbl>
    <w:p>
      <w:pPr>
        <w:pStyle w:val="2"/>
        <w:ind w:left="0" w:leftChars="0" w:firstLine="0" w:firstLineChars="0"/>
        <w:sectPr>
          <w:pgSz w:w="11910" w:h="16840"/>
          <w:pgMar w:top="2098" w:right="1474" w:bottom="1984" w:left="1587" w:header="1017" w:footer="1206" w:gutter="0"/>
          <w:pgNumType w:fmt="decimal"/>
          <w:cols w:equalWidth="0" w:num="1">
            <w:col w:w="8810"/>
          </w:cols>
          <w:docGrid w:linePitch="326" w:charSpace="0"/>
        </w:sect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7" w:name="_Toc2728"/>
      <w:bookmarkStart w:id="38" w:name="_Toc13811"/>
      <w:bookmarkStart w:id="39" w:name="_Toc2079370722_WPSOffice_Level2"/>
      <w:bookmarkStart w:id="40" w:name="_Toc1721938646_WPSOffice_Level2"/>
      <w:r>
        <w:rPr>
          <w:rFonts w:hint="eastAsia" w:ascii="黑体" w:hAnsi="黑体" w:eastAsia="黑体" w:cs="黑体"/>
          <w:color w:val="auto"/>
          <w:kern w:val="0"/>
          <w:sz w:val="32"/>
          <w:szCs w:val="32"/>
          <w:highlight w:val="none"/>
          <w:shd w:val="clear" w:color="auto" w:fill="FFFFFF"/>
          <w:lang w:val="en-US" w:eastAsia="zh-CN"/>
        </w:rPr>
        <w:t>附件2 问题清单</w:t>
      </w:r>
      <w:bookmarkEnd w:id="37"/>
    </w:p>
    <w:p>
      <w:pPr>
        <w:pStyle w:val="2"/>
        <w:rPr>
          <w:rFonts w:hint="eastAsia"/>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铜川市新区2020年度统计局部门整体支出绩效评价</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default"/>
          <w:lang w:val="en-US" w:eastAsia="zh-CN"/>
        </w:rPr>
      </w:pPr>
      <w:r>
        <w:rPr>
          <w:rFonts w:hint="eastAsia" w:ascii="宋体" w:hAnsi="宋体" w:eastAsia="宋体" w:cs="宋体"/>
          <w:b/>
          <w:bCs/>
          <w:color w:val="auto"/>
          <w:kern w:val="0"/>
          <w:sz w:val="36"/>
          <w:szCs w:val="36"/>
          <w:highlight w:val="none"/>
          <w:shd w:val="clear" w:color="auto" w:fill="FFFFFF"/>
          <w:lang w:val="en-US" w:eastAsia="zh-CN"/>
        </w:rPr>
        <w:t>问题清单</w:t>
      </w:r>
    </w:p>
    <w:tbl>
      <w:tblPr>
        <w:tblStyle w:val="15"/>
        <w:tblW w:w="5079" w:type="pct"/>
        <w:tblInd w:w="-257" w:type="dxa"/>
        <w:tblLayout w:type="autofit"/>
        <w:tblCellMar>
          <w:top w:w="0" w:type="dxa"/>
          <w:left w:w="108" w:type="dxa"/>
          <w:bottom w:w="0" w:type="dxa"/>
          <w:right w:w="108" w:type="dxa"/>
        </w:tblCellMar>
      </w:tblPr>
      <w:tblGrid>
        <w:gridCol w:w="2738"/>
        <w:gridCol w:w="792"/>
        <w:gridCol w:w="5639"/>
      </w:tblGrid>
      <w:tr>
        <w:tblPrEx>
          <w:tblCellMar>
            <w:top w:w="0" w:type="dxa"/>
            <w:left w:w="108" w:type="dxa"/>
            <w:bottom w:w="0" w:type="dxa"/>
            <w:right w:w="108" w:type="dxa"/>
          </w:tblCellMar>
        </w:tblPrEx>
        <w:trPr>
          <w:trHeight w:val="520" w:hRule="atLeast"/>
        </w:trPr>
        <w:tc>
          <w:tcPr>
            <w:tcW w:w="149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问题分类</w:t>
            </w:r>
          </w:p>
        </w:tc>
        <w:tc>
          <w:tcPr>
            <w:tcW w:w="4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30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问题描述</w:t>
            </w:r>
          </w:p>
        </w:tc>
      </w:tr>
      <w:tr>
        <w:tblPrEx>
          <w:tblCellMar>
            <w:top w:w="0" w:type="dxa"/>
            <w:left w:w="108" w:type="dxa"/>
            <w:bottom w:w="0" w:type="dxa"/>
            <w:right w:w="108" w:type="dxa"/>
          </w:tblCellMar>
        </w:tblPrEx>
        <w:trPr>
          <w:trHeight w:val="570" w:hRule="atLeast"/>
        </w:trPr>
        <w:tc>
          <w:tcPr>
            <w:tcW w:w="1493"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投入存在的问题</w:t>
            </w:r>
          </w:p>
        </w:tc>
        <w:tc>
          <w:tcPr>
            <w:tcW w:w="4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0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绩效指标明确性欠缺，绩效目标与年度预算资金规模不匹配。</w:t>
            </w:r>
          </w:p>
        </w:tc>
      </w:tr>
      <w:tr>
        <w:tblPrEx>
          <w:tblCellMar>
            <w:top w:w="0" w:type="dxa"/>
            <w:left w:w="108" w:type="dxa"/>
            <w:bottom w:w="0" w:type="dxa"/>
            <w:right w:w="108" w:type="dxa"/>
          </w:tblCellMar>
        </w:tblPrEx>
        <w:trPr>
          <w:trHeight w:val="570" w:hRule="atLeast"/>
        </w:trPr>
        <w:tc>
          <w:tcPr>
            <w:tcW w:w="149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在职人员控制力度不足，出现超编制人员数量。</w:t>
            </w:r>
          </w:p>
        </w:tc>
      </w:tr>
      <w:tr>
        <w:tblPrEx>
          <w:tblCellMar>
            <w:top w:w="0" w:type="dxa"/>
            <w:left w:w="108" w:type="dxa"/>
            <w:bottom w:w="0" w:type="dxa"/>
            <w:right w:w="108" w:type="dxa"/>
          </w:tblCellMar>
        </w:tblPrEx>
        <w:trPr>
          <w:trHeight w:val="570" w:hRule="atLeast"/>
        </w:trPr>
        <w:tc>
          <w:tcPr>
            <w:tcW w:w="1493"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过程存在的问题</w:t>
            </w:r>
          </w:p>
        </w:tc>
        <w:tc>
          <w:tcPr>
            <w:tcW w:w="4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预算执行率不足，结转结余过度。</w:t>
            </w:r>
          </w:p>
        </w:tc>
      </w:tr>
      <w:tr>
        <w:tblPrEx>
          <w:tblCellMar>
            <w:top w:w="0" w:type="dxa"/>
            <w:left w:w="108" w:type="dxa"/>
            <w:bottom w:w="0" w:type="dxa"/>
            <w:right w:w="108" w:type="dxa"/>
          </w:tblCellMar>
        </w:tblPrEx>
        <w:trPr>
          <w:trHeight w:val="570" w:hRule="atLeast"/>
        </w:trPr>
        <w:tc>
          <w:tcPr>
            <w:tcW w:w="149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公用经费支出控制力度不足，部门运行成本未有效控制</w:t>
            </w:r>
          </w:p>
        </w:tc>
      </w:tr>
      <w:tr>
        <w:tblPrEx>
          <w:tblCellMar>
            <w:top w:w="0" w:type="dxa"/>
            <w:left w:w="108" w:type="dxa"/>
            <w:bottom w:w="0" w:type="dxa"/>
            <w:right w:w="108" w:type="dxa"/>
          </w:tblCellMar>
        </w:tblPrEx>
        <w:trPr>
          <w:trHeight w:val="570" w:hRule="atLeast"/>
        </w:trPr>
        <w:tc>
          <w:tcPr>
            <w:tcW w:w="149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30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预算执行缺乏监控</w:t>
            </w:r>
          </w:p>
        </w:tc>
      </w:tr>
    </w:tbl>
    <w:p>
      <w:pPr>
        <w:pStyle w:val="2"/>
        <w:rPr>
          <w:rFonts w:hint="default"/>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sectPr>
          <w:footerReference r:id="rId6" w:type="default"/>
          <w:pgSz w:w="11910" w:h="16840"/>
          <w:pgMar w:top="2098" w:right="1474" w:bottom="1984" w:left="1587" w:header="1017" w:footer="1206" w:gutter="0"/>
          <w:pgNumType w:fmt="decimal"/>
          <w:cols w:equalWidth="0" w:num="1">
            <w:col w:w="8810"/>
          </w:cols>
        </w:sectPr>
      </w:pPr>
    </w:p>
    <w:bookmarkEnd w:id="38"/>
    <w:bookmarkEnd w:id="39"/>
    <w:bookmarkEnd w:id="40"/>
    <w:p>
      <w:pPr>
        <w:widowControl w:val="0"/>
        <w:numPr>
          <w:ilvl w:val="0"/>
          <w:numId w:val="0"/>
        </w:numPr>
        <w:jc w:val="both"/>
        <w:outlineLvl w:val="9"/>
        <w:rPr>
          <w:rFonts w:hint="default" w:ascii="黑体" w:hAnsi="黑体" w:eastAsia="黑体" w:cs="黑体"/>
          <w:b/>
          <w:color w:val="000000"/>
          <w:sz w:val="32"/>
          <w:szCs w:val="32"/>
          <w:highlight w:val="none"/>
          <w:lang w:val="en-US" w:eastAsia="zh-Hans" w:bidi="ar"/>
        </w:rPr>
      </w:pPr>
      <w:r>
        <w:rPr>
          <w:rFonts w:hint="eastAsia" w:ascii="黑体" w:hAnsi="黑体" w:eastAsia="黑体" w:cs="黑体"/>
          <w:color w:val="auto"/>
          <w:kern w:val="0"/>
          <w:sz w:val="32"/>
          <w:szCs w:val="32"/>
          <w:highlight w:val="none"/>
          <w:shd w:val="clear" w:color="auto" w:fill="FFFFFF"/>
          <w:lang w:val="en-US" w:eastAsia="zh-CN"/>
        </w:rPr>
        <w:t>附件3</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723" w:firstLineChars="200"/>
        <w:jc w:val="center"/>
        <w:textAlignment w:val="auto"/>
        <w:rPr>
          <w:rFonts w:hint="default" w:ascii="Times New Roman" w:hAnsi="Times New Roman" w:eastAsia="仿宋_GB2312" w:cs="Times New Roman"/>
          <w:color w:val="auto"/>
          <w:kern w:val="0"/>
          <w:sz w:val="24"/>
          <w:szCs w:val="24"/>
          <w:highlight w:val="none"/>
          <w:shd w:val="clear" w:color="auto" w:fill="FFFFFF"/>
          <w:lang w:val="en-US" w:eastAsia="zh-CN"/>
        </w:rPr>
      </w:pPr>
      <w:bookmarkStart w:id="41" w:name="_Toc994383943_WPSOffice_Level3"/>
      <w:bookmarkStart w:id="42" w:name="_Toc269227630_WPSOffice_Level3"/>
      <w:r>
        <w:rPr>
          <w:rFonts w:hint="eastAsia" w:ascii="宋体" w:hAnsi="宋体" w:eastAsia="宋体" w:cs="宋体"/>
          <w:b/>
          <w:bCs/>
          <w:color w:val="auto"/>
          <w:kern w:val="0"/>
          <w:sz w:val="36"/>
          <w:szCs w:val="36"/>
          <w:highlight w:val="none"/>
          <w:shd w:val="clear" w:color="auto" w:fill="FFFFFF"/>
          <w:lang w:val="en-US" w:eastAsia="zh-Hans"/>
        </w:rPr>
        <w:t>2020年度</w:t>
      </w:r>
      <w:r>
        <w:rPr>
          <w:rFonts w:hint="eastAsia" w:ascii="宋体" w:hAnsi="宋体" w:eastAsia="宋体" w:cs="宋体"/>
          <w:b/>
          <w:bCs/>
          <w:color w:val="auto"/>
          <w:kern w:val="0"/>
          <w:sz w:val="36"/>
          <w:szCs w:val="36"/>
          <w:highlight w:val="none"/>
          <w:shd w:val="clear" w:color="auto" w:fill="FFFFFF"/>
          <w:lang w:val="en-US" w:eastAsia="zh-CN"/>
        </w:rPr>
        <w:t>铜川市新区</w:t>
      </w:r>
      <w:r>
        <w:rPr>
          <w:rFonts w:hint="eastAsia" w:cs="宋体"/>
          <w:b/>
          <w:bCs/>
          <w:color w:val="auto"/>
          <w:kern w:val="0"/>
          <w:sz w:val="36"/>
          <w:szCs w:val="36"/>
          <w:highlight w:val="none"/>
          <w:shd w:val="clear" w:color="auto" w:fill="FFFFFF"/>
          <w:lang w:val="en-US" w:eastAsia="zh-CN"/>
        </w:rPr>
        <w:t>统计局</w:t>
      </w:r>
      <w:r>
        <w:rPr>
          <w:rFonts w:hint="eastAsia" w:ascii="宋体" w:hAnsi="宋体" w:eastAsia="宋体" w:cs="宋体"/>
          <w:b/>
          <w:bCs/>
          <w:color w:val="auto"/>
          <w:kern w:val="0"/>
          <w:sz w:val="36"/>
          <w:szCs w:val="36"/>
          <w:highlight w:val="none"/>
          <w:shd w:val="clear" w:color="auto" w:fill="FFFFFF"/>
          <w:lang w:val="en-US" w:eastAsia="zh-CN"/>
        </w:rPr>
        <w:t>部门</w:t>
      </w:r>
      <w:r>
        <w:rPr>
          <w:rFonts w:hint="eastAsia" w:ascii="宋体" w:hAnsi="宋体" w:eastAsia="宋体" w:cs="宋体"/>
          <w:b/>
          <w:bCs/>
          <w:color w:val="auto"/>
          <w:kern w:val="0"/>
          <w:sz w:val="36"/>
          <w:szCs w:val="36"/>
          <w:highlight w:val="none"/>
          <w:shd w:val="clear" w:color="auto" w:fill="FFFFFF"/>
          <w:lang w:val="en-US" w:eastAsia="zh-Hans"/>
        </w:rPr>
        <w:t>整体支出</w:t>
      </w:r>
      <w:bookmarkEnd w:id="41"/>
      <w:bookmarkEnd w:id="42"/>
      <w:r>
        <w:rPr>
          <w:rFonts w:hint="eastAsia" w:ascii="宋体" w:hAnsi="宋体" w:eastAsia="宋体" w:cs="宋体"/>
          <w:b/>
          <w:bCs/>
          <w:color w:val="auto"/>
          <w:kern w:val="0"/>
          <w:sz w:val="36"/>
          <w:szCs w:val="36"/>
          <w:highlight w:val="none"/>
          <w:shd w:val="clear" w:color="auto" w:fill="FFFFFF"/>
          <w:lang w:val="en-US" w:eastAsia="zh-CN"/>
        </w:rPr>
        <w:t>绩效评价</w:t>
      </w:r>
      <w:r>
        <w:rPr>
          <w:rFonts w:hint="eastAsia" w:cs="宋体"/>
          <w:b/>
          <w:bCs/>
          <w:color w:val="auto"/>
          <w:kern w:val="0"/>
          <w:sz w:val="36"/>
          <w:szCs w:val="36"/>
          <w:highlight w:val="none"/>
          <w:shd w:val="clear" w:color="auto" w:fill="FFFFFF"/>
          <w:lang w:val="en-US" w:eastAsia="zh-CN"/>
        </w:rPr>
        <w:t>指标体系</w:t>
      </w:r>
    </w:p>
    <w:tbl>
      <w:tblPr>
        <w:tblStyle w:val="15"/>
        <w:tblW w:w="4998" w:type="pct"/>
        <w:tblInd w:w="0" w:type="dxa"/>
        <w:shd w:val="clear" w:color="auto" w:fill="auto"/>
        <w:tblLayout w:type="autofit"/>
        <w:tblCellMar>
          <w:top w:w="0" w:type="dxa"/>
          <w:left w:w="0" w:type="dxa"/>
          <w:bottom w:w="0" w:type="dxa"/>
          <w:right w:w="0" w:type="dxa"/>
        </w:tblCellMar>
      </w:tblPr>
      <w:tblGrid>
        <w:gridCol w:w="1045"/>
        <w:gridCol w:w="1024"/>
        <w:gridCol w:w="1070"/>
        <w:gridCol w:w="3188"/>
        <w:gridCol w:w="1687"/>
        <w:gridCol w:w="812"/>
      </w:tblGrid>
      <w:tr>
        <w:tblPrEx>
          <w:shd w:val="clear" w:color="auto" w:fill="auto"/>
          <w:tblCellMar>
            <w:top w:w="0" w:type="dxa"/>
            <w:left w:w="0" w:type="dxa"/>
            <w:bottom w:w="0" w:type="dxa"/>
            <w:right w:w="0" w:type="dxa"/>
          </w:tblCellMar>
        </w:tblPrEx>
        <w:trPr>
          <w:trHeight w:val="300" w:hRule="atLeast"/>
        </w:trPr>
        <w:tc>
          <w:tcPr>
            <w:tcW w:w="59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评价要点</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评分标准</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w:t>
            </w:r>
          </w:p>
        </w:tc>
      </w:tr>
      <w:tr>
        <w:tblPrEx>
          <w:shd w:val="clear" w:color="auto" w:fill="auto"/>
          <w:tblCellMar>
            <w:top w:w="0" w:type="dxa"/>
            <w:left w:w="0" w:type="dxa"/>
            <w:bottom w:w="0" w:type="dxa"/>
            <w:right w:w="0" w:type="dxa"/>
          </w:tblCellMar>
        </w:tblPrEx>
        <w:trPr>
          <w:trHeight w:val="2700" w:hRule="atLeast"/>
        </w:trPr>
        <w:tc>
          <w:tcPr>
            <w:tcW w:w="59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投入</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目标设定（8）</w:t>
            </w: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绩效目标合理性（4）</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①是否符合国家法律法规、国民经济和社会发展总体规划（1）             </w:t>
            </w:r>
            <w:r>
              <w:rPr>
                <w:rFonts w:hint="eastAsia"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②是否符合部门“三定”方案确定的职责（1）                          ③是否符合部门制定的中长期实施规划（1）                                ④绩效目标是否进行年度申报并进行公开（1）</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该指标根据指标说明项，出现1项不符合的扣1分，哪项不完全相符合的，在对应的分值之内酌情扣分，扣完为止。</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24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绩效指标明确性（4）</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①是否将部门整体的绩效目标细化分解为具体的工作任务（1）              ②是否通过清晰、可衡量的指标值予以体现（1）                           ③是否与部门年度的任务数或计划数相对应（1）                         ④是否与本年度部门预算资金相匹配（1）</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该指标根据指标说明项，出现1项不符合的扣1分，哪项不完全相符合的，在对应的分值之内酌情扣分，扣完为止。</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21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预算配置（6）</w:t>
            </w: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在职人员控制率（2）</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在职人员控制率=（在职人员数/编制数）×100%                                在职人员数：部门实际在职人数，以财政部确定的部门决算编制口径为准                         编制数：机构编制部门核定批复的部门的人员编制数</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100%及以下，满分。100%～105%，扣减10%分值。105%～110%，扣减30%分值。110%～120%，扣减50%分值。120%以上，不得分。</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6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“三公经费”变动率（2）</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“三公经费”变动率=[（2020年度“三公经费”总额 -2019年度“三公经费”总额）/2019年度“三公经费”总额]×100%。                        “三公经费”：年度预算安排的因公出国（境）费 、公务车辆购置及运行费和公务招待费。</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0%及以下，满分。0%～5%，扣减10%分值 。5%～10%，扣减30%分值。10%～20%，扣 减50%分值。20%以上，不得分。</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4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重点支出安排率（2）</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重点支出安排率=（重点项目支出/项目总支出）×100%                         重点项目支出：部门2020年度预算安排的，与本部门履职和发展密切相关、具有明显社会和经济影响、党委政府关心或社会比较关注的项目支出总额                     项目总支出：部门2020年度调整预算安排的项目支出总额。</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分值=指标分值*重点支出安排率</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800" w:hRule="atLeast"/>
        </w:trPr>
        <w:tc>
          <w:tcPr>
            <w:tcW w:w="59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过程</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w:t>
            </w:r>
          </w:p>
        </w:tc>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预算执行（7）</w:t>
            </w: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预算完成率（1）</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预算完成率=（预算完成数/调整预算数）×100%                       预算完成数：部门本年度实际完成的预算数                             调整预算数：财政部门批复的本年度部门及年度追加调减后的调整预算数</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分值=指标分值*预算完成率</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1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预算调整率（1）</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预算调整率=（预算调整数/调整预算数）×100%。                         预算调整数：部门在本年度内涉及预算的追加、追减或结构调整的资金总和。（因落实国家政策、发生不可抗力、上级部门或本级党委政府临时交办而产生的调整除外）</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0%及以下，满分。0%～5%，扣减10%分值 。5%～10%，扣减30%分值。10%～20%，扣 减50%分值。20%以上，不得分</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5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结转结余率（1）</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结转结余率=结转结余总额/支出调整预算数×100%                        结转结余总额：部门本年度的结转资金与结余资金之和（以决算数为准）</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5%及以下，满分。5%～10%，扣减30%分值。10%～20%，扣减50%分值。20%以上，不得分。</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8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结转结余变动率（1）</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结转结余变动率=[（2020年度累计结转结余资金总额-2019年度累计结转结余资金总额）/2019年度累计结转结余资金总额]×100%</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0%及以下，满分。0%～5%，扣减10%分值 。5%～10%，扣减30%分值。10%～20%，扣减50%分值。20%以上，不得分。</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1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公用经费控制率（1）</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公用经费控制率=（实际支出公用经费总额/预算安排公用经费总额）×100%</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100%及以下，满分。100%～105%，扣减10%分值。105%～110%，扣减30%分值。110%～120%，扣减50%分值。120%以上，不得分。</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1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“三公”经费控制率（1）</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“三公经费”控制率=（“三公经费”实际支出数 /“三公经费”预算安排数）×100%</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100%及以下，满分。100%～105%，扣减 10%分值。105%～110%，扣减30%分值。110%～120%，扣减50%分值。120%以上，不得分</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1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政府采购执行率（1）</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政府采购执行率=（实际政府采购金额/政府采购预算数）×100%； 政府采购预算：采购机关根据事业发展计划和行政任务编制的、并经过规定程序批准的年度政府采购计划</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100%及以下，满分。100%～105%，扣减10%分值。105%～110%，扣减30%分值。110%～120%，扣减50%分值。120%以上，不得分</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8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预算管理（8.5）</w:t>
            </w: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管理制度健全性（2）</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①是否已制定或具有预算绩效管理制度、预算资金管理办法、内部财务管理制度、会计核算制度等管理制度（1）                    ②相关管理制度是否合法、合规、完整（1） </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该指标根据指标说明项，出现1项不符合的扣1分，哪项不完全相符合的，在对应的分值之内酌情扣分，扣完为止。</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3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资金使用合规性（2.5）</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①是否符合国家财经法规和财务管理制度规定以及有关专项资金管理办法的规定（0.5）                            ②资金的拨付是否有完整的审批程序和手续（0.5）                          ③项目的重大开支是否经过评估论证（0.5）                             ④是否符合部门预算批复的用途（0.5）                              ⑤是否存在截留、挤占、挪用、虚列支出等情况（0.5）</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该指标根据指标说明项，出现1项不符合的扣0.5分，哪项不完全相符合的，在对应的分值之内酌情扣分，扣完为止</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18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预算执行监控（2）</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①部门是否建立预算执行监控制度（</w:t>
            </w:r>
            <w:r>
              <w:rPr>
                <w:rFonts w:hint="eastAsia" w:cs="宋体"/>
                <w:i w:val="0"/>
                <w:color w:val="000000"/>
                <w:kern w:val="0"/>
                <w:sz w:val="24"/>
                <w:szCs w:val="24"/>
                <w:u w:val="none"/>
                <w:lang w:val="en-US" w:eastAsia="zh-CN" w:bidi="ar"/>
              </w:rPr>
              <w:t>1</w:t>
            </w:r>
            <w:r>
              <w:rPr>
                <w:rFonts w:hint="eastAsia" w:ascii="宋体" w:hAnsi="宋体" w:eastAsia="宋体" w:cs="宋体"/>
                <w:i w:val="0"/>
                <w:color w:val="000000"/>
                <w:kern w:val="0"/>
                <w:sz w:val="24"/>
                <w:szCs w:val="24"/>
                <w:u w:val="none"/>
                <w:lang w:val="en-US" w:eastAsia="zh-CN" w:bidi="ar"/>
              </w:rPr>
              <w:t>）                             ②部门是否进行日常监控和重点监控，并针对预算执行偏差较大的项目采取纠偏措施（</w:t>
            </w:r>
            <w:r>
              <w:rPr>
                <w:rFonts w:hint="eastAsia" w:cs="宋体"/>
                <w:i w:val="0"/>
                <w:color w:val="000000"/>
                <w:kern w:val="0"/>
                <w:sz w:val="24"/>
                <w:szCs w:val="24"/>
                <w:u w:val="none"/>
                <w:lang w:val="en-US" w:eastAsia="zh-CN" w:bidi="ar"/>
              </w:rPr>
              <w:t>1</w:t>
            </w:r>
            <w:r>
              <w:rPr>
                <w:rFonts w:hint="eastAsia" w:ascii="宋体" w:hAnsi="宋体" w:eastAsia="宋体" w:cs="宋体"/>
                <w:i w:val="0"/>
                <w:color w:val="000000"/>
                <w:kern w:val="0"/>
                <w:sz w:val="24"/>
                <w:szCs w:val="24"/>
                <w:u w:val="none"/>
                <w:lang w:val="en-US" w:eastAsia="zh-CN" w:bidi="ar"/>
              </w:rPr>
              <w:t>）</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该指标根据指标说明项，出现1项不符合的扣1分，哪项不完全相符合的，在对应的分值之内酌情扣分，扣完为止。</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8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预决算信息公开性（2）</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①是否按规定内容公开预决算信息（1）                             ②是否按规定时限公开预决算信息（1）                             预决算信息是指与部门预算、执行、决算、监督、 绩效等管理相关的信息。</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该指标根据指标说明项，出现1项不符合的扣1分，哪项不完全相符合的，在对应的分值之内酌情扣分，扣完为止。</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4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资产管理（6.5）</w:t>
            </w: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管理制度健全性（3）</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①是否已制定或具有资产管理制度（1）                            ②相关资金管理制度是否合法、合规、完整（1）                        ③相关资产管理制度是否得到有效执行（1）</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该指标根据指标说明项，出现1项不符合的扣1分，哪项不完全相符合的，在对应的分值之内酌情扣分，扣完为止</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21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资产管理安全性（2.5）</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①资产保存是否完整（0.5）              ②资产配置是否合理（0.5）                        ③资产处置是否规范（0.5）               ④资产账务管理是否合规，是否帐实相符（0.5）                          ⑤资产是否有偿使用及处置收入及时足额上缴（0.5）</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该指标根据指标说明项，出现1项不符合的扣0.5分，哪项不完全相符合的，在对应的分值之内酌情扣分，扣完为止</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12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固定资产利用率（1）</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固定资产利用率=（实际在用固定资产总额/所有固定资产总额）×100%</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得分=指标分值×固定资产利用率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400" w:hRule="atLeast"/>
        </w:trPr>
        <w:tc>
          <w:tcPr>
            <w:tcW w:w="59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产出</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职责履行（20）</w:t>
            </w: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重点工作办结率（5）</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实际完成率=（实际完成工作数/计划工作数） ×100%。                  实际完成工作数：一定时期（年度或规划期）内部门（单位）实际完成工作任务的数量。                        计划工作数：部门（单位）整体绩效目标确定的一 定时期（年度或规划期）内预计完成工作任务的数量。</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得分=本指标分值×重点支出办结率</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18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重点工作完成及时率（5）</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完成及时率=（及时完成实际工作数/计划工作数） ×100%。                 及时完成实际工作数：部门（单位）按照整体绩效 目标确定的时限实际完成的工作任务数量。</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得分=本指标分值×重点工作完成及时率</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193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重点工作质量达标率（5）</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质量达标率=（质量达标实际工作数/计划工作数） ×100%。                   质量达标实际工作数：一定时期（年度或规划期） 内部门（单位）实际完成工作数中达到部门绩效目标要求（绩效标准值）的工作任务数量。</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得分=本指标分值×重点工作质量达标率</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35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成本节约率（5）</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成本节约率=[（计划成本-实际成本）/计划成本]×100%。                    实际成本：单位如期、保质、保量完成既定工作目标实际所耗费的支出。                          计划成本：单位为完成工作目标计划安排的支出，一般以项目预算为参考。</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成本节约率在0～5%之间，满分。超过部分按比例扣分。</w:t>
            </w: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1200" w:hRule="atLeast"/>
        </w:trPr>
        <w:tc>
          <w:tcPr>
            <w:tcW w:w="59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效果</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（44）</w:t>
            </w:r>
          </w:p>
        </w:tc>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履职效益（44）</w:t>
            </w:r>
          </w:p>
        </w:tc>
        <w:tc>
          <w:tcPr>
            <w:tcW w:w="60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经济效益</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1.对整体经济运行是否具有监控作用       </w:t>
            </w:r>
            <w:r>
              <w:rPr>
                <w:rFonts w:hint="eastAsia"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2.形成了监控文件。每形成1类文件得3分。</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4"/>
                <w:szCs w:val="24"/>
                <w:u w:val="none"/>
              </w:rPr>
            </w:pP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21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1.根据《月度经济指标月报表内容》，地方财政收入实现年度任务，得2分。               2.GDP增速持平或增加，得2分。          </w:t>
            </w:r>
            <w:r>
              <w:rPr>
                <w:rFonts w:hint="eastAsia"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3.根据统计数据，全区固定资产投资实现年度任务。得2分</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4"/>
                <w:szCs w:val="24"/>
                <w:u w:val="none"/>
              </w:rPr>
            </w:pP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89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1.是否制定了劳动工资统计调查制度（3）                                2.劳动工资统计工作开展是否有效（3）</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4"/>
                <w:szCs w:val="24"/>
                <w:u w:val="none"/>
              </w:rPr>
            </w:pP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12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1.是否建立脱贫攻坚普查实施方案（3）                                2.是否制定普查计划，并合理分工（3）</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4"/>
                <w:szCs w:val="24"/>
                <w:u w:val="none"/>
              </w:rPr>
            </w:pP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55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是否对农民工进行定期监测，并形成报告，每缺少1次扣1分。</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4"/>
                <w:szCs w:val="24"/>
                <w:u w:val="none"/>
              </w:rPr>
            </w:pP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43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2020年度新培育“五上”企业，相比于2019年每增加1家得1分。</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4"/>
                <w:szCs w:val="24"/>
                <w:u w:val="none"/>
              </w:rPr>
            </w:pP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9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可持续影响</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部门职工是否全部完成线上培训。出现1人未完成，扣1分。</w:t>
            </w: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4"/>
                <w:szCs w:val="24"/>
                <w:u w:val="none"/>
              </w:rPr>
            </w:pP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600" w:hRule="atLeast"/>
        </w:trPr>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服务对象满意度（4）</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4"/>
                <w:szCs w:val="24"/>
                <w:u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宋体" w:hAnsi="宋体" w:eastAsia="宋体" w:cs="宋体"/>
                <w:i w:val="0"/>
                <w:color w:val="000000"/>
                <w:sz w:val="24"/>
                <w:szCs w:val="24"/>
                <w:u w:val="none"/>
              </w:rPr>
            </w:pP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300" w:hRule="atLeast"/>
        </w:trPr>
        <w:tc>
          <w:tcPr>
            <w:tcW w:w="1778" w:type="pct"/>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w:t>
            </w:r>
          </w:p>
        </w:tc>
        <w:tc>
          <w:tcPr>
            <w:tcW w:w="180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95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46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bl>
    <w:p>
      <w:pPr>
        <w:spacing w:before="120" w:beforeLines="50" w:after="120" w:afterLines="50" w:line="360" w:lineRule="auto"/>
        <w:outlineLvl w:val="9"/>
        <w:rPr>
          <w:rFonts w:hint="eastAsia"/>
          <w:highlight w:val="none"/>
          <w:lang w:eastAsia="zh-Hans"/>
        </w:rPr>
      </w:pPr>
    </w:p>
    <w:sectPr>
      <w:pgSz w:w="11910" w:h="16840"/>
      <w:pgMar w:top="2098" w:right="1474" w:bottom="1984" w:left="1587" w:header="1017" w:footer="1206" w:gutter="0"/>
      <w:pgNumType w:fmt="decimal"/>
      <w:cols w:equalWidth="0" w:num="1">
        <w:col w:w="8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4384" behindDoc="0" locked="0" layoutInCell="1" allowOverlap="1">
              <wp:simplePos x="0" y="0"/>
              <wp:positionH relativeFrom="margin">
                <wp:align>inside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- 4 -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- 33 -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- 33 -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mc:AlternateContent>
        <mc:Choice Requires="wps">
          <w:drawing>
            <wp:anchor distT="0" distB="0" distL="114300" distR="114300" simplePos="0" relativeHeight="251660288" behindDoc="1" locked="0" layoutInCell="1" allowOverlap="1">
              <wp:simplePos x="0" y="0"/>
              <wp:positionH relativeFrom="page">
                <wp:posOffset>1791335</wp:posOffset>
              </wp:positionH>
              <wp:positionV relativeFrom="page">
                <wp:posOffset>623570</wp:posOffset>
              </wp:positionV>
              <wp:extent cx="3945890" cy="215265"/>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3945890" cy="215265"/>
                      </a:xfrm>
                      <a:prstGeom prst="rect">
                        <a:avLst/>
                      </a:prstGeom>
                      <a:noFill/>
                      <a:ln w="9525">
                        <a:noFill/>
                      </a:ln>
                    </wps:spPr>
                    <wps:txbx>
                      <w:txbxContent>
                        <w:p>
                          <w:pPr>
                            <w:pStyle w:val="9"/>
                            <w:keepNext w:val="0"/>
                            <w:keepLines w:val="0"/>
                            <w:pageBreakBefore w:val="0"/>
                            <w:pBdr>
                              <w:bottom w:val="thinThickLargeGap" w:color="auto" w:sz="4" w:space="1"/>
                            </w:pBdr>
                            <w:kinsoku/>
                            <w:wordWrap/>
                            <w:overflowPunct/>
                            <w:topLinePunct w:val="0"/>
                            <w:autoSpaceDE/>
                            <w:autoSpaceDN/>
                            <w:bidi w:val="0"/>
                            <w:adjustRightInd/>
                            <w:spacing w:line="360" w:lineRule="auto"/>
                            <w:ind w:right="0" w:rightChars="0" w:firstLine="0" w:firstLineChars="0"/>
                            <w:jc w:val="both"/>
                            <w:textAlignment w:val="auto"/>
                            <w:outlineLvl w:val="9"/>
                            <w:rPr>
                              <w:rFonts w:hint="eastAsia" w:ascii="Calibri" w:hAnsi="Calibri" w:cs="Times New Roman"/>
                              <w:b/>
                              <w:bCs/>
                              <w:i w:val="0"/>
                              <w:iCs w:val="0"/>
                              <w:kern w:val="2"/>
                              <w:sz w:val="18"/>
                              <w:szCs w:val="18"/>
                              <w:lang w:val="en-US" w:eastAsia="zh-Hans"/>
                            </w:rPr>
                          </w:pPr>
                        </w:p>
                        <w:p>
                          <w:pPr>
                            <w:keepNext w:val="0"/>
                            <w:keepLines w:val="0"/>
                            <w:pageBreakBefore w:val="0"/>
                            <w:kinsoku/>
                            <w:wordWrap/>
                            <w:overflowPunct/>
                            <w:topLinePunct w:val="0"/>
                            <w:autoSpaceDE/>
                            <w:autoSpaceDN/>
                            <w:bidi w:val="0"/>
                            <w:adjustRightInd/>
                            <w:spacing w:line="360" w:lineRule="auto"/>
                            <w:ind w:left="20" w:right="0" w:rightChars="0" w:firstLine="0" w:firstLineChars="0"/>
                            <w:textAlignment w:val="auto"/>
                            <w:rPr>
                              <w:rFonts w:ascii="仿宋" w:eastAsia="仿宋"/>
                              <w:i w:val="0"/>
                              <w:iCs w:val="0"/>
                              <w:sz w:val="18"/>
                              <w:szCs w:val="18"/>
                              <w:lang w:eastAsia="zh-Hans"/>
                            </w:rPr>
                          </w:pPr>
                        </w:p>
                      </w:txbxContent>
                    </wps:txbx>
                    <wps:bodyPr lIns="0" tIns="0" rIns="0" bIns="0" upright="1"/>
                  </wps:wsp>
                </a:graphicData>
              </a:graphic>
            </wp:anchor>
          </w:drawing>
        </mc:Choice>
        <mc:Fallback>
          <w:pict>
            <v:shape id="_x0000_s1026" o:spid="_x0000_s1026" o:spt="202" type="#_x0000_t202" style="position:absolute;left:0pt;margin-left:141.05pt;margin-top:49.1pt;height:16.95pt;width:310.7pt;mso-position-horizontal-relative:page;mso-position-vertical-relative:page;z-index:-251656192;mso-width-relative:page;mso-height-relative:page;" filled="f" stroked="f" coordsize="21600,21600" o:gfxdata="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9Anp/YAAAACgEAAA8AAAAAAAAAAQAgAAAAIgAAAGRycy9kb3ducmV2&#10;LnhtbFBLAQIUABQAAAAIAIdO4kCXiU2BwwEAAH0DAAAOAAAAAAAAAAEAIAAAACcBAABkcnMvZTJv&#10;RG9jLnhtbFBLBQYAAAAABgAGAFkBAABcBQAAAAA=&#10;">
              <v:fill on="f" focussize="0,0"/>
              <v:stroke on="f"/>
              <v:imagedata o:title=""/>
              <o:lock v:ext="edit" aspectratio="f"/>
              <v:textbox inset="0mm,0mm,0mm,0mm">
                <w:txbxContent>
                  <w:p>
                    <w:pPr>
                      <w:pStyle w:val="9"/>
                      <w:keepNext w:val="0"/>
                      <w:keepLines w:val="0"/>
                      <w:pageBreakBefore w:val="0"/>
                      <w:pBdr>
                        <w:bottom w:val="thinThickLargeGap" w:color="auto" w:sz="4" w:space="1"/>
                      </w:pBdr>
                      <w:kinsoku/>
                      <w:wordWrap/>
                      <w:overflowPunct/>
                      <w:topLinePunct w:val="0"/>
                      <w:autoSpaceDE/>
                      <w:autoSpaceDN/>
                      <w:bidi w:val="0"/>
                      <w:adjustRightInd/>
                      <w:spacing w:line="360" w:lineRule="auto"/>
                      <w:ind w:right="0" w:rightChars="0" w:firstLine="0" w:firstLineChars="0"/>
                      <w:jc w:val="both"/>
                      <w:textAlignment w:val="auto"/>
                      <w:outlineLvl w:val="9"/>
                      <w:rPr>
                        <w:rFonts w:hint="eastAsia" w:ascii="Calibri" w:hAnsi="Calibri" w:cs="Times New Roman"/>
                        <w:b/>
                        <w:bCs/>
                        <w:i w:val="0"/>
                        <w:iCs w:val="0"/>
                        <w:kern w:val="2"/>
                        <w:sz w:val="18"/>
                        <w:szCs w:val="18"/>
                        <w:lang w:val="en-US" w:eastAsia="zh-Hans"/>
                      </w:rPr>
                    </w:pPr>
                  </w:p>
                  <w:p>
                    <w:pPr>
                      <w:keepNext w:val="0"/>
                      <w:keepLines w:val="0"/>
                      <w:pageBreakBefore w:val="0"/>
                      <w:kinsoku/>
                      <w:wordWrap/>
                      <w:overflowPunct/>
                      <w:topLinePunct w:val="0"/>
                      <w:autoSpaceDE/>
                      <w:autoSpaceDN/>
                      <w:bidi w:val="0"/>
                      <w:adjustRightInd/>
                      <w:spacing w:line="360" w:lineRule="auto"/>
                      <w:ind w:left="20" w:right="0" w:rightChars="0" w:firstLine="0" w:firstLineChars="0"/>
                      <w:textAlignment w:val="auto"/>
                      <w:rPr>
                        <w:rFonts w:ascii="仿宋" w:eastAsia="仿宋"/>
                        <w:i w:val="0"/>
                        <w:iCs w:val="0"/>
                        <w:sz w:val="18"/>
                        <w:szCs w:val="18"/>
                        <w:lang w:eastAsia="zh-Hans"/>
                      </w:rPr>
                    </w:pP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1143000</wp:posOffset>
              </wp:positionH>
              <wp:positionV relativeFrom="page">
                <wp:posOffset>789940</wp:posOffset>
              </wp:positionV>
              <wp:extent cx="5274310" cy="5715"/>
              <wp:effectExtent l="0" t="0" r="0" b="0"/>
              <wp:wrapNone/>
              <wp:docPr id="14" name="矩形 14"/>
              <wp:cNvGraphicFramePr/>
              <a:graphic xmlns:a="http://schemas.openxmlformats.org/drawingml/2006/main">
                <a:graphicData uri="http://schemas.microsoft.com/office/word/2010/wordprocessingShape">
                  <wps:wsp>
                    <wps:cNvSpPr/>
                    <wps:spPr>
                      <a:xfrm>
                        <a:off x="0" y="0"/>
                        <a:ext cx="5274310" cy="5715"/>
                      </a:xfrm>
                      <a:prstGeom prst="rect">
                        <a:avLst/>
                      </a:prstGeom>
                      <a:solidFill>
                        <a:srgbClr val="000000"/>
                      </a:solidFill>
                      <a:ln w="9525">
                        <a:noFill/>
                      </a:ln>
                    </wps:spPr>
                    <wps:bodyPr upright="1"/>
                  </wps:wsp>
                </a:graphicData>
              </a:graphic>
            </wp:anchor>
          </w:drawing>
        </mc:Choice>
        <mc:Fallback>
          <w:pict>
            <v:rect id="_x0000_s1026" o:spid="_x0000_s1026" o:spt="1" style="position:absolute;left:0pt;margin-left:90pt;margin-top:62.2pt;height:0.45pt;width:415.3pt;mso-position-horizontal-relative:page;mso-position-vertical-relative:page;z-index:-251657216;mso-width-relative:page;mso-height-relative:page;" fillcolor="#000000" filled="t" stroked="f" coordsize="21600,21600" o:gfxdata="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qC3gf2QAAAAwBAAAPAAAAAAAAAAEAIAAAACIAAABkcnMvZG93bnJldi54bWxQSwECFAAU&#10;AAAACACHTuJAu7PtprcBAABoAwAADgAAAAAAAAABACAAAAAoAQAAZHJzL2Uyb0RvYy54bWxQSwUG&#10;AAAAAAYABgBZAQAAUQUAAAAA&#10;">
              <v:fill on="t" focussize="0,0"/>
              <v:stroke on="f"/>
              <v:imagedata o:title=""/>
              <o:lock v:ext="edit" aspectratio="f"/>
            </v:rect>
          </w:pict>
        </mc:Fallback>
      </mc:AlternateContent>
    </w:r>
    <w:r>
      <mc:AlternateContent>
        <mc:Choice Requires="wps">
          <w:drawing>
            <wp:anchor distT="0" distB="0" distL="114300" distR="114300" simplePos="0" relativeHeight="251661312" behindDoc="1" locked="0" layoutInCell="1" allowOverlap="1">
              <wp:simplePos x="0" y="0"/>
              <wp:positionH relativeFrom="page">
                <wp:posOffset>5490210</wp:posOffset>
              </wp:positionH>
              <wp:positionV relativeFrom="page">
                <wp:posOffset>633095</wp:posOffset>
              </wp:positionV>
              <wp:extent cx="939800" cy="26479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939800" cy="264795"/>
                      </a:xfrm>
                      <a:prstGeom prst="rect">
                        <a:avLst/>
                      </a:prstGeom>
                      <a:noFill/>
                      <a:ln w="9525">
                        <a:noFill/>
                      </a:ln>
                    </wps:spPr>
                    <wps:txbx>
                      <w:txbxContent>
                        <w:p>
                          <w:pPr>
                            <w:spacing w:line="220" w:lineRule="exact"/>
                            <w:rPr>
                              <w:rFonts w:ascii="仿宋" w:eastAsia="仿宋"/>
                              <w:sz w:val="18"/>
                            </w:rPr>
                          </w:pPr>
                        </w:p>
                      </w:txbxContent>
                    </wps:txbx>
                    <wps:bodyPr lIns="0" tIns="0" rIns="0" bIns="0" upright="1"/>
                  </wps:wsp>
                </a:graphicData>
              </a:graphic>
            </wp:anchor>
          </w:drawing>
        </mc:Choice>
        <mc:Fallback>
          <w:pict>
            <v:shape id="_x0000_s1026" o:spid="_x0000_s1026" o:spt="202" type="#_x0000_t202" style="position:absolute;left:0pt;margin-left:432.3pt;margin-top:49.85pt;height:20.85pt;width:74pt;mso-position-horizontal-relative:page;mso-position-vertical-relative:page;z-index:-251655168;mso-width-relative:page;mso-height-relative:page;" filled="f" stroked="f" coordsize="21600,21600" o:gfxdata="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FISh6/ZAAAACwEAAA8AAAAAAAAAAQAgAAAAIgAAAGRycy9kb3ducmV2&#10;LnhtbFBLAQIUABQAAAAIAIdO4kAYsVnRwgEAAHwDAAAOAAAAAAAAAAEAIAAAACgBAABkcnMvZTJv&#10;RG9jLnhtbFBLBQYAAAAABgAGAFkBAABcBQAAAAA=&#10;">
              <v:fill on="f" focussize="0,0"/>
              <v:stroke on="f"/>
              <v:imagedata o:title=""/>
              <o:lock v:ext="edit" aspectratio="f"/>
              <v:textbox inset="0mm,0mm,0mm,0mm">
                <w:txbxContent>
                  <w:p>
                    <w:pPr>
                      <w:spacing w:line="220" w:lineRule="exact"/>
                      <w:rPr>
                        <w:rFonts w:ascii="仿宋" w:eastAsia="仿宋"/>
                        <w:sz w:val="18"/>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F3CFB0"/>
    <w:multiLevelType w:val="singleLevel"/>
    <w:tmpl w:val="70F3CFB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779509E"/>
    <w:rsid w:val="00033DCF"/>
    <w:rsid w:val="000A4298"/>
    <w:rsid w:val="000C18C9"/>
    <w:rsid w:val="00135EF6"/>
    <w:rsid w:val="00136F12"/>
    <w:rsid w:val="00193A3E"/>
    <w:rsid w:val="001A570D"/>
    <w:rsid w:val="001C51AB"/>
    <w:rsid w:val="00262AA9"/>
    <w:rsid w:val="00277917"/>
    <w:rsid w:val="002B1E7D"/>
    <w:rsid w:val="003D0043"/>
    <w:rsid w:val="00420C10"/>
    <w:rsid w:val="00447529"/>
    <w:rsid w:val="004709C6"/>
    <w:rsid w:val="00475D62"/>
    <w:rsid w:val="004B344F"/>
    <w:rsid w:val="004C51A4"/>
    <w:rsid w:val="00525570"/>
    <w:rsid w:val="00546BF5"/>
    <w:rsid w:val="00563C88"/>
    <w:rsid w:val="0057025D"/>
    <w:rsid w:val="005B05EB"/>
    <w:rsid w:val="005C5E71"/>
    <w:rsid w:val="00643454"/>
    <w:rsid w:val="006A3C6A"/>
    <w:rsid w:val="006B6C4F"/>
    <w:rsid w:val="006B789A"/>
    <w:rsid w:val="006F65A7"/>
    <w:rsid w:val="00763DE0"/>
    <w:rsid w:val="00780296"/>
    <w:rsid w:val="007B41AD"/>
    <w:rsid w:val="007C3CAD"/>
    <w:rsid w:val="00851E6F"/>
    <w:rsid w:val="00893CA6"/>
    <w:rsid w:val="008E5AF9"/>
    <w:rsid w:val="00910385"/>
    <w:rsid w:val="009523D1"/>
    <w:rsid w:val="00960C52"/>
    <w:rsid w:val="009613AB"/>
    <w:rsid w:val="00970B18"/>
    <w:rsid w:val="009870FD"/>
    <w:rsid w:val="009E4828"/>
    <w:rsid w:val="009F30A0"/>
    <w:rsid w:val="00A32055"/>
    <w:rsid w:val="00A35DDB"/>
    <w:rsid w:val="00A47C8B"/>
    <w:rsid w:val="00A80360"/>
    <w:rsid w:val="00AA4420"/>
    <w:rsid w:val="00AD16A7"/>
    <w:rsid w:val="00B03739"/>
    <w:rsid w:val="00B707ED"/>
    <w:rsid w:val="00B9048D"/>
    <w:rsid w:val="00BA0D97"/>
    <w:rsid w:val="00BA691D"/>
    <w:rsid w:val="00C068CC"/>
    <w:rsid w:val="00C36E68"/>
    <w:rsid w:val="00C43B5A"/>
    <w:rsid w:val="00C76FBD"/>
    <w:rsid w:val="00C94E20"/>
    <w:rsid w:val="00CE1753"/>
    <w:rsid w:val="00D71E77"/>
    <w:rsid w:val="00D925A8"/>
    <w:rsid w:val="00DA1C50"/>
    <w:rsid w:val="00E03C8C"/>
    <w:rsid w:val="00E21638"/>
    <w:rsid w:val="00EB2C85"/>
    <w:rsid w:val="00F43C4D"/>
    <w:rsid w:val="00FA78FE"/>
    <w:rsid w:val="014E6F2D"/>
    <w:rsid w:val="016C782E"/>
    <w:rsid w:val="01E82D68"/>
    <w:rsid w:val="03763AF9"/>
    <w:rsid w:val="037954DB"/>
    <w:rsid w:val="03FD3C8E"/>
    <w:rsid w:val="041A57B3"/>
    <w:rsid w:val="044779A9"/>
    <w:rsid w:val="04956E50"/>
    <w:rsid w:val="04E356F0"/>
    <w:rsid w:val="05706033"/>
    <w:rsid w:val="05B04835"/>
    <w:rsid w:val="05C76026"/>
    <w:rsid w:val="05C77A61"/>
    <w:rsid w:val="05E0082C"/>
    <w:rsid w:val="05FD20FC"/>
    <w:rsid w:val="061F613C"/>
    <w:rsid w:val="06364AC5"/>
    <w:rsid w:val="066731F5"/>
    <w:rsid w:val="06A76340"/>
    <w:rsid w:val="07596AFB"/>
    <w:rsid w:val="078B3248"/>
    <w:rsid w:val="07AFA6BE"/>
    <w:rsid w:val="07C2597F"/>
    <w:rsid w:val="08440002"/>
    <w:rsid w:val="0880581D"/>
    <w:rsid w:val="08E763B1"/>
    <w:rsid w:val="09282892"/>
    <w:rsid w:val="09B75971"/>
    <w:rsid w:val="09D5139F"/>
    <w:rsid w:val="0A541ADF"/>
    <w:rsid w:val="0A753250"/>
    <w:rsid w:val="0ACC7640"/>
    <w:rsid w:val="0AF76836"/>
    <w:rsid w:val="0B08550F"/>
    <w:rsid w:val="0B575902"/>
    <w:rsid w:val="0B5C6090"/>
    <w:rsid w:val="0B7752FB"/>
    <w:rsid w:val="0BDC27C2"/>
    <w:rsid w:val="0C105AEF"/>
    <w:rsid w:val="0C2B3DE6"/>
    <w:rsid w:val="0CB1757F"/>
    <w:rsid w:val="0CED0034"/>
    <w:rsid w:val="0D310454"/>
    <w:rsid w:val="0D44070F"/>
    <w:rsid w:val="0D8D3876"/>
    <w:rsid w:val="0DDE22FC"/>
    <w:rsid w:val="0DEA6DBD"/>
    <w:rsid w:val="0DED0A90"/>
    <w:rsid w:val="0E325784"/>
    <w:rsid w:val="0E3A028A"/>
    <w:rsid w:val="0E7C7AE0"/>
    <w:rsid w:val="0E8A62E7"/>
    <w:rsid w:val="0F446D5E"/>
    <w:rsid w:val="0F7221FC"/>
    <w:rsid w:val="0F9D5B98"/>
    <w:rsid w:val="0FA5679E"/>
    <w:rsid w:val="0FB6670F"/>
    <w:rsid w:val="103857B0"/>
    <w:rsid w:val="104D2379"/>
    <w:rsid w:val="10537D9F"/>
    <w:rsid w:val="10654BC8"/>
    <w:rsid w:val="10707038"/>
    <w:rsid w:val="10C01577"/>
    <w:rsid w:val="10C67A5F"/>
    <w:rsid w:val="11250954"/>
    <w:rsid w:val="120704DD"/>
    <w:rsid w:val="12407B51"/>
    <w:rsid w:val="126C79C9"/>
    <w:rsid w:val="12804956"/>
    <w:rsid w:val="12A07F1B"/>
    <w:rsid w:val="12B25490"/>
    <w:rsid w:val="13292527"/>
    <w:rsid w:val="13EF2888"/>
    <w:rsid w:val="14B50AFC"/>
    <w:rsid w:val="14BC12BD"/>
    <w:rsid w:val="14C63493"/>
    <w:rsid w:val="14E922E3"/>
    <w:rsid w:val="1513305A"/>
    <w:rsid w:val="156163BD"/>
    <w:rsid w:val="15913ACC"/>
    <w:rsid w:val="159C452D"/>
    <w:rsid w:val="15DE418A"/>
    <w:rsid w:val="163300CC"/>
    <w:rsid w:val="163460BC"/>
    <w:rsid w:val="171133F3"/>
    <w:rsid w:val="17382826"/>
    <w:rsid w:val="17513854"/>
    <w:rsid w:val="176F2D8B"/>
    <w:rsid w:val="179B56FF"/>
    <w:rsid w:val="17BB19F6"/>
    <w:rsid w:val="184833AC"/>
    <w:rsid w:val="18587C33"/>
    <w:rsid w:val="190C4AB7"/>
    <w:rsid w:val="191B665E"/>
    <w:rsid w:val="1A19496A"/>
    <w:rsid w:val="1A4F1286"/>
    <w:rsid w:val="1A591792"/>
    <w:rsid w:val="1A7365CF"/>
    <w:rsid w:val="1A783987"/>
    <w:rsid w:val="1AD204DE"/>
    <w:rsid w:val="1AD65B30"/>
    <w:rsid w:val="1B0C1BB0"/>
    <w:rsid w:val="1B143312"/>
    <w:rsid w:val="1B2B1B0F"/>
    <w:rsid w:val="1B4968E8"/>
    <w:rsid w:val="1B5B356A"/>
    <w:rsid w:val="1B82655F"/>
    <w:rsid w:val="1BE50B84"/>
    <w:rsid w:val="1C440A92"/>
    <w:rsid w:val="1C816DB5"/>
    <w:rsid w:val="1CA10911"/>
    <w:rsid w:val="1CC30C5A"/>
    <w:rsid w:val="1CC85C7A"/>
    <w:rsid w:val="1D311AD8"/>
    <w:rsid w:val="1E1C526B"/>
    <w:rsid w:val="1E6D2384"/>
    <w:rsid w:val="1E7D37A1"/>
    <w:rsid w:val="1E80293A"/>
    <w:rsid w:val="1ED77E4D"/>
    <w:rsid w:val="1EDA1CAA"/>
    <w:rsid w:val="1EE10438"/>
    <w:rsid w:val="1F5A653C"/>
    <w:rsid w:val="1F98298D"/>
    <w:rsid w:val="1FCE652E"/>
    <w:rsid w:val="1FED0E93"/>
    <w:rsid w:val="203C75C9"/>
    <w:rsid w:val="208D2567"/>
    <w:rsid w:val="217B0B87"/>
    <w:rsid w:val="21E44818"/>
    <w:rsid w:val="223C43FE"/>
    <w:rsid w:val="22911CA3"/>
    <w:rsid w:val="23144288"/>
    <w:rsid w:val="23760F4A"/>
    <w:rsid w:val="23926449"/>
    <w:rsid w:val="23D142CA"/>
    <w:rsid w:val="23E059E6"/>
    <w:rsid w:val="24485925"/>
    <w:rsid w:val="246B040E"/>
    <w:rsid w:val="24786622"/>
    <w:rsid w:val="247F1BFC"/>
    <w:rsid w:val="24FE4594"/>
    <w:rsid w:val="250C675E"/>
    <w:rsid w:val="251C38FE"/>
    <w:rsid w:val="251E6154"/>
    <w:rsid w:val="25761DD0"/>
    <w:rsid w:val="25C62D01"/>
    <w:rsid w:val="25CC5E57"/>
    <w:rsid w:val="25CF71A4"/>
    <w:rsid w:val="2602774C"/>
    <w:rsid w:val="261841F8"/>
    <w:rsid w:val="26675F9C"/>
    <w:rsid w:val="26687BC1"/>
    <w:rsid w:val="266D4FC8"/>
    <w:rsid w:val="270742FB"/>
    <w:rsid w:val="27323C04"/>
    <w:rsid w:val="27944151"/>
    <w:rsid w:val="27DE7AF8"/>
    <w:rsid w:val="28061A88"/>
    <w:rsid w:val="28D6709F"/>
    <w:rsid w:val="28F9256E"/>
    <w:rsid w:val="28FD0B24"/>
    <w:rsid w:val="291B6739"/>
    <w:rsid w:val="29526988"/>
    <w:rsid w:val="296D689E"/>
    <w:rsid w:val="29E26ED7"/>
    <w:rsid w:val="2A185AAA"/>
    <w:rsid w:val="2A2B053E"/>
    <w:rsid w:val="2B004A03"/>
    <w:rsid w:val="2B667741"/>
    <w:rsid w:val="2B952DC9"/>
    <w:rsid w:val="2C1B65AB"/>
    <w:rsid w:val="2C266A13"/>
    <w:rsid w:val="2C413F15"/>
    <w:rsid w:val="2C484ADF"/>
    <w:rsid w:val="2C863B0A"/>
    <w:rsid w:val="2D7711F4"/>
    <w:rsid w:val="2D7E5D38"/>
    <w:rsid w:val="2DB2412B"/>
    <w:rsid w:val="2DBA2C9C"/>
    <w:rsid w:val="2DFE1003"/>
    <w:rsid w:val="2E125EE8"/>
    <w:rsid w:val="2E636917"/>
    <w:rsid w:val="2E937434"/>
    <w:rsid w:val="2EDD13FD"/>
    <w:rsid w:val="2EF608E5"/>
    <w:rsid w:val="2EFF4609"/>
    <w:rsid w:val="2F4078ED"/>
    <w:rsid w:val="2F436126"/>
    <w:rsid w:val="2F5D2AAD"/>
    <w:rsid w:val="2F5F0DD2"/>
    <w:rsid w:val="2F895979"/>
    <w:rsid w:val="2FAF3FA5"/>
    <w:rsid w:val="2FE81203"/>
    <w:rsid w:val="30002233"/>
    <w:rsid w:val="301A49E7"/>
    <w:rsid w:val="30AB434B"/>
    <w:rsid w:val="30B94BC4"/>
    <w:rsid w:val="30DD69AA"/>
    <w:rsid w:val="315F23CD"/>
    <w:rsid w:val="31D411F6"/>
    <w:rsid w:val="3216747E"/>
    <w:rsid w:val="32267023"/>
    <w:rsid w:val="324F10BD"/>
    <w:rsid w:val="3255427B"/>
    <w:rsid w:val="32E813AE"/>
    <w:rsid w:val="32F62F6C"/>
    <w:rsid w:val="32FF0698"/>
    <w:rsid w:val="33344C0B"/>
    <w:rsid w:val="33A30157"/>
    <w:rsid w:val="34371F3F"/>
    <w:rsid w:val="34446958"/>
    <w:rsid w:val="344554F3"/>
    <w:rsid w:val="34EB417E"/>
    <w:rsid w:val="357445C6"/>
    <w:rsid w:val="358950ED"/>
    <w:rsid w:val="35AA2847"/>
    <w:rsid w:val="35F57C0E"/>
    <w:rsid w:val="36190C78"/>
    <w:rsid w:val="36607590"/>
    <w:rsid w:val="36820561"/>
    <w:rsid w:val="36CD592E"/>
    <w:rsid w:val="36E62DA0"/>
    <w:rsid w:val="375D844E"/>
    <w:rsid w:val="37C63DFA"/>
    <w:rsid w:val="38247311"/>
    <w:rsid w:val="383F05AD"/>
    <w:rsid w:val="388536F6"/>
    <w:rsid w:val="38DB6D55"/>
    <w:rsid w:val="38F47CA6"/>
    <w:rsid w:val="390A46C3"/>
    <w:rsid w:val="393775B4"/>
    <w:rsid w:val="39452513"/>
    <w:rsid w:val="39BE2D40"/>
    <w:rsid w:val="39E735EB"/>
    <w:rsid w:val="39FC04BC"/>
    <w:rsid w:val="3A5F60E2"/>
    <w:rsid w:val="3A8E4210"/>
    <w:rsid w:val="3A9C475D"/>
    <w:rsid w:val="3AC31978"/>
    <w:rsid w:val="3B091EF2"/>
    <w:rsid w:val="3B3310D4"/>
    <w:rsid w:val="3BC14E56"/>
    <w:rsid w:val="3BFE92E6"/>
    <w:rsid w:val="3C5D7628"/>
    <w:rsid w:val="3C7E08AD"/>
    <w:rsid w:val="3C8C47A8"/>
    <w:rsid w:val="3C925432"/>
    <w:rsid w:val="3CA774F5"/>
    <w:rsid w:val="3CAA50ED"/>
    <w:rsid w:val="3CD576EC"/>
    <w:rsid w:val="3D4D580B"/>
    <w:rsid w:val="3D767E1F"/>
    <w:rsid w:val="3D982F80"/>
    <w:rsid w:val="3DCF3C04"/>
    <w:rsid w:val="3DF84D4A"/>
    <w:rsid w:val="3DFD758E"/>
    <w:rsid w:val="3E971C2C"/>
    <w:rsid w:val="3EBF4761"/>
    <w:rsid w:val="3EE02645"/>
    <w:rsid w:val="3EF83F8F"/>
    <w:rsid w:val="3F3123B0"/>
    <w:rsid w:val="3F5A6BDC"/>
    <w:rsid w:val="3F72FB8E"/>
    <w:rsid w:val="3F857BF7"/>
    <w:rsid w:val="3FCF87E2"/>
    <w:rsid w:val="3FE4F30A"/>
    <w:rsid w:val="3FEA7C05"/>
    <w:rsid w:val="3FED7CA3"/>
    <w:rsid w:val="3FFDE92B"/>
    <w:rsid w:val="408E2BEB"/>
    <w:rsid w:val="40934335"/>
    <w:rsid w:val="40B225AE"/>
    <w:rsid w:val="40C800AC"/>
    <w:rsid w:val="40E404D8"/>
    <w:rsid w:val="41FE0CE6"/>
    <w:rsid w:val="42127509"/>
    <w:rsid w:val="42134965"/>
    <w:rsid w:val="42D22654"/>
    <w:rsid w:val="43427F96"/>
    <w:rsid w:val="43DD6659"/>
    <w:rsid w:val="43F00A88"/>
    <w:rsid w:val="440C1A62"/>
    <w:rsid w:val="441F27E8"/>
    <w:rsid w:val="442E6626"/>
    <w:rsid w:val="44AF72AA"/>
    <w:rsid w:val="453F6242"/>
    <w:rsid w:val="454D3391"/>
    <w:rsid w:val="45980D6F"/>
    <w:rsid w:val="45995097"/>
    <w:rsid w:val="45B15AFC"/>
    <w:rsid w:val="45F13BAE"/>
    <w:rsid w:val="45FEEC7A"/>
    <w:rsid w:val="46327DEB"/>
    <w:rsid w:val="46431B5C"/>
    <w:rsid w:val="465034C7"/>
    <w:rsid w:val="466677DA"/>
    <w:rsid w:val="46685015"/>
    <w:rsid w:val="467D76E6"/>
    <w:rsid w:val="46CE74F7"/>
    <w:rsid w:val="47AA4550"/>
    <w:rsid w:val="47AE2D1A"/>
    <w:rsid w:val="47D83DA2"/>
    <w:rsid w:val="483779F8"/>
    <w:rsid w:val="48A94735"/>
    <w:rsid w:val="495A275A"/>
    <w:rsid w:val="497046E6"/>
    <w:rsid w:val="499D6C40"/>
    <w:rsid w:val="49A04D73"/>
    <w:rsid w:val="49F62F02"/>
    <w:rsid w:val="4AA449D8"/>
    <w:rsid w:val="4AE740B0"/>
    <w:rsid w:val="4AED00BD"/>
    <w:rsid w:val="4B4C0B57"/>
    <w:rsid w:val="4BB739C4"/>
    <w:rsid w:val="4C544D34"/>
    <w:rsid w:val="4D750090"/>
    <w:rsid w:val="4D9B160E"/>
    <w:rsid w:val="4DB847AB"/>
    <w:rsid w:val="4DC5726B"/>
    <w:rsid w:val="4DEE2383"/>
    <w:rsid w:val="4E180AAD"/>
    <w:rsid w:val="4E3D5C6A"/>
    <w:rsid w:val="4E401BA3"/>
    <w:rsid w:val="4E744B01"/>
    <w:rsid w:val="4EEA5B73"/>
    <w:rsid w:val="4EEB1428"/>
    <w:rsid w:val="4F150B43"/>
    <w:rsid w:val="4F1D6068"/>
    <w:rsid w:val="4F5376AB"/>
    <w:rsid w:val="4F7F1927"/>
    <w:rsid w:val="4FB753CF"/>
    <w:rsid w:val="4FCD5443"/>
    <w:rsid w:val="4FEF641E"/>
    <w:rsid w:val="5069215F"/>
    <w:rsid w:val="50775897"/>
    <w:rsid w:val="50A1408A"/>
    <w:rsid w:val="50AC2D0F"/>
    <w:rsid w:val="50B204D7"/>
    <w:rsid w:val="51060167"/>
    <w:rsid w:val="51975976"/>
    <w:rsid w:val="520B7E90"/>
    <w:rsid w:val="52280045"/>
    <w:rsid w:val="525F00E3"/>
    <w:rsid w:val="527C456F"/>
    <w:rsid w:val="52993572"/>
    <w:rsid w:val="52C94A24"/>
    <w:rsid w:val="531B02FB"/>
    <w:rsid w:val="536A1860"/>
    <w:rsid w:val="539C678F"/>
    <w:rsid w:val="53AC44AB"/>
    <w:rsid w:val="53DE689E"/>
    <w:rsid w:val="54493BC0"/>
    <w:rsid w:val="546623FD"/>
    <w:rsid w:val="54F91522"/>
    <w:rsid w:val="550A5A6C"/>
    <w:rsid w:val="552E27A5"/>
    <w:rsid w:val="556C4F7B"/>
    <w:rsid w:val="56160AE4"/>
    <w:rsid w:val="564E228B"/>
    <w:rsid w:val="56A61FE8"/>
    <w:rsid w:val="56A70057"/>
    <w:rsid w:val="56C41FE1"/>
    <w:rsid w:val="56CF3B57"/>
    <w:rsid w:val="56DB676E"/>
    <w:rsid w:val="5707272C"/>
    <w:rsid w:val="57323AEE"/>
    <w:rsid w:val="57675951"/>
    <w:rsid w:val="579328B7"/>
    <w:rsid w:val="57AE0D7D"/>
    <w:rsid w:val="57B6441C"/>
    <w:rsid w:val="58432E17"/>
    <w:rsid w:val="58576E0C"/>
    <w:rsid w:val="58A77221"/>
    <w:rsid w:val="58D75F64"/>
    <w:rsid w:val="58DE6357"/>
    <w:rsid w:val="59151653"/>
    <w:rsid w:val="59155C76"/>
    <w:rsid w:val="593B2FB5"/>
    <w:rsid w:val="596155CD"/>
    <w:rsid w:val="5A3D527E"/>
    <w:rsid w:val="5A4C209B"/>
    <w:rsid w:val="5A5D00D0"/>
    <w:rsid w:val="5A9B0EC0"/>
    <w:rsid w:val="5B1C4FC1"/>
    <w:rsid w:val="5B5F8D84"/>
    <w:rsid w:val="5B7E99B1"/>
    <w:rsid w:val="5BB160B9"/>
    <w:rsid w:val="5BBC5FA1"/>
    <w:rsid w:val="5BEF5BA4"/>
    <w:rsid w:val="5C1944E7"/>
    <w:rsid w:val="5C476A03"/>
    <w:rsid w:val="5CC03254"/>
    <w:rsid w:val="5CD36FB4"/>
    <w:rsid w:val="5D4F69A5"/>
    <w:rsid w:val="5D5B032C"/>
    <w:rsid w:val="5D845F7E"/>
    <w:rsid w:val="5D852A13"/>
    <w:rsid w:val="5E8500B8"/>
    <w:rsid w:val="5EAA3A0A"/>
    <w:rsid w:val="5EDF2B36"/>
    <w:rsid w:val="5F16422C"/>
    <w:rsid w:val="5F186462"/>
    <w:rsid w:val="5F283E0F"/>
    <w:rsid w:val="5F363017"/>
    <w:rsid w:val="5F396915"/>
    <w:rsid w:val="602521ED"/>
    <w:rsid w:val="606A4797"/>
    <w:rsid w:val="60A02D1C"/>
    <w:rsid w:val="60E9232C"/>
    <w:rsid w:val="61164DA4"/>
    <w:rsid w:val="6154274D"/>
    <w:rsid w:val="619C127E"/>
    <w:rsid w:val="61EE3D90"/>
    <w:rsid w:val="62367FF4"/>
    <w:rsid w:val="62663B03"/>
    <w:rsid w:val="628F52BA"/>
    <w:rsid w:val="62D95169"/>
    <w:rsid w:val="62EB0B21"/>
    <w:rsid w:val="63A56B8C"/>
    <w:rsid w:val="63B81771"/>
    <w:rsid w:val="63C4604E"/>
    <w:rsid w:val="63CD2F02"/>
    <w:rsid w:val="640B490F"/>
    <w:rsid w:val="64282A7D"/>
    <w:rsid w:val="644867EA"/>
    <w:rsid w:val="645F5F1F"/>
    <w:rsid w:val="66124ABB"/>
    <w:rsid w:val="6655583A"/>
    <w:rsid w:val="66782B50"/>
    <w:rsid w:val="668E6D55"/>
    <w:rsid w:val="66B62AAF"/>
    <w:rsid w:val="66B63F0F"/>
    <w:rsid w:val="67171FE6"/>
    <w:rsid w:val="67365440"/>
    <w:rsid w:val="677C10DD"/>
    <w:rsid w:val="67AA26A2"/>
    <w:rsid w:val="67AF2C39"/>
    <w:rsid w:val="68702643"/>
    <w:rsid w:val="687C1128"/>
    <w:rsid w:val="68D9613A"/>
    <w:rsid w:val="69740BF3"/>
    <w:rsid w:val="697A1AE8"/>
    <w:rsid w:val="69852D69"/>
    <w:rsid w:val="69CD5350"/>
    <w:rsid w:val="69EF5E36"/>
    <w:rsid w:val="69F10A19"/>
    <w:rsid w:val="6A0E2CAA"/>
    <w:rsid w:val="6A312F47"/>
    <w:rsid w:val="6A5B0688"/>
    <w:rsid w:val="6A6D435E"/>
    <w:rsid w:val="6B416891"/>
    <w:rsid w:val="6B730ADB"/>
    <w:rsid w:val="6B973F54"/>
    <w:rsid w:val="6BB82F93"/>
    <w:rsid w:val="6BE66DBF"/>
    <w:rsid w:val="6BFC559A"/>
    <w:rsid w:val="6C735685"/>
    <w:rsid w:val="6C907842"/>
    <w:rsid w:val="6CA12127"/>
    <w:rsid w:val="6CE74ADB"/>
    <w:rsid w:val="6D23490B"/>
    <w:rsid w:val="6D6D126F"/>
    <w:rsid w:val="6D7F0B21"/>
    <w:rsid w:val="6DFF493C"/>
    <w:rsid w:val="6E1E0067"/>
    <w:rsid w:val="6E3103DE"/>
    <w:rsid w:val="6F2D403A"/>
    <w:rsid w:val="6F686B2C"/>
    <w:rsid w:val="6F95430A"/>
    <w:rsid w:val="6FAF9792"/>
    <w:rsid w:val="6FCB6674"/>
    <w:rsid w:val="6FDA1680"/>
    <w:rsid w:val="6FDF92CE"/>
    <w:rsid w:val="6FED039D"/>
    <w:rsid w:val="6FEE0A49"/>
    <w:rsid w:val="6FF62692"/>
    <w:rsid w:val="6FFB20AD"/>
    <w:rsid w:val="6FFE7D7E"/>
    <w:rsid w:val="703F39D2"/>
    <w:rsid w:val="706A2D4C"/>
    <w:rsid w:val="70954FF6"/>
    <w:rsid w:val="70EA4B85"/>
    <w:rsid w:val="71537B1E"/>
    <w:rsid w:val="71826C7B"/>
    <w:rsid w:val="719271D0"/>
    <w:rsid w:val="72BC7438"/>
    <w:rsid w:val="72C826B7"/>
    <w:rsid w:val="72D60E3E"/>
    <w:rsid w:val="72EA3CA9"/>
    <w:rsid w:val="73180AD2"/>
    <w:rsid w:val="7353633E"/>
    <w:rsid w:val="73A77236"/>
    <w:rsid w:val="73B76B14"/>
    <w:rsid w:val="73CE05C8"/>
    <w:rsid w:val="73EF3C6D"/>
    <w:rsid w:val="74027120"/>
    <w:rsid w:val="7440414A"/>
    <w:rsid w:val="74EBB814"/>
    <w:rsid w:val="75092ABC"/>
    <w:rsid w:val="750D7E98"/>
    <w:rsid w:val="751F5C31"/>
    <w:rsid w:val="75499311"/>
    <w:rsid w:val="756E67ED"/>
    <w:rsid w:val="75B118FB"/>
    <w:rsid w:val="75FB5E58"/>
    <w:rsid w:val="76117975"/>
    <w:rsid w:val="7632520E"/>
    <w:rsid w:val="76622199"/>
    <w:rsid w:val="76712296"/>
    <w:rsid w:val="767652A8"/>
    <w:rsid w:val="76A82910"/>
    <w:rsid w:val="76E807EC"/>
    <w:rsid w:val="76FD7797"/>
    <w:rsid w:val="777079AD"/>
    <w:rsid w:val="77DFB228"/>
    <w:rsid w:val="77F932E0"/>
    <w:rsid w:val="78646262"/>
    <w:rsid w:val="78874BB4"/>
    <w:rsid w:val="78946A6F"/>
    <w:rsid w:val="78CF4C8A"/>
    <w:rsid w:val="794B7D9C"/>
    <w:rsid w:val="799338DA"/>
    <w:rsid w:val="799C6B9D"/>
    <w:rsid w:val="799F3238"/>
    <w:rsid w:val="79BD41C2"/>
    <w:rsid w:val="7A611CBD"/>
    <w:rsid w:val="7AD061B2"/>
    <w:rsid w:val="7AE918CD"/>
    <w:rsid w:val="7B3303F3"/>
    <w:rsid w:val="7B9D0E88"/>
    <w:rsid w:val="7BE17CCF"/>
    <w:rsid w:val="7BFBA993"/>
    <w:rsid w:val="7BFBAB29"/>
    <w:rsid w:val="7C10559B"/>
    <w:rsid w:val="7C3471C4"/>
    <w:rsid w:val="7D033001"/>
    <w:rsid w:val="7D500092"/>
    <w:rsid w:val="7D584CA2"/>
    <w:rsid w:val="7D5C3245"/>
    <w:rsid w:val="7D6925E9"/>
    <w:rsid w:val="7D6F453F"/>
    <w:rsid w:val="7DCB1578"/>
    <w:rsid w:val="7DFD5226"/>
    <w:rsid w:val="7E1D7FA5"/>
    <w:rsid w:val="7E2969CB"/>
    <w:rsid w:val="7E3A1FB9"/>
    <w:rsid w:val="7E5B2F60"/>
    <w:rsid w:val="7ECD4EAB"/>
    <w:rsid w:val="7ED43DD4"/>
    <w:rsid w:val="7F023C68"/>
    <w:rsid w:val="7F027446"/>
    <w:rsid w:val="7F104911"/>
    <w:rsid w:val="7F3C5DB2"/>
    <w:rsid w:val="7F50607E"/>
    <w:rsid w:val="7F5724B5"/>
    <w:rsid w:val="7F5E96C4"/>
    <w:rsid w:val="7F73122C"/>
    <w:rsid w:val="7F7F9C3C"/>
    <w:rsid w:val="7F8963F8"/>
    <w:rsid w:val="7FBF5E51"/>
    <w:rsid w:val="7FD2F7DB"/>
    <w:rsid w:val="7FF65F05"/>
    <w:rsid w:val="7FFC03A8"/>
    <w:rsid w:val="7FFDD5E0"/>
    <w:rsid w:val="7FFFD2A8"/>
    <w:rsid w:val="97BF568E"/>
    <w:rsid w:val="97FF0C9B"/>
    <w:rsid w:val="A65BFCF2"/>
    <w:rsid w:val="AD3F6BA7"/>
    <w:rsid w:val="AEBF24CF"/>
    <w:rsid w:val="BEFEAF53"/>
    <w:rsid w:val="BF9B9E8B"/>
    <w:rsid w:val="BFEF0A90"/>
    <w:rsid w:val="BFFB8A96"/>
    <w:rsid w:val="BFFBC8E2"/>
    <w:rsid w:val="CF5FAA61"/>
    <w:rsid w:val="CFFDE188"/>
    <w:rsid w:val="D779509E"/>
    <w:rsid w:val="DAE98030"/>
    <w:rsid w:val="DBFC2DAC"/>
    <w:rsid w:val="DEF79C17"/>
    <w:rsid w:val="DFFD4476"/>
    <w:rsid w:val="E3F31B5A"/>
    <w:rsid w:val="E77FB029"/>
    <w:rsid w:val="E7FF7D65"/>
    <w:rsid w:val="E7FFFCB9"/>
    <w:rsid w:val="EBFB0AF1"/>
    <w:rsid w:val="ECFE597C"/>
    <w:rsid w:val="EEC5936D"/>
    <w:rsid w:val="EF7F6E0E"/>
    <w:rsid w:val="EFAFA580"/>
    <w:rsid w:val="EFE31AD5"/>
    <w:rsid w:val="EFF7C251"/>
    <w:rsid w:val="EFFC0CE8"/>
    <w:rsid w:val="F5F6466D"/>
    <w:rsid w:val="F77EABDF"/>
    <w:rsid w:val="FAE43EF2"/>
    <w:rsid w:val="FAFF6502"/>
    <w:rsid w:val="FC963BD8"/>
    <w:rsid w:val="FDE81FC7"/>
    <w:rsid w:val="FDFF782F"/>
    <w:rsid w:val="FEBF9360"/>
    <w:rsid w:val="FEC0D99D"/>
    <w:rsid w:val="FECF7BEC"/>
    <w:rsid w:val="FF075838"/>
    <w:rsid w:val="FF5F9900"/>
    <w:rsid w:val="FFDFC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qFormat/>
    <w:uiPriority w:val="0"/>
    <w:pPr>
      <w:widowControl w:val="0"/>
      <w:autoSpaceDE w:val="0"/>
      <w:autoSpaceDN w:val="0"/>
      <w:ind w:left="860"/>
      <w:outlineLvl w:val="0"/>
    </w:pPr>
    <w:rPr>
      <w:rFonts w:ascii="微软雅黑" w:hAnsi="微软雅黑" w:eastAsia="微软雅黑" w:cs="微软雅黑"/>
      <w:b/>
      <w:bCs/>
      <w:sz w:val="32"/>
      <w:szCs w:val="32"/>
    </w:rPr>
  </w:style>
  <w:style w:type="paragraph" w:styleId="4">
    <w:name w:val="heading 2"/>
    <w:basedOn w:val="1"/>
    <w:next w:val="1"/>
    <w:unhideWhenUsed/>
    <w:qFormat/>
    <w:uiPriority w:val="0"/>
    <w:pPr>
      <w:keepNext/>
      <w:keepLines/>
      <w:widowControl w:val="0"/>
      <w:autoSpaceDE w:val="0"/>
      <w:autoSpaceDN w:val="0"/>
      <w:spacing w:before="260" w:after="260" w:line="416" w:lineRule="auto"/>
      <w:outlineLvl w:val="1"/>
    </w:pPr>
    <w:rPr>
      <w:rFonts w:ascii="Arial" w:hAnsi="Arial" w:eastAsia="黑体"/>
      <w:b/>
      <w:bCs/>
      <w:sz w:val="32"/>
      <w:szCs w:val="32"/>
    </w:rPr>
  </w:style>
  <w:style w:type="paragraph" w:styleId="5">
    <w:name w:val="heading 3"/>
    <w:basedOn w:val="1"/>
    <w:next w:val="1"/>
    <w:unhideWhenUsed/>
    <w:qFormat/>
    <w:uiPriority w:val="0"/>
    <w:pPr>
      <w:widowControl w:val="0"/>
      <w:autoSpaceDE w:val="0"/>
      <w:autoSpaceDN w:val="0"/>
      <w:ind w:left="1093"/>
      <w:outlineLvl w:val="2"/>
    </w:pPr>
    <w:rPr>
      <w:rFonts w:ascii="微软雅黑" w:hAnsi="微软雅黑" w:eastAsia="微软雅黑" w:cs="微软雅黑"/>
      <w:b/>
      <w:bCs/>
      <w:sz w:val="28"/>
      <w:szCs w:val="28"/>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autoSpaceDE w:val="0"/>
      <w:autoSpaceDN w:val="0"/>
      <w:spacing w:before="190"/>
      <w:ind w:left="220"/>
    </w:pPr>
    <w:rPr>
      <w:sz w:val="32"/>
      <w:szCs w:val="32"/>
    </w:rPr>
  </w:style>
  <w:style w:type="paragraph" w:styleId="6">
    <w:name w:val="annotation text"/>
    <w:basedOn w:val="1"/>
    <w:link w:val="29"/>
    <w:qFormat/>
    <w:uiPriority w:val="0"/>
  </w:style>
  <w:style w:type="paragraph" w:styleId="7">
    <w:name w:val="toc 3"/>
    <w:basedOn w:val="1"/>
    <w:next w:val="1"/>
    <w:qFormat/>
    <w:uiPriority w:val="0"/>
    <w:pPr>
      <w:ind w:left="840" w:leftChars="400"/>
    </w:pPr>
  </w:style>
  <w:style w:type="paragraph" w:styleId="8">
    <w:name w:val="footer"/>
    <w:basedOn w:val="1"/>
    <w:qFormat/>
    <w:uiPriority w:val="0"/>
    <w:pPr>
      <w:widowControl w:val="0"/>
      <w:tabs>
        <w:tab w:val="center" w:pos="4153"/>
        <w:tab w:val="right" w:pos="8306"/>
      </w:tabs>
      <w:autoSpaceDE w:val="0"/>
      <w:autoSpaceDN w:val="0"/>
      <w:snapToGrid w:val="0"/>
    </w:pPr>
    <w:rPr>
      <w:sz w:val="18"/>
      <w:szCs w:val="22"/>
    </w:rPr>
  </w:style>
  <w:style w:type="paragraph" w:styleId="9">
    <w:name w:val="header"/>
    <w:basedOn w:val="1"/>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autoSpaceDE w:val="0"/>
      <w:autoSpaceDN w:val="0"/>
      <w:snapToGrid w:val="0"/>
      <w:jc w:val="both"/>
    </w:pPr>
    <w:rPr>
      <w:rFonts w:ascii="DejaVu Sans" w:hAnsi="DejaVu Sans"/>
      <w:sz w:val="18"/>
      <w:szCs w:val="22"/>
    </w:rPr>
  </w:style>
  <w:style w:type="paragraph" w:styleId="10">
    <w:name w:val="toc 1"/>
    <w:basedOn w:val="1"/>
    <w:next w:val="1"/>
    <w:qFormat/>
    <w:uiPriority w:val="0"/>
    <w:pPr>
      <w:widowControl w:val="0"/>
      <w:autoSpaceDE w:val="0"/>
      <w:autoSpaceDN w:val="0"/>
      <w:spacing w:before="119"/>
      <w:ind w:left="220"/>
    </w:pPr>
    <w:rPr>
      <w:rFonts w:ascii="微软雅黑" w:hAnsi="微软雅黑" w:eastAsia="微软雅黑" w:cs="微软雅黑"/>
      <w:b/>
      <w:bCs/>
      <w:sz w:val="20"/>
      <w:szCs w:val="20"/>
    </w:rPr>
  </w:style>
  <w:style w:type="paragraph" w:styleId="11">
    <w:name w:val="toc 2"/>
    <w:basedOn w:val="1"/>
    <w:next w:val="1"/>
    <w:qFormat/>
    <w:uiPriority w:val="0"/>
    <w:pPr>
      <w:widowControl w:val="0"/>
      <w:autoSpaceDE w:val="0"/>
      <w:autoSpaceDN w:val="0"/>
      <w:spacing w:before="183"/>
      <w:ind w:left="779"/>
    </w:pPr>
    <w:rPr>
      <w:sz w:val="20"/>
      <w:szCs w:val="20"/>
    </w:rPr>
  </w:style>
  <w:style w:type="paragraph" w:styleId="12">
    <w:name w:val="Normal (Web)"/>
    <w:basedOn w:val="1"/>
    <w:unhideWhenUsed/>
    <w:qFormat/>
    <w:uiPriority w:val="99"/>
    <w:pPr>
      <w:spacing w:before="100" w:beforeAutospacing="1" w:after="100" w:afterAutospacing="1"/>
    </w:pPr>
  </w:style>
  <w:style w:type="paragraph" w:styleId="13">
    <w:name w:val="Title"/>
    <w:basedOn w:val="1"/>
    <w:qFormat/>
    <w:uiPriority w:val="0"/>
    <w:pPr>
      <w:widowControl w:val="0"/>
      <w:autoSpaceDE w:val="0"/>
      <w:autoSpaceDN w:val="0"/>
      <w:spacing w:before="21"/>
      <w:ind w:left="1964" w:right="784" w:hanging="1282"/>
    </w:pPr>
    <w:rPr>
      <w:rFonts w:ascii="黑体" w:hAnsi="黑体" w:eastAsia="黑体" w:cs="黑体"/>
      <w:b/>
      <w:bCs/>
      <w:sz w:val="56"/>
      <w:szCs w:val="56"/>
    </w:rPr>
  </w:style>
  <w:style w:type="paragraph" w:styleId="14">
    <w:name w:val="annotation subject"/>
    <w:basedOn w:val="6"/>
    <w:next w:val="6"/>
    <w:link w:val="30"/>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qFormat/>
    <w:uiPriority w:val="0"/>
    <w:rPr>
      <w:color w:val="800080"/>
      <w:u w:val="single"/>
    </w:rPr>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paragraph" w:customStyle="1" w:styleId="21">
    <w:name w:val="列表段落1"/>
    <w:basedOn w:val="1"/>
    <w:qFormat/>
    <w:uiPriority w:val="1"/>
    <w:pPr>
      <w:widowControl w:val="0"/>
      <w:autoSpaceDE w:val="0"/>
      <w:autoSpaceDN w:val="0"/>
      <w:spacing w:before="190"/>
      <w:ind w:left="1182" w:hanging="323"/>
    </w:pPr>
    <w:rPr>
      <w:sz w:val="22"/>
      <w:szCs w:val="22"/>
    </w:rPr>
  </w:style>
  <w:style w:type="paragraph" w:customStyle="1" w:styleId="22">
    <w:name w:val="Table Paragraph"/>
    <w:basedOn w:val="1"/>
    <w:qFormat/>
    <w:uiPriority w:val="1"/>
    <w:pPr>
      <w:widowControl w:val="0"/>
      <w:autoSpaceDE w:val="0"/>
      <w:autoSpaceDN w:val="0"/>
    </w:pPr>
    <w:rPr>
      <w:sz w:val="22"/>
      <w:szCs w:val="22"/>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6">
    <w:name w:val="列出段落1"/>
    <w:basedOn w:val="1"/>
    <w:qFormat/>
    <w:uiPriority w:val="34"/>
    <w:pPr>
      <w:widowControl w:val="0"/>
      <w:autoSpaceDE w:val="0"/>
      <w:autoSpaceDN w:val="0"/>
      <w:ind w:firstLine="420" w:firstLineChars="200"/>
    </w:pPr>
    <w:rPr>
      <w:sz w:val="22"/>
      <w:szCs w:val="22"/>
    </w:rPr>
  </w:style>
  <w:style w:type="character" w:customStyle="1" w:styleId="27">
    <w:name w:val="apple-converted-space"/>
    <w:basedOn w:val="17"/>
    <w:qFormat/>
    <w:uiPriority w:val="0"/>
  </w:style>
  <w:style w:type="paragraph" w:customStyle="1" w:styleId="28">
    <w:name w:val="List Paragraph"/>
    <w:basedOn w:val="1"/>
    <w:qFormat/>
    <w:uiPriority w:val="99"/>
    <w:pPr>
      <w:widowControl w:val="0"/>
      <w:autoSpaceDE w:val="0"/>
      <w:autoSpaceDN w:val="0"/>
      <w:ind w:firstLine="420" w:firstLineChars="200"/>
    </w:pPr>
    <w:rPr>
      <w:sz w:val="22"/>
      <w:szCs w:val="22"/>
    </w:rPr>
  </w:style>
  <w:style w:type="character" w:customStyle="1" w:styleId="29">
    <w:name w:val="批注文字 字符"/>
    <w:basedOn w:val="17"/>
    <w:link w:val="6"/>
    <w:qFormat/>
    <w:uiPriority w:val="0"/>
    <w:rPr>
      <w:rFonts w:ascii="宋体" w:hAnsi="宋体" w:cs="宋体"/>
      <w:sz w:val="24"/>
      <w:szCs w:val="24"/>
    </w:rPr>
  </w:style>
  <w:style w:type="character" w:customStyle="1" w:styleId="30">
    <w:name w:val="批注主题 字符"/>
    <w:basedOn w:val="29"/>
    <w:link w:val="14"/>
    <w:qFormat/>
    <w:uiPriority w:val="0"/>
    <w:rPr>
      <w:rFonts w:ascii="宋体" w:hAnsi="宋体" w:cs="宋体"/>
      <w:b/>
      <w:bCs/>
      <w:sz w:val="24"/>
      <w:szCs w:val="24"/>
    </w:rPr>
  </w:style>
  <w:style w:type="character" w:customStyle="1" w:styleId="31">
    <w:name w:val="font11"/>
    <w:basedOn w:val="17"/>
    <w:qFormat/>
    <w:uiPriority w:val="0"/>
    <w:rPr>
      <w:rFonts w:hint="default" w:ascii="仿宋_GB2312" w:eastAsia="仿宋_GB2312" w:cs="仿宋_GB2312"/>
      <w:color w:val="000000"/>
      <w:sz w:val="24"/>
      <w:szCs w:val="24"/>
      <w:u w:val="none"/>
    </w:rPr>
  </w:style>
  <w:style w:type="character" w:customStyle="1" w:styleId="32">
    <w:name w:val="font01"/>
    <w:basedOn w:val="1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25792</Words>
  <Characters>27791</Characters>
  <Lines>226</Lines>
  <Paragraphs>63</Paragraphs>
  <TotalTime>2</TotalTime>
  <ScaleCrop>false</ScaleCrop>
  <LinksUpToDate>false</LinksUpToDate>
  <CharactersWithSpaces>35345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2021-07-29T07:54:00Z</dcterms:created>
  <dc:creator>michaelzhang</dc:creator>
  <cp:lastModifiedBy>迷人的危险</cp:lastModifiedBy>
  <dcterms:modified xsi:type="dcterms:W3CDTF">2021-11-25T08:25:08Z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8569F57E886743CFBF8F065686E960A4</vt:lpwstr>
  </property>
</Properties>
</file>