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before="0" w:line="360" w:lineRule="auto"/>
        <w:ind w:left="0" w:right="0" w:firstLine="0"/>
        <w:jc w:val="center"/>
        <w:rPr>
          <w:rFonts w:hint="eastAsia" w:ascii="楷体" w:hAnsi="楷体" w:eastAsia="楷体" w:cs="楷体"/>
          <w:sz w:val="36"/>
          <w:szCs w:val="36"/>
          <w:highlight w:val="none"/>
        </w:rPr>
      </w:pPr>
    </w:p>
    <w:p>
      <w:pPr>
        <w:pStyle w:val="13"/>
        <w:spacing w:before="0" w:line="360" w:lineRule="auto"/>
        <w:ind w:left="0" w:right="0" w:firstLine="0"/>
        <w:jc w:val="center"/>
        <w:rPr>
          <w:rFonts w:hint="eastAsia" w:ascii="楷体" w:hAnsi="楷体" w:eastAsia="楷体" w:cs="楷体"/>
          <w:sz w:val="36"/>
          <w:szCs w:val="36"/>
          <w:highlight w:val="none"/>
        </w:rPr>
      </w:pPr>
    </w:p>
    <w:p>
      <w:pPr>
        <w:pStyle w:val="13"/>
        <w:spacing w:before="0" w:line="360" w:lineRule="auto"/>
        <w:ind w:left="0" w:right="0" w:firstLine="0"/>
        <w:jc w:val="center"/>
        <w:rPr>
          <w:rFonts w:hint="eastAsia" w:ascii="楷体" w:hAnsi="楷体" w:eastAsia="楷体" w:cs="楷体"/>
          <w:sz w:val="36"/>
          <w:szCs w:val="36"/>
          <w:highlight w:val="none"/>
          <w:lang w:val="en-US" w:eastAsia="zh-CN"/>
        </w:rPr>
      </w:pPr>
      <w:r>
        <w:rPr>
          <w:rFonts w:hint="eastAsia" w:ascii="楷体" w:hAnsi="楷体" w:eastAsia="楷体" w:cs="楷体"/>
          <w:sz w:val="36"/>
          <w:szCs w:val="36"/>
          <w:highlight w:val="none"/>
        </w:rPr>
        <w:t>铜川市</w:t>
      </w:r>
      <w:r>
        <w:rPr>
          <w:rFonts w:hint="eastAsia" w:ascii="楷体" w:hAnsi="楷体" w:eastAsia="楷体" w:cs="楷体"/>
          <w:sz w:val="36"/>
          <w:szCs w:val="36"/>
          <w:highlight w:val="none"/>
          <w:lang w:val="en-US" w:eastAsia="zh-CN"/>
        </w:rPr>
        <w:t>新区2020年度妇幼保健计划生育服务中心</w:t>
      </w:r>
    </w:p>
    <w:p>
      <w:pPr>
        <w:pStyle w:val="13"/>
        <w:spacing w:before="0" w:line="360" w:lineRule="auto"/>
        <w:ind w:left="0" w:right="0" w:firstLine="0"/>
        <w:jc w:val="center"/>
        <w:rPr>
          <w:rFonts w:hint="eastAsia" w:ascii="楷体" w:hAnsi="楷体" w:eastAsia="楷体" w:cs="楷体"/>
          <w:sz w:val="36"/>
          <w:szCs w:val="36"/>
          <w:highlight w:val="none"/>
          <w:lang w:eastAsia="zh-Hans"/>
        </w:rPr>
      </w:pPr>
      <w:r>
        <w:rPr>
          <w:rFonts w:hint="eastAsia" w:ascii="楷体" w:hAnsi="楷体" w:eastAsia="楷体" w:cs="楷体"/>
          <w:sz w:val="36"/>
          <w:szCs w:val="36"/>
          <w:highlight w:val="none"/>
          <w:lang w:eastAsia="zh-Hans"/>
        </w:rPr>
        <w:t>部门</w:t>
      </w:r>
      <w:r>
        <w:rPr>
          <w:rFonts w:hint="eastAsia" w:ascii="楷体" w:hAnsi="楷体" w:eastAsia="楷体" w:cs="楷体"/>
          <w:sz w:val="36"/>
          <w:szCs w:val="36"/>
          <w:highlight w:val="none"/>
        </w:rPr>
        <w:t>整体支出</w:t>
      </w:r>
      <w:r>
        <w:rPr>
          <w:rFonts w:hint="eastAsia" w:ascii="楷体" w:hAnsi="楷体" w:eastAsia="楷体" w:cs="楷体"/>
          <w:sz w:val="36"/>
          <w:szCs w:val="36"/>
          <w:highlight w:val="none"/>
          <w:lang w:eastAsia="zh-Hans"/>
        </w:rPr>
        <w:t>重点</w:t>
      </w:r>
    </w:p>
    <w:p>
      <w:pPr>
        <w:pStyle w:val="13"/>
        <w:keepNext w:val="0"/>
        <w:keepLines w:val="0"/>
        <w:pageBreakBefore w:val="0"/>
        <w:widowControl w:val="0"/>
        <w:kinsoku/>
        <w:wordWrap/>
        <w:overflowPunct/>
        <w:topLinePunct w:val="0"/>
        <w:autoSpaceDE w:val="0"/>
        <w:autoSpaceDN w:val="0"/>
        <w:bidi w:val="0"/>
        <w:adjustRightInd/>
        <w:snapToGrid/>
        <w:spacing w:before="0" w:line="1200" w:lineRule="exact"/>
        <w:ind w:left="0" w:right="0" w:firstLine="0"/>
        <w:jc w:val="center"/>
        <w:textAlignment w:val="auto"/>
        <w:rPr>
          <w:sz w:val="72"/>
          <w:szCs w:val="72"/>
          <w:highlight w:val="none"/>
        </w:rPr>
      </w:pPr>
      <w:r>
        <w:rPr>
          <w:rFonts w:hint="eastAsia"/>
          <w:sz w:val="72"/>
          <w:szCs w:val="72"/>
          <w:highlight w:val="none"/>
        </w:rPr>
        <w:t>绩</w:t>
      </w:r>
      <w:r>
        <w:rPr>
          <w:rFonts w:hint="eastAsia"/>
          <w:sz w:val="72"/>
          <w:szCs w:val="72"/>
          <w:highlight w:val="none"/>
          <w:lang w:val="en-US" w:eastAsia="zh-CN"/>
        </w:rPr>
        <w:t xml:space="preserve"> </w:t>
      </w:r>
      <w:r>
        <w:rPr>
          <w:rFonts w:hint="eastAsia"/>
          <w:sz w:val="72"/>
          <w:szCs w:val="72"/>
          <w:highlight w:val="none"/>
        </w:rPr>
        <w:t>效</w:t>
      </w:r>
      <w:r>
        <w:rPr>
          <w:rFonts w:hint="eastAsia"/>
          <w:sz w:val="72"/>
          <w:szCs w:val="72"/>
          <w:highlight w:val="none"/>
          <w:lang w:val="en-US" w:eastAsia="zh-CN"/>
        </w:rPr>
        <w:t xml:space="preserve"> </w:t>
      </w:r>
      <w:r>
        <w:rPr>
          <w:rFonts w:hint="eastAsia"/>
          <w:sz w:val="72"/>
          <w:szCs w:val="72"/>
          <w:highlight w:val="none"/>
        </w:rPr>
        <w:t>评</w:t>
      </w:r>
      <w:r>
        <w:rPr>
          <w:rFonts w:hint="eastAsia"/>
          <w:sz w:val="72"/>
          <w:szCs w:val="72"/>
          <w:highlight w:val="none"/>
          <w:lang w:val="en-US" w:eastAsia="zh-CN"/>
        </w:rPr>
        <w:t xml:space="preserve"> </w:t>
      </w:r>
      <w:r>
        <w:rPr>
          <w:rFonts w:hint="eastAsia"/>
          <w:sz w:val="72"/>
          <w:szCs w:val="72"/>
          <w:highlight w:val="none"/>
        </w:rPr>
        <w:t>价</w:t>
      </w:r>
      <w:r>
        <w:rPr>
          <w:rFonts w:hint="eastAsia"/>
          <w:sz w:val="72"/>
          <w:szCs w:val="72"/>
          <w:highlight w:val="none"/>
          <w:lang w:val="en-US" w:eastAsia="zh-CN"/>
        </w:rPr>
        <w:t xml:space="preserve"> </w:t>
      </w:r>
      <w:r>
        <w:rPr>
          <w:sz w:val="72"/>
          <w:szCs w:val="72"/>
          <w:highlight w:val="none"/>
        </w:rPr>
        <w:t>报</w:t>
      </w:r>
      <w:r>
        <w:rPr>
          <w:rFonts w:hint="eastAsia"/>
          <w:sz w:val="72"/>
          <w:szCs w:val="72"/>
          <w:highlight w:val="none"/>
          <w:lang w:val="en-US" w:eastAsia="zh-CN"/>
        </w:rPr>
        <w:t xml:space="preserve"> </w:t>
      </w:r>
      <w:r>
        <w:rPr>
          <w:sz w:val="72"/>
          <w:szCs w:val="72"/>
          <w:highlight w:val="none"/>
        </w:rPr>
        <w:t>告</w:t>
      </w:r>
    </w:p>
    <w:p>
      <w:pPr>
        <w:pStyle w:val="2"/>
        <w:spacing w:before="0"/>
        <w:ind w:left="0"/>
        <w:rPr>
          <w:rFonts w:ascii="黑体"/>
          <w:b/>
          <w:sz w:val="56"/>
          <w:highlight w:val="none"/>
        </w:rPr>
      </w:pPr>
    </w:p>
    <w:p>
      <w:pPr>
        <w:pStyle w:val="2"/>
        <w:spacing w:before="0"/>
        <w:ind w:left="0"/>
        <w:rPr>
          <w:rFonts w:ascii="黑体"/>
          <w:b/>
          <w:sz w:val="56"/>
          <w:highlight w:val="none"/>
        </w:rPr>
      </w:pPr>
    </w:p>
    <w:p>
      <w:pPr>
        <w:pStyle w:val="2"/>
        <w:spacing w:before="0"/>
        <w:ind w:left="0"/>
        <w:rPr>
          <w:rFonts w:ascii="黑体"/>
          <w:b/>
          <w:sz w:val="56"/>
          <w:highlight w:val="none"/>
        </w:rPr>
      </w:pPr>
    </w:p>
    <w:p>
      <w:pPr>
        <w:pStyle w:val="2"/>
        <w:spacing w:before="0"/>
        <w:ind w:left="0"/>
        <w:rPr>
          <w:rFonts w:ascii="黑体"/>
          <w:b/>
          <w:sz w:val="56"/>
          <w:highlight w:val="none"/>
        </w:rPr>
      </w:pPr>
    </w:p>
    <w:p>
      <w:pPr>
        <w:pStyle w:val="2"/>
        <w:spacing w:before="0"/>
        <w:ind w:left="0"/>
        <w:rPr>
          <w:rFonts w:ascii="黑体"/>
          <w:b/>
          <w:sz w:val="56"/>
          <w:highlight w:val="none"/>
        </w:rPr>
      </w:pPr>
    </w:p>
    <w:p>
      <w:pPr>
        <w:widowControl w:val="0"/>
        <w:ind w:firstLine="562" w:firstLineChars="100"/>
        <w:jc w:val="both"/>
        <w:rPr>
          <w:rFonts w:ascii="黑体"/>
          <w:b/>
          <w:sz w:val="56"/>
          <w:highlight w:val="none"/>
        </w:rPr>
      </w:pPr>
    </w:p>
    <w:p>
      <w:pPr>
        <w:pStyle w:val="2"/>
        <w:spacing w:before="0"/>
        <w:ind w:left="0"/>
        <w:rPr>
          <w:rFonts w:ascii="黑体"/>
          <w:b/>
          <w:sz w:val="56"/>
          <w:highlight w:val="none"/>
          <w:u w:val="none"/>
        </w:rPr>
      </w:pPr>
    </w:p>
    <w:p>
      <w:pPr>
        <w:keepNext w:val="0"/>
        <w:keepLines w:val="0"/>
        <w:pageBreakBefore w:val="0"/>
        <w:widowControl/>
        <w:kinsoku/>
        <w:wordWrap/>
        <w:overflowPunct/>
        <w:topLinePunct w:val="0"/>
        <w:autoSpaceDE/>
        <w:autoSpaceDN/>
        <w:bidi w:val="0"/>
        <w:adjustRightInd/>
        <w:snapToGrid/>
        <w:spacing w:line="360" w:lineRule="auto"/>
        <w:ind w:right="0" w:rightChars="0" w:firstLine="960" w:firstLineChars="300"/>
        <w:jc w:val="both"/>
        <w:textAlignment w:val="auto"/>
        <w:outlineLvl w:val="9"/>
        <w:rPr>
          <w:rFonts w:hint="default" w:ascii="楷体" w:hAnsi="楷体" w:eastAsia="楷体" w:cs="楷体"/>
          <w:b w:val="0"/>
          <w:bCs/>
          <w:color w:val="auto"/>
          <w:sz w:val="32"/>
          <w:szCs w:val="32"/>
          <w:highlight w:val="none"/>
          <w:u w:val="none"/>
          <w:lang w:val="en-US" w:eastAsia="zh-CN" w:bidi="ar-SA"/>
        </w:rPr>
      </w:pPr>
      <w:r>
        <w:rPr>
          <w:rFonts w:hint="eastAsia" w:ascii="楷体" w:hAnsi="楷体" w:eastAsia="楷体" w:cs="楷体"/>
          <w:b w:val="0"/>
          <w:bCs/>
          <w:color w:val="auto"/>
          <w:sz w:val="32"/>
          <w:szCs w:val="32"/>
          <w:highlight w:val="none"/>
          <w:u w:val="none"/>
          <w:lang w:val="en-US" w:eastAsia="zh-CN"/>
        </w:rPr>
        <w:t xml:space="preserve">项目单位：铜川市新区妇幼保健计划生育服务中心       </w:t>
      </w:r>
    </w:p>
    <w:p>
      <w:pPr>
        <w:keepNext w:val="0"/>
        <w:keepLines w:val="0"/>
        <w:pageBreakBefore w:val="0"/>
        <w:widowControl/>
        <w:kinsoku/>
        <w:wordWrap/>
        <w:overflowPunct/>
        <w:topLinePunct w:val="0"/>
        <w:autoSpaceDE/>
        <w:autoSpaceDN/>
        <w:bidi w:val="0"/>
        <w:adjustRightInd/>
        <w:snapToGrid/>
        <w:spacing w:line="360" w:lineRule="auto"/>
        <w:ind w:right="0" w:rightChars="0" w:firstLine="960" w:firstLineChars="300"/>
        <w:jc w:val="both"/>
        <w:textAlignment w:val="auto"/>
        <w:outlineLvl w:val="9"/>
        <w:rPr>
          <w:rFonts w:hint="default"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组织</w:t>
      </w:r>
      <w:r>
        <w:rPr>
          <w:rFonts w:hint="eastAsia" w:ascii="楷体" w:hAnsi="楷体" w:eastAsia="楷体" w:cs="楷体"/>
          <w:b w:val="0"/>
          <w:bCs/>
          <w:color w:val="auto"/>
          <w:sz w:val="32"/>
          <w:szCs w:val="32"/>
          <w:highlight w:val="none"/>
          <w:u w:val="none"/>
          <w:lang w:val="en-US" w:eastAsia="zh-Hans"/>
        </w:rPr>
        <w:t>单位</w:t>
      </w:r>
      <w:r>
        <w:rPr>
          <w:rFonts w:hint="eastAsia" w:ascii="楷体" w:hAnsi="楷体" w:eastAsia="楷体" w:cs="楷体"/>
          <w:b w:val="0"/>
          <w:bCs/>
          <w:color w:val="auto"/>
          <w:sz w:val="32"/>
          <w:szCs w:val="32"/>
          <w:highlight w:val="none"/>
          <w:u w:val="none"/>
          <w:lang w:val="en-US" w:eastAsia="zh-CN"/>
        </w:rPr>
        <w:t xml:space="preserve">：铜川市新区财政局          </w:t>
      </w:r>
    </w:p>
    <w:p>
      <w:pPr>
        <w:keepNext w:val="0"/>
        <w:keepLines w:val="0"/>
        <w:pageBreakBefore w:val="0"/>
        <w:widowControl/>
        <w:kinsoku/>
        <w:wordWrap/>
        <w:overflowPunct/>
        <w:topLinePunct w:val="0"/>
        <w:autoSpaceDE/>
        <w:autoSpaceDN/>
        <w:bidi w:val="0"/>
        <w:adjustRightInd/>
        <w:snapToGrid/>
        <w:spacing w:line="360" w:lineRule="auto"/>
        <w:ind w:right="0" w:rightChars="0" w:firstLine="960" w:firstLineChars="300"/>
        <w:jc w:val="both"/>
        <w:textAlignment w:val="auto"/>
        <w:outlineLvl w:val="9"/>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Hans"/>
        </w:rPr>
        <w:t>评价</w:t>
      </w:r>
      <w:r>
        <w:rPr>
          <w:rFonts w:hint="eastAsia" w:ascii="楷体" w:hAnsi="楷体" w:eastAsia="楷体" w:cs="楷体"/>
          <w:b w:val="0"/>
          <w:bCs/>
          <w:color w:val="auto"/>
          <w:sz w:val="32"/>
          <w:szCs w:val="32"/>
          <w:highlight w:val="none"/>
          <w:u w:val="none"/>
          <w:lang w:val="en-US" w:eastAsia="zh-CN"/>
        </w:rPr>
        <w:t>机构：深圳市万德公共咨询有限公司</w:t>
      </w:r>
    </w:p>
    <w:p>
      <w:pPr>
        <w:keepNext w:val="0"/>
        <w:keepLines w:val="0"/>
        <w:pageBreakBefore w:val="0"/>
        <w:widowControl/>
        <w:kinsoku/>
        <w:wordWrap/>
        <w:overflowPunct/>
        <w:topLinePunct w:val="0"/>
        <w:autoSpaceDE/>
        <w:autoSpaceDN/>
        <w:bidi w:val="0"/>
        <w:adjustRightInd/>
        <w:snapToGrid/>
        <w:spacing w:line="360" w:lineRule="auto"/>
        <w:ind w:right="0" w:rightChars="0" w:firstLine="960" w:firstLineChars="300"/>
        <w:jc w:val="both"/>
        <w:textAlignment w:val="auto"/>
        <w:outlineLvl w:val="9"/>
        <w:rPr>
          <w:rFonts w:hint="default"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 xml:space="preserve">报告编号：铜新评价2021-10     </w:t>
      </w:r>
    </w:p>
    <w:p>
      <w:pPr>
        <w:keepNext w:val="0"/>
        <w:keepLines w:val="0"/>
        <w:pageBreakBefore w:val="0"/>
        <w:widowControl/>
        <w:kinsoku/>
        <w:wordWrap/>
        <w:overflowPunct/>
        <w:topLinePunct w:val="0"/>
        <w:autoSpaceDE/>
        <w:autoSpaceDN/>
        <w:bidi w:val="0"/>
        <w:adjustRightInd/>
        <w:snapToGrid/>
        <w:spacing w:line="360" w:lineRule="auto"/>
        <w:ind w:right="0" w:rightChars="0" w:firstLine="960" w:firstLineChars="300"/>
        <w:jc w:val="both"/>
        <w:textAlignment w:val="auto"/>
        <w:outlineLvl w:val="9"/>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 xml:space="preserve">编制日期：2021年11月           </w:t>
      </w:r>
    </w:p>
    <w:p>
      <w:pPr>
        <w:keepNext w:val="0"/>
        <w:keepLines w:val="0"/>
        <w:pageBreakBefore w:val="0"/>
        <w:widowControl/>
        <w:kinsoku/>
        <w:wordWrap/>
        <w:overflowPunct/>
        <w:topLinePunct w:val="0"/>
        <w:autoSpaceDE/>
        <w:autoSpaceDN/>
        <w:bidi w:val="0"/>
        <w:adjustRightInd/>
        <w:snapToGrid/>
        <w:spacing w:line="360" w:lineRule="auto"/>
        <w:ind w:right="0" w:rightChars="0" w:firstLine="960" w:firstLineChars="300"/>
        <w:jc w:val="both"/>
        <w:textAlignment w:val="auto"/>
        <w:outlineLvl w:val="9"/>
        <w:rPr>
          <w:rFonts w:hint="eastAsia" w:ascii="楷体" w:hAnsi="楷体" w:eastAsia="楷体" w:cs="楷体"/>
          <w:b w:val="0"/>
          <w:bCs/>
          <w:color w:val="auto"/>
          <w:sz w:val="32"/>
          <w:szCs w:val="32"/>
          <w:highlight w:val="none"/>
          <w:u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both"/>
        <w:textAlignment w:val="auto"/>
        <w:outlineLvl w:val="9"/>
        <w:rPr>
          <w:rFonts w:hint="eastAsia" w:ascii="楷体" w:hAnsi="楷体" w:eastAsia="楷体" w:cs="楷体"/>
          <w:b w:val="0"/>
          <w:bCs/>
          <w:color w:val="auto"/>
          <w:sz w:val="32"/>
          <w:szCs w:val="32"/>
          <w:highlight w:val="none"/>
          <w:u w:val="none"/>
          <w:lang w:val="en-US" w:eastAsia="zh-CN"/>
        </w:rPr>
      </w:pPr>
      <w:bookmarkStart w:id="43" w:name="_GoBack"/>
      <w:bookmarkEnd w:id="43"/>
    </w:p>
    <w:p>
      <w:pPr>
        <w:keepNext w:val="0"/>
        <w:keepLines w:val="0"/>
        <w:pageBreakBefore w:val="0"/>
        <w:widowControl/>
        <w:kinsoku/>
        <w:wordWrap/>
        <w:overflowPunct/>
        <w:topLinePunct w:val="0"/>
        <w:autoSpaceDE/>
        <w:autoSpaceDN/>
        <w:bidi w:val="0"/>
        <w:adjustRightInd/>
        <w:snapToGrid/>
        <w:spacing w:line="360" w:lineRule="auto"/>
        <w:ind w:right="0" w:rightChars="0" w:firstLine="960" w:firstLineChars="300"/>
        <w:jc w:val="both"/>
        <w:textAlignment w:val="auto"/>
        <w:outlineLvl w:val="9"/>
        <w:rPr>
          <w:rFonts w:hint="default" w:ascii="楷体" w:hAnsi="楷体" w:eastAsia="楷体" w:cs="楷体"/>
          <w:sz w:val="32"/>
          <w:szCs w:val="32"/>
          <w:highlight w:val="none"/>
          <w:u w:val="none"/>
          <w:lang w:val="en-US"/>
        </w:rPr>
      </w:pPr>
      <w:r>
        <w:rPr>
          <w:rFonts w:hint="eastAsia" w:ascii="楷体" w:hAnsi="楷体" w:eastAsia="楷体" w:cs="楷体"/>
          <w:b w:val="0"/>
          <w:bCs/>
          <w:color w:val="auto"/>
          <w:sz w:val="32"/>
          <w:szCs w:val="32"/>
          <w:highlight w:val="none"/>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320" w:firstLineChars="100"/>
        <w:jc w:val="both"/>
        <w:textAlignment w:val="auto"/>
        <w:rPr>
          <w:rFonts w:hint="default" w:ascii="楷体" w:hAnsi="楷体" w:eastAsia="楷体" w:cs="楷体"/>
          <w:b w:val="0"/>
          <w:bCs/>
          <w:color w:val="auto"/>
          <w:kern w:val="2"/>
          <w:sz w:val="32"/>
          <w:szCs w:val="32"/>
          <w:highlight w:val="none"/>
          <w:u w:val="none"/>
          <w:lang w:val="en-US" w:eastAsia="zh-CN"/>
        </w:rPr>
        <w:sectPr>
          <w:pgSz w:w="11910" w:h="16840"/>
          <w:pgMar w:top="1440" w:right="1803" w:bottom="1440" w:left="1803" w:header="720" w:footer="720" w:gutter="0"/>
          <w:pgNumType w:fmt="numberInDash"/>
          <w:cols w:equalWidth="0" w:num="1">
            <w:col w:w="8810"/>
          </w:cols>
        </w:sectPr>
      </w:pP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ascii="宋体" w:hAnsi="宋体"/>
          <w:b/>
          <w:bCs/>
          <w:color w:val="auto"/>
          <w:sz w:val="36"/>
          <w:szCs w:val="36"/>
          <w:highlight w:val="none"/>
          <w:lang w:val="en-US" w:eastAsia="zh-CN"/>
        </w:rPr>
      </w:pPr>
      <w:r>
        <w:rPr>
          <w:rFonts w:hint="eastAsia" w:ascii="宋体" w:hAnsi="宋体"/>
          <w:b/>
          <w:bCs/>
          <w:color w:val="auto"/>
          <w:sz w:val="36"/>
          <w:szCs w:val="36"/>
          <w:highlight w:val="none"/>
          <w:lang w:val="en-US" w:eastAsia="zh-CN"/>
        </w:rPr>
        <w:t>铜川市</w:t>
      </w:r>
      <w:r>
        <w:rPr>
          <w:rFonts w:hint="eastAsia"/>
          <w:b/>
          <w:bCs/>
          <w:color w:val="auto"/>
          <w:sz w:val="36"/>
          <w:szCs w:val="36"/>
          <w:highlight w:val="none"/>
          <w:lang w:val="en-US" w:eastAsia="zh-CN"/>
        </w:rPr>
        <w:t>新区</w:t>
      </w:r>
      <w:r>
        <w:rPr>
          <w:rFonts w:hint="eastAsia" w:ascii="宋体" w:hAnsi="宋体"/>
          <w:b/>
          <w:bCs/>
          <w:color w:val="auto"/>
          <w:sz w:val="36"/>
          <w:szCs w:val="36"/>
          <w:highlight w:val="none"/>
          <w:lang w:val="en-US" w:eastAsia="zh-CN"/>
        </w:rPr>
        <w:t>2020年度妇幼保健计划生育服务中心</w:t>
      </w: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ascii="宋体" w:hAnsi="宋体" w:eastAsia="宋体" w:cs="宋体"/>
          <w:b/>
          <w:bCs/>
          <w:color w:val="auto"/>
          <w:kern w:val="2"/>
          <w:sz w:val="36"/>
          <w:szCs w:val="36"/>
          <w:highlight w:val="none"/>
        </w:rPr>
      </w:pPr>
      <w:r>
        <w:rPr>
          <w:rFonts w:hint="eastAsia" w:ascii="宋体" w:hAnsi="宋体"/>
          <w:b/>
          <w:bCs/>
          <w:color w:val="auto"/>
          <w:sz w:val="36"/>
          <w:szCs w:val="36"/>
          <w:highlight w:val="none"/>
          <w:lang w:val="en-US" w:eastAsia="zh-CN"/>
        </w:rPr>
        <w:t>部门整体支出重点绩效评价总览</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0"/>
        <w:gridCol w:w="2042"/>
        <w:gridCol w:w="1726"/>
        <w:gridCol w:w="3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000" w:type="pct"/>
            <w:gridSpan w:val="4"/>
            <w:noWrap w:val="0"/>
            <w:vAlign w:val="center"/>
          </w:tcPr>
          <w:p>
            <w:pPr>
              <w:keepNext w:val="0"/>
              <w:keepLines w:val="0"/>
              <w:widowControl/>
              <w:suppressLineNumbers w:val="0"/>
              <w:jc w:val="center"/>
              <w:textAlignment w:val="center"/>
              <w:rPr>
                <w:rFonts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一、项目预算资金安排和使用情况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项目名称</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铜川市新区2020年度妇幼保健计划生育服务中心部门整体支出重点绩效评价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实施单位</w:t>
            </w:r>
          </w:p>
        </w:tc>
        <w:tc>
          <w:tcPr>
            <w:tcW w:w="3758"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铜川市新区妇幼保健计划生育服务中心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主管处室</w:t>
            </w:r>
          </w:p>
        </w:tc>
        <w:tc>
          <w:tcPr>
            <w:tcW w:w="1131"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铜川市新区财政局事财科</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主管部门</w:t>
            </w:r>
          </w:p>
        </w:tc>
        <w:tc>
          <w:tcPr>
            <w:tcW w:w="167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铜川市新区妇幼保健计划生育服务中心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年度预算资金安排</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395.77万元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其中</w:t>
            </w:r>
          </w:p>
        </w:tc>
        <w:tc>
          <w:tcPr>
            <w:tcW w:w="3758"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当年财政拨款278.02万元（70.25%）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年度实际支出</w:t>
            </w:r>
          </w:p>
        </w:tc>
        <w:tc>
          <w:tcPr>
            <w:tcW w:w="3758"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年度支出338.11万元，占比85.43%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000" w:type="pct"/>
            <w:gridSpan w:val="4"/>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二、项目绩效目标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绩效目标</w:t>
            </w:r>
          </w:p>
        </w:tc>
        <w:tc>
          <w:tcPr>
            <w:tcW w:w="3758"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深入贯彻落实国家“六保”思想，做好新区妇幼保健计划生育服务中心部门运转保障工作。印刷防疫宣传资料和购买防疫物资，做好年度疫情防控专项工作。为切实保障母婴安全，大力开展出生缺陷干预工程，提高出生人口素质，部门要做好婚前免费医学检查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主要指标</w:t>
            </w:r>
          </w:p>
        </w:tc>
        <w:tc>
          <w:tcPr>
            <w:tcW w:w="3758"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保障工资人数、免费婚前医学检查人数、制作各种防疫宣传资料数量、免费婚前医学检查完成时间、医学检查提高人口素质，降低新生儿疾病发生情况、群众对新冠肺炎防护意识等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1241" w:type="pct"/>
            <w:noWrap w:val="0"/>
            <w:vAlign w:val="center"/>
          </w:tcPr>
          <w:p>
            <w:pPr>
              <w:keepNext w:val="0"/>
              <w:keepLines w:val="0"/>
              <w:widowControl/>
              <w:suppressLineNumbers w:val="0"/>
              <w:ind w:firstLineChars="20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完成情况</w:t>
            </w:r>
          </w:p>
        </w:tc>
        <w:tc>
          <w:tcPr>
            <w:tcW w:w="3758" w:type="pct"/>
            <w:gridSpan w:val="3"/>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1.年内完成婚前免费医学检查工作。</w:t>
            </w:r>
          </w:p>
          <w:p>
            <w:pPr>
              <w:keepNext w:val="0"/>
              <w:keepLines w:val="0"/>
              <w:widowControl/>
              <w:suppressLineNumbers w:val="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2.年内完成妇计专项工作。</w:t>
            </w:r>
          </w:p>
          <w:p>
            <w:pPr>
              <w:keepNext w:val="0"/>
              <w:keepLines w:val="0"/>
              <w:widowControl/>
              <w:suppressLineNumbers w:val="0"/>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 xml:space="preserve">3.年内完成疫情防控专项工作。             </w:t>
            </w:r>
          </w:p>
          <w:p>
            <w:pPr>
              <w:keepNext w:val="0"/>
              <w:keepLines w:val="0"/>
              <w:widowControl/>
              <w:suppressLineNumbers w:val="0"/>
              <w:jc w:val="left"/>
              <w:textAlignment w:val="center"/>
              <w:rPr>
                <w:rFonts w:hint="default"/>
                <w:lang w:val="en-US" w:eastAsia="zh-CN"/>
              </w:rPr>
            </w:pPr>
            <w:r>
              <w:rPr>
                <w:rFonts w:hint="eastAsia" w:ascii="仿宋" w:hAnsi="仿宋" w:eastAsia="仿宋" w:cs="仿宋"/>
                <w:i w:val="0"/>
                <w:iCs w:val="0"/>
                <w:color w:val="000000"/>
                <w:sz w:val="24"/>
                <w:szCs w:val="24"/>
                <w:highlight w:val="none"/>
                <w:u w:val="none"/>
                <w:lang w:val="en-US" w:eastAsia="zh-CN"/>
              </w:rPr>
              <w:t>4.年内完成产前筛查和新生儿疾病筛查工作。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三、综合评价结论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restart"/>
            <w:noWrap w:val="0"/>
            <w:vAlign w:val="center"/>
          </w:tcPr>
          <w:p>
            <w:pPr>
              <w:keepNext w:val="0"/>
              <w:keepLines w:val="0"/>
              <w:widowControl/>
              <w:suppressLineNumbers w:val="0"/>
              <w:ind w:firstLineChars="20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经综合评价表明，部门年度整体支出表现良好，综合评分为85.00分，绩效等级为“良”。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四、主要经验及做法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5000" w:type="pct"/>
            <w:gridSpan w:val="4"/>
            <w:noWrap w:val="0"/>
            <w:vAlign w:val="center"/>
          </w:tcPr>
          <w:p>
            <w:pPr>
              <w:keepNext w:val="0"/>
              <w:keepLines w:val="0"/>
              <w:widowControl/>
              <w:suppressLineNumbers w:val="0"/>
              <w:ind w:firstLine="480"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相关信息公开及时。新区妇幼保健计划生育服务中心2020年度及时完整的在新区管委会网站予以公开相关文件内容。2.运行成本有效控制。2020年度部门对于在职人员控制、“三公经费”变动、公用经费控制、“三公经费”控制等方面部门运行成本有效控制。3.重点工作产出良好。年度完成婚前医学检查男260人，女273人，合计533人。完成保障5名妇计专项工作人员薪资待遇。完成印刷新冠肺炎宣传资料9810份，购买疫情防控物资860份，完成免费婚前医学检查工作年初计划完成266.5对。4.重点工作效益良好。2020年度免费婚前医学检查人数、产前筛查人数、新生儿疾病筛查人数相比于2019年均出现大幅增长，对于影响婚育的遗传性疾病、传染性疾病给予了相应的健康指导和干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五、存在主要问题及有关建议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4"/>
            <w:noWrap w:val="0"/>
            <w:vAlign w:val="center"/>
          </w:tcPr>
          <w:p>
            <w:pPr>
              <w:keepNext w:val="0"/>
              <w:keepLines w:val="0"/>
              <w:widowControl/>
              <w:suppressLineNumbers w:val="0"/>
              <w:ind w:firstLine="480" w:firstLineChars="200"/>
              <w:jc w:val="left"/>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 xml:space="preserve">存在问题：1.绩效目标与年度实际工作情况不匹配。2.预算执行与绩效目标实现程度无监控。3.财务管理和固定资产管理制度不健全。                            </w:t>
            </w:r>
          </w:p>
          <w:p>
            <w:pPr>
              <w:keepNext w:val="0"/>
              <w:keepLines w:val="0"/>
              <w:widowControl/>
              <w:suppressLineNumbers w:val="0"/>
              <w:ind w:firstLine="480" w:firstLineChars="200"/>
              <w:jc w:val="left"/>
              <w:textAlignment w:val="center"/>
              <w:rPr>
                <w:rFonts w:hint="default"/>
                <w:lang w:val="en-US" w:eastAsia="zh-CN"/>
              </w:rPr>
            </w:pPr>
            <w:r>
              <w:rPr>
                <w:rFonts w:hint="eastAsia" w:ascii="仿宋" w:hAnsi="仿宋" w:eastAsia="仿宋" w:cs="仿宋"/>
                <w:i w:val="0"/>
                <w:iCs w:val="0"/>
                <w:color w:val="000000"/>
                <w:sz w:val="24"/>
                <w:szCs w:val="24"/>
                <w:highlight w:val="none"/>
                <w:u w:val="none"/>
                <w:lang w:val="en-US" w:eastAsia="zh-CN"/>
              </w:rPr>
              <w:t>相关建议：1.加强预算绩效培训，树立绩效管理理念。2.加强预算执行监控，减少资金结转结余。3.完善部门管理制度，强化部门管理责任。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六、综合评价得分和等级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一级指标</w:t>
            </w:r>
          </w:p>
        </w:tc>
        <w:tc>
          <w:tcPr>
            <w:tcW w:w="113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分值</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w:t>
            </w:r>
          </w:p>
        </w:tc>
        <w:tc>
          <w:tcPr>
            <w:tcW w:w="1670"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投入</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14</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12.29</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宋体" w:hAnsi="宋体" w:eastAsia="宋体" w:cs="宋体"/>
                <w:i w:val="0"/>
                <w:color w:val="000000"/>
                <w:kern w:val="0"/>
                <w:sz w:val="24"/>
                <w:szCs w:val="24"/>
                <w:u w:val="none"/>
                <w:lang w:val="en-US" w:eastAsia="zh-CN" w:bidi="ar"/>
              </w:rPr>
              <w:t>87.79%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过程</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30</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23.71</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宋体" w:hAnsi="宋体" w:eastAsia="宋体" w:cs="宋体"/>
                <w:i w:val="0"/>
                <w:color w:val="000000"/>
                <w:kern w:val="0"/>
                <w:sz w:val="24"/>
                <w:szCs w:val="24"/>
                <w:u w:val="none"/>
                <w:lang w:val="en-US" w:eastAsia="zh-CN" w:bidi="ar"/>
              </w:rPr>
              <w:t>79.03%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产出</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32</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28</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宋体" w:hAnsi="宋体" w:eastAsia="宋体" w:cs="宋体"/>
                <w:i w:val="0"/>
                <w:color w:val="000000"/>
                <w:kern w:val="0"/>
                <w:sz w:val="24"/>
                <w:szCs w:val="24"/>
                <w:u w:val="none"/>
                <w:lang w:val="en-US" w:eastAsia="zh-CN" w:bidi="ar"/>
              </w:rPr>
              <w:t>87.50%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效果</w:t>
            </w:r>
          </w:p>
        </w:tc>
        <w:tc>
          <w:tcPr>
            <w:tcW w:w="2042"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color w:val="000000"/>
                <w:kern w:val="0"/>
                <w:sz w:val="24"/>
                <w:szCs w:val="24"/>
                <w:u w:val="none"/>
                <w:lang w:val="en-US" w:eastAsia="zh-CN" w:bidi="ar"/>
              </w:rPr>
              <w:t>24</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color w:val="000000"/>
                <w:kern w:val="0"/>
                <w:sz w:val="24"/>
                <w:szCs w:val="24"/>
                <w:u w:val="none"/>
                <w:lang w:val="en-US" w:eastAsia="zh-CN" w:bidi="ar"/>
              </w:rPr>
              <w:t>21</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宋体" w:hAnsi="宋体" w:eastAsia="宋体" w:cs="宋体"/>
                <w:i w:val="0"/>
                <w:color w:val="000000"/>
                <w:kern w:val="0"/>
                <w:sz w:val="24"/>
                <w:szCs w:val="24"/>
                <w:u w:val="none"/>
                <w:lang w:val="en-US" w:eastAsia="zh-CN" w:bidi="ar"/>
              </w:rPr>
              <w:t>87.50%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合计</w:t>
            </w:r>
          </w:p>
        </w:tc>
        <w:tc>
          <w:tcPr>
            <w:tcW w:w="2042"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color w:val="000000"/>
                <w:kern w:val="0"/>
                <w:sz w:val="24"/>
                <w:szCs w:val="24"/>
                <w:u w:val="none"/>
                <w:lang w:val="en-US" w:eastAsia="zh-CN" w:bidi="ar"/>
              </w:rPr>
              <w:t>100</w:t>
            </w:r>
          </w:p>
        </w:tc>
        <w:tc>
          <w:tcPr>
            <w:tcW w:w="1726" w:type="dxa"/>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宋体" w:hAnsi="宋体" w:eastAsia="宋体" w:cs="宋体"/>
                <w:i w:val="0"/>
                <w:color w:val="000000"/>
                <w:kern w:val="0"/>
                <w:sz w:val="24"/>
                <w:szCs w:val="24"/>
                <w:u w:val="none"/>
                <w:lang w:val="en-US" w:eastAsia="zh-CN" w:bidi="ar"/>
              </w:rPr>
              <w:t>85</w:t>
            </w:r>
          </w:p>
        </w:tc>
        <w:tc>
          <w:tcPr>
            <w:tcW w:w="3018" w:type="dxa"/>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宋体" w:hAnsi="宋体" w:eastAsia="宋体" w:cs="宋体"/>
                <w:i w:val="0"/>
                <w:color w:val="000000"/>
                <w:kern w:val="0"/>
                <w:sz w:val="24"/>
                <w:szCs w:val="24"/>
                <w:u w:val="none"/>
                <w:lang w:val="en-US" w:eastAsia="zh-CN" w:bidi="ar"/>
              </w:rPr>
              <w:t>85.00%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41"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绩效评价得分：</w:t>
            </w:r>
          </w:p>
        </w:tc>
        <w:tc>
          <w:tcPr>
            <w:tcW w:w="1131"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85.00</w:t>
            </w:r>
          </w:p>
        </w:tc>
        <w:tc>
          <w:tcPr>
            <w:tcW w:w="956"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综合评价结果等级：</w:t>
            </w:r>
          </w:p>
        </w:tc>
        <w:tc>
          <w:tcPr>
            <w:tcW w:w="1670"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良</w:t>
            </w:r>
          </w:p>
        </w:tc>
      </w:tr>
    </w:tbl>
    <w:p>
      <w:pPr>
        <w:pStyle w:val="2"/>
        <w:rPr>
          <w:rFonts w:hint="eastAsia"/>
        </w:rPr>
        <w:sectPr>
          <w:headerReference r:id="rId3" w:type="default"/>
          <w:footerReference r:id="rId4" w:type="default"/>
          <w:pgSz w:w="11910" w:h="16840"/>
          <w:pgMar w:top="2098" w:right="1474" w:bottom="1984" w:left="1587" w:header="1017" w:footer="1206" w:gutter="0"/>
          <w:pgNumType w:fmt="numberInDash" w:start="1"/>
          <w:cols w:equalWidth="0" w:num="1">
            <w:col w:w="8810"/>
          </w:cols>
        </w:sectPr>
      </w:pP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lang w:val="en-US" w:eastAsia="zh-CN"/>
        </w:rPr>
      </w:pPr>
      <w:r>
        <w:rPr>
          <w:rFonts w:hint="eastAsia" w:ascii="方正小标宋" w:hAnsi="方正小标宋" w:eastAsia="方正小标宋" w:cs="方正小标宋"/>
          <w:b/>
          <w:sz w:val="36"/>
          <w:highlight w:val="none"/>
        </w:rPr>
        <w:t>铜川市</w:t>
      </w:r>
      <w:r>
        <w:rPr>
          <w:rFonts w:hint="eastAsia" w:ascii="方正小标宋" w:hAnsi="方正小标宋" w:eastAsia="方正小标宋" w:cs="方正小标宋"/>
          <w:b/>
          <w:sz w:val="36"/>
          <w:highlight w:val="none"/>
          <w:lang w:val="en-US" w:eastAsia="zh-CN"/>
        </w:rPr>
        <w:t>新区2020年度妇幼保健计划生育服务中心</w:t>
      </w:r>
    </w:p>
    <w:p>
      <w:pPr>
        <w:keepNext w:val="0"/>
        <w:keepLines w:val="0"/>
        <w:pageBreakBefore w:val="0"/>
        <w:shd w:val="clear" w:color="auto" w:fill="FFFFFF"/>
        <w:kinsoku/>
        <w:wordWrap/>
        <w:overflowPunct/>
        <w:topLinePunct w:val="0"/>
        <w:autoSpaceDE/>
        <w:autoSpaceDN/>
        <w:bidi w:val="0"/>
        <w:adjustRightInd/>
        <w:snapToGrid/>
        <w:spacing w:line="600" w:lineRule="exact"/>
        <w:jc w:val="center"/>
        <w:textAlignment w:val="auto"/>
        <w:outlineLvl w:val="9"/>
        <w:rPr>
          <w:rFonts w:hint="eastAsia" w:ascii="方正小标宋" w:hAnsi="方正小标宋" w:eastAsia="方正小标宋" w:cs="方正小标宋"/>
          <w:b/>
          <w:sz w:val="36"/>
          <w:highlight w:val="none"/>
        </w:rPr>
      </w:pPr>
      <w:r>
        <w:rPr>
          <w:rFonts w:hint="eastAsia" w:ascii="方正小标宋" w:hAnsi="方正小标宋" w:eastAsia="方正小标宋" w:cs="方正小标宋"/>
          <w:b/>
          <w:sz w:val="36"/>
          <w:highlight w:val="none"/>
        </w:rPr>
        <w:t>部门整体支出绩效评价报告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color w:val="auto"/>
          <w:kern w:val="0"/>
          <w:sz w:val="32"/>
          <w:szCs w:val="32"/>
          <w:highlight w:val="none"/>
          <w:lang w:val="en-US" w:eastAsia="zh-CN"/>
        </w:rPr>
        <w:t>为规范政府部门财政支出预算管理，考核财政资金预期绩效目标的实现程度和综合效果，更好地优化资源配置，切实提高财政资金的使用效益，进一步提升预算部门的行政效能，根据铜川市新区财政局《关于开展2020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铜新财评〔2021〕1号）文件要求，从投入、过程、产出、效果四个维度对新区妇幼保健计划生育服务中心2020年度部门整体支出进行绩效评价。经过资料审查、数据采集、现场访谈、社会调查等评价程序，运用科学、合理的绩效评价方法，形成本绩效评价报告。</w:t>
      </w:r>
      <w:bookmarkStart w:id="0" w:name="一、项目基本情况"/>
      <w:bookmarkEnd w:id="0"/>
      <w:bookmarkStart w:id="1" w:name="_bookmark0"/>
      <w:bookmarkEnd w:id="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CN"/>
        </w:rPr>
      </w:pPr>
      <w:bookmarkStart w:id="2" w:name="_Toc31592"/>
      <w:r>
        <w:rPr>
          <w:rFonts w:hint="eastAsia" w:ascii="黑体" w:hAnsi="黑体" w:eastAsia="黑体" w:cs="黑体"/>
          <w:b w:val="0"/>
          <w:bCs w:val="0"/>
          <w:color w:val="auto"/>
          <w:kern w:val="0"/>
          <w:sz w:val="32"/>
          <w:szCs w:val="32"/>
          <w:highlight w:val="none"/>
          <w:lang w:val="en-US" w:eastAsia="zh-CN"/>
        </w:rPr>
        <w:t>一、部门基本情况</w:t>
      </w:r>
      <w:bookmarkEnd w:id="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eastAsia" w:ascii="楷体" w:hAnsi="楷体" w:eastAsia="楷体" w:cs="楷体"/>
          <w:b/>
          <w:bCs/>
          <w:color w:val="auto"/>
          <w:kern w:val="0"/>
          <w:sz w:val="32"/>
          <w:szCs w:val="32"/>
          <w:highlight w:val="none"/>
          <w:lang w:val="en-US" w:eastAsia="zh-CN"/>
        </w:rPr>
      </w:pPr>
      <w:bookmarkStart w:id="3" w:name="_Toc19240"/>
      <w:r>
        <w:rPr>
          <w:rFonts w:hint="eastAsia" w:ascii="楷体" w:hAnsi="楷体" w:eastAsia="楷体" w:cs="楷体"/>
          <w:b/>
          <w:bCs/>
          <w:color w:val="auto"/>
          <w:kern w:val="0"/>
          <w:sz w:val="32"/>
          <w:szCs w:val="32"/>
          <w:highlight w:val="none"/>
          <w:lang w:val="en-US" w:eastAsia="zh-CN"/>
        </w:rPr>
        <w:t>（一）部门概况</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1.主要职</w:t>
      </w:r>
      <w:r>
        <w:rPr>
          <w:rFonts w:hint="eastAsia" w:ascii="仿宋" w:hAnsi="仿宋" w:eastAsia="仿宋" w:cs="仿宋"/>
          <w:b/>
          <w:bCs/>
          <w:color w:val="auto"/>
          <w:kern w:val="0"/>
          <w:sz w:val="32"/>
          <w:szCs w:val="32"/>
          <w:highlight w:val="none"/>
          <w:lang w:val="en-US" w:eastAsia="zh-Hans"/>
        </w:rPr>
        <w:t>责</w:t>
      </w:r>
      <w:r>
        <w:rPr>
          <w:rFonts w:hint="eastAsia" w:ascii="仿宋" w:hAnsi="仿宋" w:eastAsia="仿宋" w:cs="仿宋"/>
          <w:b/>
          <w:bCs/>
          <w:color w:val="auto"/>
          <w:kern w:val="0"/>
          <w:sz w:val="32"/>
          <w:szCs w:val="32"/>
          <w:highlight w:val="none"/>
          <w:lang w:val="en-US" w:eastAsia="zh-CN"/>
        </w:rPr>
        <w:t>。</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铜川市新区妇幼保健计划生育服务中心的单位性质为事业单位，经营管理为财政补贴的全额预算管理，以孕产保健、儿童妇女保健、计划生育服务为中心，为妇女儿童提供全方位服务。儿童妇女保健、围产保健等妇幼保健服务；妇女儿童常见病防治、助产技术服务、出生缺陷综合防治服务等医疗保健服务；计划生育技术服务、优生指导、药具发放、生殖保健等；婚前医学检查、优生健康检查；受委托妇幼保健和计划生育技术服务、业务管理、项目管理、培训和技术支持；健康促进与健康教育研究、业务指导、人员培训、传播素养监测和城乡居民医疗保障经办业务。</w:t>
      </w:r>
    </w:p>
    <w:p>
      <w:pPr>
        <w:pStyle w:val="2"/>
        <w:keepNext w:val="0"/>
        <w:keepLines w:val="0"/>
        <w:pageBreakBefore w:val="0"/>
        <w:widowControl w:val="0"/>
        <w:numPr>
          <w:ilvl w:val="0"/>
          <w:numId w:val="1"/>
        </w:numPr>
        <w:kinsoku/>
        <w:wordWrap/>
        <w:overflowPunct/>
        <w:topLinePunct w:val="0"/>
        <w:autoSpaceDE w:val="0"/>
        <w:autoSpaceDN w:val="0"/>
        <w:bidi w:val="0"/>
        <w:adjustRightInd/>
        <w:snapToGrid/>
        <w:spacing w:before="0" w:line="600" w:lineRule="exact"/>
        <w:ind w:left="638" w:leftChars="266" w:firstLine="0" w:firstLineChars="0"/>
        <w:textAlignment w:val="auto"/>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国家免费孕前优生健康检查项目。</w:t>
      </w:r>
    </w:p>
    <w:p>
      <w:pPr>
        <w:pStyle w:val="2"/>
        <w:keepNext w:val="0"/>
        <w:keepLines w:val="0"/>
        <w:pageBreakBefore w:val="0"/>
        <w:widowControl w:val="0"/>
        <w:numPr>
          <w:ilvl w:val="0"/>
          <w:numId w:val="1"/>
        </w:numPr>
        <w:kinsoku/>
        <w:wordWrap/>
        <w:overflowPunct/>
        <w:topLinePunct w:val="0"/>
        <w:autoSpaceDE w:val="0"/>
        <w:autoSpaceDN w:val="0"/>
        <w:bidi w:val="0"/>
        <w:adjustRightInd/>
        <w:snapToGrid/>
        <w:spacing w:before="0" w:line="600" w:lineRule="exact"/>
        <w:ind w:left="638" w:leftChars="266" w:firstLine="0" w:firstLineChars="0"/>
        <w:textAlignment w:val="auto"/>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（2）孕产妇和0—6岁儿童健康管理项目实施。 结合孕产妇</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textAlignment w:val="auto"/>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和0-6岁儿童健康管理服务规范(2011版)要求，对辖区孕产妇和0-6岁儿童进行了规范化管理。</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（3）增补叶酸预防神经管缺陷项目。为有效降低新生儿出生缺陷的发生，加强督促检查，加大健康教育宣传力度。</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（4）农村适龄妇女“两癌”免费筛查项目。</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（5）孕产妇产前筛查和新生儿疾病筛查服务项目。为了全面加强妇幼健康工作，进一步降低孕产妇和婴儿死亡率，减少出生缺陷，提高出生人口素质，我中心严格审核，规范服务流程，使项目有序推进。</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（6）托幼机构管理情况 。对辖区内提交申请的幼儿园进行评估和对辖区幼儿园儿童进行入园体格检查。</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7）三网监测工作。为了更好的了解新区孕产妇死亡、5岁以下儿童死亡、出生缺陷数据的准确性，新区妇幼保健计划生育服务中心利用助产机构、疾控等部门记录数据在卫生院、社区卫生服务中心按要求进行质控调查，调查有无漏报现象。</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firstLine="640" w:firstLineChars="200"/>
        <w:textAlignment w:val="auto"/>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（8）预防艾滋病、梅毒、乙肝母婴传播项目和新生儿遗传代谢疾病和听力筛查、B超、产前筛查项目的宣传和随访工作。</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0" w:leftChars="0" w:firstLine="640" w:firstLineChars="200"/>
        <w:textAlignment w:val="auto"/>
        <w:rPr>
          <w:rFonts w:hint="default"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（9）母亲健康工程。确保“母亲健康工程”的质量和效果。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2.组织机构。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lang w:val="en-US" w:eastAsia="zh-CN"/>
        </w:rPr>
        <w:t>铜川市新区妇幼保健计划生育服务中心内设机构包括办公室、孕前优生检查科、婚前医学检查科、妇幼保健科、妇科、彩超室、检验科、健康教育科、培训室九个科室。截止2020年底，本部门人员编制9人，其中行政编制0人、事业编制9人；实有人员9人，其中行政0人、事业9人、工勤0人。单位管理的离退休人员2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Hans"/>
        </w:rPr>
        <w:t>3.财政预决算及项目支出情况</w:t>
      </w:r>
      <w:r>
        <w:rPr>
          <w:rFonts w:hint="eastAsia" w:ascii="仿宋" w:hAnsi="仿宋" w:eastAsia="仿宋" w:cs="仿宋"/>
          <w:b/>
          <w:bCs/>
          <w:color w:val="auto"/>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default" w:ascii="仿宋" w:hAnsi="仿宋" w:eastAsia="仿宋" w:cs="仿宋"/>
          <w:b/>
          <w:bCs/>
          <w:color w:val="auto"/>
          <w:kern w:val="0"/>
          <w:sz w:val="28"/>
          <w:szCs w:val="28"/>
          <w:highlight w:val="none"/>
          <w:lang w:val="en-US" w:eastAsia="zh-CN"/>
        </w:rPr>
      </w:pPr>
      <w:r>
        <w:rPr>
          <w:rFonts w:hint="eastAsia" w:ascii="仿宋" w:hAnsi="仿宋" w:eastAsia="仿宋" w:cs="仿宋"/>
          <w:color w:val="auto"/>
          <w:kern w:val="0"/>
          <w:sz w:val="32"/>
          <w:szCs w:val="32"/>
          <w:highlight w:val="none"/>
          <w:lang w:val="en-US" w:eastAsia="zh-CN"/>
        </w:rPr>
        <w:t>根据铜川市新区妇幼保健计划生育服务中心2020年部门预算和决算文件公开内容，2020年新区妇幼保健计划服务中心部门年度财政资金收入决算数据为395.77万元。其中：部门年初一般公共预算资金为128.08万元，由于部门重大委托业务经费支出调整，年度财政资金调整139.3万元，部门一般公共预算财政拨款收入为267.38万元。2020年度实现政府性基金预算财政拨款收入10.64万元，其他收入38.13万元，上年结转结余资金79.62万元。实际完成财政拨款支出338.11万元，当年预算执行率85.43%。其中：卫生健康支出224，43万元万元，2020年免费婚前医学检查支出4.7万元，2020年妇计专项工作经费支出12万元，疫情防治专项工作经费支出3.87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4" w:name="_Toc2651"/>
      <w:r>
        <w:rPr>
          <w:rFonts w:hint="eastAsia" w:ascii="楷体" w:hAnsi="楷体" w:eastAsia="楷体" w:cs="楷体"/>
          <w:b/>
          <w:bCs/>
          <w:color w:val="auto"/>
          <w:kern w:val="0"/>
          <w:sz w:val="32"/>
          <w:szCs w:val="32"/>
          <w:highlight w:val="none"/>
          <w:shd w:val="clear" w:color="auto" w:fill="FFFFFF"/>
          <w:lang w:val="en-US" w:eastAsia="zh-CN"/>
        </w:rPr>
        <w:t>（二）绩效目标</w:t>
      </w:r>
      <w:bookmarkEnd w:id="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1.总体绩效目标</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深入贯彻落实国家“六保”思想，做好新区妇幼保健计划生育服务中心部门运转保障工作。印刷防疫宣传资料和购买防疫物资，做好年度疫情防控专项工作。为切实保障母婴安全，大力开展出生缺陷干预工程，提高出生人口素质，部门要做好婚前免费医学检查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2.年度绩效目标。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根据《2020年铜川市新区妇幼保健计划生育服务中心部门整体支出绩效目标表》和</w:t>
      </w:r>
      <w:r>
        <w:rPr>
          <w:rFonts w:hint="eastAsia" w:ascii="仿宋" w:hAnsi="仿宋" w:eastAsia="仿宋" w:cs="仿宋"/>
          <w:color w:val="auto"/>
          <w:kern w:val="0"/>
          <w:sz w:val="32"/>
          <w:szCs w:val="32"/>
          <w:highlight w:val="none"/>
          <w:shd w:val="clear" w:color="auto" w:fill="FFFFFF"/>
          <w:lang w:val="en-US" w:eastAsia="zh-CN"/>
        </w:rPr>
        <w:t>铜川市新区妇幼保健计划生育服务中心《呈报2020年部门整体绩效自评汇报及2020年项目绩效自评报告》（铜新妇计发</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14号）</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新区妇幼保健计划生育服务中心</w:t>
      </w:r>
      <w:r>
        <w:rPr>
          <w:rFonts w:hint="eastAsia" w:ascii="仿宋" w:hAnsi="仿宋" w:eastAsia="仿宋" w:cs="仿宋"/>
          <w:color w:val="auto"/>
          <w:kern w:val="0"/>
          <w:sz w:val="32"/>
          <w:szCs w:val="32"/>
          <w:highlight w:val="none"/>
          <w:shd w:val="clear" w:color="auto" w:fill="FFFFFF"/>
          <w:lang w:val="en-US" w:eastAsia="zh-Hans"/>
        </w:rPr>
        <w:t>2020年度绩效</w:t>
      </w:r>
      <w:r>
        <w:rPr>
          <w:rFonts w:hint="eastAsia" w:ascii="仿宋" w:hAnsi="仿宋" w:eastAsia="仿宋" w:cs="仿宋"/>
          <w:color w:val="auto"/>
          <w:kern w:val="0"/>
          <w:sz w:val="32"/>
          <w:szCs w:val="32"/>
          <w:highlight w:val="none"/>
          <w:shd w:val="clear" w:color="auto" w:fill="FFFFFF"/>
          <w:lang w:val="en-US" w:eastAsia="zh-CN"/>
        </w:rPr>
        <w:t>目标</w:t>
      </w:r>
      <w:r>
        <w:rPr>
          <w:rFonts w:hint="eastAsia" w:ascii="仿宋" w:hAnsi="仿宋" w:eastAsia="仿宋" w:cs="仿宋"/>
          <w:color w:val="auto"/>
          <w:kern w:val="0"/>
          <w:sz w:val="32"/>
          <w:szCs w:val="32"/>
          <w:highlight w:val="none"/>
          <w:shd w:val="clear" w:color="auto" w:fill="FFFFFF"/>
          <w:lang w:val="en-US" w:eastAsia="zh-Hans"/>
        </w:rPr>
        <w:t>设置情况如</w:t>
      </w:r>
      <w:r>
        <w:rPr>
          <w:rFonts w:hint="eastAsia" w:ascii="仿宋" w:hAnsi="仿宋" w:eastAsia="仿宋" w:cs="仿宋"/>
          <w:color w:val="auto"/>
          <w:kern w:val="0"/>
          <w:sz w:val="32"/>
          <w:szCs w:val="32"/>
          <w:highlight w:val="none"/>
          <w:shd w:val="clear" w:color="auto" w:fill="FFFFFF"/>
          <w:lang w:val="en-US" w:eastAsia="zh-CN"/>
        </w:rPr>
        <w:t>表1-1</w:t>
      </w:r>
      <w:r>
        <w:rPr>
          <w:rFonts w:hint="eastAsia" w:ascii="仿宋" w:hAnsi="仿宋" w:eastAsia="仿宋" w:cs="仿宋"/>
          <w:color w:val="auto"/>
          <w:kern w:val="0"/>
          <w:sz w:val="32"/>
          <w:szCs w:val="32"/>
          <w:highlight w:val="none"/>
          <w:shd w:val="clear" w:color="auto" w:fill="FFFFFF"/>
          <w:lang w:val="en-US" w:eastAsia="zh-Hans"/>
        </w:rPr>
        <w:t>所示：</w:t>
      </w:r>
      <w:bookmarkStart w:id="5" w:name="_Toc100973726_WPSOffice_Level2"/>
      <w:bookmarkStart w:id="6" w:name="_Toc2080160388_WPSOffice_Level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outlineLvl w:val="9"/>
        <w:rPr>
          <w:rFonts w:hint="default"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lang w:val="en-US" w:eastAsia="zh-CN"/>
        </w:rPr>
        <w:t>表1-1 新区妇幼保健计划生育服务中心部门整体支出绩效目标</w:t>
      </w:r>
      <w:bookmarkEnd w:id="5"/>
      <w:bookmarkEnd w:id="6"/>
      <w:r>
        <w:rPr>
          <w:rFonts w:hint="eastAsia" w:ascii="仿宋" w:hAnsi="仿宋" w:eastAsia="仿宋" w:cs="仿宋"/>
          <w:b/>
          <w:bCs/>
          <w:color w:val="auto"/>
          <w:kern w:val="0"/>
          <w:sz w:val="28"/>
          <w:szCs w:val="28"/>
          <w:highlight w:val="none"/>
          <w:lang w:val="en-US" w:eastAsia="zh-CN"/>
        </w:rPr>
        <w:t>表</w:t>
      </w:r>
    </w:p>
    <w:tbl>
      <w:tblPr>
        <w:tblStyle w:val="15"/>
        <w:tblW w:w="4975" w:type="pct"/>
        <w:tblInd w:w="0" w:type="dxa"/>
        <w:shd w:val="clear" w:color="auto" w:fill="auto"/>
        <w:tblLayout w:type="autofit"/>
        <w:tblCellMar>
          <w:top w:w="0" w:type="dxa"/>
          <w:left w:w="0" w:type="dxa"/>
          <w:bottom w:w="0" w:type="dxa"/>
          <w:right w:w="0" w:type="dxa"/>
        </w:tblCellMar>
      </w:tblPr>
      <w:tblGrid>
        <w:gridCol w:w="1290"/>
        <w:gridCol w:w="1290"/>
        <w:gridCol w:w="1155"/>
        <w:gridCol w:w="2590"/>
        <w:gridCol w:w="2461"/>
      </w:tblGrid>
      <w:tr>
        <w:tblPrEx>
          <w:shd w:val="clear" w:color="auto" w:fill="auto"/>
          <w:tblCellMar>
            <w:top w:w="0" w:type="dxa"/>
            <w:left w:w="0" w:type="dxa"/>
            <w:bottom w:w="0" w:type="dxa"/>
            <w:right w:w="0" w:type="dxa"/>
          </w:tblCellMar>
        </w:tblPrEx>
        <w:trPr>
          <w:trHeight w:val="300" w:hRule="atLeast"/>
        </w:trPr>
        <w:tc>
          <w:tcPr>
            <w:tcW w:w="73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bookmarkStart w:id="7" w:name="_Toc22489"/>
            <w:r>
              <w:rPr>
                <w:rFonts w:hint="eastAsia" w:ascii="仿宋" w:hAnsi="仿宋" w:eastAsia="仿宋" w:cs="仿宋"/>
                <w:i w:val="0"/>
                <w:color w:val="000000"/>
                <w:kern w:val="0"/>
                <w:sz w:val="24"/>
                <w:szCs w:val="24"/>
                <w:u w:val="none"/>
                <w:lang w:val="en-US" w:eastAsia="zh-CN" w:bidi="ar"/>
              </w:rPr>
              <w:t>预算部门</w:t>
            </w:r>
          </w:p>
        </w:tc>
        <w:tc>
          <w:tcPr>
            <w:tcW w:w="73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一级指标</w:t>
            </w:r>
          </w:p>
        </w:tc>
        <w:tc>
          <w:tcPr>
            <w:tcW w:w="6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二级指标</w:t>
            </w:r>
          </w:p>
        </w:tc>
        <w:tc>
          <w:tcPr>
            <w:tcW w:w="1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指标内容</w:t>
            </w:r>
          </w:p>
        </w:tc>
        <w:tc>
          <w:tcPr>
            <w:tcW w:w="14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指标值</w:t>
            </w:r>
          </w:p>
        </w:tc>
      </w:tr>
      <w:tr>
        <w:tblPrEx>
          <w:shd w:val="clear" w:color="auto" w:fill="auto"/>
          <w:tblCellMar>
            <w:top w:w="0" w:type="dxa"/>
            <w:left w:w="0" w:type="dxa"/>
            <w:bottom w:w="0" w:type="dxa"/>
            <w:right w:w="0" w:type="dxa"/>
          </w:tblCellMar>
        </w:tblPrEx>
        <w:trPr>
          <w:trHeight w:val="300" w:hRule="atLeast"/>
        </w:trPr>
        <w:tc>
          <w:tcPr>
            <w:tcW w:w="734"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妇幼保健计划生育服务中心</w:t>
            </w:r>
          </w:p>
        </w:tc>
        <w:tc>
          <w:tcPr>
            <w:tcW w:w="734"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产出</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指标</w:t>
            </w: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产出</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数量</w:t>
            </w:r>
          </w:p>
        </w:tc>
        <w:tc>
          <w:tcPr>
            <w:tcW w:w="1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保障工资人数</w:t>
            </w:r>
          </w:p>
        </w:tc>
        <w:tc>
          <w:tcPr>
            <w:tcW w:w="14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17人</w:t>
            </w:r>
          </w:p>
        </w:tc>
      </w:tr>
      <w:tr>
        <w:tblPrEx>
          <w:shd w:val="clear" w:color="auto" w:fill="auto"/>
          <w:tblCellMar>
            <w:top w:w="0" w:type="dxa"/>
            <w:left w:w="0" w:type="dxa"/>
            <w:bottom w:w="0" w:type="dxa"/>
            <w:right w:w="0" w:type="dxa"/>
          </w:tblCellMar>
        </w:tblPrEx>
        <w:trPr>
          <w:trHeight w:val="300"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保障公务用车数</w:t>
            </w:r>
          </w:p>
        </w:tc>
        <w:tc>
          <w:tcPr>
            <w:tcW w:w="14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1辆</w:t>
            </w:r>
          </w:p>
        </w:tc>
      </w:tr>
      <w:tr>
        <w:tblPrEx>
          <w:shd w:val="clear" w:color="auto" w:fill="auto"/>
          <w:tblCellMar>
            <w:top w:w="0" w:type="dxa"/>
            <w:left w:w="0" w:type="dxa"/>
            <w:bottom w:w="0" w:type="dxa"/>
            <w:right w:w="0" w:type="dxa"/>
          </w:tblCellMar>
        </w:tblPrEx>
        <w:trPr>
          <w:trHeight w:val="300"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免费婚前医学检查服务人数</w:t>
            </w:r>
          </w:p>
        </w:tc>
        <w:tc>
          <w:tcPr>
            <w:tcW w:w="14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600人</w:t>
            </w:r>
          </w:p>
        </w:tc>
      </w:tr>
      <w:tr>
        <w:tblPrEx>
          <w:shd w:val="clear" w:color="auto" w:fill="auto"/>
          <w:tblCellMar>
            <w:top w:w="0" w:type="dxa"/>
            <w:left w:w="0" w:type="dxa"/>
            <w:bottom w:w="0" w:type="dxa"/>
            <w:right w:w="0" w:type="dxa"/>
          </w:tblCellMar>
        </w:tblPrEx>
        <w:trPr>
          <w:trHeight w:val="300"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制作防疫印刷各类宣传资料</w:t>
            </w:r>
          </w:p>
        </w:tc>
        <w:tc>
          <w:tcPr>
            <w:tcW w:w="14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7000</w:t>
            </w:r>
          </w:p>
        </w:tc>
      </w:tr>
      <w:tr>
        <w:tblPrEx>
          <w:shd w:val="clear" w:color="auto" w:fill="auto"/>
          <w:tblCellMar>
            <w:top w:w="0" w:type="dxa"/>
            <w:left w:w="0" w:type="dxa"/>
            <w:bottom w:w="0" w:type="dxa"/>
            <w:right w:w="0" w:type="dxa"/>
          </w:tblCellMar>
        </w:tblPrEx>
        <w:trPr>
          <w:trHeight w:val="300"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产出</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质量</w:t>
            </w:r>
          </w:p>
        </w:tc>
        <w:tc>
          <w:tcPr>
            <w:tcW w:w="1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资金支出合规性</w:t>
            </w:r>
          </w:p>
        </w:tc>
        <w:tc>
          <w:tcPr>
            <w:tcW w:w="14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r>
      <w:tr>
        <w:tblPrEx>
          <w:shd w:val="clear" w:color="auto" w:fill="auto"/>
          <w:tblCellMar>
            <w:top w:w="0" w:type="dxa"/>
            <w:left w:w="0" w:type="dxa"/>
            <w:bottom w:w="0" w:type="dxa"/>
            <w:right w:w="0" w:type="dxa"/>
          </w:tblCellMar>
        </w:tblPrEx>
        <w:trPr>
          <w:trHeight w:val="300"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宣传资料验收合格率</w:t>
            </w:r>
          </w:p>
        </w:tc>
        <w:tc>
          <w:tcPr>
            <w:tcW w:w="14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r>
      <w:tr>
        <w:tblPrEx>
          <w:shd w:val="clear" w:color="auto" w:fill="auto"/>
          <w:tblCellMar>
            <w:top w:w="0" w:type="dxa"/>
            <w:left w:w="0" w:type="dxa"/>
            <w:bottom w:w="0" w:type="dxa"/>
            <w:right w:w="0" w:type="dxa"/>
          </w:tblCellMar>
        </w:tblPrEx>
        <w:trPr>
          <w:trHeight w:val="300"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产出</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时效</w:t>
            </w:r>
          </w:p>
        </w:tc>
        <w:tc>
          <w:tcPr>
            <w:tcW w:w="1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工资、津贴发放及时率</w:t>
            </w:r>
          </w:p>
        </w:tc>
        <w:tc>
          <w:tcPr>
            <w:tcW w:w="14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r>
      <w:tr>
        <w:tblPrEx>
          <w:shd w:val="clear" w:color="auto" w:fill="auto"/>
          <w:tblCellMar>
            <w:top w:w="0" w:type="dxa"/>
            <w:left w:w="0" w:type="dxa"/>
            <w:bottom w:w="0" w:type="dxa"/>
            <w:right w:w="0" w:type="dxa"/>
          </w:tblCellMar>
        </w:tblPrEx>
        <w:trPr>
          <w:trHeight w:val="300"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免费婚前医学检查完成时间</w:t>
            </w:r>
          </w:p>
        </w:tc>
        <w:tc>
          <w:tcPr>
            <w:tcW w:w="14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截至2020年12月31日</w:t>
            </w:r>
          </w:p>
        </w:tc>
      </w:tr>
      <w:tr>
        <w:tblPrEx>
          <w:shd w:val="clear" w:color="auto" w:fill="auto"/>
          <w:tblCellMar>
            <w:top w:w="0" w:type="dxa"/>
            <w:left w:w="0" w:type="dxa"/>
            <w:bottom w:w="0" w:type="dxa"/>
            <w:right w:w="0" w:type="dxa"/>
          </w:tblCellMar>
        </w:tblPrEx>
        <w:trPr>
          <w:trHeight w:val="300"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制作宣传资料</w:t>
            </w:r>
          </w:p>
        </w:tc>
        <w:tc>
          <w:tcPr>
            <w:tcW w:w="14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截至2020年12月31日</w:t>
            </w:r>
          </w:p>
        </w:tc>
      </w:tr>
      <w:tr>
        <w:tblPrEx>
          <w:tblCellMar>
            <w:top w:w="0" w:type="dxa"/>
            <w:left w:w="0" w:type="dxa"/>
            <w:bottom w:w="0" w:type="dxa"/>
            <w:right w:w="0" w:type="dxa"/>
          </w:tblCellMar>
        </w:tblPrEx>
        <w:trPr>
          <w:trHeight w:val="300"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购买防疫物资</w:t>
            </w:r>
          </w:p>
        </w:tc>
        <w:tc>
          <w:tcPr>
            <w:tcW w:w="14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截至2020年12月31日</w:t>
            </w:r>
          </w:p>
        </w:tc>
      </w:tr>
      <w:tr>
        <w:tblPrEx>
          <w:shd w:val="clear" w:color="auto" w:fill="auto"/>
          <w:tblCellMar>
            <w:top w:w="0" w:type="dxa"/>
            <w:left w:w="0" w:type="dxa"/>
            <w:bottom w:w="0" w:type="dxa"/>
            <w:right w:w="0" w:type="dxa"/>
          </w:tblCellMar>
        </w:tblPrEx>
        <w:trPr>
          <w:trHeight w:val="300"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产出</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成本</w:t>
            </w:r>
          </w:p>
        </w:tc>
        <w:tc>
          <w:tcPr>
            <w:tcW w:w="1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干部工资福利待遇费用</w:t>
            </w:r>
          </w:p>
        </w:tc>
        <w:tc>
          <w:tcPr>
            <w:tcW w:w="14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≦83.16</w:t>
            </w:r>
          </w:p>
        </w:tc>
      </w:tr>
      <w:tr>
        <w:tblPrEx>
          <w:tblCellMar>
            <w:top w:w="0" w:type="dxa"/>
            <w:left w:w="0" w:type="dxa"/>
            <w:bottom w:w="0" w:type="dxa"/>
            <w:right w:w="0" w:type="dxa"/>
          </w:tblCellMar>
        </w:tblPrEx>
        <w:trPr>
          <w:trHeight w:val="300"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办公成本</w:t>
            </w:r>
          </w:p>
        </w:tc>
        <w:tc>
          <w:tcPr>
            <w:tcW w:w="14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≦10.6</w:t>
            </w:r>
          </w:p>
        </w:tc>
      </w:tr>
      <w:tr>
        <w:tblPrEx>
          <w:tblCellMar>
            <w:top w:w="0" w:type="dxa"/>
            <w:left w:w="0" w:type="dxa"/>
            <w:bottom w:w="0" w:type="dxa"/>
            <w:right w:w="0" w:type="dxa"/>
          </w:tblCellMar>
        </w:tblPrEx>
        <w:trPr>
          <w:trHeight w:val="300"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免费婚前医学检查</w:t>
            </w:r>
          </w:p>
        </w:tc>
        <w:tc>
          <w:tcPr>
            <w:tcW w:w="14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≦4.695</w:t>
            </w:r>
          </w:p>
        </w:tc>
      </w:tr>
      <w:tr>
        <w:tblPrEx>
          <w:tblCellMar>
            <w:top w:w="0" w:type="dxa"/>
            <w:left w:w="0" w:type="dxa"/>
            <w:bottom w:w="0" w:type="dxa"/>
            <w:right w:w="0" w:type="dxa"/>
          </w:tblCellMar>
        </w:tblPrEx>
        <w:trPr>
          <w:trHeight w:val="300"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疫情防治专项经费</w:t>
            </w:r>
          </w:p>
        </w:tc>
        <w:tc>
          <w:tcPr>
            <w:tcW w:w="14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300"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妇计专项工作经费</w:t>
            </w:r>
          </w:p>
        </w:tc>
        <w:tc>
          <w:tcPr>
            <w:tcW w:w="14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w:t>
            </w:r>
          </w:p>
        </w:tc>
      </w:tr>
      <w:tr>
        <w:tblPrEx>
          <w:tblCellMar>
            <w:top w:w="0" w:type="dxa"/>
            <w:left w:w="0" w:type="dxa"/>
            <w:bottom w:w="0" w:type="dxa"/>
            <w:right w:w="0" w:type="dxa"/>
          </w:tblCellMar>
        </w:tblPrEx>
        <w:trPr>
          <w:trHeight w:val="600"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4"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效益</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指标</w:t>
            </w: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社会</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效益</w:t>
            </w:r>
          </w:p>
        </w:tc>
        <w:tc>
          <w:tcPr>
            <w:tcW w:w="1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医学检查提高人口素质，降低新生儿疾病发生率</w:t>
            </w:r>
          </w:p>
        </w:tc>
        <w:tc>
          <w:tcPr>
            <w:tcW w:w="14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90%</w:t>
            </w:r>
          </w:p>
        </w:tc>
      </w:tr>
      <w:tr>
        <w:tblPrEx>
          <w:shd w:val="clear" w:color="auto" w:fill="auto"/>
          <w:tblCellMar>
            <w:top w:w="0" w:type="dxa"/>
            <w:left w:w="0" w:type="dxa"/>
            <w:bottom w:w="0" w:type="dxa"/>
            <w:right w:w="0" w:type="dxa"/>
          </w:tblCellMar>
        </w:tblPrEx>
        <w:trPr>
          <w:trHeight w:val="300"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群众对新冠肺炎防护意识</w:t>
            </w:r>
          </w:p>
        </w:tc>
        <w:tc>
          <w:tcPr>
            <w:tcW w:w="14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提高</w:t>
            </w:r>
          </w:p>
        </w:tc>
      </w:tr>
      <w:tr>
        <w:tblPrEx>
          <w:tblCellMar>
            <w:top w:w="0" w:type="dxa"/>
            <w:left w:w="0" w:type="dxa"/>
            <w:bottom w:w="0" w:type="dxa"/>
            <w:right w:w="0" w:type="dxa"/>
          </w:tblCellMar>
        </w:tblPrEx>
        <w:trPr>
          <w:trHeight w:val="300"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人员工作积极性</w:t>
            </w:r>
          </w:p>
        </w:tc>
        <w:tc>
          <w:tcPr>
            <w:tcW w:w="14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提高</w:t>
            </w:r>
          </w:p>
        </w:tc>
      </w:tr>
      <w:tr>
        <w:tblPrEx>
          <w:shd w:val="clear" w:color="auto" w:fill="auto"/>
          <w:tblCellMar>
            <w:top w:w="0" w:type="dxa"/>
            <w:left w:w="0" w:type="dxa"/>
            <w:bottom w:w="0" w:type="dxa"/>
            <w:right w:w="0" w:type="dxa"/>
          </w:tblCellMar>
        </w:tblPrEx>
        <w:trPr>
          <w:trHeight w:val="600" w:hRule="atLeast"/>
        </w:trPr>
        <w:tc>
          <w:tcPr>
            <w:tcW w:w="734"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3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满意度</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指标</w:t>
            </w:r>
          </w:p>
        </w:tc>
        <w:tc>
          <w:tcPr>
            <w:tcW w:w="65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服务对象满意度</w:t>
            </w:r>
          </w:p>
        </w:tc>
        <w:tc>
          <w:tcPr>
            <w:tcW w:w="14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群众对服务的满意度</w:t>
            </w:r>
          </w:p>
        </w:tc>
        <w:tc>
          <w:tcPr>
            <w:tcW w:w="14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CN"/>
        </w:rPr>
      </w:pPr>
      <w:r>
        <w:rPr>
          <w:rFonts w:hint="eastAsia" w:ascii="黑体" w:hAnsi="黑体" w:eastAsia="黑体" w:cs="黑体"/>
          <w:b w:val="0"/>
          <w:bCs w:val="0"/>
          <w:color w:val="auto"/>
          <w:kern w:val="0"/>
          <w:sz w:val="32"/>
          <w:szCs w:val="32"/>
          <w:highlight w:val="none"/>
          <w:lang w:val="en-US" w:eastAsia="zh-CN"/>
        </w:rPr>
        <w:t>二、绩效评价工作开展情况</w:t>
      </w:r>
      <w:bookmarkEnd w:id="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lang w:val="en-US" w:eastAsia="zh-CN"/>
        </w:rPr>
      </w:pPr>
      <w:bookmarkStart w:id="8" w:name="_Toc19145"/>
      <w:r>
        <w:rPr>
          <w:rFonts w:hint="eastAsia" w:ascii="楷体" w:hAnsi="楷体" w:eastAsia="楷体" w:cs="楷体"/>
          <w:b/>
          <w:bCs/>
          <w:color w:val="auto"/>
          <w:kern w:val="0"/>
          <w:sz w:val="32"/>
          <w:szCs w:val="32"/>
          <w:highlight w:val="none"/>
          <w:lang w:val="en-US" w:eastAsia="zh-CN"/>
        </w:rPr>
        <w:t>（一）绩效评价目的和依据</w:t>
      </w:r>
      <w:bookmarkEnd w:id="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推进预算绩效管理是贯彻落实党中央、国务院要求，从根本上深化行政管理体制改革、促进政府职能转变、提高部门责任意识，建设高效、责任、透明政府的有效举措，是贯彻落实科学发展观的必然选择,是实施行政问责制和加强政府效能建设的重要抓手。为深入贯彻落实科学发展观，完善公共财政体系，进一步推进财政预算绩效管理，不断提升财政管理科学化精细化水平，根据《关于全面实施预算绩效管理的意见》（中发〔2018〕34号）、《项目支出绩效评价管理办法》（财预〔2020〕10号）等文件要求，依据</w:t>
      </w:r>
      <w:r>
        <w:rPr>
          <w:rFonts w:hint="eastAsia" w:ascii="仿宋" w:hAnsi="仿宋" w:eastAsia="仿宋" w:cs="仿宋"/>
          <w:color w:val="auto"/>
          <w:kern w:val="0"/>
          <w:sz w:val="32"/>
          <w:szCs w:val="32"/>
          <w:highlight w:val="none"/>
          <w:lang w:val="en-US" w:eastAsia="zh-CN"/>
        </w:rPr>
        <w:t>铜川市新区财政局《关于开展2020年新区项目和部门整体支出绩效自评及重点项目绩效评价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的通知》（铜新财评〔2021〕1号）</w:t>
      </w:r>
      <w:r>
        <w:rPr>
          <w:rFonts w:hint="eastAsia" w:ascii="仿宋" w:hAnsi="仿宋" w:eastAsia="仿宋" w:cs="仿宋"/>
          <w:color w:val="auto"/>
          <w:kern w:val="0"/>
          <w:sz w:val="32"/>
          <w:szCs w:val="32"/>
          <w:highlight w:val="none"/>
          <w:shd w:val="clear" w:color="auto" w:fill="FFFFFF"/>
          <w:lang w:val="en-US" w:eastAsia="zh-Hans"/>
        </w:rPr>
        <w:t>文件规定，对</w:t>
      </w:r>
      <w:r>
        <w:rPr>
          <w:rFonts w:hint="eastAsia" w:ascii="仿宋" w:hAnsi="仿宋" w:eastAsia="仿宋" w:cs="仿宋"/>
          <w:color w:val="auto"/>
          <w:kern w:val="0"/>
          <w:sz w:val="32"/>
          <w:szCs w:val="32"/>
          <w:highlight w:val="none"/>
          <w:shd w:val="clear" w:color="auto" w:fill="FFFFFF"/>
          <w:lang w:val="en-US" w:eastAsia="zh-CN"/>
        </w:rPr>
        <w:t>铜川市新区妇幼保健计划生育服务中心</w:t>
      </w:r>
      <w:r>
        <w:rPr>
          <w:rFonts w:hint="eastAsia" w:ascii="仿宋" w:hAnsi="仿宋" w:eastAsia="仿宋" w:cs="仿宋"/>
          <w:color w:val="auto"/>
          <w:kern w:val="0"/>
          <w:sz w:val="32"/>
          <w:szCs w:val="32"/>
          <w:highlight w:val="none"/>
          <w:shd w:val="clear" w:color="auto" w:fill="FFFFFF"/>
          <w:lang w:val="en-US" w:eastAsia="zh-Hans"/>
        </w:rPr>
        <w:t>2020年度</w:t>
      </w:r>
      <w:r>
        <w:rPr>
          <w:rFonts w:hint="eastAsia" w:ascii="仿宋" w:hAnsi="仿宋" w:eastAsia="仿宋" w:cs="仿宋"/>
          <w:color w:val="auto"/>
          <w:kern w:val="0"/>
          <w:sz w:val="32"/>
          <w:szCs w:val="32"/>
          <w:highlight w:val="none"/>
          <w:shd w:val="clear" w:color="auto" w:fill="FFFFFF"/>
          <w:lang w:val="en-US" w:eastAsia="zh-CN"/>
        </w:rPr>
        <w:t>部门</w:t>
      </w:r>
      <w:r>
        <w:rPr>
          <w:rFonts w:hint="eastAsia" w:ascii="仿宋" w:hAnsi="仿宋" w:eastAsia="仿宋" w:cs="仿宋"/>
          <w:color w:val="auto"/>
          <w:kern w:val="0"/>
          <w:sz w:val="32"/>
          <w:szCs w:val="32"/>
          <w:highlight w:val="none"/>
          <w:shd w:val="clear" w:color="auto" w:fill="FFFFFF"/>
          <w:lang w:val="en-US" w:eastAsia="zh-Hans"/>
        </w:rPr>
        <w:t>整体支出资金使用情况，以及部门职能及重点工作执行情况进行绩效评价。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1.评价目的</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本次绩效评价工作主要目的包括如下两部分：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一是通过开展部门整体支出绩效评价，促进部门从整体上提升预算绩效管理工作水平，强化部门支出责任，规范资金管理行为，提高财政资金使用效益，保障部门更好地履行职责。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二是通过本次绩效评价工作的开展，为铜川市</w:t>
      </w:r>
      <w:r>
        <w:rPr>
          <w:rFonts w:hint="eastAsia" w:ascii="仿宋" w:hAnsi="仿宋" w:eastAsia="仿宋" w:cs="仿宋"/>
          <w:color w:val="auto"/>
          <w:kern w:val="0"/>
          <w:sz w:val="32"/>
          <w:szCs w:val="32"/>
          <w:highlight w:val="none"/>
          <w:shd w:val="clear" w:color="auto" w:fill="FFFFFF"/>
          <w:lang w:val="en-US" w:eastAsia="zh-CN"/>
        </w:rPr>
        <w:t>新区</w:t>
      </w:r>
      <w:r>
        <w:rPr>
          <w:rFonts w:hint="eastAsia" w:ascii="仿宋" w:hAnsi="仿宋" w:eastAsia="仿宋" w:cs="仿宋"/>
          <w:color w:val="auto"/>
          <w:kern w:val="0"/>
          <w:sz w:val="32"/>
          <w:szCs w:val="32"/>
          <w:highlight w:val="none"/>
          <w:shd w:val="clear" w:color="auto" w:fill="FFFFFF"/>
          <w:lang w:val="en-US" w:eastAsia="zh-Hans"/>
        </w:rPr>
        <w:t>财政绩效管理工作积累经验，并有效落实绩效评价结果应用，探索更加符合财政项目管理特点的绩效管理模式和方法，优化</w:t>
      </w:r>
      <w:r>
        <w:rPr>
          <w:rFonts w:hint="eastAsia" w:ascii="仿宋" w:hAnsi="仿宋" w:eastAsia="仿宋" w:cs="仿宋"/>
          <w:color w:val="auto"/>
          <w:kern w:val="0"/>
          <w:sz w:val="32"/>
          <w:szCs w:val="32"/>
          <w:highlight w:val="none"/>
          <w:shd w:val="clear" w:color="auto" w:fill="FFFFFF"/>
          <w:lang w:val="en-US" w:eastAsia="zh-CN"/>
        </w:rPr>
        <w:t>财政支出结构</w:t>
      </w:r>
      <w:r>
        <w:rPr>
          <w:rFonts w:hint="eastAsia" w:ascii="仿宋" w:hAnsi="仿宋" w:eastAsia="仿宋" w:cs="仿宋"/>
          <w:color w:val="auto"/>
          <w:kern w:val="0"/>
          <w:sz w:val="32"/>
          <w:szCs w:val="32"/>
          <w:highlight w:val="none"/>
          <w:shd w:val="clear" w:color="auto" w:fill="FFFFFF"/>
          <w:lang w:val="en-US" w:eastAsia="zh-Hans"/>
        </w:rPr>
        <w:t>，提升财政支出</w:t>
      </w:r>
      <w:r>
        <w:rPr>
          <w:rFonts w:hint="eastAsia" w:ascii="仿宋" w:hAnsi="仿宋" w:eastAsia="仿宋" w:cs="仿宋"/>
          <w:color w:val="auto"/>
          <w:kern w:val="0"/>
          <w:sz w:val="32"/>
          <w:szCs w:val="32"/>
          <w:highlight w:val="none"/>
          <w:shd w:val="clear" w:color="auto" w:fill="FFFFFF"/>
          <w:lang w:val="en-US" w:eastAsia="zh-CN"/>
        </w:rPr>
        <w:t>预算</w:t>
      </w:r>
      <w:r>
        <w:rPr>
          <w:rFonts w:hint="eastAsia" w:ascii="仿宋" w:hAnsi="仿宋" w:eastAsia="仿宋" w:cs="仿宋"/>
          <w:color w:val="auto"/>
          <w:kern w:val="0"/>
          <w:sz w:val="32"/>
          <w:szCs w:val="32"/>
          <w:highlight w:val="none"/>
          <w:shd w:val="clear" w:color="auto" w:fill="FFFFFF"/>
          <w:lang w:val="en-US" w:eastAsia="zh-Hans"/>
        </w:rPr>
        <w:t>执行效率。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2.评价依据</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（1）《财政部关于印发&lt;项目支出绩效评价管理办法&gt;的通知》（财预〔2020〕10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（2）《预算绩效评价共性指标体系框架》（财预〔2013〕53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（3）陕西省财政厅关于印发《省级部门整体支出绩效评价办法》的通知(陕财办预〔2017〕80 号)</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w:t>
      </w:r>
      <w:r>
        <w:rPr>
          <w:rFonts w:hint="eastAsia" w:ascii="仿宋" w:hAnsi="仿宋" w:eastAsia="仿宋" w:cs="仿宋"/>
          <w:color w:val="auto"/>
          <w:kern w:val="0"/>
          <w:sz w:val="32"/>
          <w:szCs w:val="32"/>
          <w:highlight w:val="none"/>
          <w:lang w:val="en-US" w:eastAsia="zh-CN"/>
        </w:rPr>
        <w:t>铜川市新区财政局《关于开展2020年新区项目和部门整体支出绩效自评及重点项目绩效评价</w:t>
      </w:r>
      <w:r>
        <w:rPr>
          <w:rFonts w:hint="eastAsia" w:ascii="仿宋" w:hAnsi="仿宋" w:eastAsia="仿宋" w:cs="仿宋"/>
          <w:color w:val="auto"/>
          <w:kern w:val="0"/>
          <w:sz w:val="32"/>
          <w:szCs w:val="32"/>
          <w:highlight w:val="none"/>
          <w:lang w:val="en-US" w:eastAsia="zh-Hans"/>
        </w:rPr>
        <w:t>工作</w:t>
      </w:r>
      <w:r>
        <w:rPr>
          <w:rFonts w:hint="eastAsia" w:ascii="仿宋" w:hAnsi="仿宋" w:eastAsia="仿宋" w:cs="仿宋"/>
          <w:color w:val="auto"/>
          <w:kern w:val="0"/>
          <w:sz w:val="32"/>
          <w:szCs w:val="32"/>
          <w:highlight w:val="none"/>
          <w:lang w:val="en-US" w:eastAsia="zh-CN"/>
        </w:rPr>
        <w:t>的通知》（铜新财评〔2021〕1号）</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（5）</w:t>
      </w:r>
      <w:r>
        <w:rPr>
          <w:rFonts w:hint="eastAsia" w:ascii="仿宋" w:hAnsi="仿宋" w:eastAsia="仿宋" w:cs="仿宋"/>
          <w:color w:val="auto"/>
          <w:kern w:val="0"/>
          <w:sz w:val="32"/>
          <w:szCs w:val="32"/>
          <w:highlight w:val="none"/>
          <w:shd w:val="clear" w:color="auto" w:fill="FFFFFF"/>
          <w:lang w:val="en-US" w:eastAsia="zh-CN"/>
        </w:rPr>
        <w:t>铜川市新区财政局《关于下达2020年部门预算的通知》（铜新财预</w:t>
      </w:r>
      <w:r>
        <w:rPr>
          <w:rFonts w:hint="eastAsia" w:ascii="仿宋" w:hAnsi="仿宋" w:eastAsia="仿宋" w:cs="仿宋"/>
          <w:color w:val="auto"/>
          <w:kern w:val="0"/>
          <w:sz w:val="32"/>
          <w:szCs w:val="32"/>
          <w:highlight w:val="none"/>
          <w:shd w:val="clear" w:color="auto" w:fill="FFFFFF"/>
          <w:lang w:val="en-US" w:eastAsia="zh-Hans"/>
        </w:rPr>
        <w:t>〔2020〕</w:t>
      </w:r>
      <w:r>
        <w:rPr>
          <w:rFonts w:hint="eastAsia" w:ascii="仿宋" w:hAnsi="仿宋" w:eastAsia="仿宋" w:cs="仿宋"/>
          <w:color w:val="auto"/>
          <w:kern w:val="0"/>
          <w:sz w:val="32"/>
          <w:szCs w:val="32"/>
          <w:highlight w:val="none"/>
          <w:shd w:val="clear" w:color="auto" w:fill="FFFFFF"/>
          <w:lang w:val="en-US" w:eastAsia="zh-CN"/>
        </w:rPr>
        <w:t>3号）；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（6）铜川市新区财政局《关于下达2020年“产前筛查和新生儿疾病筛查”区级配套资金的通知》（铜新财事</w:t>
      </w:r>
      <w:r>
        <w:rPr>
          <w:rFonts w:hint="eastAsia" w:ascii="仿宋" w:hAnsi="仿宋" w:eastAsia="仿宋" w:cs="仿宋"/>
          <w:color w:val="auto"/>
          <w:kern w:val="0"/>
          <w:sz w:val="32"/>
          <w:szCs w:val="32"/>
          <w:highlight w:val="none"/>
          <w:shd w:val="clear" w:color="auto" w:fill="FFFFFF"/>
          <w:lang w:val="en-US" w:eastAsia="zh-Hans"/>
        </w:rPr>
        <w:t>〔2020〕</w:t>
      </w:r>
      <w:r>
        <w:rPr>
          <w:rFonts w:hint="eastAsia" w:ascii="仿宋" w:hAnsi="仿宋" w:eastAsia="仿宋" w:cs="仿宋"/>
          <w:color w:val="auto"/>
          <w:kern w:val="0"/>
          <w:sz w:val="32"/>
          <w:szCs w:val="32"/>
          <w:highlight w:val="none"/>
          <w:shd w:val="clear" w:color="auto" w:fill="FFFFFF"/>
          <w:lang w:val="en-US" w:eastAsia="zh-CN"/>
        </w:rPr>
        <w:t>346号）；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（7）</w:t>
      </w:r>
      <w:r>
        <w:rPr>
          <w:rFonts w:hint="eastAsia" w:ascii="仿宋" w:hAnsi="仿宋" w:eastAsia="仿宋" w:cs="仿宋"/>
          <w:color w:val="auto"/>
          <w:kern w:val="0"/>
          <w:sz w:val="32"/>
          <w:szCs w:val="32"/>
          <w:highlight w:val="none"/>
          <w:shd w:val="clear" w:color="auto" w:fill="FFFFFF"/>
          <w:lang w:val="en-US" w:eastAsia="zh-Hans"/>
        </w:rPr>
        <w:t>《关于做好2020年部门预算公开的通知》（铜财预〔2020〕41号）；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8</w:t>
      </w:r>
      <w:r>
        <w:rPr>
          <w:rFonts w:hint="eastAsia" w:ascii="仿宋" w:hAnsi="仿宋" w:eastAsia="仿宋" w:cs="仿宋"/>
          <w:color w:val="auto"/>
          <w:kern w:val="0"/>
          <w:sz w:val="32"/>
          <w:szCs w:val="32"/>
          <w:highlight w:val="none"/>
          <w:shd w:val="clear" w:color="auto" w:fill="FFFFFF"/>
          <w:lang w:val="en-US" w:eastAsia="zh-Hans"/>
        </w:rPr>
        <w:t>）《铜川市预决算公开工作考核办法》（铜财预〔2018〕117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9</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《关于申请三名专业技术人员劳务派遣的请示》（铜新妇计发</w:t>
      </w:r>
      <w:r>
        <w:rPr>
          <w:rFonts w:hint="eastAsia" w:ascii="仿宋" w:hAnsi="仿宋" w:eastAsia="仿宋" w:cs="仿宋"/>
          <w:color w:val="auto"/>
          <w:kern w:val="0"/>
          <w:sz w:val="32"/>
          <w:szCs w:val="32"/>
          <w:highlight w:val="none"/>
          <w:shd w:val="clear" w:color="auto" w:fill="FFFFFF"/>
          <w:lang w:val="en-US" w:eastAsia="zh-Hans"/>
        </w:rPr>
        <w:t>〔2018〕</w:t>
      </w:r>
      <w:r>
        <w:rPr>
          <w:rFonts w:hint="eastAsia" w:ascii="仿宋" w:hAnsi="仿宋" w:eastAsia="仿宋" w:cs="仿宋"/>
          <w:color w:val="auto"/>
          <w:kern w:val="0"/>
          <w:sz w:val="32"/>
          <w:szCs w:val="32"/>
          <w:highlight w:val="none"/>
          <w:shd w:val="clear" w:color="auto" w:fill="FFFFFF"/>
          <w:lang w:val="en-US" w:eastAsia="zh-CN"/>
        </w:rPr>
        <w:t>56号）；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（10）</w:t>
      </w:r>
      <w:r>
        <w:rPr>
          <w:rFonts w:hint="eastAsia" w:ascii="仿宋" w:hAnsi="仿宋" w:eastAsia="仿宋" w:cs="仿宋"/>
          <w:color w:val="auto"/>
          <w:kern w:val="0"/>
          <w:sz w:val="32"/>
          <w:szCs w:val="32"/>
          <w:highlight w:val="none"/>
          <w:shd w:val="clear" w:color="auto" w:fill="FFFFFF"/>
          <w:lang w:val="en-US" w:eastAsia="zh-Hans"/>
        </w:rPr>
        <w:t>《地方预决算公开操作规程》（铜财预〔2016〕102号）；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11</w:t>
      </w:r>
      <w:r>
        <w:rPr>
          <w:rFonts w:hint="eastAsia" w:ascii="仿宋" w:hAnsi="仿宋" w:eastAsia="仿宋" w:cs="仿宋"/>
          <w:color w:val="auto"/>
          <w:kern w:val="0"/>
          <w:sz w:val="32"/>
          <w:szCs w:val="32"/>
          <w:highlight w:val="none"/>
          <w:shd w:val="clear" w:color="auto" w:fill="FFFFFF"/>
          <w:lang w:val="en-US" w:eastAsia="zh-Hans"/>
        </w:rPr>
        <w:t>）铜川市财政局印发的《市级部门预算绩效目标管理暂行办法》（铜财预〔2016〕74号）；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（12）铜川市新区妇幼保健计划生育服务中心2020年度部门综合预算和决算文件；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（13）铜川市新区妇幼保健计划生育服务中心《呈报2020年部门整体绩效自评汇报及2020年项目绩效自评报告》（铜新妇计发</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14号）；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（14）</w:t>
      </w:r>
      <w:r>
        <w:rPr>
          <w:rFonts w:hint="eastAsia" w:ascii="仿宋" w:hAnsi="仿宋" w:eastAsia="仿宋" w:cs="仿宋"/>
          <w:color w:val="auto"/>
          <w:kern w:val="0"/>
          <w:sz w:val="32"/>
          <w:szCs w:val="32"/>
          <w:highlight w:val="none"/>
          <w:shd w:val="clear" w:color="auto" w:fill="FFFFFF"/>
          <w:lang w:val="en-US" w:eastAsia="zh-Hans"/>
        </w:rPr>
        <w:t>铜川市</w:t>
      </w:r>
      <w:r>
        <w:rPr>
          <w:rFonts w:hint="eastAsia" w:ascii="仿宋" w:hAnsi="仿宋" w:eastAsia="仿宋" w:cs="仿宋"/>
          <w:color w:val="auto"/>
          <w:kern w:val="0"/>
          <w:sz w:val="32"/>
          <w:szCs w:val="32"/>
          <w:highlight w:val="none"/>
          <w:shd w:val="clear" w:color="auto" w:fill="FFFFFF"/>
          <w:lang w:val="en-US" w:eastAsia="zh-CN"/>
        </w:rPr>
        <w:t>新区妇幼保健计划生育服务中心</w:t>
      </w:r>
      <w:r>
        <w:rPr>
          <w:rFonts w:hint="eastAsia" w:ascii="仿宋" w:hAnsi="仿宋" w:eastAsia="仿宋" w:cs="仿宋"/>
          <w:color w:val="auto"/>
          <w:kern w:val="0"/>
          <w:sz w:val="32"/>
          <w:szCs w:val="32"/>
          <w:highlight w:val="none"/>
          <w:shd w:val="clear" w:color="auto" w:fill="FFFFFF"/>
          <w:lang w:val="en-US" w:eastAsia="zh-Hans"/>
        </w:rPr>
        <w:t>相关职责、制度及管理办法；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w:t>
      </w:r>
      <w:r>
        <w:rPr>
          <w:rFonts w:hint="eastAsia" w:ascii="仿宋" w:hAnsi="仿宋" w:eastAsia="仿宋" w:cs="仿宋"/>
          <w:color w:val="auto"/>
          <w:kern w:val="0"/>
          <w:sz w:val="32"/>
          <w:szCs w:val="32"/>
          <w:highlight w:val="none"/>
          <w:shd w:val="clear" w:color="auto" w:fill="FFFFFF"/>
          <w:lang w:val="en-US" w:eastAsia="zh-CN"/>
        </w:rPr>
        <w:t>5</w:t>
      </w:r>
      <w:r>
        <w:rPr>
          <w:rFonts w:hint="eastAsia" w:ascii="仿宋" w:hAnsi="仿宋" w:eastAsia="仿宋" w:cs="仿宋"/>
          <w:color w:val="auto"/>
          <w:kern w:val="0"/>
          <w:sz w:val="32"/>
          <w:szCs w:val="32"/>
          <w:highlight w:val="none"/>
          <w:shd w:val="clear" w:color="auto" w:fill="FFFFFF"/>
          <w:lang w:val="en-US" w:eastAsia="zh-Hans"/>
        </w:rPr>
        <w:t>）铜川市</w:t>
      </w:r>
      <w:r>
        <w:rPr>
          <w:rFonts w:hint="eastAsia" w:ascii="仿宋" w:hAnsi="仿宋" w:eastAsia="仿宋" w:cs="仿宋"/>
          <w:color w:val="auto"/>
          <w:kern w:val="0"/>
          <w:sz w:val="32"/>
          <w:szCs w:val="32"/>
          <w:highlight w:val="none"/>
          <w:shd w:val="clear" w:color="auto" w:fill="FFFFFF"/>
          <w:lang w:val="en-US" w:eastAsia="zh-CN"/>
        </w:rPr>
        <w:t>新区妇幼保健计划生育服务中心2020年度重点工作</w:t>
      </w:r>
      <w:r>
        <w:rPr>
          <w:rFonts w:hint="eastAsia" w:ascii="仿宋" w:hAnsi="仿宋" w:eastAsia="仿宋" w:cs="仿宋"/>
          <w:color w:val="auto"/>
          <w:kern w:val="0"/>
          <w:sz w:val="32"/>
          <w:szCs w:val="32"/>
          <w:highlight w:val="none"/>
          <w:shd w:val="clear" w:color="auto" w:fill="FFFFFF"/>
          <w:lang w:val="en-US" w:eastAsia="zh-Hans"/>
        </w:rPr>
        <w:t>资料（预算批复文件、项目支出明细账、会计凭证等财务资料，年度工作计划、项目实施方案、年度工作总结、阶段总结、绩效佐证资料等档案资料）。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Hans"/>
        </w:rPr>
      </w:pPr>
      <w:bookmarkStart w:id="9" w:name="_Toc10668"/>
      <w:r>
        <w:rPr>
          <w:rFonts w:hint="eastAsia" w:ascii="楷体" w:hAnsi="楷体" w:eastAsia="楷体" w:cs="楷体"/>
          <w:b/>
          <w:bCs/>
          <w:color w:val="auto"/>
          <w:kern w:val="0"/>
          <w:sz w:val="32"/>
          <w:szCs w:val="32"/>
          <w:highlight w:val="none"/>
          <w:shd w:val="clear" w:color="auto" w:fill="FFFFFF"/>
          <w:lang w:val="en-US" w:eastAsia="zh-Hans"/>
        </w:rPr>
        <w:t>（二）评价对象、范围和时段</w:t>
      </w:r>
      <w:bookmarkEnd w:id="9"/>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评价对象：铜川市</w:t>
      </w:r>
      <w:r>
        <w:rPr>
          <w:rFonts w:hint="eastAsia" w:ascii="仿宋" w:hAnsi="仿宋" w:eastAsia="仿宋" w:cs="仿宋"/>
          <w:color w:val="auto"/>
          <w:kern w:val="0"/>
          <w:sz w:val="32"/>
          <w:szCs w:val="32"/>
          <w:highlight w:val="none"/>
          <w:shd w:val="clear" w:color="auto" w:fill="FFFFFF"/>
          <w:lang w:val="en-US" w:eastAsia="zh-CN"/>
        </w:rPr>
        <w:t>新区妇幼保健计划生育服务中心</w:t>
      </w:r>
      <w:r>
        <w:rPr>
          <w:rFonts w:hint="eastAsia" w:ascii="仿宋" w:hAnsi="仿宋" w:eastAsia="仿宋" w:cs="仿宋"/>
          <w:color w:val="auto"/>
          <w:kern w:val="0"/>
          <w:sz w:val="32"/>
          <w:szCs w:val="32"/>
          <w:highlight w:val="none"/>
          <w:shd w:val="clear" w:color="auto" w:fill="FFFFFF"/>
          <w:lang w:val="en-US" w:eastAsia="zh-Hans"/>
        </w:rPr>
        <w:t>2020年部门</w:t>
      </w:r>
      <w:r>
        <w:rPr>
          <w:rFonts w:hint="eastAsia" w:ascii="仿宋" w:hAnsi="仿宋" w:eastAsia="仿宋" w:cs="仿宋"/>
          <w:color w:val="auto"/>
          <w:kern w:val="0"/>
          <w:sz w:val="32"/>
          <w:szCs w:val="32"/>
          <w:highlight w:val="none"/>
          <w:shd w:val="clear" w:color="auto" w:fill="FFFFFF"/>
          <w:lang w:val="en-US" w:eastAsia="zh-CN"/>
        </w:rPr>
        <w:t>财政</w:t>
      </w:r>
      <w:r>
        <w:rPr>
          <w:rFonts w:hint="eastAsia" w:ascii="仿宋" w:hAnsi="仿宋" w:eastAsia="仿宋" w:cs="仿宋"/>
          <w:color w:val="auto"/>
          <w:kern w:val="0"/>
          <w:sz w:val="32"/>
          <w:szCs w:val="32"/>
          <w:highlight w:val="none"/>
          <w:shd w:val="clear" w:color="auto" w:fill="FFFFFF"/>
          <w:lang w:val="en-US" w:eastAsia="zh-Hans"/>
        </w:rPr>
        <w:t>资金</w:t>
      </w:r>
      <w:r>
        <w:rPr>
          <w:rFonts w:hint="eastAsia" w:ascii="仿宋" w:hAnsi="仿宋" w:eastAsia="仿宋" w:cs="仿宋"/>
          <w:color w:val="auto"/>
          <w:kern w:val="0"/>
          <w:sz w:val="32"/>
          <w:szCs w:val="32"/>
          <w:highlight w:val="none"/>
          <w:shd w:val="clear" w:color="auto" w:fill="FFFFFF"/>
          <w:lang w:val="en-US" w:eastAsia="zh-CN"/>
        </w:rPr>
        <w:t>395.77</w:t>
      </w:r>
      <w:r>
        <w:rPr>
          <w:rFonts w:hint="eastAsia" w:ascii="仿宋" w:hAnsi="仿宋" w:eastAsia="仿宋" w:cs="仿宋"/>
          <w:color w:val="auto"/>
          <w:kern w:val="0"/>
          <w:sz w:val="32"/>
          <w:szCs w:val="32"/>
          <w:highlight w:val="none"/>
          <w:shd w:val="clear" w:color="auto" w:fill="FFFFFF"/>
          <w:lang w:val="en-US" w:eastAsia="zh-Hans"/>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评价范围：铜川市</w:t>
      </w:r>
      <w:r>
        <w:rPr>
          <w:rFonts w:hint="eastAsia" w:ascii="仿宋" w:hAnsi="仿宋" w:eastAsia="仿宋" w:cs="仿宋"/>
          <w:color w:val="auto"/>
          <w:kern w:val="0"/>
          <w:sz w:val="32"/>
          <w:szCs w:val="32"/>
          <w:highlight w:val="none"/>
          <w:shd w:val="clear" w:color="auto" w:fill="FFFFFF"/>
          <w:lang w:val="en-US" w:eastAsia="zh-CN"/>
        </w:rPr>
        <w:t>新区妇幼保健计划生育服务中心</w:t>
      </w:r>
      <w:r>
        <w:rPr>
          <w:rFonts w:hint="eastAsia" w:ascii="仿宋" w:hAnsi="仿宋" w:eastAsia="仿宋" w:cs="仿宋"/>
          <w:color w:val="auto"/>
          <w:kern w:val="0"/>
          <w:sz w:val="32"/>
          <w:szCs w:val="32"/>
          <w:highlight w:val="none"/>
          <w:shd w:val="clear" w:color="auto" w:fill="FFFFFF"/>
          <w:lang w:val="en-US" w:eastAsia="zh-Hans"/>
        </w:rPr>
        <w:t>2020年度依据部门职能开展的工作，以及职责范围内开展的</w:t>
      </w:r>
      <w:r>
        <w:rPr>
          <w:rFonts w:hint="eastAsia" w:ascii="仿宋" w:hAnsi="仿宋" w:eastAsia="仿宋" w:cs="仿宋"/>
          <w:color w:val="auto"/>
          <w:kern w:val="0"/>
          <w:sz w:val="32"/>
          <w:szCs w:val="32"/>
          <w:highlight w:val="none"/>
          <w:shd w:val="clear" w:color="auto" w:fill="FFFFFF"/>
          <w:lang w:val="en-US" w:eastAsia="zh-CN"/>
        </w:rPr>
        <w:t>重点工作安排</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评价时段：2020年1月1日-2020年12月31日。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Hans"/>
        </w:rPr>
      </w:pPr>
      <w:bookmarkStart w:id="10" w:name="_Toc18458"/>
      <w:r>
        <w:rPr>
          <w:rFonts w:hint="eastAsia" w:ascii="楷体" w:hAnsi="楷体" w:eastAsia="楷体" w:cs="楷体"/>
          <w:b/>
          <w:bCs/>
          <w:color w:val="auto"/>
          <w:kern w:val="0"/>
          <w:sz w:val="32"/>
          <w:szCs w:val="32"/>
          <w:highlight w:val="none"/>
          <w:shd w:val="clear" w:color="auto" w:fill="FFFFFF"/>
          <w:lang w:val="en-US" w:eastAsia="zh-Hans"/>
        </w:rPr>
        <w:t>（三）绩效评价原则、方法</w:t>
      </w:r>
      <w:r>
        <w:rPr>
          <w:rFonts w:hint="eastAsia" w:ascii="楷体" w:hAnsi="楷体" w:eastAsia="楷体" w:cs="楷体"/>
          <w:b/>
          <w:bCs/>
          <w:color w:val="auto"/>
          <w:kern w:val="0"/>
          <w:sz w:val="32"/>
          <w:szCs w:val="32"/>
          <w:highlight w:val="none"/>
          <w:shd w:val="clear" w:color="auto" w:fill="FFFFFF"/>
          <w:lang w:val="en-US" w:eastAsia="zh-CN"/>
        </w:rPr>
        <w:t>和</w:t>
      </w:r>
      <w:r>
        <w:rPr>
          <w:rFonts w:hint="eastAsia" w:ascii="楷体" w:hAnsi="楷体" w:eastAsia="楷体" w:cs="楷体"/>
          <w:b/>
          <w:bCs/>
          <w:color w:val="auto"/>
          <w:kern w:val="0"/>
          <w:sz w:val="32"/>
          <w:szCs w:val="32"/>
          <w:highlight w:val="none"/>
          <w:shd w:val="clear" w:color="auto" w:fill="FFFFFF"/>
          <w:lang w:val="en-US" w:eastAsia="zh-Hans"/>
        </w:rPr>
        <w:t>指标体系</w:t>
      </w:r>
      <w:bookmarkEnd w:id="1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1.评价原则</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（1）科学规范原则。本次绩效评价工作按照科学可行的原则，采取定量分析与定性分析相结合的评价方法，设计绩效评价</w:t>
      </w:r>
      <w:r>
        <w:rPr>
          <w:rFonts w:hint="eastAsia" w:ascii="仿宋" w:hAnsi="仿宋" w:eastAsia="仿宋" w:cs="仿宋"/>
          <w:color w:val="auto"/>
          <w:kern w:val="0"/>
          <w:sz w:val="32"/>
          <w:szCs w:val="32"/>
          <w:highlight w:val="none"/>
          <w:shd w:val="clear" w:color="auto" w:fill="FFFFFF"/>
          <w:lang w:val="en-US" w:eastAsia="zh-CN"/>
        </w:rPr>
        <w:t>指标体系</w:t>
      </w:r>
      <w:r>
        <w:rPr>
          <w:rFonts w:hint="eastAsia" w:ascii="仿宋" w:hAnsi="仿宋" w:eastAsia="仿宋" w:cs="仿宋"/>
          <w:color w:val="auto"/>
          <w:kern w:val="0"/>
          <w:sz w:val="32"/>
          <w:szCs w:val="32"/>
          <w:highlight w:val="none"/>
          <w:shd w:val="clear" w:color="auto" w:fill="FFFFFF"/>
          <w:lang w:val="en-US" w:eastAsia="zh-Hans"/>
        </w:rPr>
        <w:t>并组织实施绩效评价。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（2）独立公正原则。以真实、客观、公正的要求完成本次绩效评价工作，并接受相关部门监督。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（3）绩效相关原则。本次绩效评价工作重点对该项目财政支出及其产出绩效进行评价，评价结果反映项目支出与产出绩效之间的紧密对应关系。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（4）简便有效原则。本次绩效评价工作尽量简化工作程序，尽量减少委托方、</w:t>
      </w:r>
      <w:r>
        <w:rPr>
          <w:rFonts w:hint="eastAsia" w:ascii="仿宋" w:hAnsi="仿宋" w:eastAsia="仿宋" w:cs="仿宋"/>
          <w:color w:val="auto"/>
          <w:kern w:val="0"/>
          <w:sz w:val="32"/>
          <w:szCs w:val="32"/>
          <w:highlight w:val="none"/>
          <w:shd w:val="clear" w:color="auto" w:fill="FFFFFF"/>
          <w:lang w:val="en-US" w:eastAsia="zh-CN"/>
        </w:rPr>
        <w:t>被评价部门</w:t>
      </w:r>
      <w:r>
        <w:rPr>
          <w:rFonts w:hint="eastAsia" w:ascii="仿宋" w:hAnsi="仿宋" w:eastAsia="仿宋" w:cs="仿宋"/>
          <w:color w:val="auto"/>
          <w:kern w:val="0"/>
          <w:sz w:val="32"/>
          <w:szCs w:val="32"/>
          <w:highlight w:val="none"/>
          <w:shd w:val="clear" w:color="auto" w:fill="FFFFFF"/>
          <w:lang w:val="en-US" w:eastAsia="zh-Hans"/>
        </w:rPr>
        <w:t>工作负担，通过科学合理的工作方式与方法，在全面分析绩效材料，并在与委托方、</w:t>
      </w:r>
      <w:r>
        <w:rPr>
          <w:rFonts w:hint="eastAsia" w:ascii="仿宋" w:hAnsi="仿宋" w:eastAsia="仿宋" w:cs="仿宋"/>
          <w:color w:val="auto"/>
          <w:kern w:val="0"/>
          <w:sz w:val="32"/>
          <w:szCs w:val="32"/>
          <w:highlight w:val="none"/>
          <w:shd w:val="clear" w:color="auto" w:fill="FFFFFF"/>
          <w:lang w:val="en-US" w:eastAsia="zh-CN"/>
        </w:rPr>
        <w:t>被评价部门</w:t>
      </w:r>
      <w:r>
        <w:rPr>
          <w:rFonts w:hint="eastAsia" w:ascii="仿宋" w:hAnsi="仿宋" w:eastAsia="仿宋" w:cs="仿宋"/>
          <w:color w:val="auto"/>
          <w:kern w:val="0"/>
          <w:sz w:val="32"/>
          <w:szCs w:val="32"/>
          <w:highlight w:val="none"/>
          <w:shd w:val="clear" w:color="auto" w:fill="FFFFFF"/>
          <w:lang w:val="en-US" w:eastAsia="zh-Hans"/>
        </w:rPr>
        <w:t>充分沟通的基础上，着力保障绩效评价工作本身的“绩效”。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2.评价方法</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本次评价将通过文件资料研读、现场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等方法进行定性评价；通过基础数据统计分析等方法，进行定量评价。在定性评价中，也须明确支撑评价结果的证明材料，尽量减少定性评价带有的主观随意性。本次绩效评价使用（</w:t>
      </w:r>
      <w:r>
        <w:rPr>
          <w:rFonts w:hint="eastAsia" w:ascii="仿宋" w:hAnsi="仿宋" w:eastAsia="仿宋" w:cs="仿宋"/>
          <w:color w:val="auto"/>
          <w:kern w:val="0"/>
          <w:sz w:val="32"/>
          <w:szCs w:val="32"/>
          <w:highlight w:val="none"/>
          <w:shd w:val="clear" w:color="auto" w:fill="FFFFFF"/>
          <w:lang w:val="en-US" w:eastAsia="zh-CN"/>
        </w:rPr>
        <w:t>包括</w:t>
      </w:r>
      <w:r>
        <w:rPr>
          <w:rFonts w:hint="eastAsia" w:ascii="仿宋" w:hAnsi="仿宋" w:eastAsia="仿宋" w:cs="仿宋"/>
          <w:color w:val="auto"/>
          <w:kern w:val="0"/>
          <w:sz w:val="32"/>
          <w:szCs w:val="32"/>
          <w:highlight w:val="none"/>
          <w:shd w:val="clear" w:color="auto" w:fill="FFFFFF"/>
          <w:lang w:val="en-US" w:eastAsia="zh-Hans"/>
        </w:rPr>
        <w:t>但不限于）以下几种具体的评价方法：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w:t>
      </w:r>
      <w:r>
        <w:rPr>
          <w:rFonts w:hint="eastAsia" w:ascii="仿宋" w:hAnsi="仿宋" w:eastAsia="仿宋" w:cs="仿宋"/>
          <w:color w:val="auto"/>
          <w:kern w:val="0"/>
          <w:sz w:val="32"/>
          <w:szCs w:val="32"/>
          <w:highlight w:val="none"/>
          <w:shd w:val="clear" w:color="auto" w:fill="FFFFFF"/>
          <w:lang w:val="en-US" w:eastAsia="zh-CN"/>
        </w:rPr>
        <w:t>比较法。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通过对绩效目标与实施效果、历史与当期情况、不同部门和地区同类支出的比较，综合分析绩效目标实现程度。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（2）案卷研究法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对于</w:t>
      </w:r>
      <w:r>
        <w:rPr>
          <w:rFonts w:hint="eastAsia" w:ascii="仿宋" w:hAnsi="仿宋" w:eastAsia="仿宋" w:cs="仿宋"/>
          <w:color w:val="auto"/>
          <w:kern w:val="0"/>
          <w:sz w:val="32"/>
          <w:szCs w:val="32"/>
          <w:highlight w:val="none"/>
          <w:shd w:val="clear" w:color="auto" w:fill="FFFFFF"/>
          <w:lang w:val="en-US" w:eastAsia="zh-CN"/>
        </w:rPr>
        <w:t>部门提供的</w:t>
      </w:r>
      <w:r>
        <w:rPr>
          <w:rFonts w:hint="eastAsia" w:ascii="仿宋" w:hAnsi="仿宋" w:eastAsia="仿宋" w:cs="仿宋"/>
          <w:color w:val="auto"/>
          <w:kern w:val="0"/>
          <w:sz w:val="32"/>
          <w:szCs w:val="32"/>
          <w:highlight w:val="none"/>
          <w:shd w:val="clear" w:color="auto" w:fill="FFFFFF"/>
          <w:lang w:val="en-US" w:eastAsia="zh-Hans"/>
        </w:rPr>
        <w:t>相关</w:t>
      </w:r>
      <w:r>
        <w:rPr>
          <w:rFonts w:hint="eastAsia" w:ascii="仿宋" w:hAnsi="仿宋" w:eastAsia="仿宋" w:cs="仿宋"/>
          <w:color w:val="auto"/>
          <w:kern w:val="0"/>
          <w:sz w:val="32"/>
          <w:szCs w:val="32"/>
          <w:highlight w:val="none"/>
          <w:shd w:val="clear" w:color="auto" w:fill="FFFFFF"/>
          <w:lang w:val="en-US" w:eastAsia="zh-CN"/>
        </w:rPr>
        <w:t>资料</w:t>
      </w:r>
      <w:r>
        <w:rPr>
          <w:rFonts w:hint="eastAsia" w:ascii="仿宋" w:hAnsi="仿宋" w:eastAsia="仿宋" w:cs="仿宋"/>
          <w:color w:val="auto"/>
          <w:kern w:val="0"/>
          <w:sz w:val="32"/>
          <w:szCs w:val="32"/>
          <w:highlight w:val="none"/>
          <w:shd w:val="clear" w:color="auto" w:fill="FFFFFF"/>
          <w:lang w:val="en-US" w:eastAsia="zh-Hans"/>
        </w:rPr>
        <w:t>和文件通知、实施方案、政府采购相关文件、资金支出程序文件、工作总结、服务对象满意度调查等相关资料进行深入研究、比较、分析，提取重要信息，为绩效评价提供支撑依据。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（3）现场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是本次评价的一个重要手段，通过对</w:t>
      </w:r>
      <w:r>
        <w:rPr>
          <w:rFonts w:hint="eastAsia" w:ascii="仿宋" w:hAnsi="仿宋" w:eastAsia="仿宋" w:cs="仿宋"/>
          <w:color w:val="auto"/>
          <w:kern w:val="0"/>
          <w:sz w:val="32"/>
          <w:szCs w:val="32"/>
          <w:highlight w:val="none"/>
          <w:shd w:val="clear" w:color="auto" w:fill="FFFFFF"/>
          <w:lang w:val="en-US" w:eastAsia="zh-CN"/>
        </w:rPr>
        <w:t>新区妇幼保健计划生育服务中心年度重点工作安排等</w:t>
      </w:r>
      <w:r>
        <w:rPr>
          <w:rFonts w:hint="eastAsia" w:ascii="仿宋" w:hAnsi="仿宋" w:eastAsia="仿宋" w:cs="仿宋"/>
          <w:color w:val="auto"/>
          <w:kern w:val="0"/>
          <w:sz w:val="32"/>
          <w:szCs w:val="32"/>
          <w:highlight w:val="none"/>
          <w:shd w:val="clear" w:color="auto" w:fill="FFFFFF"/>
          <w:lang w:val="en-US" w:eastAsia="zh-Hans"/>
        </w:rPr>
        <w:t>等进行现场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，并在前期书面资料分析的基础上，进一步核查重点</w:t>
      </w:r>
      <w:r>
        <w:rPr>
          <w:rFonts w:hint="eastAsia" w:ascii="仿宋" w:hAnsi="仿宋" w:eastAsia="仿宋" w:cs="仿宋"/>
          <w:color w:val="auto"/>
          <w:kern w:val="0"/>
          <w:sz w:val="32"/>
          <w:szCs w:val="32"/>
          <w:highlight w:val="none"/>
          <w:shd w:val="clear" w:color="auto" w:fill="FFFFFF"/>
          <w:lang w:val="en-US" w:eastAsia="zh-CN"/>
        </w:rPr>
        <w:t>工作安排情况，</w:t>
      </w:r>
      <w:r>
        <w:rPr>
          <w:rFonts w:hint="eastAsia" w:ascii="仿宋" w:hAnsi="仿宋" w:eastAsia="仿宋" w:cs="仿宋"/>
          <w:color w:val="auto"/>
          <w:kern w:val="0"/>
          <w:sz w:val="32"/>
          <w:szCs w:val="32"/>
          <w:highlight w:val="none"/>
          <w:shd w:val="clear" w:color="auto" w:fill="FFFFFF"/>
          <w:lang w:val="en-US" w:eastAsia="zh-Hans"/>
        </w:rPr>
        <w:t>任务完成及效益实现等情况，修正指标评分，发现典型问题并探究原因。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（4）因素分析法</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在评价过程中，通过综合分析相关资料，挖掘影响绩效目标实现、实施效果的内外部因素，科学评判项目实施过程中存在的问题，有效提出相关建议。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3、评价指标体系</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根据部门整体支出绩效评价的基本原理、原则和部门特点，结合《铜川市市级部门整体支出绩效评价指标及评分标准》的要求，本次绩效评价指标体系包括投入、过程、产出及效果4个一级指标，7个二级指标和2</w:t>
      </w:r>
      <w:r>
        <w:rPr>
          <w:rFonts w:hint="eastAsia" w:ascii="仿宋" w:hAnsi="仿宋" w:eastAsia="仿宋" w:cs="仿宋"/>
          <w:color w:val="auto"/>
          <w:kern w:val="0"/>
          <w:sz w:val="32"/>
          <w:szCs w:val="32"/>
          <w:highlight w:val="none"/>
          <w:shd w:val="clear" w:color="auto" w:fill="FFFFFF"/>
          <w:lang w:val="en-US" w:eastAsia="zh-CN"/>
        </w:rPr>
        <w:t>8</w:t>
      </w:r>
      <w:r>
        <w:rPr>
          <w:rFonts w:hint="eastAsia" w:ascii="仿宋" w:hAnsi="仿宋" w:eastAsia="仿宋" w:cs="仿宋"/>
          <w:color w:val="auto"/>
          <w:kern w:val="0"/>
          <w:sz w:val="32"/>
          <w:szCs w:val="32"/>
          <w:highlight w:val="none"/>
          <w:shd w:val="clear" w:color="auto" w:fill="FFFFFF"/>
          <w:lang w:val="en-US" w:eastAsia="zh-Hans"/>
        </w:rPr>
        <w:t>个三级指标（详见附件</w:t>
      </w: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），满分为100分。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（1）投入：从目标设定和预算配置两方面评价绩效目标合理性、绩效指标明确性、在职人员控制率</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三公</w:t>
      </w:r>
      <w:r>
        <w:rPr>
          <w:rFonts w:hint="eastAsia" w:ascii="仿宋" w:hAnsi="仿宋" w:eastAsia="仿宋" w:cs="仿宋"/>
          <w:color w:val="auto"/>
          <w:kern w:val="0"/>
          <w:sz w:val="32"/>
          <w:szCs w:val="32"/>
          <w:highlight w:val="none"/>
          <w:shd w:val="clear" w:color="auto" w:fill="FFFFFF"/>
          <w:lang w:val="en-US" w:eastAsia="zh-Hans"/>
        </w:rPr>
        <w:t>经费”变动率、重点支出安排率等内容。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（2）过程：从预算执行、预算管理和资产管理三方面评价预算完成率、</w:t>
      </w:r>
      <w:r>
        <w:rPr>
          <w:rFonts w:hint="eastAsia" w:ascii="仿宋" w:hAnsi="仿宋" w:eastAsia="仿宋" w:cs="仿宋"/>
          <w:color w:val="auto"/>
          <w:kern w:val="0"/>
          <w:sz w:val="32"/>
          <w:szCs w:val="32"/>
          <w:highlight w:val="none"/>
          <w:shd w:val="clear" w:color="auto" w:fill="FFFFFF"/>
          <w:lang w:val="en-US" w:eastAsia="zh-CN"/>
        </w:rPr>
        <w:t>预算调整率、</w:t>
      </w:r>
      <w:r>
        <w:rPr>
          <w:rFonts w:hint="eastAsia" w:ascii="仿宋" w:hAnsi="仿宋" w:eastAsia="仿宋" w:cs="仿宋"/>
          <w:color w:val="auto"/>
          <w:kern w:val="0"/>
          <w:sz w:val="32"/>
          <w:szCs w:val="32"/>
          <w:highlight w:val="none"/>
          <w:shd w:val="clear" w:color="auto" w:fill="FFFFFF"/>
          <w:lang w:val="en-US" w:eastAsia="zh-Hans"/>
        </w:rPr>
        <w:t>结转结余率、</w:t>
      </w:r>
      <w:r>
        <w:rPr>
          <w:rFonts w:hint="eastAsia" w:ascii="仿宋" w:hAnsi="仿宋" w:eastAsia="仿宋" w:cs="仿宋"/>
          <w:color w:val="auto"/>
          <w:kern w:val="0"/>
          <w:sz w:val="32"/>
          <w:szCs w:val="32"/>
          <w:highlight w:val="none"/>
          <w:shd w:val="clear" w:color="auto" w:fill="FFFFFF"/>
          <w:lang w:val="en-US" w:eastAsia="zh-CN"/>
        </w:rPr>
        <w:t>结转结余变动率、</w:t>
      </w:r>
      <w:r>
        <w:rPr>
          <w:rFonts w:hint="eastAsia" w:ascii="仿宋" w:hAnsi="仿宋" w:eastAsia="仿宋" w:cs="仿宋"/>
          <w:color w:val="auto"/>
          <w:kern w:val="0"/>
          <w:sz w:val="32"/>
          <w:szCs w:val="32"/>
          <w:highlight w:val="none"/>
          <w:shd w:val="clear" w:color="auto" w:fill="FFFFFF"/>
          <w:lang w:val="en-US" w:eastAsia="zh-Hans"/>
        </w:rPr>
        <w:t>公用经费控制率、“三公经费”控制率、政府采购执行率和管理制度健全性、资金使用合规性、</w:t>
      </w:r>
      <w:r>
        <w:rPr>
          <w:rFonts w:hint="eastAsia" w:ascii="仿宋" w:hAnsi="仿宋" w:eastAsia="仿宋" w:cs="仿宋"/>
          <w:color w:val="auto"/>
          <w:kern w:val="0"/>
          <w:sz w:val="32"/>
          <w:szCs w:val="32"/>
          <w:highlight w:val="none"/>
          <w:shd w:val="clear" w:color="auto" w:fill="FFFFFF"/>
          <w:lang w:val="en-US" w:eastAsia="zh-CN"/>
        </w:rPr>
        <w:t>预算执行监控、</w:t>
      </w:r>
      <w:r>
        <w:rPr>
          <w:rFonts w:hint="eastAsia" w:ascii="仿宋" w:hAnsi="仿宋" w:eastAsia="仿宋" w:cs="仿宋"/>
          <w:color w:val="auto"/>
          <w:kern w:val="0"/>
          <w:sz w:val="32"/>
          <w:szCs w:val="32"/>
          <w:highlight w:val="none"/>
          <w:shd w:val="clear" w:color="auto" w:fill="FFFFFF"/>
          <w:lang w:val="en-US" w:eastAsia="zh-Hans"/>
        </w:rPr>
        <w:t>预决算信息公开性、</w:t>
      </w:r>
      <w:r>
        <w:rPr>
          <w:rFonts w:hint="eastAsia" w:ascii="仿宋" w:hAnsi="仿宋" w:eastAsia="仿宋" w:cs="仿宋"/>
          <w:color w:val="auto"/>
          <w:kern w:val="0"/>
          <w:sz w:val="32"/>
          <w:szCs w:val="32"/>
          <w:highlight w:val="none"/>
          <w:shd w:val="clear" w:color="auto" w:fill="FFFFFF"/>
          <w:lang w:val="en-US" w:eastAsia="zh-CN"/>
        </w:rPr>
        <w:t>管理制度健全性</w:t>
      </w:r>
      <w:r>
        <w:rPr>
          <w:rFonts w:hint="eastAsia" w:ascii="仿宋" w:hAnsi="仿宋" w:eastAsia="仿宋" w:cs="仿宋"/>
          <w:color w:val="auto"/>
          <w:kern w:val="0"/>
          <w:sz w:val="32"/>
          <w:szCs w:val="32"/>
          <w:highlight w:val="none"/>
          <w:shd w:val="clear" w:color="auto" w:fill="FFFFFF"/>
          <w:lang w:val="en-US" w:eastAsia="zh-Hans"/>
        </w:rPr>
        <w:t>以及资产管理</w:t>
      </w:r>
      <w:r>
        <w:rPr>
          <w:rFonts w:hint="eastAsia" w:ascii="仿宋" w:hAnsi="仿宋" w:eastAsia="仿宋" w:cs="仿宋"/>
          <w:color w:val="auto"/>
          <w:kern w:val="0"/>
          <w:sz w:val="32"/>
          <w:szCs w:val="32"/>
          <w:highlight w:val="none"/>
          <w:shd w:val="clear" w:color="auto" w:fill="FFFFFF"/>
          <w:lang w:val="en-US" w:eastAsia="zh-CN"/>
        </w:rPr>
        <w:t>完全</w:t>
      </w:r>
      <w:r>
        <w:rPr>
          <w:rFonts w:hint="eastAsia" w:ascii="仿宋" w:hAnsi="仿宋" w:eastAsia="仿宋" w:cs="仿宋"/>
          <w:color w:val="auto"/>
          <w:kern w:val="0"/>
          <w:sz w:val="32"/>
          <w:szCs w:val="32"/>
          <w:highlight w:val="none"/>
          <w:shd w:val="clear" w:color="auto" w:fill="FFFFFF"/>
          <w:lang w:val="en-US" w:eastAsia="zh-Hans"/>
        </w:rPr>
        <w:t>性、固定资产利用率等内容。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（3）产出：用于考察年度</w:t>
      </w:r>
      <w:r>
        <w:rPr>
          <w:rFonts w:hint="eastAsia" w:ascii="仿宋" w:hAnsi="仿宋" w:eastAsia="仿宋" w:cs="仿宋"/>
          <w:color w:val="auto"/>
          <w:kern w:val="0"/>
          <w:sz w:val="32"/>
          <w:szCs w:val="32"/>
          <w:highlight w:val="none"/>
          <w:shd w:val="clear" w:color="auto" w:fill="FFFFFF"/>
          <w:lang w:val="en-US" w:eastAsia="zh-CN"/>
        </w:rPr>
        <w:t>部门职责履行</w:t>
      </w:r>
      <w:r>
        <w:rPr>
          <w:rFonts w:hint="eastAsia" w:ascii="仿宋" w:hAnsi="仿宋" w:eastAsia="仿宋" w:cs="仿宋"/>
          <w:color w:val="auto"/>
          <w:kern w:val="0"/>
          <w:sz w:val="32"/>
          <w:szCs w:val="32"/>
          <w:highlight w:val="none"/>
          <w:shd w:val="clear" w:color="auto" w:fill="FFFFFF"/>
          <w:lang w:val="en-US" w:eastAsia="zh-Hans"/>
        </w:rPr>
        <w:t>的</w:t>
      </w:r>
      <w:r>
        <w:rPr>
          <w:rFonts w:hint="eastAsia" w:ascii="仿宋" w:hAnsi="仿宋" w:eastAsia="仿宋" w:cs="仿宋"/>
          <w:color w:val="auto"/>
          <w:kern w:val="0"/>
          <w:sz w:val="32"/>
          <w:szCs w:val="32"/>
          <w:highlight w:val="none"/>
          <w:shd w:val="clear" w:color="auto" w:fill="FFFFFF"/>
          <w:lang w:val="en-US" w:eastAsia="zh-CN"/>
        </w:rPr>
        <w:t>重点工作办结率</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重点工作</w:t>
      </w:r>
      <w:r>
        <w:rPr>
          <w:rFonts w:hint="eastAsia" w:ascii="仿宋" w:hAnsi="仿宋" w:eastAsia="仿宋" w:cs="仿宋"/>
          <w:color w:val="auto"/>
          <w:kern w:val="0"/>
          <w:sz w:val="32"/>
          <w:szCs w:val="32"/>
          <w:highlight w:val="none"/>
          <w:shd w:val="clear" w:color="auto" w:fill="FFFFFF"/>
          <w:lang w:val="en-US" w:eastAsia="zh-Hans"/>
        </w:rPr>
        <w:t>完成及时率、</w:t>
      </w:r>
      <w:r>
        <w:rPr>
          <w:rFonts w:hint="eastAsia" w:ascii="仿宋" w:hAnsi="仿宋" w:eastAsia="仿宋" w:cs="仿宋"/>
          <w:color w:val="auto"/>
          <w:kern w:val="0"/>
          <w:sz w:val="32"/>
          <w:szCs w:val="32"/>
          <w:highlight w:val="none"/>
          <w:shd w:val="clear" w:color="auto" w:fill="FFFFFF"/>
          <w:lang w:val="en-US" w:eastAsia="zh-CN"/>
        </w:rPr>
        <w:t>重点工作</w:t>
      </w:r>
      <w:r>
        <w:rPr>
          <w:rFonts w:hint="eastAsia" w:ascii="仿宋" w:hAnsi="仿宋" w:eastAsia="仿宋" w:cs="仿宋"/>
          <w:color w:val="auto"/>
          <w:kern w:val="0"/>
          <w:sz w:val="32"/>
          <w:szCs w:val="32"/>
          <w:highlight w:val="none"/>
          <w:shd w:val="clear" w:color="auto" w:fill="FFFFFF"/>
          <w:lang w:val="en-US" w:eastAsia="zh-Hans"/>
        </w:rPr>
        <w:t>质量达标率和</w:t>
      </w:r>
      <w:r>
        <w:rPr>
          <w:rFonts w:hint="eastAsia" w:ascii="仿宋" w:hAnsi="仿宋" w:eastAsia="仿宋" w:cs="仿宋"/>
          <w:color w:val="auto"/>
          <w:kern w:val="0"/>
          <w:sz w:val="32"/>
          <w:szCs w:val="32"/>
          <w:highlight w:val="none"/>
          <w:shd w:val="clear" w:color="auto" w:fill="FFFFFF"/>
          <w:lang w:val="en-US" w:eastAsia="zh-CN"/>
        </w:rPr>
        <w:t>成本节约</w:t>
      </w:r>
      <w:r>
        <w:rPr>
          <w:rFonts w:hint="eastAsia" w:ascii="仿宋" w:hAnsi="仿宋" w:eastAsia="仿宋" w:cs="仿宋"/>
          <w:color w:val="auto"/>
          <w:kern w:val="0"/>
          <w:sz w:val="32"/>
          <w:szCs w:val="32"/>
          <w:highlight w:val="none"/>
          <w:shd w:val="clear" w:color="auto" w:fill="FFFFFF"/>
          <w:lang w:val="en-US" w:eastAsia="zh-Hans"/>
        </w:rPr>
        <w:t>率等内容。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（4）效果：用于综合评价部门年度总体工作及资金投用所得项目产出产生的社会效益、</w:t>
      </w:r>
      <w:r>
        <w:rPr>
          <w:rFonts w:hint="eastAsia" w:ascii="仿宋" w:hAnsi="仿宋" w:eastAsia="仿宋" w:cs="仿宋"/>
          <w:color w:val="auto"/>
          <w:kern w:val="0"/>
          <w:sz w:val="32"/>
          <w:szCs w:val="32"/>
          <w:highlight w:val="none"/>
          <w:shd w:val="clear" w:color="auto" w:fill="FFFFFF"/>
          <w:lang w:val="en-US" w:eastAsia="zh-CN"/>
        </w:rPr>
        <w:t>可持续行影响</w:t>
      </w:r>
      <w:r>
        <w:rPr>
          <w:rFonts w:hint="eastAsia" w:ascii="仿宋" w:hAnsi="仿宋" w:eastAsia="仿宋" w:cs="仿宋"/>
          <w:color w:val="auto"/>
          <w:kern w:val="0"/>
          <w:sz w:val="32"/>
          <w:szCs w:val="32"/>
          <w:highlight w:val="none"/>
          <w:shd w:val="clear" w:color="auto" w:fill="FFFFFF"/>
          <w:lang w:val="en-US" w:eastAsia="zh-Hans"/>
        </w:rPr>
        <w:t>及社会公众满意度。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4、绩效评价的局限性</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bookmarkStart w:id="11" w:name="_Toc1318217999"/>
      <w:r>
        <w:rPr>
          <w:rFonts w:hint="eastAsia" w:ascii="仿宋" w:hAnsi="仿宋" w:eastAsia="仿宋" w:cs="仿宋"/>
          <w:color w:val="auto"/>
          <w:kern w:val="0"/>
          <w:sz w:val="32"/>
          <w:szCs w:val="32"/>
          <w:highlight w:val="none"/>
          <w:shd w:val="clear" w:color="auto" w:fill="FFFFFF"/>
          <w:lang w:val="en-US" w:eastAsia="zh-Hans"/>
        </w:rPr>
        <w:t>本次对</w:t>
      </w:r>
      <w:r>
        <w:rPr>
          <w:rFonts w:hint="eastAsia" w:ascii="仿宋" w:hAnsi="仿宋" w:eastAsia="仿宋" w:cs="仿宋"/>
          <w:color w:val="auto"/>
          <w:kern w:val="0"/>
          <w:sz w:val="32"/>
          <w:szCs w:val="32"/>
          <w:highlight w:val="none"/>
          <w:shd w:val="clear" w:color="auto" w:fill="FFFFFF"/>
          <w:lang w:val="en-US" w:eastAsia="zh-CN"/>
        </w:rPr>
        <w:t>新区妇幼保健计划生育服务中心</w:t>
      </w:r>
      <w:r>
        <w:rPr>
          <w:rFonts w:hint="eastAsia" w:ascii="仿宋" w:hAnsi="仿宋" w:eastAsia="仿宋" w:cs="仿宋"/>
          <w:color w:val="auto"/>
          <w:kern w:val="0"/>
          <w:sz w:val="32"/>
          <w:szCs w:val="32"/>
          <w:highlight w:val="none"/>
          <w:shd w:val="clear" w:color="auto" w:fill="FFFFFF"/>
          <w:lang w:val="en-US" w:eastAsia="zh-Hans"/>
        </w:rPr>
        <w:t>2020年度部门整体支出绩效进行分析和评价打分的基础数据来源于其提供的2020年</w:t>
      </w:r>
      <w:r>
        <w:rPr>
          <w:rFonts w:hint="eastAsia" w:ascii="仿宋" w:hAnsi="仿宋" w:eastAsia="仿宋" w:cs="仿宋"/>
          <w:color w:val="auto"/>
          <w:kern w:val="0"/>
          <w:sz w:val="32"/>
          <w:szCs w:val="32"/>
          <w:highlight w:val="none"/>
          <w:shd w:val="clear" w:color="auto" w:fill="FFFFFF"/>
          <w:lang w:val="en-US" w:eastAsia="zh-CN"/>
        </w:rPr>
        <w:t>新区妇幼保健计划生育服务中心</w:t>
      </w:r>
      <w:r>
        <w:rPr>
          <w:rFonts w:hint="eastAsia" w:ascii="仿宋" w:hAnsi="仿宋" w:eastAsia="仿宋" w:cs="仿宋"/>
          <w:color w:val="auto"/>
          <w:kern w:val="0"/>
          <w:sz w:val="32"/>
          <w:szCs w:val="32"/>
          <w:highlight w:val="none"/>
          <w:shd w:val="clear" w:color="auto" w:fill="FFFFFF"/>
          <w:lang w:val="en-US" w:eastAsia="zh-Hans"/>
        </w:rPr>
        <w:t>本级部门预算表、2020年度部门决算报表、</w:t>
      </w:r>
      <w:r>
        <w:rPr>
          <w:rFonts w:hint="eastAsia" w:ascii="仿宋" w:hAnsi="仿宋" w:eastAsia="仿宋" w:cs="仿宋"/>
          <w:color w:val="auto"/>
          <w:kern w:val="0"/>
          <w:sz w:val="32"/>
          <w:szCs w:val="32"/>
          <w:highlight w:val="none"/>
          <w:shd w:val="clear" w:color="auto" w:fill="FFFFFF"/>
          <w:lang w:val="en-US" w:eastAsia="zh-CN"/>
        </w:rPr>
        <w:t>新区妇幼保健计划生育服务中心</w:t>
      </w:r>
      <w:r>
        <w:rPr>
          <w:rFonts w:hint="eastAsia" w:ascii="仿宋" w:hAnsi="仿宋" w:eastAsia="仿宋" w:cs="仿宋"/>
          <w:color w:val="auto"/>
          <w:kern w:val="0"/>
          <w:sz w:val="32"/>
          <w:szCs w:val="32"/>
          <w:highlight w:val="none"/>
          <w:shd w:val="clear" w:color="auto" w:fill="FFFFFF"/>
          <w:lang w:val="en-US" w:eastAsia="zh-Hans"/>
        </w:rPr>
        <w:t>提供的档案资料以及调查者反映的情况等资料，上述数据的完整性、真实性、准确性直接影响绩效评价结果。</w:t>
      </w:r>
      <w:bookmarkEnd w:id="1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color w:val="auto"/>
          <w:kern w:val="0"/>
          <w:sz w:val="32"/>
          <w:szCs w:val="32"/>
          <w:highlight w:val="none"/>
          <w:shd w:val="clear" w:color="auto" w:fill="FFFFFF"/>
          <w:lang w:val="en-US" w:eastAsia="zh-Hans"/>
        </w:rPr>
      </w:pPr>
      <w:bookmarkStart w:id="12" w:name="_Toc21754"/>
      <w:r>
        <w:rPr>
          <w:rFonts w:hint="eastAsia" w:ascii="楷体" w:hAnsi="楷体" w:eastAsia="楷体" w:cs="楷体"/>
          <w:b/>
          <w:bCs/>
          <w:color w:val="auto"/>
          <w:kern w:val="0"/>
          <w:sz w:val="32"/>
          <w:szCs w:val="32"/>
          <w:highlight w:val="none"/>
          <w:shd w:val="clear" w:color="auto" w:fill="FFFFFF"/>
          <w:lang w:val="en-US" w:eastAsia="zh-Hans"/>
        </w:rPr>
        <w:t>（四）评价工作过程</w:t>
      </w:r>
      <w:bookmarkEnd w:id="1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本次绩效评价工作主要分为前期准备、组织实施、</w:t>
      </w:r>
      <w:r>
        <w:rPr>
          <w:rFonts w:hint="eastAsia" w:ascii="仿宋" w:hAnsi="仿宋" w:eastAsia="仿宋" w:cs="仿宋"/>
          <w:color w:val="auto"/>
          <w:kern w:val="0"/>
          <w:sz w:val="32"/>
          <w:szCs w:val="32"/>
          <w:highlight w:val="none"/>
          <w:shd w:val="clear" w:color="auto" w:fill="FFFFFF"/>
          <w:lang w:val="en-US" w:eastAsia="zh-CN"/>
        </w:rPr>
        <w:t>报告撰写</w:t>
      </w:r>
      <w:r>
        <w:rPr>
          <w:rFonts w:hint="eastAsia" w:ascii="仿宋" w:hAnsi="仿宋" w:eastAsia="仿宋" w:cs="仿宋"/>
          <w:color w:val="auto"/>
          <w:kern w:val="0"/>
          <w:sz w:val="32"/>
          <w:szCs w:val="32"/>
          <w:highlight w:val="none"/>
          <w:shd w:val="clear" w:color="auto" w:fill="FFFFFF"/>
          <w:lang w:val="en-US" w:eastAsia="zh-Hans"/>
        </w:rPr>
        <w:t>以及资料整理四个阶段。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1.前期准备阶段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（1）项目启动。</w:t>
      </w:r>
      <w:r>
        <w:rPr>
          <w:rFonts w:hint="eastAsia" w:ascii="仿宋" w:hAnsi="仿宋" w:eastAsia="仿宋" w:cs="仿宋"/>
          <w:color w:val="auto"/>
          <w:kern w:val="0"/>
          <w:sz w:val="32"/>
          <w:szCs w:val="32"/>
          <w:highlight w:val="none"/>
          <w:shd w:val="clear" w:color="auto" w:fill="FFFFFF"/>
          <w:lang w:val="en-US" w:eastAsia="zh-CN"/>
        </w:rPr>
        <w:t>首先成立</w:t>
      </w:r>
      <w:r>
        <w:rPr>
          <w:rFonts w:hint="eastAsia" w:ascii="仿宋" w:hAnsi="仿宋" w:eastAsia="仿宋" w:cs="仿宋"/>
          <w:color w:val="auto"/>
          <w:kern w:val="0"/>
          <w:sz w:val="32"/>
          <w:szCs w:val="32"/>
          <w:highlight w:val="none"/>
          <w:shd w:val="clear" w:color="auto" w:fill="FFFFFF"/>
          <w:lang w:val="en-US" w:eastAsia="zh-Hans"/>
        </w:rPr>
        <w:t>评价小组，联络本次绩效评价的相关部门及人员，收集相关资料。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（2）开展前期调研并</w:t>
      </w:r>
      <w:r>
        <w:rPr>
          <w:rFonts w:hint="eastAsia" w:ascii="仿宋" w:hAnsi="仿宋" w:eastAsia="仿宋" w:cs="仿宋"/>
          <w:color w:val="auto"/>
          <w:kern w:val="0"/>
          <w:sz w:val="32"/>
          <w:szCs w:val="32"/>
          <w:highlight w:val="none"/>
          <w:shd w:val="clear" w:color="auto" w:fill="FFFFFF"/>
          <w:lang w:val="en-US" w:eastAsia="zh-CN"/>
        </w:rPr>
        <w:t>制定指标体系</w:t>
      </w:r>
      <w:r>
        <w:rPr>
          <w:rFonts w:hint="eastAsia" w:ascii="仿宋" w:hAnsi="仿宋" w:eastAsia="仿宋" w:cs="仿宋"/>
          <w:color w:val="auto"/>
          <w:kern w:val="0"/>
          <w:sz w:val="32"/>
          <w:szCs w:val="32"/>
          <w:highlight w:val="none"/>
          <w:shd w:val="clear" w:color="auto" w:fill="FFFFFF"/>
          <w:lang w:val="en-US" w:eastAsia="zh-Hans"/>
        </w:rPr>
        <w:t>。由评价小组成员与被评价部门进行充分沟通，了解部门的机构职能、职责划分、内设机构、下属预算单位等基本信息，并收集该部门2020年度内开展建设及运营监管项目的立项文件、预算安排、项目年度目标、工作实施计划、管理制度等文件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根据部门实际情况和</w:t>
      </w:r>
      <w:r>
        <w:rPr>
          <w:rFonts w:hint="eastAsia" w:ascii="仿宋" w:hAnsi="仿宋" w:eastAsia="仿宋" w:cs="仿宋"/>
          <w:color w:val="auto"/>
          <w:kern w:val="0"/>
          <w:sz w:val="32"/>
          <w:szCs w:val="32"/>
          <w:highlight w:val="none"/>
          <w:shd w:val="clear" w:color="auto" w:fill="FFFFFF"/>
          <w:lang w:val="en-US" w:eastAsia="zh-CN"/>
        </w:rPr>
        <w:t>新区妇幼保健计划生育服务中心</w:t>
      </w:r>
      <w:r>
        <w:rPr>
          <w:rFonts w:hint="eastAsia" w:ascii="仿宋" w:hAnsi="仿宋" w:eastAsia="仿宋" w:cs="仿宋"/>
          <w:color w:val="auto"/>
          <w:kern w:val="0"/>
          <w:sz w:val="32"/>
          <w:szCs w:val="32"/>
          <w:highlight w:val="none"/>
          <w:shd w:val="clear" w:color="auto" w:fill="FFFFFF"/>
          <w:lang w:val="en-US" w:eastAsia="zh-Hans"/>
        </w:rPr>
        <w:t>工作特点，形成绩效评价的总体思路，设计指标体系、问卷调查及访谈内容广泛听取意见、进行完善。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2.组织实施阶段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（1）数据收集和审核资料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评价小组根据评价工作需要和相关要求，多渠道收集基础信息资料，根据绩效目标设立的依据和调整情况，整理投入、过程、产出和效果资料，相关业务和财务资料，管理措施及组织实施情况与绩效评价相关的计划标准、行业标准、历史标准等，以及其他必要的相关资料。在收集齐全的基础上对所有资料进行分类整理，对相关资料进行核实和分析，并要求预算单位对缺失的资料及时补充，对存在疑问的资料和数据进行解释和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及社会调查阶段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对部门单位及实施项目进行访谈、联系部门和项目单位组织人员进行社会调查，对有关情况和基础材料进行核实，掌握评价基础资料。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w:t>
      </w:r>
      <w:r>
        <w:rPr>
          <w:rFonts w:hint="eastAsia" w:ascii="仿宋" w:hAnsi="仿宋" w:eastAsia="仿宋" w:cs="仿宋"/>
          <w:b/>
          <w:bCs/>
          <w:color w:val="auto"/>
          <w:kern w:val="0"/>
          <w:sz w:val="32"/>
          <w:szCs w:val="32"/>
          <w:highlight w:val="none"/>
          <w:shd w:val="clear" w:color="auto" w:fill="FFFFFF"/>
          <w:lang w:val="en-US" w:eastAsia="zh-CN"/>
        </w:rPr>
        <w:t>报告撰写</w:t>
      </w:r>
      <w:r>
        <w:rPr>
          <w:rFonts w:hint="eastAsia" w:ascii="仿宋" w:hAnsi="仿宋" w:eastAsia="仿宋" w:cs="仿宋"/>
          <w:b/>
          <w:bCs/>
          <w:color w:val="auto"/>
          <w:kern w:val="0"/>
          <w:sz w:val="32"/>
          <w:szCs w:val="32"/>
          <w:highlight w:val="none"/>
          <w:shd w:val="clear" w:color="auto" w:fill="FFFFFF"/>
          <w:lang w:val="en-US" w:eastAsia="zh-Hans"/>
        </w:rPr>
        <w:t>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（1）综合分析评价。根据收集和审核的基础资料，结合现场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的有关情况，整理出绩效评价所需的资料和数据；按照评价工作方案确定的评价指标、评价标准和评价方法，对本部门的绩效情况进行全面的定量、定性分析和综合评价，并进行量化打分，根据评分结果确定相应档次，并形成评价结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2）撰写提交绩效评价报告。综合前期收集和审核的部门及项目资料、现场调研的结果，评价工作组对部门年度工作情况进行综合分析，并按照规定的文本格式和相关要求撰写评价报告。报告内容翔实，逻辑清晰，结论鲜明，依据真实、充分，底稿及附件齐全。评价报告在经过与委托方沟通意见，修改完善绩效评价报告，及时提交</w:t>
      </w:r>
      <w:r>
        <w:rPr>
          <w:rFonts w:hint="eastAsia" w:ascii="仿宋" w:hAnsi="仿宋" w:eastAsia="仿宋" w:cs="仿宋"/>
          <w:color w:val="auto"/>
          <w:kern w:val="0"/>
          <w:sz w:val="32"/>
          <w:szCs w:val="32"/>
          <w:highlight w:val="none"/>
          <w:shd w:val="clear" w:color="auto" w:fill="FFFFFF"/>
          <w:lang w:val="en-US" w:eastAsia="zh-CN"/>
        </w:rPr>
        <w:t>委托方</w:t>
      </w:r>
      <w:r>
        <w:rPr>
          <w:rFonts w:hint="eastAsia" w:ascii="仿宋" w:hAnsi="仿宋" w:eastAsia="仿宋" w:cs="仿宋"/>
          <w:color w:val="auto"/>
          <w:kern w:val="0"/>
          <w:sz w:val="32"/>
          <w:szCs w:val="32"/>
          <w:highlight w:val="none"/>
          <w:shd w:val="clear" w:color="auto" w:fill="FFFFFF"/>
          <w:lang w:val="en-US" w:eastAsia="zh-Hans"/>
        </w:rPr>
        <w:t>确认。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4.资料整理阶段</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绩效评价工作结束后，评价工作组将绩效评价过程中所涉及的材料（电子版、纸质版），及时收集和整理，并归档备查。同时，根据绩效评价结果，应相关要求，及时帮助被评价方就相关问题、建议积极落实结果应用，切实提升项目绩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13" w:name="_Toc27023"/>
      <w:r>
        <w:rPr>
          <w:rFonts w:hint="eastAsia" w:ascii="黑体" w:hAnsi="黑体" w:eastAsia="黑体" w:cs="黑体"/>
          <w:b w:val="0"/>
          <w:bCs w:val="0"/>
          <w:color w:val="auto"/>
          <w:kern w:val="0"/>
          <w:sz w:val="32"/>
          <w:szCs w:val="32"/>
          <w:highlight w:val="none"/>
          <w:shd w:val="clear" w:color="auto" w:fill="FFFFFF"/>
          <w:lang w:val="en-US" w:eastAsia="zh-Hans"/>
        </w:rPr>
        <w:t>三、评价结论</w:t>
      </w:r>
      <w:bookmarkEnd w:id="1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通过对</w:t>
      </w:r>
      <w:r>
        <w:rPr>
          <w:rFonts w:hint="eastAsia" w:ascii="仿宋" w:hAnsi="仿宋" w:eastAsia="仿宋" w:cs="仿宋"/>
          <w:color w:val="auto"/>
          <w:kern w:val="0"/>
          <w:sz w:val="32"/>
          <w:szCs w:val="32"/>
          <w:highlight w:val="none"/>
          <w:shd w:val="clear" w:color="auto" w:fill="FFFFFF"/>
          <w:lang w:val="en-US" w:eastAsia="zh-CN"/>
        </w:rPr>
        <w:t>新区妇幼保健计划生育服务中心</w:t>
      </w:r>
      <w:r>
        <w:rPr>
          <w:rFonts w:hint="eastAsia" w:ascii="仿宋" w:hAnsi="仿宋" w:eastAsia="仿宋" w:cs="仿宋"/>
          <w:color w:val="auto"/>
          <w:kern w:val="0"/>
          <w:sz w:val="32"/>
          <w:szCs w:val="32"/>
          <w:highlight w:val="none"/>
          <w:shd w:val="clear" w:color="auto" w:fill="FFFFFF"/>
          <w:lang w:val="en-US" w:eastAsia="zh-Hans"/>
        </w:rPr>
        <w:t>的</w:t>
      </w:r>
      <w:r>
        <w:rPr>
          <w:rFonts w:hint="eastAsia" w:ascii="仿宋" w:hAnsi="仿宋" w:eastAsia="仿宋" w:cs="仿宋"/>
          <w:color w:val="auto"/>
          <w:kern w:val="0"/>
          <w:sz w:val="32"/>
          <w:szCs w:val="32"/>
          <w:highlight w:val="none"/>
          <w:shd w:val="clear" w:color="auto" w:fill="FFFFFF"/>
          <w:lang w:val="en-US" w:eastAsia="zh-CN"/>
        </w:rPr>
        <w:t>相关</w:t>
      </w:r>
      <w:r>
        <w:rPr>
          <w:rFonts w:hint="eastAsia" w:ascii="仿宋" w:hAnsi="仿宋" w:eastAsia="仿宋" w:cs="仿宋"/>
          <w:color w:val="auto"/>
          <w:kern w:val="0"/>
          <w:sz w:val="32"/>
          <w:szCs w:val="32"/>
          <w:highlight w:val="none"/>
          <w:shd w:val="clear" w:color="auto" w:fill="FFFFFF"/>
          <w:lang w:val="en-US" w:eastAsia="zh-Hans"/>
        </w:rPr>
        <w:t>材料审核和现场</w:t>
      </w:r>
      <w:r>
        <w:rPr>
          <w:rFonts w:hint="eastAsia" w:ascii="仿宋" w:hAnsi="仿宋" w:eastAsia="仿宋" w:cs="仿宋"/>
          <w:color w:val="auto"/>
          <w:kern w:val="0"/>
          <w:sz w:val="32"/>
          <w:szCs w:val="32"/>
          <w:highlight w:val="none"/>
          <w:shd w:val="clear" w:color="auto" w:fill="FFFFFF"/>
          <w:lang w:val="en-US" w:eastAsia="zh-CN"/>
        </w:rPr>
        <w:t>座谈</w:t>
      </w:r>
      <w:r>
        <w:rPr>
          <w:rFonts w:hint="eastAsia" w:ascii="仿宋" w:hAnsi="仿宋" w:eastAsia="仿宋" w:cs="仿宋"/>
          <w:color w:val="auto"/>
          <w:kern w:val="0"/>
          <w:sz w:val="32"/>
          <w:szCs w:val="32"/>
          <w:highlight w:val="none"/>
          <w:shd w:val="clear" w:color="auto" w:fill="FFFFFF"/>
          <w:lang w:val="en-US" w:eastAsia="zh-Hans"/>
        </w:rPr>
        <w:t>、评审等，从</w:t>
      </w:r>
      <w:r>
        <w:rPr>
          <w:rFonts w:hint="eastAsia" w:ascii="仿宋" w:hAnsi="仿宋" w:eastAsia="仿宋" w:cs="仿宋"/>
          <w:color w:val="auto"/>
          <w:kern w:val="0"/>
          <w:sz w:val="32"/>
          <w:szCs w:val="32"/>
          <w:highlight w:val="none"/>
          <w:shd w:val="clear" w:color="auto" w:fill="FFFFFF"/>
          <w:lang w:val="en-US" w:eastAsia="zh-CN"/>
        </w:rPr>
        <w:t>投入</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过程</w:t>
      </w:r>
      <w:r>
        <w:rPr>
          <w:rFonts w:hint="eastAsia" w:ascii="仿宋" w:hAnsi="仿宋" w:eastAsia="仿宋" w:cs="仿宋"/>
          <w:color w:val="auto"/>
          <w:kern w:val="0"/>
          <w:sz w:val="32"/>
          <w:szCs w:val="32"/>
          <w:highlight w:val="none"/>
          <w:shd w:val="clear" w:color="auto" w:fill="FFFFFF"/>
          <w:lang w:val="en-US" w:eastAsia="zh-Hans"/>
        </w:rPr>
        <w:t>、产出、</w:t>
      </w:r>
      <w:r>
        <w:rPr>
          <w:rFonts w:hint="eastAsia" w:ascii="仿宋" w:hAnsi="仿宋" w:eastAsia="仿宋" w:cs="仿宋"/>
          <w:color w:val="auto"/>
          <w:kern w:val="0"/>
          <w:sz w:val="32"/>
          <w:szCs w:val="32"/>
          <w:highlight w:val="none"/>
          <w:shd w:val="clear" w:color="auto" w:fill="FFFFFF"/>
          <w:lang w:val="en-US" w:eastAsia="zh-CN"/>
        </w:rPr>
        <w:t>效果</w:t>
      </w:r>
      <w:r>
        <w:rPr>
          <w:rFonts w:hint="eastAsia" w:ascii="仿宋" w:hAnsi="仿宋" w:eastAsia="仿宋" w:cs="仿宋"/>
          <w:color w:val="auto"/>
          <w:kern w:val="0"/>
          <w:sz w:val="32"/>
          <w:szCs w:val="32"/>
          <w:highlight w:val="none"/>
          <w:shd w:val="clear" w:color="auto" w:fill="FFFFFF"/>
          <w:lang w:val="en-US" w:eastAsia="zh-Hans"/>
        </w:rPr>
        <w:t>四个维度综合评价铜川市</w:t>
      </w:r>
      <w:r>
        <w:rPr>
          <w:rFonts w:hint="eastAsia" w:ascii="仿宋" w:hAnsi="仿宋" w:eastAsia="仿宋" w:cs="仿宋"/>
          <w:color w:val="auto"/>
          <w:kern w:val="0"/>
          <w:sz w:val="32"/>
          <w:szCs w:val="32"/>
          <w:highlight w:val="none"/>
          <w:shd w:val="clear" w:color="auto" w:fill="FFFFFF"/>
          <w:lang w:val="en-US" w:eastAsia="zh-CN"/>
        </w:rPr>
        <w:t>新区妇幼保健计划生育服务中心</w:t>
      </w:r>
      <w:r>
        <w:rPr>
          <w:rFonts w:hint="eastAsia" w:ascii="仿宋" w:hAnsi="仿宋" w:eastAsia="仿宋" w:cs="仿宋"/>
          <w:color w:val="auto"/>
          <w:kern w:val="0"/>
          <w:sz w:val="32"/>
          <w:szCs w:val="32"/>
          <w:highlight w:val="none"/>
          <w:shd w:val="clear" w:color="auto" w:fill="FFFFFF"/>
          <w:lang w:val="en-US" w:eastAsia="zh-Hans"/>
        </w:rPr>
        <w:t>2020年部门整体支出绩效，评价工作组认为：总体上</w:t>
      </w:r>
      <w:r>
        <w:rPr>
          <w:rFonts w:hint="eastAsia" w:ascii="仿宋" w:hAnsi="仿宋" w:eastAsia="仿宋" w:cs="仿宋"/>
          <w:color w:val="auto"/>
          <w:kern w:val="0"/>
          <w:sz w:val="32"/>
          <w:szCs w:val="32"/>
          <w:highlight w:val="none"/>
          <w:shd w:val="clear" w:color="auto" w:fill="FFFFFF"/>
          <w:lang w:val="en-US" w:eastAsia="zh-CN"/>
        </w:rPr>
        <w:t>新区妇幼保健计划生育服务中心在履职效益表现较好，但在投入、过程和职责履行方面存在一定问题。评价结果分为优(</w:t>
      </w:r>
      <w:r>
        <w:rPr>
          <w:rFonts w:hint="default" w:ascii="仿宋" w:hAnsi="仿宋" w:eastAsia="仿宋" w:cs="仿宋"/>
          <w:color w:val="auto"/>
          <w:kern w:val="0"/>
          <w:sz w:val="32"/>
          <w:szCs w:val="32"/>
          <w:highlight w:val="none"/>
          <w:shd w:val="clear" w:color="auto" w:fill="FFFFFF"/>
          <w:lang w:eastAsia="zh-CN"/>
        </w:rPr>
        <w:t>90</w:t>
      </w:r>
      <w:r>
        <w:rPr>
          <w:rFonts w:hint="eastAsia" w:ascii="仿宋" w:hAnsi="仿宋" w:eastAsia="仿宋" w:cs="仿宋"/>
          <w:color w:val="auto"/>
          <w:kern w:val="0"/>
          <w:sz w:val="32"/>
          <w:szCs w:val="32"/>
          <w:highlight w:val="none"/>
          <w:shd w:val="clear" w:color="auto" w:fill="FFFFFF"/>
          <w:lang w:val="en-US" w:eastAsia="zh-CN"/>
        </w:rPr>
        <w:t>分以上)、良(</w:t>
      </w:r>
      <w:r>
        <w:rPr>
          <w:rFonts w:hint="default" w:ascii="仿宋" w:hAnsi="仿宋" w:eastAsia="仿宋" w:cs="仿宋"/>
          <w:color w:val="auto"/>
          <w:kern w:val="0"/>
          <w:sz w:val="32"/>
          <w:szCs w:val="32"/>
          <w:highlight w:val="none"/>
          <w:shd w:val="clear" w:color="auto" w:fill="FFFFFF"/>
          <w:lang w:eastAsia="zh-CN"/>
        </w:rPr>
        <w:t>80</w:t>
      </w:r>
      <w:r>
        <w:rPr>
          <w:rFonts w:hint="eastAsia" w:ascii="仿宋" w:hAnsi="仿宋" w:eastAsia="仿宋" w:cs="仿宋"/>
          <w:color w:val="auto"/>
          <w:kern w:val="0"/>
          <w:sz w:val="32"/>
          <w:szCs w:val="32"/>
          <w:highlight w:val="none"/>
          <w:shd w:val="clear" w:color="auto" w:fill="FFFFFF"/>
          <w:lang w:val="en-US" w:eastAsia="zh-Hans"/>
        </w:rPr>
        <w:t>含</w:t>
      </w: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eastAsia="zh-CN"/>
        </w:rPr>
        <w:t>90</w:t>
      </w:r>
      <w:r>
        <w:rPr>
          <w:rFonts w:hint="eastAsia" w:ascii="仿宋" w:hAnsi="仿宋" w:eastAsia="仿宋" w:cs="仿宋"/>
          <w:color w:val="auto"/>
          <w:kern w:val="0"/>
          <w:sz w:val="32"/>
          <w:szCs w:val="32"/>
          <w:highlight w:val="none"/>
          <w:shd w:val="clear" w:color="auto" w:fill="FFFFFF"/>
          <w:lang w:val="en-US" w:eastAsia="zh-CN"/>
        </w:rPr>
        <w:t>分)、中(</w:t>
      </w:r>
      <w:r>
        <w:rPr>
          <w:rFonts w:hint="default" w:ascii="仿宋" w:hAnsi="仿宋" w:eastAsia="仿宋" w:cs="仿宋"/>
          <w:color w:val="auto"/>
          <w:kern w:val="0"/>
          <w:sz w:val="32"/>
          <w:szCs w:val="32"/>
          <w:highlight w:val="none"/>
          <w:shd w:val="clear" w:color="auto" w:fill="FFFFFF"/>
          <w:lang w:eastAsia="zh-CN"/>
        </w:rPr>
        <w:t>60</w:t>
      </w:r>
      <w:r>
        <w:rPr>
          <w:rFonts w:hint="eastAsia" w:ascii="仿宋" w:hAnsi="仿宋" w:eastAsia="仿宋" w:cs="仿宋"/>
          <w:color w:val="auto"/>
          <w:kern w:val="0"/>
          <w:sz w:val="32"/>
          <w:szCs w:val="32"/>
          <w:highlight w:val="none"/>
          <w:shd w:val="clear" w:color="auto" w:fill="FFFFFF"/>
          <w:lang w:val="en-US" w:eastAsia="zh-Hans"/>
        </w:rPr>
        <w:t>含</w:t>
      </w: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eastAsia="zh-CN"/>
        </w:rPr>
        <w:t>80</w:t>
      </w:r>
      <w:r>
        <w:rPr>
          <w:rFonts w:hint="eastAsia" w:ascii="仿宋" w:hAnsi="仿宋" w:eastAsia="仿宋" w:cs="仿宋"/>
          <w:color w:val="auto"/>
          <w:kern w:val="0"/>
          <w:sz w:val="32"/>
          <w:szCs w:val="32"/>
          <w:highlight w:val="none"/>
          <w:shd w:val="clear" w:color="auto" w:fill="FFFFFF"/>
          <w:lang w:val="en-US" w:eastAsia="zh-CN"/>
        </w:rPr>
        <w:t>分) 和差(</w:t>
      </w:r>
      <w:r>
        <w:rPr>
          <w:rFonts w:hint="default" w:ascii="仿宋" w:hAnsi="仿宋" w:eastAsia="仿宋" w:cs="仿宋"/>
          <w:color w:val="auto"/>
          <w:kern w:val="0"/>
          <w:sz w:val="32"/>
          <w:szCs w:val="32"/>
          <w:highlight w:val="none"/>
          <w:shd w:val="clear" w:color="auto" w:fill="FFFFFF"/>
          <w:lang w:eastAsia="zh-CN"/>
        </w:rPr>
        <w:t>60</w:t>
      </w:r>
      <w:r>
        <w:rPr>
          <w:rFonts w:hint="eastAsia" w:ascii="仿宋" w:hAnsi="仿宋" w:eastAsia="仿宋" w:cs="仿宋"/>
          <w:color w:val="auto"/>
          <w:kern w:val="0"/>
          <w:sz w:val="32"/>
          <w:szCs w:val="32"/>
          <w:highlight w:val="none"/>
          <w:shd w:val="clear" w:color="auto" w:fill="FFFFFF"/>
          <w:lang w:val="en-US" w:eastAsia="zh-CN"/>
        </w:rPr>
        <w:t>分以下)四个等次。经综合分析，该部门整体支出综合评价得分为85.00分，绩效等级为“良”。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color w:val="auto"/>
          <w:kern w:val="0"/>
          <w:sz w:val="28"/>
          <w:szCs w:val="28"/>
          <w:highlight w:val="none"/>
          <w:shd w:val="clear" w:color="auto" w:fill="FFFFFF"/>
          <w:lang w:val="en-US" w:eastAsia="zh-CN"/>
        </w:rPr>
      </w:pPr>
      <w:r>
        <w:rPr>
          <w:rFonts w:hint="eastAsia" w:ascii="仿宋" w:hAnsi="仿宋" w:eastAsia="仿宋" w:cs="仿宋"/>
          <w:b/>
          <w:bCs/>
          <w:color w:val="auto"/>
          <w:kern w:val="0"/>
          <w:sz w:val="28"/>
          <w:szCs w:val="28"/>
          <w:highlight w:val="none"/>
          <w:shd w:val="clear" w:color="auto" w:fill="FFFFFF"/>
          <w:lang w:val="en-US" w:eastAsia="zh-Hans"/>
        </w:rPr>
        <w:t>表3-1 2020年</w:t>
      </w:r>
      <w:r>
        <w:rPr>
          <w:rFonts w:hint="eastAsia" w:ascii="仿宋" w:hAnsi="仿宋" w:eastAsia="仿宋" w:cs="仿宋"/>
          <w:b/>
          <w:bCs/>
          <w:color w:val="auto"/>
          <w:kern w:val="0"/>
          <w:sz w:val="28"/>
          <w:szCs w:val="28"/>
          <w:highlight w:val="none"/>
          <w:shd w:val="clear" w:color="auto" w:fill="FFFFFF"/>
          <w:lang w:val="en-US" w:eastAsia="zh-CN"/>
        </w:rPr>
        <w:t>新区妇幼保健计划生育服务中心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color w:val="auto"/>
          <w:kern w:val="0"/>
          <w:sz w:val="28"/>
          <w:szCs w:val="28"/>
          <w:highlight w:val="none"/>
          <w:shd w:val="clear" w:color="auto" w:fill="FFFFFF"/>
          <w:lang w:val="en-US" w:eastAsia="zh-Hans"/>
        </w:rPr>
      </w:pPr>
      <w:r>
        <w:rPr>
          <w:rFonts w:hint="eastAsia" w:ascii="仿宋" w:hAnsi="仿宋" w:eastAsia="仿宋" w:cs="仿宋"/>
          <w:b/>
          <w:bCs/>
          <w:color w:val="auto"/>
          <w:kern w:val="0"/>
          <w:sz w:val="28"/>
          <w:szCs w:val="28"/>
          <w:highlight w:val="none"/>
          <w:shd w:val="clear" w:color="auto" w:fill="FFFFFF"/>
          <w:lang w:val="en-US" w:eastAsia="zh-Hans"/>
        </w:rPr>
        <w:t>部门整体支出绩效</w:t>
      </w:r>
      <w:r>
        <w:rPr>
          <w:rFonts w:hint="eastAsia" w:ascii="仿宋" w:hAnsi="仿宋" w:eastAsia="仿宋" w:cs="仿宋"/>
          <w:b/>
          <w:bCs/>
          <w:color w:val="auto"/>
          <w:kern w:val="0"/>
          <w:sz w:val="28"/>
          <w:szCs w:val="28"/>
          <w:highlight w:val="none"/>
          <w:shd w:val="clear" w:color="auto" w:fill="FFFFFF"/>
          <w:lang w:val="en-US" w:eastAsia="zh-CN"/>
        </w:rPr>
        <w:t>评价得分</w:t>
      </w:r>
      <w:r>
        <w:rPr>
          <w:rFonts w:hint="eastAsia" w:ascii="仿宋" w:hAnsi="仿宋" w:eastAsia="仿宋" w:cs="仿宋"/>
          <w:b/>
          <w:bCs/>
          <w:color w:val="auto"/>
          <w:kern w:val="0"/>
          <w:sz w:val="28"/>
          <w:szCs w:val="28"/>
          <w:highlight w:val="none"/>
          <w:shd w:val="clear" w:color="auto" w:fill="FFFFFF"/>
          <w:lang w:val="en-US" w:eastAsia="zh-Hans"/>
        </w:rPr>
        <w:t>表</w:t>
      </w:r>
    </w:p>
    <w:tbl>
      <w:tblPr>
        <w:tblStyle w:val="15"/>
        <w:tblW w:w="4998" w:type="pct"/>
        <w:tblInd w:w="0" w:type="dxa"/>
        <w:shd w:val="clear" w:color="auto" w:fill="auto"/>
        <w:tblLayout w:type="autofit"/>
        <w:tblCellMar>
          <w:top w:w="0" w:type="dxa"/>
          <w:left w:w="0" w:type="dxa"/>
          <w:bottom w:w="0" w:type="dxa"/>
          <w:right w:w="0" w:type="dxa"/>
        </w:tblCellMar>
      </w:tblPr>
      <w:tblGrid>
        <w:gridCol w:w="2076"/>
        <w:gridCol w:w="2076"/>
        <w:gridCol w:w="2595"/>
        <w:gridCol w:w="2079"/>
      </w:tblGrid>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一级指标</w:t>
            </w:r>
          </w:p>
        </w:tc>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14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w:t>
            </w:r>
          </w:p>
        </w:tc>
        <w:tc>
          <w:tcPr>
            <w:tcW w:w="11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得分率</w:t>
            </w:r>
          </w:p>
        </w:tc>
      </w:tr>
      <w:tr>
        <w:tblPrEx>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决策</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12.29</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87.79%</w:t>
            </w:r>
          </w:p>
        </w:tc>
      </w:tr>
      <w:tr>
        <w:tblPrEx>
          <w:shd w:val="clear" w:color="auto" w:fill="auto"/>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过程</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30</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23.71</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79.03%</w:t>
            </w:r>
          </w:p>
        </w:tc>
      </w:tr>
      <w:tr>
        <w:tblPrEx>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28</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87.50%</w:t>
            </w:r>
          </w:p>
        </w:tc>
      </w:tr>
      <w:tr>
        <w:tblPrEx>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效益</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24</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21</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87.50%</w:t>
            </w:r>
          </w:p>
        </w:tc>
      </w:tr>
      <w:tr>
        <w:tblPrEx>
          <w:tblCellMar>
            <w:top w:w="0" w:type="dxa"/>
            <w:left w:w="0" w:type="dxa"/>
            <w:bottom w:w="0" w:type="dxa"/>
            <w:right w:w="0" w:type="dxa"/>
          </w:tblCellMar>
        </w:tblPrEx>
        <w:trPr>
          <w:trHeight w:val="30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合计</w:t>
            </w:r>
          </w:p>
        </w:tc>
        <w:tc>
          <w:tcPr>
            <w:tcW w:w="207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85</w:t>
            </w:r>
          </w:p>
        </w:tc>
        <w:tc>
          <w:tcPr>
            <w:tcW w:w="207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85.00%</w:t>
            </w:r>
          </w:p>
        </w:tc>
      </w:tr>
      <w:tr>
        <w:tblPrEx>
          <w:tblCellMar>
            <w:top w:w="0" w:type="dxa"/>
            <w:left w:w="0" w:type="dxa"/>
            <w:bottom w:w="0" w:type="dxa"/>
            <w:right w:w="0" w:type="dxa"/>
          </w:tblCellMar>
        </w:tblPrEx>
        <w:trPr>
          <w:trHeight w:val="450" w:hRule="atLeast"/>
        </w:trPr>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绩效评价得分：</w:t>
            </w:r>
          </w:p>
        </w:tc>
        <w:tc>
          <w:tcPr>
            <w:tcW w:w="117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85.00</w:t>
            </w:r>
          </w:p>
        </w:tc>
        <w:tc>
          <w:tcPr>
            <w:tcW w:w="147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综合评价结果等级：</w:t>
            </w:r>
          </w:p>
        </w:tc>
        <w:tc>
          <w:tcPr>
            <w:tcW w:w="117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良</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Hans"/>
        </w:rPr>
      </w:pPr>
      <w:bookmarkStart w:id="14" w:name="_Toc24355"/>
      <w:r>
        <w:rPr>
          <w:rFonts w:hint="eastAsia" w:ascii="黑体" w:hAnsi="黑体" w:eastAsia="黑体" w:cs="黑体"/>
          <w:b w:val="0"/>
          <w:bCs w:val="0"/>
          <w:color w:val="auto"/>
          <w:kern w:val="0"/>
          <w:sz w:val="32"/>
          <w:szCs w:val="32"/>
          <w:highlight w:val="none"/>
          <w:lang w:val="en-US" w:eastAsia="zh-Hans"/>
        </w:rPr>
        <w:t>四、绩效评价分析</w:t>
      </w:r>
      <w:bookmarkEnd w:id="1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5" w:name="_Toc30110"/>
      <w:r>
        <w:rPr>
          <w:rFonts w:hint="eastAsia" w:ascii="楷体" w:hAnsi="楷体" w:eastAsia="楷体" w:cs="楷体"/>
          <w:b/>
          <w:bCs/>
          <w:color w:val="auto"/>
          <w:kern w:val="0"/>
          <w:sz w:val="32"/>
          <w:szCs w:val="32"/>
          <w:highlight w:val="none"/>
          <w:shd w:val="clear" w:color="auto" w:fill="FFFFFF"/>
          <w:lang w:val="en-US" w:eastAsia="zh-CN"/>
        </w:rPr>
        <w:t>（一）投入方面</w:t>
      </w:r>
      <w:bookmarkEnd w:id="1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该指标主要考核部门</w:t>
      </w:r>
      <w:r>
        <w:rPr>
          <w:rFonts w:hint="eastAsia" w:ascii="仿宋" w:hAnsi="仿宋" w:eastAsia="仿宋" w:cs="仿宋"/>
          <w:color w:val="auto"/>
          <w:kern w:val="0"/>
          <w:sz w:val="32"/>
          <w:szCs w:val="32"/>
          <w:highlight w:val="none"/>
          <w:shd w:val="clear" w:color="auto" w:fill="FFFFFF"/>
          <w:lang w:val="en-US" w:eastAsia="zh-Hans"/>
        </w:rPr>
        <w:t>目标设定和预算配置两方面内容</w:t>
      </w:r>
      <w:r>
        <w:rPr>
          <w:rFonts w:hint="eastAsia" w:ascii="仿宋" w:hAnsi="仿宋" w:eastAsia="仿宋" w:cs="仿宋"/>
          <w:color w:val="auto"/>
          <w:kern w:val="0"/>
          <w:sz w:val="32"/>
          <w:szCs w:val="32"/>
          <w:highlight w:val="none"/>
          <w:shd w:val="clear" w:color="auto" w:fill="FFFFFF"/>
          <w:lang w:val="en-US" w:eastAsia="zh-CN"/>
        </w:rPr>
        <w:t>，包括绩效目标合理性、</w:t>
      </w:r>
      <w:r>
        <w:rPr>
          <w:rFonts w:hint="eastAsia" w:ascii="仿宋" w:hAnsi="仿宋" w:eastAsia="仿宋" w:cs="仿宋"/>
          <w:color w:val="auto"/>
          <w:kern w:val="0"/>
          <w:sz w:val="32"/>
          <w:szCs w:val="32"/>
          <w:highlight w:val="none"/>
          <w:shd w:val="clear" w:color="auto" w:fill="FFFFFF"/>
          <w:lang w:val="en-US" w:eastAsia="zh-Hans"/>
        </w:rPr>
        <w:t>绩效指标明确性、在职人员控制率、“</w:t>
      </w:r>
      <w:r>
        <w:rPr>
          <w:rFonts w:hint="eastAsia" w:ascii="仿宋" w:hAnsi="仿宋" w:eastAsia="仿宋" w:cs="仿宋"/>
          <w:color w:val="auto"/>
          <w:kern w:val="0"/>
          <w:sz w:val="32"/>
          <w:szCs w:val="32"/>
          <w:highlight w:val="none"/>
          <w:shd w:val="clear" w:color="auto" w:fill="FFFFFF"/>
          <w:lang w:val="en-US" w:eastAsia="zh-CN"/>
        </w:rPr>
        <w:t>三公经费</w:t>
      </w:r>
      <w:r>
        <w:rPr>
          <w:rFonts w:hint="eastAsia" w:ascii="仿宋" w:hAnsi="仿宋" w:eastAsia="仿宋" w:cs="仿宋"/>
          <w:color w:val="auto"/>
          <w:kern w:val="0"/>
          <w:sz w:val="32"/>
          <w:szCs w:val="32"/>
          <w:highlight w:val="none"/>
          <w:shd w:val="clear" w:color="auto" w:fill="FFFFFF"/>
          <w:lang w:val="en-US" w:eastAsia="zh-Hans"/>
        </w:rPr>
        <w:t>”变动率、重点支出安排率</w:t>
      </w:r>
      <w:r>
        <w:rPr>
          <w:rFonts w:hint="eastAsia" w:ascii="仿宋" w:hAnsi="仿宋" w:eastAsia="仿宋" w:cs="仿宋"/>
          <w:color w:val="auto"/>
          <w:kern w:val="0"/>
          <w:sz w:val="32"/>
          <w:szCs w:val="32"/>
          <w:highlight w:val="none"/>
          <w:shd w:val="clear" w:color="auto" w:fill="FFFFFF"/>
          <w:lang w:val="en-US" w:eastAsia="zh-CN"/>
        </w:rPr>
        <w:t>等5个三级指标，指标权重14分，评价得分12.29分，得分率为87.79%。</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1.目标设定</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（1）绩效目标合理性</w:t>
      </w:r>
      <w:r>
        <w:rPr>
          <w:rFonts w:hint="eastAsia" w:ascii="仿宋" w:hAnsi="仿宋" w:eastAsia="仿宋" w:cs="仿宋"/>
          <w:color w:val="auto"/>
          <w:kern w:val="0"/>
          <w:sz w:val="32"/>
          <w:szCs w:val="32"/>
          <w:highlight w:val="none"/>
          <w:shd w:val="clear" w:color="auto" w:fill="FFFFFF"/>
          <w:lang w:val="en-US" w:eastAsia="zh-CN"/>
        </w:rPr>
        <w:t>--4分。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市国民经济和社会发展“十三五”规划内容，提高全民健康水平，完善连通市、县（区）、乡、村四级卫生计生信息平台建设，贯通公共卫生、医疗服务、医疗保障、药品供应、计划生育、综合管理等六大业务数据平台，实现“居民电子健康档案、电子病历、全员人口信息”三大基础数据库的互联互通、数据共享，建立高效、便捷的卫生计生信息化新模式</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根据2020年度公开的铜川市新区区妇幼保健计划生育服务中心部门综合预算文件内容，部门主要职责为，以孕产保健、儿童妇女保健、计划生育服务为中心，为妇女儿童提供全方位服务。绩效目标设定符合</w:t>
      </w:r>
      <w:r>
        <w:rPr>
          <w:rFonts w:hint="eastAsia" w:ascii="仿宋" w:hAnsi="仿宋" w:eastAsia="仿宋" w:cs="仿宋"/>
          <w:color w:val="auto"/>
          <w:kern w:val="0"/>
          <w:sz w:val="32"/>
          <w:szCs w:val="32"/>
          <w:highlight w:val="none"/>
          <w:shd w:val="clear" w:color="auto" w:fill="FFFFFF"/>
          <w:lang w:val="en-US" w:eastAsia="zh-CN"/>
        </w:rPr>
        <w:t>国家法律法规和国民经济和社会发展规划，属于</w:t>
      </w:r>
      <w:r>
        <w:rPr>
          <w:rFonts w:hint="eastAsia" w:ascii="仿宋" w:hAnsi="仿宋" w:eastAsia="仿宋" w:cs="仿宋"/>
          <w:color w:val="auto"/>
          <w:kern w:val="0"/>
          <w:sz w:val="32"/>
          <w:szCs w:val="32"/>
          <w:highlight w:val="none"/>
          <w:shd w:val="clear" w:color="auto" w:fill="FFFFFF"/>
          <w:lang w:val="en-US" w:eastAsia="zh-Hans"/>
        </w:rPr>
        <w:t>部门职责范围</w:t>
      </w:r>
      <w:r>
        <w:rPr>
          <w:rFonts w:hint="eastAsia" w:ascii="仿宋" w:hAnsi="仿宋" w:eastAsia="仿宋" w:cs="仿宋"/>
          <w:color w:val="auto"/>
          <w:kern w:val="0"/>
          <w:sz w:val="32"/>
          <w:szCs w:val="32"/>
          <w:highlight w:val="none"/>
          <w:shd w:val="clear" w:color="auto" w:fill="FFFFFF"/>
          <w:lang w:val="en-US" w:eastAsia="zh-CN"/>
        </w:rPr>
        <w:t>，绩效目标随同部门年初预算文件同步申报并公开</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结合部门整体绩效评价指标体系和评分标准，经综合评价，该项指标得分为4分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（2）绩效指标明确性</w:t>
      </w:r>
      <w:r>
        <w:rPr>
          <w:rFonts w:hint="eastAsia" w:ascii="仿宋" w:hAnsi="仿宋" w:eastAsia="仿宋" w:cs="仿宋"/>
          <w:color w:val="auto"/>
          <w:kern w:val="0"/>
          <w:sz w:val="32"/>
          <w:szCs w:val="32"/>
          <w:highlight w:val="none"/>
          <w:shd w:val="clear" w:color="auto" w:fill="FFFFFF"/>
          <w:lang w:val="en-US" w:eastAsia="zh-CN"/>
        </w:rPr>
        <w:t>--4分。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.根据铜川市新区财政局《关于下达2020年部门预算的通知》</w:t>
      </w:r>
      <w:r>
        <w:rPr>
          <w:rFonts w:hint="eastAsia" w:ascii="仿宋" w:hAnsi="仿宋" w:eastAsia="仿宋" w:cs="仿宋"/>
          <w:color w:val="auto"/>
          <w:kern w:val="0"/>
          <w:sz w:val="32"/>
          <w:szCs w:val="32"/>
          <w:highlight w:val="none"/>
          <w:shd w:val="clear" w:color="auto" w:fill="FFFFFF"/>
          <w:lang w:val="en-US" w:eastAsia="zh-CN"/>
        </w:rPr>
        <w:t>（铜新财预</w:t>
      </w:r>
      <w:r>
        <w:rPr>
          <w:rFonts w:hint="eastAsia" w:ascii="仿宋" w:hAnsi="仿宋" w:eastAsia="仿宋" w:cs="仿宋"/>
          <w:color w:val="auto"/>
          <w:kern w:val="0"/>
          <w:sz w:val="32"/>
          <w:szCs w:val="32"/>
          <w:highlight w:val="none"/>
          <w:shd w:val="clear" w:color="auto" w:fill="FFFFFF"/>
          <w:lang w:val="en-US" w:eastAsia="zh-Hans"/>
        </w:rPr>
        <w:t>〔202</w:t>
      </w:r>
      <w:r>
        <w:rPr>
          <w:rFonts w:hint="eastAsia" w:ascii="仿宋" w:hAnsi="仿宋" w:eastAsia="仿宋" w:cs="仿宋"/>
          <w:color w:val="auto"/>
          <w:kern w:val="0"/>
          <w:sz w:val="32"/>
          <w:szCs w:val="32"/>
          <w:highlight w:val="none"/>
          <w:shd w:val="clear" w:color="auto" w:fill="FFFFFF"/>
          <w:lang w:val="en-US" w:eastAsia="zh-CN"/>
        </w:rPr>
        <w:t>0</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3号）</w:t>
      </w:r>
      <w:r>
        <w:rPr>
          <w:rFonts w:hint="eastAsia" w:ascii="仿宋" w:hAnsi="仿宋" w:eastAsia="仿宋" w:cs="仿宋"/>
          <w:color w:val="auto"/>
          <w:kern w:val="0"/>
          <w:sz w:val="32"/>
          <w:szCs w:val="32"/>
          <w:highlight w:val="none"/>
          <w:shd w:val="clear" w:color="auto" w:fill="FFFFFF"/>
          <w:lang w:val="en-US" w:eastAsia="zh-Hans"/>
        </w:rPr>
        <w:t>文件附件中的新区</w:t>
      </w:r>
      <w:r>
        <w:rPr>
          <w:rFonts w:hint="eastAsia" w:ascii="仿宋" w:hAnsi="仿宋" w:eastAsia="仿宋" w:cs="仿宋"/>
          <w:color w:val="auto"/>
          <w:kern w:val="0"/>
          <w:sz w:val="32"/>
          <w:szCs w:val="32"/>
          <w:highlight w:val="none"/>
          <w:shd w:val="clear" w:color="auto" w:fill="FFFFFF"/>
          <w:lang w:val="en-US" w:eastAsia="zh-CN"/>
        </w:rPr>
        <w:t>妇幼保健计划生育服务中心</w:t>
      </w:r>
      <w:r>
        <w:rPr>
          <w:rFonts w:hint="eastAsia" w:ascii="仿宋" w:hAnsi="仿宋" w:eastAsia="仿宋" w:cs="仿宋"/>
          <w:color w:val="auto"/>
          <w:kern w:val="0"/>
          <w:sz w:val="32"/>
          <w:szCs w:val="32"/>
          <w:highlight w:val="none"/>
          <w:shd w:val="clear" w:color="auto" w:fill="FFFFFF"/>
          <w:lang w:val="en-US" w:eastAsia="zh-Hans"/>
        </w:rPr>
        <w:t>2020年部门整体支出绩效目标表内容</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部门年度目标细化分解为具体的工作任务，年度产出目标进一步量化为具体的指标值，绩效目标与部门年度的任务数和计划数相对应，且与部门预算资金相匹配。但效益指标设定过于简单，指标值量化度不足，难以有效衡量判断。</w:t>
      </w:r>
      <w:r>
        <w:rPr>
          <w:rFonts w:hint="eastAsia" w:ascii="仿宋" w:hAnsi="仿宋" w:eastAsia="仿宋" w:cs="仿宋"/>
          <w:color w:val="auto"/>
          <w:kern w:val="0"/>
          <w:sz w:val="32"/>
          <w:szCs w:val="32"/>
          <w:highlight w:val="none"/>
          <w:shd w:val="clear" w:color="auto" w:fill="FFFFFF"/>
          <w:lang w:val="en-US" w:eastAsia="zh-CN"/>
        </w:rPr>
        <w:t>结合部门决算文件和工作实际开展情况，部门年度产前筛查和新生儿疾病筛查重点工作作为部门重点工作安排，未列入预算，绩效目标内容未有效涵盖。比照绩效评价指标体系和评分标准，经综合评价，该项指标得分为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2.预算配置</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1</w:t>
      </w:r>
      <w:r>
        <w:rPr>
          <w:rFonts w:hint="eastAsia" w:ascii="仿宋" w:hAnsi="仿宋" w:eastAsia="仿宋" w:cs="仿宋"/>
          <w:color w:val="auto"/>
          <w:kern w:val="0"/>
          <w:sz w:val="32"/>
          <w:szCs w:val="32"/>
          <w:highlight w:val="none"/>
          <w:shd w:val="clear" w:color="auto" w:fill="FFFFFF"/>
          <w:lang w:val="en-US" w:eastAsia="zh-Hans"/>
        </w:rPr>
        <w:t>）在职人员控制率</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根据2020年度铜川市新区妇幼保健计划生育服务中心部门决算文件内容，截止2020年底，本部门人员编制9人，其中行政编制0人、事业编制9人；实有人员9人，其中行政0人、事业9人、工勤0人。单位管理的离退休人员2人。在职人员控制率为100%，未超编制聘用。结合部门整体支出绩效评价指标体系和评分标准，该项指标得分为2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（2）“三公经费”变动率--2分。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市新区妇幼保健计划生育服务中心部门2020年度和2019年度部门预算文件内容，2019年度部门“三公经费”预算支出为2.5万元。2020年度“三公经费”预算支出为2.5万元，较2019年未发生变化，部门严格执行中央八项规定， “三公经费”只减不增。</w:t>
      </w:r>
      <w:r>
        <w:rPr>
          <w:rFonts w:hint="eastAsia" w:ascii="仿宋" w:hAnsi="仿宋" w:eastAsia="仿宋" w:cs="仿宋"/>
          <w:color w:val="auto"/>
          <w:kern w:val="0"/>
          <w:sz w:val="32"/>
          <w:szCs w:val="32"/>
          <w:highlight w:val="none"/>
          <w:shd w:val="clear" w:color="auto" w:fill="FFFFFF"/>
          <w:lang w:val="en-US" w:eastAsia="zh-CN"/>
        </w:rPr>
        <w:t>结合部门绩效评价指标体系和评分标准，经综合评价，该项指标得分为2分</w:t>
      </w:r>
      <w:r>
        <w:rPr>
          <w:rFonts w:hint="eastAsia" w:ascii="仿宋" w:hAnsi="仿宋" w:eastAsia="仿宋" w:cs="仿宋"/>
          <w:color w:val="auto"/>
          <w:kern w:val="0"/>
          <w:sz w:val="32"/>
          <w:szCs w:val="32"/>
          <w:highlight w:val="none"/>
          <w:shd w:val="clear" w:color="auto" w:fill="FFFFFF"/>
          <w:lang w:val="en-US" w:eastAsia="zh-Hans"/>
        </w:rPr>
        <w:t>。</w:t>
      </w:r>
      <w:bookmarkStart w:id="16" w:name="_Toc373329643_WPSOffice_Level2"/>
      <w:bookmarkStart w:id="17" w:name="_Toc1682881084_WPSOffice_Level2"/>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（3）重点支出安排率--2分。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根据2020年度铜川市新区妇幼保健计划生育服务中心部门决算开资料内容和决算文件数据，年度卫生健康项目预算支出为141.25万元，部门年度项目支出预算资金为219.54万元。重点支出安排率为64.33%。</w:t>
      </w:r>
      <w:r>
        <w:rPr>
          <w:rFonts w:hint="eastAsia" w:ascii="仿宋" w:hAnsi="仿宋" w:eastAsia="仿宋" w:cs="仿宋"/>
          <w:color w:val="auto"/>
          <w:kern w:val="0"/>
          <w:sz w:val="32"/>
          <w:szCs w:val="32"/>
          <w:highlight w:val="none"/>
          <w:shd w:val="clear" w:color="auto" w:fill="FFFFFF"/>
          <w:lang w:val="en-US" w:eastAsia="zh-CN" w:bidi="ar-SA"/>
        </w:rPr>
        <w:t>结合新区妇幼保健计划生育服务中心部门整体支出绩效评价指标体系和评分标准，经综合评价，该项指标得分为1.29分。</w:t>
      </w:r>
    </w:p>
    <w:bookmarkEnd w:id="16"/>
    <w:bookmarkEnd w:id="17"/>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仿宋" w:hAnsi="仿宋" w:eastAsia="仿宋" w:cs="仿宋"/>
          <w:color w:val="auto"/>
          <w:kern w:val="0"/>
          <w:sz w:val="32"/>
          <w:szCs w:val="32"/>
          <w:highlight w:val="none"/>
          <w:shd w:val="clear" w:color="auto" w:fill="FFFFFF"/>
          <w:lang w:val="en-US" w:eastAsia="zh-CN"/>
        </w:rPr>
      </w:pPr>
      <w:bookmarkStart w:id="18" w:name="_Toc22772"/>
      <w:r>
        <w:rPr>
          <w:rFonts w:hint="eastAsia" w:ascii="楷体" w:hAnsi="楷体" w:eastAsia="楷体" w:cs="楷体"/>
          <w:b/>
          <w:bCs/>
          <w:color w:val="auto"/>
          <w:kern w:val="0"/>
          <w:sz w:val="32"/>
          <w:szCs w:val="32"/>
          <w:highlight w:val="none"/>
          <w:shd w:val="clear" w:color="auto" w:fill="FFFFFF"/>
          <w:lang w:val="en-US" w:eastAsia="zh-CN"/>
        </w:rPr>
        <w:t>（二）过程管理</w:t>
      </w:r>
      <w:bookmarkEnd w:id="1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该指标主要考核部门</w:t>
      </w:r>
      <w:r>
        <w:rPr>
          <w:rFonts w:hint="eastAsia" w:ascii="仿宋" w:hAnsi="仿宋" w:eastAsia="仿宋" w:cs="仿宋"/>
          <w:color w:val="auto"/>
          <w:kern w:val="0"/>
          <w:sz w:val="32"/>
          <w:szCs w:val="32"/>
          <w:highlight w:val="none"/>
          <w:shd w:val="clear" w:color="auto" w:fill="FFFFFF"/>
          <w:lang w:val="en-US" w:eastAsia="zh-Hans"/>
        </w:rPr>
        <w:t>预算执行、预算管理和资产管理三方面内容</w:t>
      </w:r>
      <w:r>
        <w:rPr>
          <w:rFonts w:hint="eastAsia" w:ascii="仿宋" w:hAnsi="仿宋" w:eastAsia="仿宋" w:cs="仿宋"/>
          <w:color w:val="auto"/>
          <w:kern w:val="0"/>
          <w:sz w:val="32"/>
          <w:szCs w:val="32"/>
          <w:highlight w:val="none"/>
          <w:shd w:val="clear" w:color="auto" w:fill="FFFFFF"/>
          <w:lang w:val="en-US" w:eastAsia="zh-CN"/>
        </w:rPr>
        <w:t>，包括预算完成率、预算调整率、结转结余率、结转结余变动率、公用经费控制率、“三公经费”控制率、政府采购执行率、管理制度健全性、资金使用合规性、预算执行监控、预决算信息公开性、管理制度健全性、资产管理安全性、固定资产利用率等14个三级指标，指标权重30分，评价得分23.71分，得分率为79.03%。</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1.预算执行</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（1）预算完成率</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2020年度铜川市新区妇幼保健计划生育服务中心部门决算开资料内容和决算文件数据，2020年度部门年度财政资金决算数据为395.77万元，年度预算完成支出338.11万元。预算完成率为85.43%。结合部门整体支出绩效评价指标体系和评分标准，经综合评价，该项指标得分为1.71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default" w:ascii="仿宋" w:hAnsi="仿宋" w:eastAsia="仿宋" w:cs="仿宋"/>
          <w:color w:val="auto"/>
          <w:kern w:val="0"/>
          <w:sz w:val="32"/>
          <w:szCs w:val="32"/>
          <w:highlight w:val="none"/>
          <w:shd w:val="clear" w:color="auto" w:fill="FFFFFF"/>
          <w:lang w:eastAsia="zh-Hans"/>
        </w:rPr>
        <w:t>2</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预算调整率--2分。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2020年度铜川市新区妇幼保健计划生育服务中心部门决算开资料内容和决算文件数据，部门年初一般公共预算128.08万元，年度决算为267.38万元。预算调整资金139.3万元。年度部门决算数据为267.38万元。预算调整率为52.10%。结合新区妇幼保健计划生育服务中心部门整体支出绩效评价指标体系和评分标准，经综合评价，该项指标得分为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default" w:ascii="仿宋" w:hAnsi="仿宋" w:eastAsia="仿宋" w:cs="仿宋"/>
          <w:color w:val="auto"/>
          <w:kern w:val="0"/>
          <w:sz w:val="32"/>
          <w:szCs w:val="32"/>
          <w:highlight w:val="none"/>
          <w:shd w:val="clear" w:color="auto" w:fill="FFFFFF"/>
          <w:lang w:eastAsia="zh-Hans"/>
        </w:rPr>
        <w:t>3</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结转结余率--2分。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根据2020年度铜川市新区妇幼保健计划生育服务中心部门决算开资料内容和决算文件数据，2020年度部门结转结余资金为57.66万元，支出调整预算数为451.64万元。结转结余率为12.77%。</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w:t>
      </w:r>
      <w:r>
        <w:rPr>
          <w:rFonts w:hint="default" w:ascii="仿宋" w:hAnsi="仿宋" w:eastAsia="仿宋" w:cs="仿宋"/>
          <w:color w:val="auto"/>
          <w:kern w:val="0"/>
          <w:sz w:val="32"/>
          <w:szCs w:val="32"/>
          <w:highlight w:val="none"/>
          <w:shd w:val="clear" w:color="auto" w:fill="FFFFFF"/>
          <w:lang w:eastAsia="zh-Hans"/>
        </w:rPr>
        <w:t>4</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结转结余变动率--2分。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根据2020年度铜川市新区妇幼保健计划生育服务中心部门决算开资料内容和决算文件数据，2019年度，部门结转结余为79.62万元，2020年度部门结转结余资金为57.66万元，结转结余变动率为-27.58%。</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eastAsia="zh-CN"/>
        </w:rPr>
        <w:t>5</w:t>
      </w:r>
      <w:r>
        <w:rPr>
          <w:rFonts w:hint="eastAsia" w:ascii="仿宋" w:hAnsi="仿宋" w:eastAsia="仿宋" w:cs="仿宋"/>
          <w:color w:val="auto"/>
          <w:kern w:val="0"/>
          <w:sz w:val="32"/>
          <w:szCs w:val="32"/>
          <w:highlight w:val="none"/>
          <w:shd w:val="clear" w:color="auto" w:fill="FFFFFF"/>
          <w:lang w:val="en-US" w:eastAsia="zh-CN"/>
        </w:rPr>
        <w:t>）公用经费控制率--2分。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根据铜川市新区财政局《关于下达2020年部门预算的通知》（铜新财预</w:t>
      </w:r>
      <w:r>
        <w:rPr>
          <w:rFonts w:hint="eastAsia" w:ascii="仿宋" w:hAnsi="仿宋" w:eastAsia="仿宋" w:cs="仿宋"/>
          <w:color w:val="auto"/>
          <w:kern w:val="0"/>
          <w:sz w:val="32"/>
          <w:szCs w:val="32"/>
          <w:highlight w:val="none"/>
          <w:shd w:val="clear" w:color="auto" w:fill="FFFFFF"/>
          <w:lang w:val="en-US" w:eastAsia="zh-Hans"/>
        </w:rPr>
        <w:t>〔20</w:t>
      </w:r>
      <w:r>
        <w:rPr>
          <w:rFonts w:hint="eastAsia" w:ascii="仿宋" w:hAnsi="仿宋" w:eastAsia="仿宋" w:cs="仿宋"/>
          <w:color w:val="auto"/>
          <w:kern w:val="0"/>
          <w:sz w:val="32"/>
          <w:szCs w:val="32"/>
          <w:highlight w:val="none"/>
          <w:shd w:val="clear" w:color="auto" w:fill="FFFFFF"/>
          <w:lang w:val="en-US" w:eastAsia="zh-CN"/>
        </w:rPr>
        <w:t>20</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3号）和2020年度新区妇幼保健计划生育服务中心部门决算公开文件内容，2020年度部门公用经费年初预算安排10.6万元，年度决算实际支出9.94万元。公用经费控制率为93.77%。公用经费年度支出有效控制。结合部门整体支出绩效评价指标体系和评分标准，经综合评价，该项指标得分为2分。</w:t>
      </w:r>
    </w:p>
    <w:p>
      <w:pPr>
        <w:pStyle w:val="2"/>
        <w:numPr>
          <w:ilvl w:val="0"/>
          <w:numId w:val="0"/>
        </w:numPr>
        <w:ind w:firstLine="640" w:firstLineChars="200"/>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（6）“三公经费”控制率--2分。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Hans" w:bidi="ar-SA"/>
        </w:rPr>
        <w:t>根据2020年度铜川市新区妇幼保健计划生育服务中心部门决算开资料内容和决算文件数据，2020 年度“三公”经费预算安排资金2.5万元，年度财政支出决算为2.5万元，其中：因公出国（境）费支出决算 0.00 万元，占 0.00%；公务用车购置费支出0.00 万元，占 0.00%；公务用车运行维护费支出决算 2.50 万元，占100%；公务接待费支出决算 0.00 万元，占 0.00%。</w:t>
      </w: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结合部门整体支出绩效评价指标体系和评分标准，经综合评价，该项指标得分为2分。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（7）政府采购执行率--2分。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根据铜川市新区妇幼保健计划生育服务中心部门资料和现场座谈内容，年度部门未安排政府采购计划，相关采购内容为项目专项采购。年度未出现超预算采购。</w:t>
      </w:r>
      <w:r>
        <w:rPr>
          <w:rFonts w:hint="eastAsia" w:ascii="仿宋" w:hAnsi="仿宋" w:eastAsia="仿宋" w:cs="仿宋"/>
          <w:color w:val="auto"/>
          <w:kern w:val="0"/>
          <w:sz w:val="32"/>
          <w:szCs w:val="32"/>
          <w:highlight w:val="none"/>
          <w:shd w:val="clear" w:color="auto" w:fill="FFFFFF"/>
          <w:lang w:val="en-US" w:eastAsia="zh-CN" w:bidi="ar-SA"/>
        </w:rPr>
        <w:t>结合部门整体支出绩效评价指标体系和评分标准，经综合评价，该项指标得分为2分。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2.预算管理</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（1）管理制度健全性</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根据部门相关资料和现场座谈内容，部门年度财务管理由第三方代理记账公司代为管理，部门内部未设置相应的财务管理机构和财务人员。相关财务制度沿袭新区财政局制度执行。结合部门整体支出绩效评价指标体系和评分标准，经综合评价，该项指标得分为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资金使用合规性</w:t>
      </w:r>
      <w:r>
        <w:rPr>
          <w:rFonts w:hint="eastAsia" w:ascii="仿宋" w:hAnsi="仿宋" w:eastAsia="仿宋" w:cs="仿宋"/>
          <w:color w:val="auto"/>
          <w:kern w:val="0"/>
          <w:sz w:val="32"/>
          <w:szCs w:val="32"/>
          <w:highlight w:val="none"/>
          <w:shd w:val="clear" w:color="auto" w:fill="FFFFFF"/>
          <w:lang w:val="en-US" w:eastAsia="zh-CN"/>
        </w:rPr>
        <w:t>--2.5分。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根据铜川市新区财政局《关于下达2020年部门预算的通知》（铜新财预〔2020〕3号）、铜川市新区妇幼保健计划生育服务中心财政授权支付凭证、铜川市新区免费产前筛查和新生儿疾病筛查项目补助资金拨付表和铜川市新区免费产前筛查和新生儿疾病筛查项目补助资金汇总表等相关财务资料，部门2020年度财政资金使用审批程序和手续完整，不存在截留、挤占、挪用、虚列支出等违规情况。结合部门整体支出绩效评价指标体系和评分标准，经综合评价，该项指标得分为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（3）预算执行监控--2分。</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根据铜川市新区妇幼保健计划生育服务中心部门相关资料和现场座谈内容，部门可通过财政云系统中预算执行综合查询表观测年度预算指标执行情况，但部门未建立有效的预算执行监控制度，对于出现预算执行偏差较大的项目未制定有效的纠偏措施。结合部门整体支出绩效评价指标体系和评分标准，经综合评价，该项指标得分1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（4）</w:t>
      </w:r>
      <w:r>
        <w:rPr>
          <w:rFonts w:hint="eastAsia" w:ascii="仿宋" w:hAnsi="仿宋" w:eastAsia="仿宋" w:cs="仿宋"/>
          <w:color w:val="auto"/>
          <w:kern w:val="0"/>
          <w:sz w:val="32"/>
          <w:szCs w:val="32"/>
          <w:highlight w:val="none"/>
          <w:shd w:val="clear" w:color="auto" w:fill="FFFFFF"/>
          <w:lang w:val="en-US" w:eastAsia="zh-Hans"/>
        </w:rPr>
        <w:t>预决算信息公开性</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lang w:val="en-US" w:eastAsia="zh-Hans"/>
        </w:rPr>
      </w:pPr>
      <w:r>
        <w:rPr>
          <w:rFonts w:hint="eastAsia" w:ascii="仿宋" w:hAnsi="仿宋" w:eastAsia="仿宋" w:cs="仿宋"/>
          <w:color w:val="auto"/>
          <w:kern w:val="0"/>
          <w:sz w:val="32"/>
          <w:szCs w:val="32"/>
          <w:highlight w:val="none"/>
          <w:shd w:val="clear" w:color="auto" w:fill="FFFFFF"/>
          <w:lang w:val="en-US" w:eastAsia="zh-CN"/>
        </w:rPr>
        <w:t>根据铜川市新区管委会官网政务公开资料内容，2020年3月20日，新区妇幼保健计划生育服务中心部门综合预算文件予以公开。2021年11月12日，2020年度部门决算文件予以公开。结合部门整体支出绩效评价指标体系和评分标准，经综合评价，该项指标得分为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Hans"/>
        </w:rPr>
        <w:t>3.资产管理</w:t>
      </w:r>
      <w:r>
        <w:rPr>
          <w:rFonts w:hint="eastAsia" w:ascii="仿宋" w:hAnsi="仿宋" w:eastAsia="仿宋" w:cs="仿宋"/>
          <w:b/>
          <w:bCs/>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（1）管理制度健全性</w:t>
      </w:r>
      <w:r>
        <w:rPr>
          <w:rFonts w:hint="eastAsia" w:ascii="仿宋" w:hAnsi="仿宋" w:eastAsia="仿宋" w:cs="仿宋"/>
          <w:color w:val="auto"/>
          <w:kern w:val="0"/>
          <w:sz w:val="32"/>
          <w:szCs w:val="32"/>
          <w:highlight w:val="none"/>
          <w:shd w:val="clear" w:color="auto" w:fill="FFFFFF"/>
          <w:lang w:val="en-US" w:eastAsia="zh-CN"/>
        </w:rPr>
        <w:t>--3分。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根据新区妇幼保健计划生育服务中心相关资料和现场座谈内容，部门此前具有完整的资产管理制度文件，并按照制度文件有效执行。后因部门办公地点搬迁和相关人员变动，导致资产管理制度文件丢失，但目前仍按照此前管理制度有效执行，确保部门资产管理安全。</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w:t>
      </w:r>
      <w:r>
        <w:rPr>
          <w:rFonts w:hint="eastAsia" w:ascii="仿宋" w:hAnsi="仿宋" w:eastAsia="仿宋" w:cs="仿宋"/>
          <w:color w:val="auto"/>
          <w:kern w:val="0"/>
          <w:sz w:val="32"/>
          <w:szCs w:val="32"/>
          <w:highlight w:val="none"/>
          <w:shd w:val="clear" w:color="auto" w:fill="FFFFFF"/>
          <w:lang w:val="en-US" w:eastAsia="zh-Hans"/>
        </w:rPr>
        <w:t>资产管理</w:t>
      </w:r>
      <w:r>
        <w:rPr>
          <w:rFonts w:hint="eastAsia" w:ascii="仿宋" w:hAnsi="仿宋" w:eastAsia="仿宋" w:cs="仿宋"/>
          <w:color w:val="auto"/>
          <w:kern w:val="0"/>
          <w:sz w:val="32"/>
          <w:szCs w:val="32"/>
          <w:highlight w:val="none"/>
          <w:shd w:val="clear" w:color="auto" w:fill="FFFFFF"/>
          <w:lang w:val="en-US" w:eastAsia="zh-CN"/>
        </w:rPr>
        <w:t>安全</w:t>
      </w:r>
      <w:r>
        <w:rPr>
          <w:rFonts w:hint="eastAsia" w:ascii="仿宋" w:hAnsi="仿宋" w:eastAsia="仿宋" w:cs="仿宋"/>
          <w:color w:val="auto"/>
          <w:kern w:val="0"/>
          <w:sz w:val="32"/>
          <w:szCs w:val="32"/>
          <w:highlight w:val="none"/>
          <w:shd w:val="clear" w:color="auto" w:fill="FFFFFF"/>
          <w:lang w:val="en-US" w:eastAsia="zh-Hans"/>
        </w:rPr>
        <w:t>性</w:t>
      </w:r>
      <w:r>
        <w:rPr>
          <w:rFonts w:hint="eastAsia" w:ascii="仿宋" w:hAnsi="仿宋" w:eastAsia="仿宋" w:cs="仿宋"/>
          <w:color w:val="auto"/>
          <w:kern w:val="0"/>
          <w:sz w:val="32"/>
          <w:szCs w:val="32"/>
          <w:highlight w:val="none"/>
          <w:shd w:val="clear" w:color="auto" w:fill="FFFFFF"/>
          <w:lang w:val="en-US" w:eastAsia="zh-CN"/>
        </w:rPr>
        <w:t>--2.5分。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w:t>
      </w:r>
      <w:r>
        <w:rPr>
          <w:rFonts w:hint="eastAsia" w:ascii="仿宋" w:hAnsi="仿宋" w:eastAsia="仿宋" w:cs="仿宋"/>
          <w:color w:val="auto"/>
          <w:kern w:val="0"/>
          <w:sz w:val="32"/>
          <w:szCs w:val="32"/>
          <w:highlight w:val="none"/>
          <w:shd w:val="clear" w:color="auto" w:fill="FFFFFF"/>
          <w:lang w:val="en-US" w:eastAsia="zh-CN"/>
        </w:rPr>
        <w:t>市</w:t>
      </w:r>
      <w:r>
        <w:rPr>
          <w:rFonts w:hint="eastAsia" w:ascii="仿宋" w:hAnsi="仿宋" w:eastAsia="仿宋" w:cs="仿宋"/>
          <w:color w:val="auto"/>
          <w:kern w:val="0"/>
          <w:sz w:val="32"/>
          <w:szCs w:val="32"/>
          <w:highlight w:val="none"/>
          <w:shd w:val="clear" w:color="auto" w:fill="FFFFFF"/>
          <w:lang w:val="en-US" w:eastAsia="zh-Hans"/>
        </w:rPr>
        <w:t>新区</w:t>
      </w:r>
      <w:r>
        <w:rPr>
          <w:rFonts w:hint="eastAsia" w:ascii="仿宋" w:hAnsi="仿宋" w:eastAsia="仿宋" w:cs="仿宋"/>
          <w:color w:val="auto"/>
          <w:kern w:val="0"/>
          <w:sz w:val="32"/>
          <w:szCs w:val="32"/>
          <w:highlight w:val="none"/>
          <w:shd w:val="clear" w:color="auto" w:fill="FFFFFF"/>
          <w:lang w:val="en-US" w:eastAsia="zh-CN"/>
        </w:rPr>
        <w:t>妇幼保健计划生育服务中心</w:t>
      </w:r>
      <w:r>
        <w:rPr>
          <w:rFonts w:hint="eastAsia" w:ascii="仿宋" w:hAnsi="仿宋" w:eastAsia="仿宋" w:cs="仿宋"/>
          <w:color w:val="auto"/>
          <w:kern w:val="0"/>
          <w:sz w:val="32"/>
          <w:szCs w:val="32"/>
          <w:highlight w:val="none"/>
          <w:shd w:val="clear" w:color="auto" w:fill="FFFFFF"/>
          <w:lang w:val="en-US" w:eastAsia="zh-Hans"/>
        </w:rPr>
        <w:t>部门固定资产明细表内容等文件，各项资产</w:t>
      </w:r>
      <w:r>
        <w:rPr>
          <w:rFonts w:hint="eastAsia" w:ascii="仿宋" w:hAnsi="仿宋" w:eastAsia="仿宋" w:cs="仿宋"/>
          <w:color w:val="auto"/>
          <w:kern w:val="0"/>
          <w:sz w:val="32"/>
          <w:szCs w:val="32"/>
          <w:highlight w:val="none"/>
          <w:shd w:val="clear" w:color="auto" w:fill="FFFFFF"/>
          <w:lang w:val="en-US" w:eastAsia="zh-CN"/>
        </w:rPr>
        <w:t>全部入账</w:t>
      </w:r>
      <w:r>
        <w:rPr>
          <w:rFonts w:hint="eastAsia" w:ascii="仿宋" w:hAnsi="仿宋" w:eastAsia="仿宋" w:cs="仿宋"/>
          <w:color w:val="auto"/>
          <w:kern w:val="0"/>
          <w:sz w:val="32"/>
          <w:szCs w:val="32"/>
          <w:highlight w:val="none"/>
          <w:shd w:val="clear" w:color="auto" w:fill="FFFFFF"/>
          <w:lang w:val="en-US" w:eastAsia="zh-Hans"/>
        </w:rPr>
        <w:t>，并根据资产国标大类进行分类</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Hans"/>
        </w:rPr>
        <w:t>形成了对应的资产编号便于核对和管理。资产保存完整。多为</w:t>
      </w:r>
      <w:r>
        <w:rPr>
          <w:rFonts w:hint="eastAsia" w:ascii="仿宋" w:hAnsi="仿宋" w:eastAsia="仿宋" w:cs="仿宋"/>
          <w:color w:val="auto"/>
          <w:kern w:val="0"/>
          <w:sz w:val="32"/>
          <w:szCs w:val="32"/>
          <w:highlight w:val="none"/>
          <w:shd w:val="clear" w:color="auto" w:fill="FFFFFF"/>
          <w:lang w:val="en-US" w:eastAsia="zh-CN"/>
        </w:rPr>
        <w:t>通用设备、家具、用具、装具和专用设备等资产</w:t>
      </w:r>
      <w:r>
        <w:rPr>
          <w:rFonts w:hint="eastAsia" w:ascii="仿宋" w:hAnsi="仿宋" w:eastAsia="仿宋" w:cs="仿宋"/>
          <w:color w:val="auto"/>
          <w:kern w:val="0"/>
          <w:sz w:val="32"/>
          <w:szCs w:val="32"/>
          <w:highlight w:val="none"/>
          <w:shd w:val="clear" w:color="auto" w:fill="FFFFFF"/>
          <w:lang w:val="en-US" w:eastAsia="zh-Hans"/>
        </w:rPr>
        <w:t>，资产配置合理</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w:t>
      </w:r>
      <w:r>
        <w:rPr>
          <w:rFonts w:hint="eastAsia" w:ascii="仿宋" w:hAnsi="仿宋" w:eastAsia="仿宋" w:cs="仿宋"/>
          <w:color w:val="auto"/>
          <w:kern w:val="0"/>
          <w:sz w:val="32"/>
          <w:szCs w:val="32"/>
          <w:highlight w:val="none"/>
          <w:shd w:val="clear" w:color="auto" w:fill="FFFFFF"/>
          <w:lang w:val="en-US" w:eastAsia="zh-Hans"/>
        </w:rPr>
        <w:t>固定资产利用率</w:t>
      </w:r>
      <w:r>
        <w:rPr>
          <w:rFonts w:hint="eastAsia" w:ascii="仿宋" w:hAnsi="仿宋" w:eastAsia="仿宋" w:cs="仿宋"/>
          <w:color w:val="auto"/>
          <w:kern w:val="0"/>
          <w:sz w:val="32"/>
          <w:szCs w:val="32"/>
          <w:highlight w:val="none"/>
          <w:shd w:val="clear" w:color="auto" w:fill="FFFFFF"/>
          <w:lang w:val="en-US" w:eastAsia="zh-CN"/>
        </w:rPr>
        <w:t>--2分。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w:t>
      </w:r>
      <w:r>
        <w:rPr>
          <w:rFonts w:hint="eastAsia" w:ascii="仿宋" w:hAnsi="仿宋" w:eastAsia="仿宋" w:cs="仿宋"/>
          <w:color w:val="auto"/>
          <w:kern w:val="0"/>
          <w:sz w:val="32"/>
          <w:szCs w:val="32"/>
          <w:highlight w:val="none"/>
          <w:shd w:val="clear" w:color="auto" w:fill="FFFFFF"/>
          <w:lang w:val="en-US" w:eastAsia="zh-CN"/>
        </w:rPr>
        <w:t>新区妇幼保健计划生育服务中心</w:t>
      </w:r>
      <w:r>
        <w:rPr>
          <w:rFonts w:hint="eastAsia" w:ascii="仿宋" w:hAnsi="仿宋" w:eastAsia="仿宋" w:cs="仿宋"/>
          <w:color w:val="auto"/>
          <w:kern w:val="0"/>
          <w:sz w:val="32"/>
          <w:szCs w:val="32"/>
          <w:highlight w:val="none"/>
          <w:shd w:val="clear" w:color="auto" w:fill="FFFFFF"/>
          <w:lang w:val="en-US" w:eastAsia="zh-Hans"/>
        </w:rPr>
        <w:t>固定资产管理系统中资产明细表内容，所有固定资产目前使用状况均为在用，固定资产的使用率为100%</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，结合部门整体支出绩效评价指标体系和评分标准，经综合评价，该项指标得分为2分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9" w:name="_Toc21840"/>
      <w:r>
        <w:rPr>
          <w:rFonts w:hint="eastAsia" w:ascii="楷体" w:hAnsi="楷体" w:eastAsia="楷体" w:cs="楷体"/>
          <w:b/>
          <w:bCs/>
          <w:color w:val="auto"/>
          <w:kern w:val="0"/>
          <w:sz w:val="32"/>
          <w:szCs w:val="32"/>
          <w:highlight w:val="none"/>
          <w:shd w:val="clear" w:color="auto" w:fill="FFFFFF"/>
          <w:lang w:val="en-US" w:eastAsia="zh-CN"/>
        </w:rPr>
        <w:t>（三）产出方面</w:t>
      </w:r>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新区妇幼保健计划生育服务中心2020年度职责履行的内容，包括重点工作办结率、重点工作完成及时率、重点工作质量达标率、成本节约率等4个三级指标，指标权重32分，评价得分28分，得分率为87.50%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1.重点工作办结</w:t>
      </w:r>
      <w:r>
        <w:rPr>
          <w:rFonts w:hint="eastAsia" w:ascii="仿宋" w:hAnsi="仿宋" w:eastAsia="仿宋" w:cs="仿宋"/>
          <w:color w:val="auto"/>
          <w:kern w:val="0"/>
          <w:sz w:val="32"/>
          <w:szCs w:val="32"/>
          <w:highlight w:val="none"/>
          <w:shd w:val="clear" w:color="auto" w:fill="FFFFFF"/>
          <w:lang w:val="en-US" w:eastAsia="zh-Hans"/>
        </w:rPr>
        <w:t>率</w:t>
      </w:r>
      <w:r>
        <w:rPr>
          <w:rFonts w:hint="eastAsia" w:ascii="仿宋" w:hAnsi="仿宋" w:eastAsia="仿宋" w:cs="仿宋"/>
          <w:color w:val="auto"/>
          <w:kern w:val="0"/>
          <w:sz w:val="32"/>
          <w:szCs w:val="32"/>
          <w:highlight w:val="none"/>
          <w:shd w:val="clear" w:color="auto" w:fill="FFFFFF"/>
          <w:lang w:val="en-US" w:eastAsia="zh-CN"/>
        </w:rPr>
        <w:t>--8分。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根据铜川新区</w:t>
      </w:r>
      <w:r>
        <w:rPr>
          <w:rFonts w:hint="eastAsia" w:ascii="仿宋" w:hAnsi="仿宋" w:eastAsia="仿宋" w:cs="仿宋"/>
          <w:color w:val="auto"/>
          <w:kern w:val="0"/>
          <w:sz w:val="32"/>
          <w:szCs w:val="32"/>
          <w:highlight w:val="none"/>
          <w:shd w:val="clear" w:color="auto" w:fill="FFFFFF"/>
          <w:lang w:val="en-US" w:eastAsia="zh-CN"/>
        </w:rPr>
        <w:t>保健计划生育服务中心</w:t>
      </w:r>
      <w:r>
        <w:rPr>
          <w:rFonts w:hint="eastAsia" w:ascii="仿宋" w:hAnsi="仿宋" w:eastAsia="仿宋" w:cs="仿宋"/>
          <w:color w:val="auto"/>
          <w:kern w:val="0"/>
          <w:sz w:val="32"/>
          <w:szCs w:val="32"/>
          <w:highlight w:val="none"/>
          <w:shd w:val="clear" w:color="auto" w:fill="FFFFFF"/>
          <w:lang w:val="en-US" w:eastAsia="zh-Hans"/>
        </w:rPr>
        <w:t>2020年度部门综合预算、铜川市新区财政局《关于下达2020年部门预算的通知》（铜新财预〔20</w:t>
      </w:r>
      <w:r>
        <w:rPr>
          <w:rFonts w:hint="eastAsia" w:ascii="仿宋" w:hAnsi="仿宋" w:eastAsia="仿宋" w:cs="仿宋"/>
          <w:color w:val="auto"/>
          <w:kern w:val="0"/>
          <w:sz w:val="32"/>
          <w:szCs w:val="32"/>
          <w:highlight w:val="none"/>
          <w:shd w:val="clear" w:color="auto" w:fill="FFFFFF"/>
          <w:lang w:val="en-US" w:eastAsia="zh-CN"/>
        </w:rPr>
        <w:t>20</w:t>
      </w:r>
      <w:r>
        <w:rPr>
          <w:rFonts w:hint="eastAsia" w:ascii="仿宋" w:hAnsi="仿宋" w:eastAsia="仿宋" w:cs="仿宋"/>
          <w:color w:val="auto"/>
          <w:kern w:val="0"/>
          <w:sz w:val="32"/>
          <w:szCs w:val="32"/>
          <w:highlight w:val="none"/>
          <w:shd w:val="clear" w:color="auto" w:fill="FFFFFF"/>
          <w:lang w:val="en-US" w:eastAsia="zh-Hans"/>
        </w:rPr>
        <w:t>〕3号）及2020年度部门决算文件内容，结合铜川市新区妇幼保健计划生育服务中心《呈报2020年部门整体绩效自评汇报及2020年项目绩效自评报告》（铜新妇计发〔20</w:t>
      </w:r>
      <w:r>
        <w:rPr>
          <w:rFonts w:hint="eastAsia" w:ascii="仿宋" w:hAnsi="仿宋" w:eastAsia="仿宋" w:cs="仿宋"/>
          <w:color w:val="auto"/>
          <w:kern w:val="0"/>
          <w:sz w:val="32"/>
          <w:szCs w:val="32"/>
          <w:highlight w:val="none"/>
          <w:shd w:val="clear" w:color="auto" w:fill="FFFFFF"/>
          <w:lang w:val="en-US" w:eastAsia="zh-CN"/>
        </w:rPr>
        <w:t>21</w:t>
      </w:r>
      <w:r>
        <w:rPr>
          <w:rFonts w:hint="eastAsia" w:ascii="仿宋" w:hAnsi="仿宋" w:eastAsia="仿宋" w:cs="仿宋"/>
          <w:color w:val="auto"/>
          <w:kern w:val="0"/>
          <w:sz w:val="32"/>
          <w:szCs w:val="32"/>
          <w:highlight w:val="none"/>
          <w:shd w:val="clear" w:color="auto" w:fill="FFFFFF"/>
          <w:lang w:val="en-US" w:eastAsia="zh-Hans"/>
        </w:rPr>
        <w:t>〕14号）文件和现场座谈内容，结合部门年度工作计划，2020年度部门重点工作安排包括免费婚前医学检查、妇计专项工作、疫情防治专项工作和免费产前、新生儿疾病筛查等4项内容，根据绩效自评文件内容和相关资料，年度完成婚前医学检查男260人，女273人，合计533人。完成保障3名妇计专项工作人员薪资待遇。完成疫情防控相关物资购买和资料印刷工作。根据2020年度铜川新区免费产前筛查和新生儿疾病筛查项目补助资助金拨付表和资金汇总表，年度完成该专项检查2544人。四项工作年度全部实现完成。</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结合部门整体支出绩效评价指标体系和评分标准，经综合评价，该项指标得分为8分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20" w:name="_Toc1802972864_WPSOffice_Level2"/>
      <w:bookmarkStart w:id="21" w:name="_Toc1854215658_WPSOffice_Level2"/>
      <w:r>
        <w:rPr>
          <w:rFonts w:hint="eastAsia" w:ascii="仿宋" w:hAnsi="仿宋" w:eastAsia="仿宋" w:cs="仿宋"/>
          <w:color w:val="auto"/>
          <w:kern w:val="0"/>
          <w:sz w:val="32"/>
          <w:szCs w:val="32"/>
          <w:highlight w:val="none"/>
          <w:shd w:val="clear" w:color="auto" w:fill="FFFFFF"/>
          <w:lang w:val="en-US" w:eastAsia="zh-CN"/>
        </w:rPr>
        <w:t>2.重点工作</w:t>
      </w:r>
      <w:r>
        <w:rPr>
          <w:rFonts w:hint="eastAsia" w:ascii="仿宋" w:hAnsi="仿宋" w:eastAsia="仿宋" w:cs="仿宋"/>
          <w:color w:val="auto"/>
          <w:kern w:val="0"/>
          <w:sz w:val="32"/>
          <w:szCs w:val="32"/>
          <w:highlight w:val="none"/>
          <w:shd w:val="clear" w:color="auto" w:fill="FFFFFF"/>
          <w:lang w:val="en-US" w:eastAsia="zh-Hans"/>
        </w:rPr>
        <w:t>完成及时率</w:t>
      </w:r>
      <w:bookmarkEnd w:id="20"/>
      <w:bookmarkEnd w:id="21"/>
      <w:r>
        <w:rPr>
          <w:rFonts w:hint="eastAsia" w:ascii="仿宋" w:hAnsi="仿宋" w:eastAsia="仿宋" w:cs="仿宋"/>
          <w:color w:val="auto"/>
          <w:kern w:val="0"/>
          <w:sz w:val="32"/>
          <w:szCs w:val="32"/>
          <w:highlight w:val="none"/>
          <w:shd w:val="clear" w:color="auto" w:fill="FFFFFF"/>
          <w:lang w:val="en-US" w:eastAsia="zh-CN"/>
        </w:rPr>
        <w:t>--8分。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根据铜川市新区妇幼保健计划生育服务中心《呈报2020年部门整体绩效自评汇报及2020年项目绩效自评报告》（铜新妇计发</w:t>
      </w:r>
      <w:r>
        <w:rPr>
          <w:rFonts w:hint="eastAsia" w:ascii="仿宋" w:hAnsi="仿宋" w:eastAsia="仿宋" w:cs="仿宋"/>
          <w:color w:val="auto"/>
          <w:kern w:val="0"/>
          <w:sz w:val="32"/>
          <w:szCs w:val="32"/>
          <w:highlight w:val="none"/>
          <w:shd w:val="clear" w:color="auto" w:fill="FFFFFF"/>
          <w:lang w:val="en-US" w:eastAsia="zh-Hans"/>
        </w:rPr>
        <w:t>〔20</w:t>
      </w:r>
      <w:r>
        <w:rPr>
          <w:rFonts w:hint="eastAsia" w:ascii="仿宋" w:hAnsi="仿宋" w:eastAsia="仿宋" w:cs="仿宋"/>
          <w:color w:val="auto"/>
          <w:kern w:val="0"/>
          <w:sz w:val="32"/>
          <w:szCs w:val="32"/>
          <w:highlight w:val="none"/>
          <w:shd w:val="clear" w:color="auto" w:fill="FFFFFF"/>
          <w:lang w:val="en-US" w:eastAsia="zh-CN"/>
        </w:rPr>
        <w:t>21</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14号）文件和现场座谈内容，免费婚前医学检查、妇计专项工作、疫情防治专项工作和免费产前、新生儿疾病筛查等4项工作年度全部在2020年内实现完成。结合部门整体支出绩效评价指标体系和评分标准，经综合评价，该项指标得分为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22" w:name="_Toc1570666078_WPSOffice_Level2"/>
      <w:bookmarkStart w:id="23" w:name="_Toc1667362389_WPSOffice_Level2"/>
      <w:r>
        <w:rPr>
          <w:rFonts w:hint="eastAsia" w:ascii="仿宋" w:hAnsi="仿宋" w:eastAsia="仿宋" w:cs="仿宋"/>
          <w:color w:val="auto"/>
          <w:kern w:val="0"/>
          <w:sz w:val="32"/>
          <w:szCs w:val="32"/>
          <w:highlight w:val="none"/>
          <w:shd w:val="clear" w:color="auto" w:fill="FFFFFF"/>
          <w:lang w:val="en-US" w:eastAsia="zh-CN"/>
        </w:rPr>
        <w:t>3.重点工作</w:t>
      </w:r>
      <w:r>
        <w:rPr>
          <w:rFonts w:hint="eastAsia" w:ascii="仿宋" w:hAnsi="仿宋" w:eastAsia="仿宋" w:cs="仿宋"/>
          <w:color w:val="auto"/>
          <w:kern w:val="0"/>
          <w:sz w:val="32"/>
          <w:szCs w:val="32"/>
          <w:highlight w:val="none"/>
          <w:shd w:val="clear" w:color="auto" w:fill="FFFFFF"/>
          <w:lang w:val="en-US" w:eastAsia="zh-Hans"/>
        </w:rPr>
        <w:t>质量达标率</w:t>
      </w:r>
      <w:bookmarkEnd w:id="22"/>
      <w:bookmarkEnd w:id="23"/>
      <w:r>
        <w:rPr>
          <w:rFonts w:hint="eastAsia" w:ascii="仿宋" w:hAnsi="仿宋" w:eastAsia="仿宋" w:cs="仿宋"/>
          <w:color w:val="auto"/>
          <w:kern w:val="0"/>
          <w:sz w:val="32"/>
          <w:szCs w:val="32"/>
          <w:highlight w:val="none"/>
          <w:shd w:val="clear" w:color="auto" w:fill="FFFFFF"/>
          <w:lang w:val="en-US" w:eastAsia="zh-CN"/>
        </w:rPr>
        <w:t>--8分。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根据铜川市新区妇幼保健计划生育服务中心《呈报2020年部门整体绩效自评汇报及2020年项目绩效自评报告》（铜新妇计发</w:t>
      </w:r>
      <w:r>
        <w:rPr>
          <w:rFonts w:hint="eastAsia" w:ascii="仿宋" w:hAnsi="仿宋" w:eastAsia="仿宋" w:cs="仿宋"/>
          <w:color w:val="auto"/>
          <w:kern w:val="0"/>
          <w:sz w:val="32"/>
          <w:szCs w:val="32"/>
          <w:highlight w:val="none"/>
          <w:shd w:val="clear" w:color="auto" w:fill="FFFFFF"/>
          <w:lang w:val="en-US" w:eastAsia="zh-Hans"/>
        </w:rPr>
        <w:t>〔20</w:t>
      </w:r>
      <w:r>
        <w:rPr>
          <w:rFonts w:hint="eastAsia" w:ascii="仿宋" w:hAnsi="仿宋" w:eastAsia="仿宋" w:cs="仿宋"/>
          <w:color w:val="auto"/>
          <w:kern w:val="0"/>
          <w:sz w:val="32"/>
          <w:szCs w:val="32"/>
          <w:highlight w:val="none"/>
          <w:shd w:val="clear" w:color="auto" w:fill="FFFFFF"/>
          <w:lang w:val="en-US" w:eastAsia="zh-CN"/>
        </w:rPr>
        <w:t>21</w:t>
      </w:r>
      <w:r>
        <w:rPr>
          <w:rFonts w:hint="eastAsia" w:ascii="仿宋" w:hAnsi="仿宋" w:eastAsia="仿宋" w:cs="仿宋"/>
          <w:color w:val="auto"/>
          <w:kern w:val="0"/>
          <w:sz w:val="32"/>
          <w:szCs w:val="32"/>
          <w:highlight w:val="none"/>
          <w:shd w:val="clear" w:color="auto" w:fill="FFFFFF"/>
          <w:lang w:val="en-US" w:eastAsia="zh-Hans"/>
        </w:rPr>
        <w:t>〕</w:t>
      </w:r>
      <w:r>
        <w:rPr>
          <w:rFonts w:hint="eastAsia" w:ascii="仿宋" w:hAnsi="仿宋" w:eastAsia="仿宋" w:cs="仿宋"/>
          <w:color w:val="auto"/>
          <w:kern w:val="0"/>
          <w:sz w:val="32"/>
          <w:szCs w:val="32"/>
          <w:highlight w:val="none"/>
          <w:shd w:val="clear" w:color="auto" w:fill="FFFFFF"/>
          <w:lang w:val="en-US" w:eastAsia="zh-CN"/>
        </w:rPr>
        <w:t>14号）文件和现场座谈内容，免费婚前医学检查工作年初计划完成300对，受疫情影响，年度实际完成266.5对检查。完成率88.83%。未有效达到年度绩效目标要求。部门妇计专项工作年初计划保障外聘工作人员工资待遇12万元，年内有效完成。疫情防治专项工作年度全部完成年初目标要求。免费产前、新生儿疾病筛查工作，未设定年初绩效目标，难以判断工作完成质量情况。因此年度可确定达标完成2项重点工作。结合部门整体支出绩效评价指标体系和评分标准，经综合评价，该项指标得分为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bookmarkStart w:id="24" w:name="_Toc1464939341_WPSOffice_Level2"/>
      <w:bookmarkStart w:id="25" w:name="_Toc1742944595_WPSOffice_Level2"/>
      <w:r>
        <w:rPr>
          <w:rFonts w:hint="eastAsia" w:ascii="仿宋" w:hAnsi="仿宋" w:eastAsia="仿宋" w:cs="仿宋"/>
          <w:color w:val="auto"/>
          <w:kern w:val="0"/>
          <w:sz w:val="32"/>
          <w:szCs w:val="32"/>
          <w:highlight w:val="none"/>
          <w:shd w:val="clear" w:color="auto" w:fill="FFFFFF"/>
          <w:lang w:val="en-US" w:eastAsia="zh-CN"/>
        </w:rPr>
        <w:t>4.成本节约</w:t>
      </w:r>
      <w:r>
        <w:rPr>
          <w:rFonts w:hint="eastAsia" w:ascii="仿宋" w:hAnsi="仿宋" w:eastAsia="仿宋" w:cs="仿宋"/>
          <w:color w:val="auto"/>
          <w:kern w:val="0"/>
          <w:sz w:val="32"/>
          <w:szCs w:val="32"/>
          <w:highlight w:val="none"/>
          <w:shd w:val="clear" w:color="auto" w:fill="FFFFFF"/>
          <w:lang w:val="en-US" w:eastAsia="zh-Hans"/>
        </w:rPr>
        <w:t>率</w:t>
      </w:r>
      <w:bookmarkEnd w:id="24"/>
      <w:bookmarkEnd w:id="25"/>
      <w:r>
        <w:rPr>
          <w:rFonts w:hint="eastAsia" w:ascii="仿宋" w:hAnsi="仿宋" w:eastAsia="仿宋" w:cs="仿宋"/>
          <w:color w:val="auto"/>
          <w:kern w:val="0"/>
          <w:sz w:val="32"/>
          <w:szCs w:val="32"/>
          <w:highlight w:val="none"/>
          <w:shd w:val="clear" w:color="auto" w:fill="FFFFFF"/>
          <w:lang w:val="en-US" w:eastAsia="zh-CN"/>
        </w:rPr>
        <w:t>--8分。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根据铜川市新区妇幼保健计划生育服务中心2020年度部门综合预算文件和《呈报2020年部门整体绩效自评汇报及2020年项目绩效自评报告》（铜新妇计发〔20</w:t>
      </w:r>
      <w:r>
        <w:rPr>
          <w:rFonts w:hint="eastAsia" w:ascii="仿宋" w:hAnsi="仿宋" w:eastAsia="仿宋" w:cs="仿宋"/>
          <w:color w:val="auto"/>
          <w:kern w:val="0"/>
          <w:sz w:val="32"/>
          <w:szCs w:val="32"/>
          <w:highlight w:val="none"/>
          <w:shd w:val="clear" w:color="auto" w:fill="FFFFFF"/>
          <w:lang w:val="en-US" w:eastAsia="zh-CN"/>
        </w:rPr>
        <w:t>21</w:t>
      </w:r>
      <w:r>
        <w:rPr>
          <w:rFonts w:hint="eastAsia" w:ascii="仿宋" w:hAnsi="仿宋" w:eastAsia="仿宋" w:cs="仿宋"/>
          <w:color w:val="auto"/>
          <w:kern w:val="0"/>
          <w:sz w:val="32"/>
          <w:szCs w:val="32"/>
          <w:highlight w:val="none"/>
          <w:shd w:val="clear" w:color="auto" w:fill="FFFFFF"/>
          <w:lang w:val="en-US" w:eastAsia="zh-Hans"/>
        </w:rPr>
        <w:t>〕14号）文件等内容，2020年度专项业务经费支出预算为21.7万元，部门年度完成工作实际支出为20.57万元。成本节约率为5%。成本实现有效节约。</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结合部门整体支出绩效评价指标体系和评分标准，经综合评价，该项指标得分为0分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26" w:name="_Toc23833"/>
      <w:r>
        <w:rPr>
          <w:rFonts w:hint="eastAsia" w:ascii="楷体" w:hAnsi="楷体" w:eastAsia="楷体" w:cs="楷体"/>
          <w:b/>
          <w:bCs/>
          <w:color w:val="auto"/>
          <w:kern w:val="0"/>
          <w:sz w:val="32"/>
          <w:szCs w:val="32"/>
          <w:highlight w:val="none"/>
          <w:shd w:val="clear" w:color="auto" w:fill="FFFFFF"/>
          <w:lang w:val="en-US" w:eastAsia="zh-CN"/>
        </w:rPr>
        <w:t>（四）效果方面</w:t>
      </w:r>
      <w:bookmarkEnd w:id="26"/>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该指标主要考核新区妇幼保健计划生育服务中心履职效益的内容，包括经济</w:t>
      </w:r>
      <w:r>
        <w:rPr>
          <w:rFonts w:hint="eastAsia" w:ascii="仿宋" w:hAnsi="仿宋" w:eastAsia="仿宋" w:cs="仿宋"/>
          <w:color w:val="auto"/>
          <w:kern w:val="0"/>
          <w:sz w:val="32"/>
          <w:szCs w:val="32"/>
          <w:highlight w:val="none"/>
          <w:shd w:val="clear" w:color="auto" w:fill="FFFFFF"/>
          <w:lang w:val="en-US" w:eastAsia="zh-Hans"/>
        </w:rPr>
        <w:t>效益、</w:t>
      </w:r>
      <w:r>
        <w:rPr>
          <w:rFonts w:hint="eastAsia" w:ascii="仿宋" w:hAnsi="仿宋" w:eastAsia="仿宋" w:cs="仿宋"/>
          <w:color w:val="auto"/>
          <w:kern w:val="0"/>
          <w:sz w:val="32"/>
          <w:szCs w:val="32"/>
          <w:highlight w:val="none"/>
          <w:shd w:val="clear" w:color="auto" w:fill="FFFFFF"/>
          <w:lang w:val="en-US" w:eastAsia="zh-CN"/>
        </w:rPr>
        <w:t>社会</w:t>
      </w:r>
      <w:r>
        <w:rPr>
          <w:rFonts w:hint="eastAsia" w:ascii="仿宋" w:hAnsi="仿宋" w:eastAsia="仿宋" w:cs="仿宋"/>
          <w:color w:val="auto"/>
          <w:kern w:val="0"/>
          <w:sz w:val="32"/>
          <w:szCs w:val="32"/>
          <w:highlight w:val="none"/>
          <w:shd w:val="clear" w:color="auto" w:fill="FFFFFF"/>
          <w:lang w:val="en-US" w:eastAsia="zh-Hans"/>
        </w:rPr>
        <w:t>效益、</w:t>
      </w:r>
      <w:r>
        <w:rPr>
          <w:rFonts w:hint="eastAsia" w:ascii="仿宋" w:hAnsi="仿宋" w:eastAsia="仿宋" w:cs="仿宋"/>
          <w:color w:val="auto"/>
          <w:kern w:val="0"/>
          <w:sz w:val="32"/>
          <w:szCs w:val="32"/>
          <w:highlight w:val="none"/>
          <w:shd w:val="clear" w:color="auto" w:fill="FFFFFF"/>
          <w:lang w:val="en-US" w:eastAsia="zh-CN"/>
        </w:rPr>
        <w:t>可持续性影响</w:t>
      </w:r>
      <w:r>
        <w:rPr>
          <w:rFonts w:hint="eastAsia" w:ascii="仿宋" w:hAnsi="仿宋" w:eastAsia="仿宋" w:cs="仿宋"/>
          <w:color w:val="auto"/>
          <w:kern w:val="0"/>
          <w:sz w:val="32"/>
          <w:szCs w:val="32"/>
          <w:highlight w:val="none"/>
          <w:shd w:val="clear" w:color="auto" w:fill="FFFFFF"/>
          <w:lang w:val="en-US" w:eastAsia="zh-Hans"/>
        </w:rPr>
        <w:t>和社会公众满意度</w:t>
      </w:r>
      <w:r>
        <w:rPr>
          <w:rFonts w:hint="eastAsia" w:ascii="仿宋" w:hAnsi="仿宋" w:eastAsia="仿宋" w:cs="仿宋"/>
          <w:color w:val="auto"/>
          <w:kern w:val="0"/>
          <w:sz w:val="32"/>
          <w:szCs w:val="32"/>
          <w:highlight w:val="none"/>
          <w:shd w:val="clear" w:color="auto" w:fill="FFFFFF"/>
          <w:lang w:val="en-US" w:eastAsia="zh-CN"/>
        </w:rPr>
        <w:t>4个三级指标，指标权重24分，评价得分21分，得分率为87.50%。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Hans"/>
        </w:rPr>
      </w:pPr>
      <w:r>
        <w:rPr>
          <w:rFonts w:hint="eastAsia" w:ascii="仿宋" w:hAnsi="仿宋" w:eastAsia="仿宋" w:cs="仿宋"/>
          <w:b/>
          <w:bCs/>
          <w:color w:val="auto"/>
          <w:kern w:val="0"/>
          <w:sz w:val="32"/>
          <w:szCs w:val="32"/>
          <w:highlight w:val="none"/>
          <w:shd w:val="clear" w:color="auto" w:fill="FFFFFF"/>
          <w:lang w:val="en-US" w:eastAsia="zh-CN"/>
        </w:rPr>
        <w:t>1.婚检覆盖情况--5分。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根据2021年1月4日，铜川市新区妇幼保健计划生育服务中心免费婚前医学检查情况年报表情况，2020年度结婚登记人数为1454人，其中参与婚前医学检查人数合计为533人。婚检率为36.66%</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。结合部门整体支出绩效评价指标体系和评分标准，经综合评价，该项指标得分为3分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b/>
          <w:bCs/>
          <w:color w:val="auto"/>
          <w:kern w:val="0"/>
          <w:sz w:val="32"/>
          <w:szCs w:val="32"/>
          <w:highlight w:val="none"/>
          <w:shd w:val="clear" w:color="auto" w:fill="FFFFFF"/>
          <w:lang w:val="en-US" w:eastAsia="zh-CN"/>
        </w:rPr>
        <w:t>2.产前筛查人数变动情况--5分</w:t>
      </w:r>
      <w:r>
        <w:rPr>
          <w:rFonts w:hint="eastAsia" w:ascii="仿宋" w:hAnsi="仿宋" w:eastAsia="仿宋" w:cs="仿宋"/>
          <w:b/>
          <w:bCs/>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Hans"/>
        </w:rPr>
        <w:t>根据铜川市新区妇幼保健计划生育服务中心产前筛查和新生儿疾病筛查服务项目汇总表内容，2019年度产前血清筛查人数为353人，产前B超筛查人数为845人，2020年度产前血清筛查人数为997人次，产前B超筛查人数为2124人。实现大幅增加。</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3.新生儿疾病筛查人数变动情况--5分。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Hans"/>
        </w:rPr>
        <w:t>根据铜川市新区妇幼保健计划生育服务中心产前筛查和新生儿疾病筛查服务项目汇总表内容，2019年度新生儿遗传代谢病筛查人数536人，新生儿听力筛查人数560人，新生儿先天心脏病筛查人数391人。2020年度新生儿遗传代谢病筛查人数1255人，新生儿听力筛查人数1270人，新生儿先天心脏病筛查人数1183人。各项服务项目均实现人数大幅增加。</w:t>
      </w:r>
      <w:r>
        <w:rPr>
          <w:rFonts w:hint="eastAsia" w:ascii="仿宋" w:hAnsi="仿宋" w:eastAsia="仿宋" w:cs="仿宋"/>
          <w:color w:val="auto"/>
          <w:kern w:val="0"/>
          <w:sz w:val="32"/>
          <w:szCs w:val="32"/>
          <w:highlight w:val="none"/>
          <w:shd w:val="clear" w:color="auto" w:fill="FFFFFF"/>
          <w:lang w:val="en-US" w:eastAsia="zh-CN"/>
        </w:rPr>
        <w:t>结合部门整体支出绩效评价指标体系和评分标准，经综合评价，该项指标得分为5分</w:t>
      </w:r>
      <w:r>
        <w:rPr>
          <w:rFonts w:hint="eastAsia" w:ascii="仿宋" w:hAnsi="仿宋" w:eastAsia="仿宋" w:cs="仿宋"/>
          <w:color w:val="auto"/>
          <w:kern w:val="0"/>
          <w:sz w:val="32"/>
          <w:szCs w:val="32"/>
          <w:highlight w:val="none"/>
          <w:shd w:val="clear" w:color="auto" w:fill="FFFFFF"/>
          <w:lang w:val="en-US"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4.妇幼健康服务项目督导考核达标情况--5分。</w:t>
      </w:r>
    </w:p>
    <w:p>
      <w:pPr>
        <w:pStyle w:val="2"/>
        <w:keepNext w:val="0"/>
        <w:keepLines w:val="0"/>
        <w:pageBreakBefore w:val="0"/>
        <w:widowControl w:val="0"/>
        <w:numPr>
          <w:ilvl w:val="0"/>
          <w:numId w:val="0"/>
        </w:numPr>
        <w:kinsoku/>
        <w:wordWrap/>
        <w:overflowPunct/>
        <w:topLinePunct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根据相关资料内容和现场座谈内容，新区</w:t>
      </w:r>
      <w:r>
        <w:rPr>
          <w:rFonts w:hint="eastAsia" w:ascii="仿宋" w:hAnsi="仿宋" w:eastAsia="仿宋" w:cs="仿宋"/>
          <w:color w:val="auto"/>
          <w:kern w:val="0"/>
          <w:sz w:val="32"/>
          <w:szCs w:val="32"/>
          <w:highlight w:val="none"/>
          <w:shd w:val="clear" w:color="auto" w:fill="FFFFFF"/>
          <w:lang w:val="en-US" w:eastAsia="zh-CN" w:bidi="ar-SA"/>
        </w:rPr>
        <w:t>妇幼保健计划生育服务中心</w:t>
      </w:r>
      <w:r>
        <w:rPr>
          <w:rFonts w:hint="default" w:ascii="仿宋" w:hAnsi="仿宋" w:eastAsia="仿宋" w:cs="仿宋"/>
          <w:color w:val="auto"/>
          <w:kern w:val="0"/>
          <w:sz w:val="32"/>
          <w:szCs w:val="32"/>
          <w:highlight w:val="none"/>
          <w:shd w:val="clear" w:color="auto" w:fill="FFFFFF"/>
          <w:lang w:val="en-US" w:eastAsia="zh-CN" w:bidi="ar-SA"/>
        </w:rPr>
        <w:t>制定了铜川市新区</w:t>
      </w:r>
      <w:r>
        <w:rPr>
          <w:rFonts w:hint="eastAsia" w:ascii="仿宋" w:hAnsi="仿宋" w:eastAsia="仿宋" w:cs="仿宋"/>
          <w:color w:val="auto"/>
          <w:kern w:val="0"/>
          <w:sz w:val="32"/>
          <w:szCs w:val="32"/>
          <w:highlight w:val="none"/>
          <w:shd w:val="clear" w:color="auto" w:fill="FFFFFF"/>
          <w:lang w:val="en-US" w:eastAsia="zh-CN" w:bidi="ar-SA"/>
        </w:rPr>
        <w:t>免费产前筛查和新生儿疾病筛查项目督导考核标准、新区孕产妇健康管理服务工作考核标准和新区0-6岁儿童健康管理服务工作考核标准</w:t>
      </w:r>
      <w:r>
        <w:rPr>
          <w:rFonts w:hint="default" w:ascii="仿宋" w:hAnsi="仿宋" w:eastAsia="仿宋" w:cs="仿宋"/>
          <w:color w:val="auto"/>
          <w:kern w:val="0"/>
          <w:sz w:val="32"/>
          <w:szCs w:val="32"/>
          <w:highlight w:val="none"/>
          <w:shd w:val="clear" w:color="auto" w:fill="FFFFFF"/>
          <w:lang w:val="en-US" w:eastAsia="zh-CN" w:bidi="ar-SA"/>
        </w:rPr>
        <w:t>，</w:t>
      </w:r>
      <w:r>
        <w:rPr>
          <w:rFonts w:hint="eastAsia" w:ascii="仿宋" w:hAnsi="仿宋" w:eastAsia="仿宋" w:cs="仿宋"/>
          <w:color w:val="auto"/>
          <w:kern w:val="0"/>
          <w:sz w:val="32"/>
          <w:szCs w:val="32"/>
          <w:highlight w:val="none"/>
          <w:shd w:val="clear" w:color="auto" w:fill="FFFFFF"/>
          <w:lang w:val="en-US" w:eastAsia="zh-CN" w:bidi="ar-SA"/>
        </w:rPr>
        <w:t>建立了新区儿童保健管理考核记录表，新区孕产妇系统管理考核记录表。结合部门整体支出绩效评价指标体系，经综合评价，该项指标得分为5分。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5.服务对象</w:t>
      </w:r>
      <w:r>
        <w:rPr>
          <w:rFonts w:hint="eastAsia" w:ascii="仿宋" w:hAnsi="仿宋" w:eastAsia="仿宋" w:cs="仿宋"/>
          <w:b/>
          <w:bCs/>
          <w:color w:val="auto"/>
          <w:kern w:val="0"/>
          <w:sz w:val="32"/>
          <w:szCs w:val="32"/>
          <w:highlight w:val="none"/>
          <w:shd w:val="clear" w:color="auto" w:fill="FFFFFF"/>
          <w:lang w:val="en-US" w:eastAsia="zh-Hans"/>
        </w:rPr>
        <w:t>满意度</w:t>
      </w:r>
      <w:r>
        <w:rPr>
          <w:rFonts w:hint="eastAsia" w:ascii="仿宋" w:hAnsi="仿宋" w:eastAsia="仿宋" w:cs="仿宋"/>
          <w:b/>
          <w:bCs/>
          <w:color w:val="auto"/>
          <w:kern w:val="0"/>
          <w:sz w:val="32"/>
          <w:szCs w:val="32"/>
          <w:highlight w:val="none"/>
          <w:shd w:val="clear" w:color="auto" w:fill="FFFFFF"/>
          <w:lang w:val="en-US" w:eastAsia="zh-CN"/>
        </w:rPr>
        <w:t>--4分。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对于服务对象满意度的评价，主要评价受益家庭的满意度情况。针对受益群众发放10分调查问卷，回收10分，调查问卷有效率为100%，调查问卷经汇总统计后，按照如下方式计算分值：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① Fi=4*p1+2*p2+1*p3+0*p4</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Fi（i=1、2、</w:t>
      </w:r>
      <w:r>
        <w:rPr>
          <w:rFonts w:hint="default" w:ascii="Arial" w:hAnsi="Arial" w:eastAsia="仿宋" w:cs="Arial"/>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CN"/>
        </w:rPr>
        <w:t>5）:调查问卷中的第i个问题分值。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P1:同一对象问卷调查中的对应问题的满意情况占比。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P2:同一对象问卷调查中的对应问题的较满意情况占比。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P3:同一对象问卷调查中的对应问题的一般情况占比。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P4:同一对象问卷调查中的对应问题的不满意情况占比。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② F=(F1+F2+F3+F4+F5)/5(i=1、2…5)</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F:服务对象满意度调查分值。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根据调查问卷收集情况相关数据和满意度调查分值计算公式统计如下：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center"/>
        <w:textAlignment w:val="auto"/>
        <w:rPr>
          <w:rFonts w:hint="eastAsia" w:ascii="仿宋" w:hAnsi="仿宋" w:eastAsia="仿宋" w:cs="仿宋"/>
          <w:b/>
          <w:bCs/>
          <w:color w:val="auto"/>
          <w:kern w:val="0"/>
          <w:sz w:val="28"/>
          <w:szCs w:val="28"/>
          <w:highlight w:val="none"/>
          <w:shd w:val="clear" w:color="auto" w:fill="FFFFFF"/>
          <w:lang w:val="en-US" w:eastAsia="zh-CN"/>
        </w:rPr>
      </w:pPr>
      <w:r>
        <w:rPr>
          <w:rFonts w:hint="eastAsia" w:ascii="仿宋" w:hAnsi="仿宋" w:eastAsia="仿宋" w:cs="仿宋"/>
          <w:b/>
          <w:bCs/>
          <w:color w:val="auto"/>
          <w:kern w:val="0"/>
          <w:sz w:val="28"/>
          <w:szCs w:val="28"/>
          <w:highlight w:val="none"/>
          <w:shd w:val="clear" w:color="auto" w:fill="FFFFFF"/>
          <w:lang w:val="en-US" w:eastAsia="zh-CN"/>
        </w:rPr>
        <w:t>表4-1  受益群众满意度调查问卷统计表</w:t>
      </w:r>
    </w:p>
    <w:tbl>
      <w:tblPr>
        <w:tblStyle w:val="15"/>
        <w:tblW w:w="4997" w:type="pct"/>
        <w:tblInd w:w="0" w:type="dxa"/>
        <w:shd w:val="clear" w:color="auto" w:fill="auto"/>
        <w:tblLayout w:type="autofit"/>
        <w:tblCellMar>
          <w:top w:w="0" w:type="dxa"/>
          <w:left w:w="0" w:type="dxa"/>
          <w:bottom w:w="0" w:type="dxa"/>
          <w:right w:w="0" w:type="dxa"/>
        </w:tblCellMar>
      </w:tblPr>
      <w:tblGrid>
        <w:gridCol w:w="3969"/>
        <w:gridCol w:w="869"/>
        <w:gridCol w:w="979"/>
        <w:gridCol w:w="1258"/>
        <w:gridCol w:w="869"/>
        <w:gridCol w:w="881"/>
      </w:tblGrid>
      <w:tr>
        <w:tblPrEx>
          <w:tblCellMar>
            <w:top w:w="0" w:type="dxa"/>
            <w:left w:w="0" w:type="dxa"/>
            <w:bottom w:w="0" w:type="dxa"/>
            <w:right w:w="0" w:type="dxa"/>
          </w:tblCellMar>
        </w:tblPrEx>
        <w:trPr>
          <w:trHeight w:val="300" w:hRule="atLeast"/>
        </w:trPr>
        <w:tc>
          <w:tcPr>
            <w:tcW w:w="224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问题项</w:t>
            </w:r>
          </w:p>
        </w:tc>
        <w:tc>
          <w:tcPr>
            <w:tcW w:w="49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55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满意</w:t>
            </w:r>
          </w:p>
        </w:tc>
        <w:tc>
          <w:tcPr>
            <w:tcW w:w="71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比较满意</w:t>
            </w:r>
          </w:p>
        </w:tc>
        <w:tc>
          <w:tcPr>
            <w:tcW w:w="49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一般</w:t>
            </w: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不满意</w:t>
            </w:r>
          </w:p>
        </w:tc>
      </w:tr>
      <w:tr>
        <w:tblPrEx>
          <w:shd w:val="clear" w:color="auto" w:fill="auto"/>
          <w:tblCellMar>
            <w:top w:w="0" w:type="dxa"/>
            <w:left w:w="0" w:type="dxa"/>
            <w:bottom w:w="0" w:type="dxa"/>
            <w:right w:w="0" w:type="dxa"/>
          </w:tblCellMar>
        </w:tblPrEx>
        <w:trPr>
          <w:trHeight w:val="560" w:hRule="atLeast"/>
        </w:trPr>
        <w:tc>
          <w:tcPr>
            <w:tcW w:w="224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您对开展婚前免费医学检查服务感觉怎么样？</w:t>
            </w:r>
          </w:p>
        </w:tc>
        <w:tc>
          <w:tcPr>
            <w:tcW w:w="49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0.2</w:t>
            </w:r>
          </w:p>
        </w:tc>
        <w:tc>
          <w:tcPr>
            <w:tcW w:w="49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0.2</w:t>
            </w: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300" w:hRule="atLeast"/>
        </w:trPr>
        <w:tc>
          <w:tcPr>
            <w:tcW w:w="224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您认为婚前医学检查有必要吗？</w:t>
            </w:r>
          </w:p>
        </w:tc>
        <w:tc>
          <w:tcPr>
            <w:tcW w:w="49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3.4</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0.7</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0.3</w:t>
            </w:r>
          </w:p>
        </w:tc>
        <w:tc>
          <w:tcPr>
            <w:tcW w:w="49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60" w:hRule="atLeast"/>
        </w:trPr>
        <w:tc>
          <w:tcPr>
            <w:tcW w:w="224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您觉得妇幼保健相关宣传工作做的怎么样？</w:t>
            </w:r>
          </w:p>
        </w:tc>
        <w:tc>
          <w:tcPr>
            <w:tcW w:w="49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0.2</w:t>
            </w:r>
          </w:p>
        </w:tc>
        <w:tc>
          <w:tcPr>
            <w:tcW w:w="49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0.2</w:t>
            </w: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560" w:hRule="atLeast"/>
        </w:trPr>
        <w:tc>
          <w:tcPr>
            <w:tcW w:w="224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您觉得年度妇计专项工作开展得怎么样？</w:t>
            </w:r>
          </w:p>
        </w:tc>
        <w:tc>
          <w:tcPr>
            <w:tcW w:w="49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3.1</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0.6</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0.3</w:t>
            </w:r>
          </w:p>
        </w:tc>
        <w:tc>
          <w:tcPr>
            <w:tcW w:w="49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0.1</w:t>
            </w: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tblCellMar>
            <w:top w:w="0" w:type="dxa"/>
            <w:left w:w="0" w:type="dxa"/>
            <w:bottom w:w="0" w:type="dxa"/>
            <w:right w:w="0" w:type="dxa"/>
          </w:tblCellMar>
        </w:tblPrEx>
        <w:trPr>
          <w:trHeight w:val="560" w:hRule="atLeast"/>
        </w:trPr>
        <w:tc>
          <w:tcPr>
            <w:tcW w:w="2247"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您觉得妇幼保健工作的开展对新区妇女儿童的保障作用怎么样？</w:t>
            </w:r>
          </w:p>
        </w:tc>
        <w:tc>
          <w:tcPr>
            <w:tcW w:w="49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0.4</w:t>
            </w: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0.3</w:t>
            </w:r>
          </w:p>
        </w:tc>
        <w:tc>
          <w:tcPr>
            <w:tcW w:w="49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0.3</w:t>
            </w:r>
          </w:p>
        </w:tc>
        <w:tc>
          <w:tcPr>
            <w:tcW w:w="4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300" w:hRule="atLeast"/>
        </w:trPr>
        <w:tc>
          <w:tcPr>
            <w:tcW w:w="2247"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49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55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71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492"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根据绩效评价指标体系和满意度调查问卷数据统计情况和分值计算公式，新区妇幼保健计划生育服务中心受益群众满意度指标得分为3分。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CN"/>
        </w:rPr>
      </w:pPr>
      <w:bookmarkStart w:id="27" w:name="_Toc16209"/>
      <w:r>
        <w:rPr>
          <w:rFonts w:hint="eastAsia" w:ascii="黑体" w:hAnsi="黑体" w:eastAsia="黑体" w:cs="黑体"/>
          <w:b w:val="0"/>
          <w:bCs w:val="0"/>
          <w:color w:val="auto"/>
          <w:kern w:val="0"/>
          <w:sz w:val="32"/>
          <w:szCs w:val="32"/>
          <w:highlight w:val="none"/>
          <w:shd w:val="clear" w:color="auto" w:fill="FFFFFF"/>
          <w:lang w:val="en-US" w:eastAsia="zh-CN"/>
        </w:rPr>
        <w:t>五、主要经验及做法</w:t>
      </w:r>
      <w:bookmarkEnd w:id="27"/>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通过对于2020年度新区妇幼保健计划生育服务中心部门整体支出从目标设定、预算配置、预算执行、预算管理、资产管理、职责履行和履职效益七个方面进行全面绩效评价，部门在如下方面有明显的突破和表现：</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1.相关信息公开及时。新区妇幼保健计划生育服务中心2020年度预算文件、部门整体支出绩效目标、重点工作绩效目标、部门决算文件等内容根据相关规定要求，及时完整的在新区管委会网站予以公开，有助于提升政府公信力，强化市场监督、公众监督、社会监督。</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2.运行成本有效控制。2020年度部门对于在职人员控制、“三公经费”变动、公用经费控制、“三公经费”控制等方面部门运行成本有效控制，未出现超预算支出、无预算支出等情况，高效落实国家“过紧日子”思想。</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3.重点工作产出良好：年度完成婚前医学检查男260人，女273人，合计533人。完成保障5名妇计专项工作人员薪资待遇。完成印刷新冠肺炎宣传资料9810份，购买疫情防控物资860份，完成免费婚前医学检查工作年初计划完成266.5对，相关重点工作在年度内有效完成。</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4.重点工作效益良好。2020年度免费婚前医学检查人数、产前筛查人数、新生儿疾病筛查人数相比于2019年均出现大幅增长，对于影响婚育的遗传性疾病、传染性疾病给予了相应的健康指导和干预，并进行优生、孕期保健等教育，既保障了新婚夫妇的健康，对家庭幸福和稳定起着积极作用，也从源头上把好出生缺陷的第一道防线，为降低全市出生缺陷发生率，提高出生人口素质做出了较大贡献，取得了良好的社会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28" w:name="_Toc7003"/>
      <w:bookmarkStart w:id="29" w:name="_Toc1742944595_WPSOffice_Level3"/>
      <w:bookmarkStart w:id="30" w:name="_Toc315842793_WPSOffice_Level2"/>
      <w:bookmarkStart w:id="31" w:name="_Toc1464939341_WPSOffice_Level3"/>
      <w:r>
        <w:rPr>
          <w:rFonts w:hint="eastAsia" w:ascii="黑体" w:hAnsi="黑体" w:eastAsia="黑体" w:cs="黑体"/>
          <w:b w:val="0"/>
          <w:bCs w:val="0"/>
          <w:color w:val="auto"/>
          <w:kern w:val="0"/>
          <w:sz w:val="32"/>
          <w:szCs w:val="32"/>
          <w:highlight w:val="none"/>
          <w:shd w:val="clear" w:color="auto" w:fill="FFFFFF"/>
          <w:lang w:val="en-US" w:eastAsia="zh-CN"/>
        </w:rPr>
        <w:t>六、存在的问题</w:t>
      </w:r>
      <w:bookmarkEnd w:id="2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楷体" w:cs="仿宋"/>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一</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绩效目标与年度实际工作情况不匹配</w:t>
      </w:r>
    </w:p>
    <w:bookmarkEnd w:id="29"/>
    <w:bookmarkEnd w:id="30"/>
    <w:bookmarkEnd w:id="31"/>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部门整体支出绩效目标覆盖不足，仅对年初预算重点工作经费设定绩效目标，对于年内受国家政策影响或部门实际情况新增重点支出安排未及时设定项目绩效目标，预算调整未同步调整、完善绩效目标，导致项目财政支出监管力度不足，项目完成情况和效益情况缺乏合理的评价标准，对于重点工作完成情况和质量达标情况缺乏有效的判断依据，不利于进行预算监督和调整预算支出结构。主要原因在于部门绩效管理工作流于形式，部门财政“支出必问效，无效必问责”的理念未牢固树立，“重支出，轻绩效”的传统观念未与绩效观念有效融合。</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楷体" w:cs="仿宋"/>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（二）</w:t>
      </w:r>
      <w:r>
        <w:rPr>
          <w:rFonts w:hint="eastAsia" w:ascii="楷体" w:hAnsi="楷体" w:eastAsia="楷体" w:cs="楷体"/>
          <w:b/>
          <w:bCs/>
          <w:color w:val="auto"/>
          <w:kern w:val="0"/>
          <w:sz w:val="32"/>
          <w:szCs w:val="32"/>
          <w:highlight w:val="none"/>
          <w:shd w:val="clear" w:color="auto" w:fill="FFFFFF"/>
          <w:lang w:val="en-US" w:eastAsia="zh-CN"/>
        </w:rPr>
        <w:t>预算执行与绩效目标实现程度无监控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Hans"/>
        </w:rPr>
      </w:pPr>
      <w:r>
        <w:rPr>
          <w:rFonts w:hint="eastAsia" w:ascii="仿宋" w:hAnsi="仿宋" w:eastAsia="仿宋" w:cs="仿宋"/>
          <w:color w:val="auto"/>
          <w:kern w:val="0"/>
          <w:sz w:val="32"/>
          <w:szCs w:val="32"/>
          <w:highlight w:val="none"/>
          <w:shd w:val="clear" w:color="auto" w:fill="FFFFFF"/>
          <w:lang w:val="en-US" w:eastAsia="zh-CN"/>
        </w:rPr>
        <w:t>铜川市新区妇幼保健计划生育服务中心未建立有效的预算执行监控机制，缺乏预算执行进度和绩效目标实现程度的日常监控和重点监控，2020年度预算执行率欠缺，连续两年出现较高结转结余资金，2020年度新区妇幼保健计划生育服务中心预算执行中，结转结余57.66万元，结转结余率达12.77%。过度结转结余资金，导致部门年度财政预算资金利用效率较低，财政资金分配合理性不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w:t>
      </w:r>
      <w:r>
        <w:rPr>
          <w:rFonts w:hint="eastAsia" w:ascii="楷体" w:hAnsi="楷体" w:eastAsia="楷体" w:cs="楷体"/>
          <w:b/>
          <w:bCs/>
          <w:color w:val="auto"/>
          <w:kern w:val="0"/>
          <w:sz w:val="32"/>
          <w:szCs w:val="32"/>
          <w:highlight w:val="none"/>
          <w:shd w:val="clear" w:color="auto" w:fill="FFFFFF"/>
          <w:lang w:val="en-US" w:eastAsia="zh-Hans"/>
        </w:rPr>
        <w:t>三</w:t>
      </w:r>
      <w:r>
        <w:rPr>
          <w:rFonts w:hint="eastAsia" w:ascii="楷体" w:hAnsi="楷体" w:eastAsia="楷体" w:cs="楷体"/>
          <w:b/>
          <w:bCs/>
          <w:color w:val="auto"/>
          <w:kern w:val="0"/>
          <w:sz w:val="32"/>
          <w:szCs w:val="32"/>
          <w:highlight w:val="none"/>
          <w:shd w:val="clear" w:color="auto" w:fill="FFFFFF"/>
          <w:lang w:val="en-US" w:eastAsia="zh-CN"/>
        </w:rPr>
        <w:t>）财务管理和固定资产管理制度不健全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lang w:val="en-US" w:eastAsia="zh-CN"/>
        </w:rPr>
      </w:pPr>
      <w:r>
        <w:rPr>
          <w:rFonts w:hint="eastAsia" w:ascii="仿宋" w:hAnsi="仿宋" w:eastAsia="仿宋" w:cs="仿宋"/>
          <w:color w:val="auto"/>
          <w:kern w:val="0"/>
          <w:sz w:val="32"/>
          <w:szCs w:val="32"/>
          <w:highlight w:val="none"/>
          <w:shd w:val="clear" w:color="auto" w:fill="FFFFFF"/>
          <w:lang w:val="en-US" w:eastAsia="zh-CN"/>
        </w:rPr>
        <w:t>铜川市新区妇幼保健计划生育服务中心未建立部门自身财务管理制度，年度基本支出由部门内部管理，相关项目支出和重点工作专项经费等支出由第三方代理记账公司负责管理，部门决算文件由第三方记账公司负责编制，部门内部缺乏相应的财务监管制度和措施，在绩效评价工作中，出现部门决算文件数据和决算公开资料数据不匹配情况，后经与第三方代理记账公司沟通确认后，相关数据予以确定。主要原因在于在决算文件编制过程中，部门缺乏有效的决算审核机制和监督管理机制，部门缺乏财务自主性和管理有效性，财务和事权责任分离，不利于部门预算执行监控和财政支出管理。部门此前具有完整的资产管理制度文件，并按照制度文件有效执行。后因部门办公地点搬迁和相关人员变动，导致资产管理制度文件丢失。主要原因在于部门缺乏规范、可行的档案资料管理机制和管理人员，对于相关资料的重视度不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shd w:val="clear" w:color="auto" w:fill="FFFFFF"/>
          <w:lang w:val="en-US" w:eastAsia="zh-Hans"/>
        </w:rPr>
      </w:pPr>
      <w:bookmarkStart w:id="32" w:name="_Toc28892"/>
      <w:r>
        <w:rPr>
          <w:rFonts w:hint="eastAsia" w:ascii="黑体" w:hAnsi="黑体" w:eastAsia="黑体" w:cs="黑体"/>
          <w:b w:val="0"/>
          <w:bCs w:val="0"/>
          <w:color w:val="auto"/>
          <w:kern w:val="0"/>
          <w:sz w:val="32"/>
          <w:szCs w:val="32"/>
          <w:highlight w:val="none"/>
          <w:shd w:val="clear" w:color="auto" w:fill="FFFFFF"/>
          <w:lang w:val="en-US" w:eastAsia="zh-CN"/>
        </w:rPr>
        <w:t>七</w:t>
      </w:r>
      <w:r>
        <w:rPr>
          <w:rFonts w:hint="eastAsia" w:ascii="黑体" w:hAnsi="黑体" w:eastAsia="黑体" w:cs="黑体"/>
          <w:b w:val="0"/>
          <w:bCs w:val="0"/>
          <w:color w:val="auto"/>
          <w:kern w:val="0"/>
          <w:sz w:val="32"/>
          <w:szCs w:val="32"/>
          <w:highlight w:val="none"/>
          <w:shd w:val="clear" w:color="auto" w:fill="FFFFFF"/>
          <w:lang w:val="en-US" w:eastAsia="zh-Hans"/>
        </w:rPr>
        <w:t>、相关建议</w:t>
      </w:r>
      <w:bookmarkEnd w:id="3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楷体" w:cs="仿宋"/>
          <w:color w:val="auto"/>
          <w:kern w:val="0"/>
          <w:sz w:val="32"/>
          <w:szCs w:val="32"/>
          <w:highlight w:val="none"/>
          <w:shd w:val="clear" w:color="auto" w:fill="FFFFFF"/>
          <w:lang w:val="en-US" w:eastAsia="zh-CN"/>
        </w:rPr>
      </w:pPr>
      <w:bookmarkStart w:id="33" w:name="_Toc1462379935_WPSOffice_Level2"/>
      <w:bookmarkStart w:id="34" w:name="_Toc842199943_WPSOffice_Level2"/>
      <w:bookmarkStart w:id="35" w:name="_Toc994383943_WPSOffice_Level2"/>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一</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强化预算绩效培训，树立绩效管理理念</w:t>
      </w:r>
      <w:r>
        <w:rPr>
          <w:rFonts w:hint="eastAsia" w:ascii="楷体" w:hAnsi="楷体" w:eastAsia="楷体" w:cs="楷体"/>
          <w:b/>
          <w:bCs/>
          <w:color w:val="auto"/>
          <w:kern w:val="0"/>
          <w:sz w:val="32"/>
          <w:szCs w:val="32"/>
          <w:highlight w:val="none"/>
          <w:shd w:val="clear" w:color="auto" w:fill="FFFFFF"/>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新区妇幼保健计划生育服务中心需加强绩效目标设定，做好部门相关人员预算绩效管理培训工作，重点加强绩效目标管理培训，掌握绩效目标设定原则和设定标准，充分考量绩效目标内容全面性、目标合理性、指标明确性、数据可得性等多方面，加强部门内部绩效目标自审核，提升绩效目标的科学性、完整性。加强预算调整和绩效目标完善工作开展，对于年度新增重点支出和项目支出，及时设定相关绩效目标，并与预算调整文件同步公开。财政部门需加强预算部门和预算单位的重点审核，对于绩效目标不合理、绩效指标不明确、绩效覆盖不健全等情况，进行重点说明审核未通过原因，督促预算部门及时整改。充分提升绩效目标的指导作用。预算部门需加强融合预算绩效管理思想，不断提升预算绩效管理意识，建立“支出必问效、无效必问责”的财政支出理念，不断提升财政支出效率、优化财政支出结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（二）</w:t>
      </w:r>
      <w:r>
        <w:rPr>
          <w:rFonts w:hint="eastAsia" w:ascii="楷体" w:hAnsi="楷体" w:eastAsia="楷体" w:cs="楷体"/>
          <w:b/>
          <w:bCs/>
          <w:color w:val="auto"/>
          <w:kern w:val="0"/>
          <w:sz w:val="32"/>
          <w:szCs w:val="32"/>
          <w:highlight w:val="none"/>
          <w:shd w:val="clear" w:color="auto" w:fill="FFFFFF"/>
          <w:lang w:val="en-US" w:eastAsia="zh-CN"/>
        </w:rPr>
        <w:t>加强预算执行监控</w:t>
      </w:r>
      <w:r>
        <w:rPr>
          <w:rFonts w:hint="eastAsia" w:ascii="楷体" w:hAnsi="楷体" w:eastAsia="楷体" w:cs="楷体"/>
          <w:b/>
          <w:bCs/>
          <w:color w:val="auto"/>
          <w:kern w:val="0"/>
          <w:sz w:val="32"/>
          <w:szCs w:val="32"/>
          <w:highlight w:val="none"/>
          <w:shd w:val="clear" w:color="auto" w:fill="FFFFFF"/>
          <w:lang w:val="en-US" w:eastAsia="zh-Hans"/>
        </w:rPr>
        <w:t>，</w:t>
      </w:r>
      <w:r>
        <w:rPr>
          <w:rFonts w:hint="eastAsia" w:ascii="楷体" w:hAnsi="楷体" w:eastAsia="楷体" w:cs="楷体"/>
          <w:b/>
          <w:bCs/>
          <w:color w:val="auto"/>
          <w:kern w:val="0"/>
          <w:sz w:val="32"/>
          <w:szCs w:val="32"/>
          <w:highlight w:val="none"/>
          <w:shd w:val="clear" w:color="auto" w:fill="FFFFFF"/>
          <w:lang w:val="en-US" w:eastAsia="zh-CN"/>
        </w:rPr>
        <w:t>减少资金结转结余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新区妇幼保健计划生育服务中心需建立预算执行监控机制，针对预算执行进度和绩效目标实现程度开展监控，落实部门预算执行监控主体责任，加强部门“日常监控”+“重点监控”双监控机制，定期进行预算执行监控分析，针对出现执行偏差较大的支出和项目，进行重点分析偏差原因，并采取对应纠偏措施。对于需要做资金调整的项目尽快及时调整，并同步调整预算和绩效目标内容。财政部门加强对预算部门重点监控，对出现预算执行偏差严重情况，重点监控，分析原因，督促整改，后续进行重点监控和定期汇报。通过预算执行监控机制，不断提升预算资金使用效率，优化财政支出结构，避免资金过度结余，造成财政资源浪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Hans"/>
        </w:rPr>
        <w:t>（三）</w:t>
      </w:r>
      <w:r>
        <w:rPr>
          <w:rFonts w:hint="eastAsia" w:ascii="楷体" w:hAnsi="楷体" w:eastAsia="楷体" w:cs="楷体"/>
          <w:b/>
          <w:bCs/>
          <w:color w:val="auto"/>
          <w:kern w:val="0"/>
          <w:sz w:val="32"/>
          <w:szCs w:val="32"/>
          <w:highlight w:val="none"/>
          <w:shd w:val="clear" w:color="auto" w:fill="FFFFFF"/>
          <w:lang w:val="en-US" w:eastAsia="zh-CN"/>
        </w:rPr>
        <w:t>完善部门管理制度，强化部门管理责任</w:t>
      </w:r>
    </w:p>
    <w:bookmarkEnd w:id="33"/>
    <w:bookmarkEnd w:id="34"/>
    <w:bookmarkEnd w:id="35"/>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部门需完善内部财务管理制度文件和资产管理制度文件，受于部门人员不足，难以实现财务自主管理，由第三方代理记账公司负责相关财务管理工作的，部门需加强财务监督管理工作和预决算文件数据审核工作，对财务管理公司加强预算绩效管理工作培训，提高预算绩效管理工作要求，实现全过程预算绩效管理。部门需不断加强内部资料和档案管理规范性和有效性，建立部门档案管理制度机制，设立档案资料管理专柜，定期进行资料审查和资料明细盘点，避免因部门变迁、人员流动等客观因素导致相关资料流失。</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sectPr>
          <w:footerReference r:id="rId5" w:type="default"/>
          <w:pgSz w:w="11910" w:h="16840"/>
          <w:pgMar w:top="2098" w:right="1474" w:bottom="1984" w:left="1587" w:header="1017" w:footer="1206" w:gutter="0"/>
          <w:pgNumType w:fmt="numberInDash"/>
          <w:cols w:equalWidth="0" w:num="1">
            <w:col w:w="8810"/>
          </w:cols>
          <w:docGrid w:linePitch="326" w:charSpace="0"/>
        </w:sectPr>
      </w:pPr>
      <w:r>
        <w:rPr>
          <w:rFonts w:hint="eastAsia" w:ascii="仿宋" w:hAnsi="仿宋" w:eastAsia="仿宋" w:cs="仿宋"/>
          <w:color w:val="auto"/>
          <w:kern w:val="0"/>
          <w:sz w:val="32"/>
          <w:szCs w:val="32"/>
          <w:highlight w:val="none"/>
          <w:shd w:val="clear" w:color="auto" w:fill="FFFFFF"/>
          <w:lang w:val="en-US" w:eastAsia="zh-CN" w:bidi="ar-SA"/>
        </w:rPr>
        <w:t xml:space="preserve">                    </w:t>
      </w: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bookmarkStart w:id="36" w:name="_Toc7790"/>
      <w:r>
        <w:rPr>
          <w:rFonts w:hint="eastAsia" w:ascii="黑体" w:hAnsi="黑体" w:eastAsia="黑体" w:cs="黑体"/>
          <w:color w:val="auto"/>
          <w:kern w:val="0"/>
          <w:sz w:val="32"/>
          <w:szCs w:val="32"/>
          <w:highlight w:val="none"/>
          <w:shd w:val="clear" w:color="auto" w:fill="FFFFFF"/>
          <w:lang w:val="en-US" w:eastAsia="zh-CN"/>
        </w:rPr>
        <w:t>附件1评价工作底稿</w:t>
      </w:r>
      <w:bookmarkEnd w:id="36"/>
    </w:p>
    <w:p>
      <w:pPr>
        <w:pStyle w:val="2"/>
        <w:rPr>
          <w:rFonts w:hint="eastAsia"/>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jc w:val="center"/>
        <w:textAlignment w:val="auto"/>
        <w:rPr>
          <w:rFonts w:hint="eastAsia" w:cs="宋体"/>
          <w:b/>
          <w:bCs/>
          <w:color w:val="auto"/>
          <w:kern w:val="0"/>
          <w:sz w:val="36"/>
          <w:szCs w:val="36"/>
          <w:highlight w:val="none"/>
          <w:shd w:val="clear" w:color="auto" w:fill="FFFFFF"/>
          <w:lang w:val="en-US" w:eastAsia="zh-CN"/>
        </w:rPr>
      </w:pPr>
      <w:r>
        <w:rPr>
          <w:rFonts w:hint="eastAsia" w:ascii="宋体" w:hAnsi="宋体" w:eastAsia="宋体" w:cs="宋体"/>
          <w:b/>
          <w:bCs/>
          <w:color w:val="auto"/>
          <w:kern w:val="0"/>
          <w:sz w:val="36"/>
          <w:szCs w:val="36"/>
          <w:highlight w:val="none"/>
          <w:shd w:val="clear" w:color="auto" w:fill="FFFFFF"/>
          <w:lang w:val="en-US" w:eastAsia="zh-Hans"/>
        </w:rPr>
        <w:t>2020年度铜川市</w:t>
      </w:r>
      <w:r>
        <w:rPr>
          <w:rFonts w:hint="eastAsia" w:cs="宋体"/>
          <w:b/>
          <w:bCs/>
          <w:color w:val="auto"/>
          <w:kern w:val="0"/>
          <w:sz w:val="36"/>
          <w:szCs w:val="36"/>
          <w:highlight w:val="none"/>
          <w:shd w:val="clear" w:color="auto" w:fill="FFFFFF"/>
          <w:lang w:val="en-US" w:eastAsia="zh-CN"/>
        </w:rPr>
        <w:t>新区妇幼保健计划生育服务中心</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jc w:val="center"/>
        <w:textAlignment w:val="auto"/>
      </w:pPr>
      <w:r>
        <w:rPr>
          <w:rFonts w:hint="eastAsia" w:cs="宋体"/>
          <w:b/>
          <w:bCs/>
          <w:color w:val="auto"/>
          <w:kern w:val="0"/>
          <w:sz w:val="36"/>
          <w:szCs w:val="36"/>
          <w:highlight w:val="none"/>
          <w:shd w:val="clear" w:color="auto" w:fill="FFFFFF"/>
          <w:lang w:val="en-US" w:eastAsia="zh-CN"/>
        </w:rPr>
        <w:t>部门</w:t>
      </w:r>
      <w:r>
        <w:rPr>
          <w:rFonts w:hint="eastAsia" w:ascii="宋体" w:hAnsi="宋体" w:eastAsia="宋体" w:cs="宋体"/>
          <w:b/>
          <w:bCs/>
          <w:color w:val="auto"/>
          <w:kern w:val="0"/>
          <w:sz w:val="36"/>
          <w:szCs w:val="36"/>
          <w:highlight w:val="none"/>
          <w:shd w:val="clear" w:color="auto" w:fill="FFFFFF"/>
          <w:lang w:val="en-US" w:eastAsia="zh-Hans"/>
        </w:rPr>
        <w:t>整体支出绩效评价</w:t>
      </w:r>
      <w:r>
        <w:rPr>
          <w:rFonts w:hint="eastAsia" w:cs="宋体"/>
          <w:b/>
          <w:bCs/>
          <w:color w:val="auto"/>
          <w:kern w:val="0"/>
          <w:sz w:val="36"/>
          <w:szCs w:val="36"/>
          <w:highlight w:val="none"/>
          <w:shd w:val="clear" w:color="auto" w:fill="FFFFFF"/>
          <w:lang w:val="en-US" w:eastAsia="zh-CN"/>
        </w:rPr>
        <w:t>打</w:t>
      </w:r>
      <w:r>
        <w:rPr>
          <w:rFonts w:hint="eastAsia" w:ascii="宋体" w:hAnsi="宋体" w:eastAsia="宋体" w:cs="宋体"/>
          <w:b/>
          <w:bCs/>
          <w:color w:val="auto"/>
          <w:kern w:val="0"/>
          <w:sz w:val="36"/>
          <w:szCs w:val="36"/>
          <w:highlight w:val="none"/>
          <w:shd w:val="clear" w:color="auto" w:fill="FFFFFF"/>
          <w:lang w:val="en-US" w:eastAsia="zh-Hans"/>
        </w:rPr>
        <w:t>分表</w:t>
      </w:r>
    </w:p>
    <w:tbl>
      <w:tblPr>
        <w:tblStyle w:val="15"/>
        <w:tblW w:w="4997" w:type="pct"/>
        <w:tblInd w:w="0" w:type="dxa"/>
        <w:shd w:val="clear" w:color="auto" w:fill="auto"/>
        <w:tblLayout w:type="autofit"/>
        <w:tblCellMar>
          <w:top w:w="0" w:type="dxa"/>
          <w:left w:w="0" w:type="dxa"/>
          <w:bottom w:w="0" w:type="dxa"/>
          <w:right w:w="0" w:type="dxa"/>
        </w:tblCellMar>
      </w:tblPr>
      <w:tblGrid>
        <w:gridCol w:w="1765"/>
        <w:gridCol w:w="1765"/>
        <w:gridCol w:w="1765"/>
        <w:gridCol w:w="1765"/>
        <w:gridCol w:w="1765"/>
      </w:tblGrid>
      <w:tr>
        <w:tblPrEx>
          <w:shd w:val="clear" w:color="auto" w:fill="auto"/>
          <w:tblCellMar>
            <w:top w:w="0" w:type="dxa"/>
            <w:left w:w="0" w:type="dxa"/>
            <w:bottom w:w="0" w:type="dxa"/>
            <w:right w:w="0" w:type="dxa"/>
          </w:tblCellMar>
        </w:tblPrEx>
        <w:trPr>
          <w:trHeight w:val="300" w:hRule="atLeast"/>
        </w:trPr>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一级指标</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二级指标</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三级指标</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w:t>
            </w:r>
          </w:p>
        </w:tc>
      </w:tr>
      <w:tr>
        <w:tblPrEx>
          <w:shd w:val="clear" w:color="auto" w:fill="auto"/>
          <w:tblCellMar>
            <w:top w:w="0" w:type="dxa"/>
            <w:left w:w="0" w:type="dxa"/>
            <w:bottom w:w="0" w:type="dxa"/>
            <w:right w:w="0" w:type="dxa"/>
          </w:tblCellMar>
        </w:tblPrEx>
        <w:trPr>
          <w:trHeight w:val="560" w:hRule="atLeast"/>
        </w:trPr>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投入</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w:t>
            </w:r>
          </w:p>
        </w:tc>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目标设定</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绩效目标合理性（4）</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6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绩效指标明确性（4）</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24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预算配置</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在职人员控制率（2）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42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“三公经费”变动率（2）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1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重点支出安排率（2）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1.29 </w:t>
            </w:r>
          </w:p>
        </w:tc>
      </w:tr>
      <w:tr>
        <w:tblPrEx>
          <w:shd w:val="clear" w:color="auto" w:fill="auto"/>
          <w:tblCellMar>
            <w:top w:w="0" w:type="dxa"/>
            <w:left w:w="0" w:type="dxa"/>
            <w:bottom w:w="0" w:type="dxa"/>
            <w:right w:w="0" w:type="dxa"/>
          </w:tblCellMar>
        </w:tblPrEx>
        <w:trPr>
          <w:trHeight w:val="600" w:hRule="atLeast"/>
        </w:trPr>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过程</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（30）</w:t>
            </w:r>
          </w:p>
        </w:tc>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预算执行</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预算完成率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1.71 </w:t>
            </w:r>
          </w:p>
        </w:tc>
      </w:tr>
      <w:tr>
        <w:tblPrEx>
          <w:shd w:val="clear" w:color="auto" w:fill="auto"/>
          <w:tblCellMar>
            <w:top w:w="0" w:type="dxa"/>
            <w:left w:w="0" w:type="dxa"/>
            <w:bottom w:w="0" w:type="dxa"/>
            <w:right w:w="0" w:type="dxa"/>
          </w:tblCellMar>
        </w:tblPrEx>
        <w:trPr>
          <w:trHeight w:val="6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预算调整率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6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结转结余率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9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结转结余变动率（2）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56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公用经费控制率（2）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9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“三公”经费控制率（2）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9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政府采购执行率（2）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7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预算管理</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33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资金使用合规性（2.5）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36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预算执行监控（2）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15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预决算信息公开性（2）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tblCellMar>
            <w:top w:w="0" w:type="dxa"/>
            <w:left w:w="0" w:type="dxa"/>
            <w:bottom w:w="0" w:type="dxa"/>
            <w:right w:w="0" w:type="dxa"/>
          </w:tblCellMar>
        </w:tblPrEx>
        <w:trPr>
          <w:trHeight w:val="9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资产管理</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管理制度健全性（3）</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tblCellMar>
            <w:top w:w="0" w:type="dxa"/>
            <w:left w:w="0" w:type="dxa"/>
            <w:bottom w:w="0" w:type="dxa"/>
            <w:right w:w="0" w:type="dxa"/>
          </w:tblCellMar>
        </w:tblPrEx>
        <w:trPr>
          <w:trHeight w:val="26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资产管理安全性（2.5）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tblCellMar>
            <w:top w:w="0" w:type="dxa"/>
            <w:left w:w="0" w:type="dxa"/>
            <w:bottom w:w="0" w:type="dxa"/>
            <w:right w:w="0" w:type="dxa"/>
          </w:tblCellMar>
        </w:tblPrEx>
        <w:trPr>
          <w:trHeight w:val="9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固定资产利用率（2）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470" w:hRule="atLeast"/>
        </w:trPr>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产出</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职责履行</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重点工作办结率（8）</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9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重点工作完成及时率（8）</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17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重点工作质量达标率（8）</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6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成本节约率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300" w:hRule="atLeast"/>
        </w:trPr>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效果</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（24）</w:t>
            </w:r>
          </w:p>
        </w:tc>
        <w:tc>
          <w:tcPr>
            <w:tcW w:w="1000"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履职效益</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（24）</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婚检覆盖情况（5）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37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产前筛查人数变动情况（5）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70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新生儿疾病筛查人数变动情况（5）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34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妇幼健康服务项目督导考核机制（5）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90" w:hRule="atLeast"/>
        </w:trPr>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服务对象满意度（4）</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300" w:hRule="atLeast"/>
        </w:trPr>
        <w:tc>
          <w:tcPr>
            <w:tcW w:w="3000" w:type="pct"/>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85.00 </w:t>
            </w:r>
          </w:p>
        </w:tc>
      </w:tr>
    </w:tbl>
    <w:p>
      <w:pPr>
        <w:pStyle w:val="2"/>
        <w:ind w:left="0" w:leftChars="0" w:firstLine="0" w:firstLineChars="0"/>
        <w:sectPr>
          <w:pgSz w:w="11910" w:h="16840"/>
          <w:pgMar w:top="2098" w:right="1474" w:bottom="1984" w:left="1587" w:header="1017" w:footer="1206" w:gutter="0"/>
          <w:pgNumType w:fmt="numberInDash"/>
          <w:cols w:equalWidth="0" w:num="1">
            <w:col w:w="8810"/>
          </w:cols>
          <w:docGrid w:linePitch="326" w:charSpace="0"/>
        </w:sect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bookmarkStart w:id="37" w:name="_Toc2728"/>
      <w:bookmarkStart w:id="38" w:name="_Toc13811"/>
      <w:bookmarkStart w:id="39" w:name="_Toc2079370722_WPSOffice_Level2"/>
      <w:bookmarkStart w:id="40" w:name="_Toc1721938646_WPSOffice_Level2"/>
      <w:r>
        <w:rPr>
          <w:rFonts w:hint="eastAsia" w:ascii="黑体" w:hAnsi="黑体" w:eastAsia="黑体" w:cs="黑体"/>
          <w:color w:val="auto"/>
          <w:kern w:val="0"/>
          <w:sz w:val="32"/>
          <w:szCs w:val="32"/>
          <w:highlight w:val="none"/>
          <w:shd w:val="clear" w:color="auto" w:fill="FFFFFF"/>
          <w:lang w:val="en-US" w:eastAsia="zh-CN"/>
        </w:rPr>
        <w:t>附件2 问题清单</w:t>
      </w:r>
      <w:bookmarkEnd w:id="37"/>
    </w:p>
    <w:p>
      <w:pPr>
        <w:pStyle w:val="2"/>
        <w:rPr>
          <w:rFonts w:hint="eastAsia"/>
          <w:lang w:val="en-US" w:eastAsia="zh-CN"/>
        </w:rPr>
      </w:pP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221"/>
        <w:jc w:val="center"/>
        <w:textAlignment w:val="auto"/>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铜川市新区2020年度妇幼保健计划生育服务中心</w:t>
      </w:r>
    </w:p>
    <w:p>
      <w:pPr>
        <w:pStyle w:val="2"/>
        <w:keepNext w:val="0"/>
        <w:keepLines w:val="0"/>
        <w:pageBreakBefore w:val="0"/>
        <w:widowControl w:val="0"/>
        <w:kinsoku/>
        <w:wordWrap/>
        <w:overflowPunct/>
        <w:topLinePunct w:val="0"/>
        <w:autoSpaceDE w:val="0"/>
        <w:autoSpaceDN w:val="0"/>
        <w:bidi w:val="0"/>
        <w:adjustRightInd/>
        <w:snapToGrid/>
        <w:spacing w:before="0" w:line="600" w:lineRule="exact"/>
        <w:ind w:left="221"/>
        <w:jc w:val="center"/>
        <w:textAlignment w:val="auto"/>
        <w:rPr>
          <w:rFonts w:hint="default"/>
          <w:lang w:val="en-US" w:eastAsia="zh-CN"/>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部门整体支出绩效评价</w:t>
      </w:r>
      <w:r>
        <w:rPr>
          <w:rFonts w:hint="eastAsia" w:ascii="宋体" w:hAnsi="宋体" w:eastAsia="宋体" w:cs="宋体"/>
          <w:b/>
          <w:bCs/>
          <w:color w:val="auto"/>
          <w:kern w:val="0"/>
          <w:sz w:val="36"/>
          <w:szCs w:val="36"/>
          <w:highlight w:val="none"/>
          <w:shd w:val="clear" w:color="auto" w:fill="FFFFFF"/>
          <w:lang w:val="en-US" w:eastAsia="zh-CN"/>
        </w:rPr>
        <w:t>问题清单</w:t>
      </w:r>
    </w:p>
    <w:tbl>
      <w:tblPr>
        <w:tblStyle w:val="15"/>
        <w:tblW w:w="5035" w:type="pct"/>
        <w:tblInd w:w="-257" w:type="dxa"/>
        <w:tblLayout w:type="autofit"/>
        <w:tblCellMar>
          <w:top w:w="0" w:type="dxa"/>
          <w:left w:w="108" w:type="dxa"/>
          <w:bottom w:w="0" w:type="dxa"/>
          <w:right w:w="108" w:type="dxa"/>
        </w:tblCellMar>
      </w:tblPr>
      <w:tblGrid>
        <w:gridCol w:w="2714"/>
        <w:gridCol w:w="784"/>
        <w:gridCol w:w="5591"/>
      </w:tblGrid>
      <w:tr>
        <w:tblPrEx>
          <w:tblCellMar>
            <w:top w:w="0" w:type="dxa"/>
            <w:left w:w="108" w:type="dxa"/>
            <w:bottom w:w="0" w:type="dxa"/>
            <w:right w:w="108" w:type="dxa"/>
          </w:tblCellMar>
        </w:tblPrEx>
        <w:trPr>
          <w:trHeight w:val="520" w:hRule="atLeast"/>
        </w:trPr>
        <w:tc>
          <w:tcPr>
            <w:tcW w:w="149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问题分类</w:t>
            </w:r>
          </w:p>
        </w:tc>
        <w:tc>
          <w:tcPr>
            <w:tcW w:w="4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序号</w:t>
            </w:r>
          </w:p>
        </w:tc>
        <w:tc>
          <w:tcPr>
            <w:tcW w:w="307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问题描述</w:t>
            </w:r>
          </w:p>
        </w:tc>
      </w:tr>
      <w:tr>
        <w:tblPrEx>
          <w:tblCellMar>
            <w:top w:w="0" w:type="dxa"/>
            <w:left w:w="108" w:type="dxa"/>
            <w:bottom w:w="0" w:type="dxa"/>
            <w:right w:w="108" w:type="dxa"/>
          </w:tblCellMar>
        </w:tblPrEx>
        <w:trPr>
          <w:trHeight w:val="570" w:hRule="atLeast"/>
        </w:trPr>
        <w:tc>
          <w:tcPr>
            <w:tcW w:w="149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投入存在的问题</w:t>
            </w:r>
          </w:p>
        </w:tc>
        <w:tc>
          <w:tcPr>
            <w:tcW w:w="4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307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绩效指标明确性欠缺，绩效目标与年度实际情况不匹配，绩效目标未随同预算调整同步完善。</w:t>
            </w:r>
          </w:p>
        </w:tc>
      </w:tr>
      <w:tr>
        <w:tblPrEx>
          <w:tblCellMar>
            <w:top w:w="0" w:type="dxa"/>
            <w:left w:w="108" w:type="dxa"/>
            <w:bottom w:w="0" w:type="dxa"/>
            <w:right w:w="108" w:type="dxa"/>
          </w:tblCellMar>
        </w:tblPrEx>
        <w:trPr>
          <w:trHeight w:val="570" w:hRule="atLeast"/>
        </w:trPr>
        <w:tc>
          <w:tcPr>
            <w:tcW w:w="1493" w:type="pct"/>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过程存在的问题</w:t>
            </w:r>
          </w:p>
        </w:tc>
        <w:tc>
          <w:tcPr>
            <w:tcW w:w="4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c>
          <w:tcPr>
            <w:tcW w:w="307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预算执行率不足，连续两年出现结转结余资金。</w:t>
            </w:r>
          </w:p>
        </w:tc>
      </w:tr>
      <w:tr>
        <w:tblPrEx>
          <w:tblCellMar>
            <w:top w:w="0" w:type="dxa"/>
            <w:left w:w="108" w:type="dxa"/>
            <w:bottom w:w="0" w:type="dxa"/>
            <w:right w:w="108" w:type="dxa"/>
          </w:tblCellMar>
        </w:tblPrEx>
        <w:trPr>
          <w:trHeight w:val="570" w:hRule="atLeast"/>
        </w:trPr>
        <w:tc>
          <w:tcPr>
            <w:tcW w:w="1493"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4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307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预算执行缺乏监控，预算调整率较高</w:t>
            </w:r>
          </w:p>
        </w:tc>
      </w:tr>
      <w:tr>
        <w:tblPrEx>
          <w:tblCellMar>
            <w:top w:w="0" w:type="dxa"/>
            <w:left w:w="108" w:type="dxa"/>
            <w:bottom w:w="0" w:type="dxa"/>
            <w:right w:w="108" w:type="dxa"/>
          </w:tblCellMar>
        </w:tblPrEx>
        <w:trPr>
          <w:trHeight w:val="570" w:hRule="atLeast"/>
        </w:trPr>
        <w:tc>
          <w:tcPr>
            <w:tcW w:w="149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产出存在的问题</w:t>
            </w:r>
          </w:p>
        </w:tc>
        <w:tc>
          <w:tcPr>
            <w:tcW w:w="43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c>
          <w:tcPr>
            <w:tcW w:w="307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部门重点工作支出无绩效目标，缺乏工作完成质量评价标准</w:t>
            </w:r>
          </w:p>
        </w:tc>
      </w:tr>
    </w:tbl>
    <w:p>
      <w:pPr>
        <w:pStyle w:val="2"/>
        <w:rPr>
          <w:rFonts w:hint="default"/>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widowControl w:val="0"/>
        <w:numPr>
          <w:ilvl w:val="0"/>
          <w:numId w:val="0"/>
        </w:numPr>
        <w:jc w:val="both"/>
        <w:outlineLvl w:val="0"/>
        <w:rPr>
          <w:rFonts w:hint="eastAsia" w:ascii="黑体" w:hAnsi="黑体" w:eastAsia="黑体" w:cs="黑体"/>
          <w:color w:val="auto"/>
          <w:kern w:val="0"/>
          <w:sz w:val="32"/>
          <w:szCs w:val="32"/>
          <w:highlight w:val="none"/>
          <w:shd w:val="clear" w:color="auto" w:fill="FFFFFF"/>
          <w:lang w:val="en-US" w:eastAsia="zh-CN"/>
        </w:rPr>
      </w:pPr>
    </w:p>
    <w:p>
      <w:pPr>
        <w:pStyle w:val="2"/>
        <w:rPr>
          <w:rFonts w:hint="eastAsia"/>
          <w:lang w:val="en-US" w:eastAsia="zh-CN"/>
        </w:rPr>
      </w:pPr>
    </w:p>
    <w:p>
      <w:pPr>
        <w:widowControl w:val="0"/>
        <w:numPr>
          <w:ilvl w:val="0"/>
          <w:numId w:val="0"/>
        </w:numPr>
        <w:jc w:val="both"/>
        <w:outlineLvl w:val="9"/>
        <w:rPr>
          <w:rFonts w:hint="default" w:ascii="黑体" w:hAnsi="黑体" w:eastAsia="黑体" w:cs="黑体"/>
          <w:b/>
          <w:color w:val="000000"/>
          <w:sz w:val="32"/>
          <w:szCs w:val="32"/>
          <w:highlight w:val="none"/>
          <w:lang w:val="en-US" w:eastAsia="zh-Hans" w:bidi="ar"/>
        </w:rPr>
      </w:pPr>
      <w:r>
        <w:rPr>
          <w:rFonts w:hint="eastAsia" w:ascii="黑体" w:hAnsi="黑体" w:eastAsia="黑体" w:cs="黑体"/>
          <w:color w:val="auto"/>
          <w:kern w:val="0"/>
          <w:sz w:val="32"/>
          <w:szCs w:val="32"/>
          <w:highlight w:val="none"/>
          <w:shd w:val="clear" w:color="auto" w:fill="FFFFFF"/>
          <w:lang w:val="en-US" w:eastAsia="zh-CN"/>
        </w:rPr>
        <w:t>附件</w:t>
      </w:r>
      <w:bookmarkEnd w:id="38"/>
      <w:bookmarkEnd w:id="39"/>
      <w:bookmarkEnd w:id="40"/>
      <w:r>
        <w:rPr>
          <w:rFonts w:hint="eastAsia" w:ascii="黑体" w:hAnsi="黑体" w:eastAsia="黑体" w:cs="黑体"/>
          <w:color w:val="auto"/>
          <w:kern w:val="0"/>
          <w:sz w:val="32"/>
          <w:szCs w:val="32"/>
          <w:highlight w:val="none"/>
          <w:shd w:val="clear" w:color="auto" w:fill="FFFFFF"/>
          <w:lang w:val="en-US" w:eastAsia="zh-CN"/>
        </w:rPr>
        <w:t>3</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723" w:firstLineChars="200"/>
        <w:jc w:val="center"/>
        <w:textAlignment w:val="auto"/>
        <w:rPr>
          <w:rFonts w:hint="eastAsia" w:cs="宋体"/>
          <w:b/>
          <w:bCs/>
          <w:color w:val="auto"/>
          <w:kern w:val="0"/>
          <w:sz w:val="36"/>
          <w:szCs w:val="36"/>
          <w:highlight w:val="none"/>
          <w:shd w:val="clear" w:color="auto" w:fill="FFFFFF"/>
          <w:lang w:val="en-US" w:eastAsia="zh-CN"/>
        </w:rPr>
      </w:pPr>
      <w:bookmarkStart w:id="41" w:name="_Toc994383943_WPSOffice_Level3"/>
      <w:bookmarkStart w:id="42" w:name="_Toc269227630_WPSOffice_Level3"/>
      <w:r>
        <w:rPr>
          <w:rFonts w:hint="eastAsia" w:ascii="宋体" w:hAnsi="宋体" w:eastAsia="宋体" w:cs="宋体"/>
          <w:b/>
          <w:bCs/>
          <w:color w:val="auto"/>
          <w:kern w:val="0"/>
          <w:sz w:val="36"/>
          <w:szCs w:val="36"/>
          <w:highlight w:val="none"/>
          <w:shd w:val="clear" w:color="auto" w:fill="FFFFFF"/>
          <w:lang w:val="en-US" w:eastAsia="zh-Hans"/>
        </w:rPr>
        <w:t>2020年度</w:t>
      </w:r>
      <w:r>
        <w:rPr>
          <w:rFonts w:hint="eastAsia" w:ascii="宋体" w:hAnsi="宋体" w:eastAsia="宋体" w:cs="宋体"/>
          <w:b/>
          <w:bCs/>
          <w:color w:val="auto"/>
          <w:kern w:val="0"/>
          <w:sz w:val="36"/>
          <w:szCs w:val="36"/>
          <w:highlight w:val="none"/>
          <w:shd w:val="clear" w:color="auto" w:fill="FFFFFF"/>
          <w:lang w:val="en-US" w:eastAsia="zh-CN"/>
        </w:rPr>
        <w:t>铜川市新区</w:t>
      </w:r>
      <w:r>
        <w:rPr>
          <w:rFonts w:hint="eastAsia" w:cs="宋体"/>
          <w:b/>
          <w:bCs/>
          <w:color w:val="auto"/>
          <w:kern w:val="0"/>
          <w:sz w:val="36"/>
          <w:szCs w:val="36"/>
          <w:highlight w:val="none"/>
          <w:shd w:val="clear" w:color="auto" w:fill="FFFFFF"/>
          <w:lang w:val="en-US" w:eastAsia="zh-CN"/>
        </w:rPr>
        <w:t>妇幼保健计划生育服务中心</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723" w:firstLineChars="200"/>
        <w:jc w:val="center"/>
        <w:textAlignment w:val="auto"/>
        <w:rPr>
          <w:rFonts w:hint="default" w:ascii="Times New Roman" w:hAnsi="Times New Roman" w:eastAsia="仿宋_GB2312" w:cs="Times New Roman"/>
          <w:color w:val="auto"/>
          <w:kern w:val="0"/>
          <w:sz w:val="24"/>
          <w:szCs w:val="24"/>
          <w:highlight w:val="none"/>
          <w:shd w:val="clear" w:color="auto" w:fill="FFFFFF"/>
          <w:lang w:val="en-US" w:eastAsia="zh-CN"/>
        </w:rPr>
      </w:pPr>
      <w:r>
        <w:rPr>
          <w:rFonts w:hint="eastAsia" w:ascii="宋体" w:hAnsi="宋体" w:eastAsia="宋体" w:cs="宋体"/>
          <w:b/>
          <w:bCs/>
          <w:color w:val="auto"/>
          <w:kern w:val="0"/>
          <w:sz w:val="36"/>
          <w:szCs w:val="36"/>
          <w:highlight w:val="none"/>
          <w:shd w:val="clear" w:color="auto" w:fill="FFFFFF"/>
          <w:lang w:val="en-US" w:eastAsia="zh-CN"/>
        </w:rPr>
        <w:t>部门</w:t>
      </w:r>
      <w:r>
        <w:rPr>
          <w:rFonts w:hint="eastAsia" w:ascii="宋体" w:hAnsi="宋体" w:eastAsia="宋体" w:cs="宋体"/>
          <w:b/>
          <w:bCs/>
          <w:color w:val="auto"/>
          <w:kern w:val="0"/>
          <w:sz w:val="36"/>
          <w:szCs w:val="36"/>
          <w:highlight w:val="none"/>
          <w:shd w:val="clear" w:color="auto" w:fill="FFFFFF"/>
          <w:lang w:val="en-US" w:eastAsia="zh-Hans"/>
        </w:rPr>
        <w:t>整体支出</w:t>
      </w:r>
      <w:bookmarkEnd w:id="41"/>
      <w:bookmarkEnd w:id="42"/>
      <w:r>
        <w:rPr>
          <w:rFonts w:hint="eastAsia" w:ascii="宋体" w:hAnsi="宋体" w:eastAsia="宋体" w:cs="宋体"/>
          <w:b/>
          <w:bCs/>
          <w:color w:val="auto"/>
          <w:kern w:val="0"/>
          <w:sz w:val="36"/>
          <w:szCs w:val="36"/>
          <w:highlight w:val="none"/>
          <w:shd w:val="clear" w:color="auto" w:fill="FFFFFF"/>
          <w:lang w:val="en-US" w:eastAsia="zh-CN"/>
        </w:rPr>
        <w:t>绩效评价</w:t>
      </w:r>
      <w:r>
        <w:rPr>
          <w:rFonts w:hint="eastAsia" w:cs="宋体"/>
          <w:b/>
          <w:bCs/>
          <w:color w:val="auto"/>
          <w:kern w:val="0"/>
          <w:sz w:val="36"/>
          <w:szCs w:val="36"/>
          <w:highlight w:val="none"/>
          <w:shd w:val="clear" w:color="auto" w:fill="FFFFFF"/>
          <w:lang w:val="en-US" w:eastAsia="zh-CN"/>
        </w:rPr>
        <w:t>指标体系</w:t>
      </w:r>
    </w:p>
    <w:tbl>
      <w:tblPr>
        <w:tblStyle w:val="15"/>
        <w:tblW w:w="4998" w:type="pct"/>
        <w:tblInd w:w="0" w:type="dxa"/>
        <w:shd w:val="clear" w:color="auto" w:fill="auto"/>
        <w:tblLayout w:type="autofit"/>
        <w:tblCellMar>
          <w:top w:w="0" w:type="dxa"/>
          <w:left w:w="0" w:type="dxa"/>
          <w:bottom w:w="0" w:type="dxa"/>
          <w:right w:w="0" w:type="dxa"/>
        </w:tblCellMar>
      </w:tblPr>
      <w:tblGrid>
        <w:gridCol w:w="1063"/>
        <w:gridCol w:w="1040"/>
        <w:gridCol w:w="1090"/>
        <w:gridCol w:w="2810"/>
        <w:gridCol w:w="1997"/>
        <w:gridCol w:w="826"/>
      </w:tblGrid>
      <w:tr>
        <w:tblPrEx>
          <w:shd w:val="clear" w:color="auto" w:fill="auto"/>
          <w:tblCellMar>
            <w:top w:w="0" w:type="dxa"/>
            <w:left w:w="0" w:type="dxa"/>
            <w:bottom w:w="0" w:type="dxa"/>
            <w:right w:w="0" w:type="dxa"/>
          </w:tblCellMar>
        </w:tblPrEx>
        <w:trPr>
          <w:trHeight w:val="300" w:hRule="atLeast"/>
        </w:trPr>
        <w:tc>
          <w:tcPr>
            <w:tcW w:w="60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一级指标</w:t>
            </w:r>
          </w:p>
        </w:tc>
        <w:tc>
          <w:tcPr>
            <w:tcW w:w="58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二级指标</w:t>
            </w: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三级指标</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评价要点</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评分标准</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r>
      <w:tr>
        <w:tblPrEx>
          <w:shd w:val="clear" w:color="auto" w:fill="auto"/>
          <w:tblCellMar>
            <w:top w:w="0" w:type="dxa"/>
            <w:left w:w="0" w:type="dxa"/>
            <w:bottom w:w="0" w:type="dxa"/>
            <w:right w:w="0" w:type="dxa"/>
          </w:tblCellMar>
        </w:tblPrEx>
        <w:trPr>
          <w:trHeight w:val="2760" w:hRule="atLeast"/>
        </w:trPr>
        <w:tc>
          <w:tcPr>
            <w:tcW w:w="60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投入</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w:t>
            </w:r>
          </w:p>
        </w:tc>
        <w:tc>
          <w:tcPr>
            <w:tcW w:w="58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目标设定（8）</w:t>
            </w: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绩效目标合理性（4）</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①是否符合国家法律法规、国民经济和社会发展总体规划（1）               ②是否符合部门“三定”方案确定的职责（1）                     ③是否符合部门制定的中长期实施规划（1）                     ④绩效目标是否进行年度申报并进行公开（1）</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该指标根据指标说明项，出现1项不符合的扣1分，哪项不完全相符合的，在对应的分值之内酌情扣分，扣完为止。</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24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绩效指标明确性（4）</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①是否将部门整体的绩效目标细化分解为具体的工作任务（1）               ②是否通过清晰、可衡量的指标值予以体现（1）                   ③是否与部门年度的任务数或计划数相对应（1）                         ④是否与本年度部门预算资金相匹配（1）</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该指标根据指标说明项，出现1项不符合的扣1分，哪项不完全相符合的，在对应的分值之内酌情扣分，扣完为止。</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21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预算配置（6）</w:t>
            </w: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在职人员控制率（2）</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在职人员控制率=（在职人员数/编制数）×100%                 在职人员数：部门实际在职人数，以财政部确定的部门决算编制口径为准                         编制数：机构编制部门核定批复的部门的人员编制数</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100%及以下，满分。100%～105%，扣减10%分值。105%～110%，扣减30%分值。110%～120%，扣减50%分值。120%以上，不得分。</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21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“三公经费”变动率（2）</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“三公经费”变动率=[（2020年度“三公经费”总额 -2019年度“三公经费”总额）/2019年度“三公经费”总额]×100%。             “三公经费”：年度预算安排的因公出国（境）费 、公务车辆购置及运行费和公务招待费。</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0%及以下，满分。0%～5%，扣减10%分值 。5%～10%，扣减30%分值。10%～20%，扣 减50%分值。20%以上，不得分。</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27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重点支出安排率（2）</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重点支出安排率=（重点项目支出/项目总支出）×100%                   重点项目支出：部门2020年度预算安排的，与本部门履职和发展密切相关、具有明显社会和经济影响、党委政府关心或社会比较关注的项目支出总额                     项目总支出：部门2020年度调整预算安排的项目支出总额。</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分值=指标分值*重点支出安排率</w:t>
            </w:r>
          </w:p>
        </w:tc>
        <w:tc>
          <w:tcPr>
            <w:tcW w:w="468" w:type="pct"/>
            <w:tcBorders>
              <w:top w:val="nil"/>
              <w:left w:val="nil"/>
              <w:bottom w:val="nil"/>
              <w:right w:val="nil"/>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800" w:hRule="atLeast"/>
        </w:trPr>
        <w:tc>
          <w:tcPr>
            <w:tcW w:w="60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过程</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（30）</w:t>
            </w:r>
          </w:p>
        </w:tc>
        <w:tc>
          <w:tcPr>
            <w:tcW w:w="58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预算执行（14）</w:t>
            </w: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预算完成率（2）</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预算完成率=（预算完成数/决算数）×100%                    预算完成数：部门本年度实际完成的预算数                           决算数：财政部门批复的本年度部门及年度追加调减后的决算数</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分值=指标分值*预算完成率</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21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预算调整率（2）</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预算调整率=（预算调整数/决算数）×100%。                 预算调整数：部门在本年度内涉及预算的追加、追减或结构调整的资金总和。（因落实国家政策、发生不可抗力、上级部门或本级党委政府临时交办而产生的调整除外）</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0%及以下，满分。0%～5%，扣减10%分值 。5%～10%，扣减30%分值。10%～20%，扣减50%分值。20%以上，不得分</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5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结转结余率（2）</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结转结余率=结转结余总额/支出调整预算数×100%               结转结余总额：部门本年度的结转资金与结余资金之和（以决算数为准）</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5%及以下，满分。5%～10%，扣减30%分值。10%～20%，扣减50%分值。20%以上，不得分。</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5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结转结余变动率（2）</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结转结余变动率=[（2020年度累计结转结余资金总额-2019年度累计结转结余资金总额）/2020年度累计结转结余资金总额]×100%</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0%及以下，满分。0%～5%，扣减10%分值 。5%～10%，扣减30%分值。10%～20%，扣减50%分值。20%以上，不得分。</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8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公用经费控制率（2）</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公用经费控制率=（实际支出公用经费总额/预算安排公用经费总额）×100%</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100%及以下，满分。100%～105%，扣减10%分值。105%～110%，扣减30%分值。110%～120%，扣减50%分值。120%以上，不得分。</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8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“三公”经费控制率（2）</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“三公经费”控制率=（“三公经费”实际支出数 /“三公经费”预算安排数）×100%</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100%及以下，满分。100%～105%，扣减 10%分值。105%～110%，扣减30%分值。110%～120%，扣减50%分值。120%以上，不得分</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8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政府采购执行率（2）</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政府采购执行率=（实际政府采购金额/政府采购预算数）×100%； 政府采购预算：采购机关根据事业发展计划和行政任务编制的、并经过规定程序批准的年度政府采购计划</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100%及以下，满分。100%～105%，扣减10%分值。105%～110%，扣减30%分值。110%～120%，扣减50%分值。120%以上，不得分</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8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预算管理（8.5）</w:t>
            </w: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管理制度健全性（2）</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①是否已制定或具有预算绩效管理制度、预算资金管理办法、内部财务管理制度、会计核算制度等管理制度（1）                    ②相关管理制度是否合法、合规、完整（1） </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该指标根据指标说明项，出现1项不符合的扣1分，哪项不完全相符合的，在对应的分值之内酌情扣分，扣完为止。</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2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资金使用合规性（2.5）</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①是否符合国家财经法规和财务管理制度规定以及有关专项资金管理办法的规定（0.5）                 ②资金的拨付是否有完整的审批程序和手续（0.5）                    ③项目的重大开支是否经过评估论证（0.5）                             ④是否符合部门预算批复的用途（0.5）                        ⑤是否存在截留、挤占、挪用、虚列支出等情况（0.5）</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该指标根据指标说明项，出现1项不符合的扣0.5分，哪项不完全相符合的，在对应的分值之内酌情扣分，扣完为止。</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18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预算执行监控（2）</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①部门是否建立预算执行监控制度（1）                             ②部门是否进行日常监控和重点监控，并针对预算执行偏差较大的项目采取纠偏措施（1）</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该指标根据指标说明项，出现1项不符合的扣1分，哪项不完全相符合的，在对应的分值之内酌情扣分，扣完为止。</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21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预决算信息公开性（2）</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①是否按规定内容公开预决算信息（1）                         ②是否按规定时限公开预决算信息（1）                           预决算信息是指与部门预算、执行、决算、监督、 绩效等管理相关的信息。</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该指标根据指标说明项，出现1项不符合的扣1分，哪项不完全相符合的，在对应的分值之内酌情扣分，扣完为止。</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8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资产管理（7.5）</w:t>
            </w: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管理制度健全性（3）</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①是否已制定或具有资产管理制度（1）                           ②相关资金管理制度是否合法、合规、完整（1）                      ③相关资产管理制度是否得到有效执行（1）</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该指标根据指标说明项，出现1项不符合的扣1分，哪项不完全相符合的，在对应的分值之内酌情扣分，扣完为止</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21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资产管理安全性（2.5）</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①资产保存是否完整（0.5）              ②资产配置是否合理（0.5）                        ③资产处置是否规范（0.5）               ④资产账务管理是否合规，是否帐实相符（0.5）                      ⑤资产是否有偿使用及处置收入及时足额上缴（0.5）</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该指标根据指标说明项，出现1项不符合的扣0.5分，哪项不完全相符合的，在对应的分值之内酌情扣分，扣完为止</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35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固定资产利用率（2）</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固定资产利用率=（实际在用固定资产总额/所有固定资产总额）×100%</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得分=指标分值×固定资产利用率</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330" w:hRule="atLeast"/>
        </w:trPr>
        <w:tc>
          <w:tcPr>
            <w:tcW w:w="60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产出</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w:t>
            </w:r>
          </w:p>
        </w:tc>
        <w:tc>
          <w:tcPr>
            <w:tcW w:w="58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职责履行（32）</w:t>
            </w: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重点工作办结率（8）</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实际完成率=（实际完成工作数/计划工作数） ×100%。                 实际完成工作数：一定时期（年度或规划期）内部 门（单位）实际完成工作任务的数量。               计划工作数：部门（单位）整体绩效目标确定的一 定时期（年度或规划期）内预计完成工作任务的数量。</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得分=本指标分值×重点支出办结率</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18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重点工作完成及时率（8）</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完成及时率=（及时完成实际工作数/计划工作数） ×100%。                    及时完成实际工作数：部门（单位）按照整体绩效 目标确定的时限实际完成的工作任务数量。</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得分=本指标分值×重点工作完成及时率</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178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重点工作质量达标率（8）</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质量达标率=（质量达标实际工作数/计划工作数） ×100%。                 质量达标实际工作数：一定时期（年度或规划期） 内部门（单位）实际完成工作数中达到部门绩效目标要求（绩效标准值）的工作任务数量</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得分=本指标分值×重点工作质量达标率</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24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成本节约率（8）</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成本节约率=[（计划成本-实际成本）/计划成 本]×100%。                      实际成本：单位如期、保质、保量完成既定工作目标实际所耗费的支出。                          计划成本：单位为完成工作目标计划安排的支出，一般以项目预算为参考。</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成本节约率在0～5%之间，满分。超过部分按比例扣分。</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1500" w:hRule="atLeast"/>
        </w:trPr>
        <w:tc>
          <w:tcPr>
            <w:tcW w:w="60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p>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效果</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（24）</w:t>
            </w:r>
          </w:p>
        </w:tc>
        <w:tc>
          <w:tcPr>
            <w:tcW w:w="58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履职效益（24）</w:t>
            </w: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婚检覆盖情况（5）</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婚检率=婚检人数/年度区域结婚人数</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（1）婚检率超过50%，满分。             （2）婚检率低于50%，每降低10%，扣1分，不足10%，按照10%计算。</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9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产前筛查人数变动情况（5）</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2020年度相比于2019年度产前筛查人数变动情况</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（1）2020年度相比于2019年度产前各项筛查人数均增加，得满分。             （2）2020年度相比于2019年度产前各项筛查人数有1项减少，不得分</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24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新生儿疾病筛查人数变动情况（5）</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2020年度相比于2019年度新生儿疾病筛查人数的变动情况</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（1）2020年度相比于2019年度新生儿各项检查人数均增加，得满分。                 （2）2020年度相比于2019年度新生儿各项检查人数有1项减少，不得分</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12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妇幼健康服务项目督导考核机制（5）</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部门是否建立妇幼健康服务项目督导考核机制和考核标准。</w:t>
            </w: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具有考核机制和考核标准，每一项得2分。本项最高得5分。</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12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58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6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服务对象满意度（4）</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left"/>
              <w:rPr>
                <w:rFonts w:hint="eastAsia" w:ascii="仿宋" w:hAnsi="仿宋" w:eastAsia="仿宋" w:cs="仿宋"/>
                <w:i w:val="0"/>
                <w:color w:val="000000"/>
                <w:sz w:val="24"/>
                <w:szCs w:val="24"/>
                <w:u w:val="none"/>
              </w:rPr>
            </w:pP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1.满意（4）             2.比价满意（2）                 3.一般（1）              4.不满意（0）</w:t>
            </w: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300" w:hRule="atLeast"/>
        </w:trPr>
        <w:tc>
          <w:tcPr>
            <w:tcW w:w="1808" w:type="pct"/>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159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46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r>
    </w:tbl>
    <w:p>
      <w:pPr>
        <w:spacing w:before="120" w:beforeLines="50" w:after="120" w:afterLines="50" w:line="360" w:lineRule="auto"/>
        <w:outlineLvl w:val="9"/>
        <w:rPr>
          <w:rFonts w:hint="eastAsia"/>
          <w:highlight w:val="none"/>
          <w:lang w:eastAsia="zh-Hans"/>
        </w:rPr>
      </w:pPr>
    </w:p>
    <w:sectPr>
      <w:footerReference r:id="rId6" w:type="default"/>
      <w:pgSz w:w="11910" w:h="16840"/>
      <w:pgMar w:top="2098" w:right="1474" w:bottom="1984" w:left="1587" w:header="1017" w:footer="1206" w:gutter="0"/>
      <w:pgNumType w:fmt="numberInDash"/>
      <w:cols w:equalWidth="0" w:num="1">
        <w:col w:w="881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DejaVu Sans">
    <w:altName w:val="Times New Roman"/>
    <w:panose1 w:val="02020603050405020304"/>
    <w:charset w:val="00"/>
    <w:family w:val="roman"/>
    <w:pitch w:val="default"/>
    <w:sig w:usb0="00000000" w:usb1="00000000" w:usb2="00000008" w:usb3="00000000" w:csb0="0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4384" behindDoc="0" locked="0" layoutInCell="1" allowOverlap="1">
              <wp:simplePos x="0" y="0"/>
              <wp:positionH relativeFrom="margin">
                <wp:align>inside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inside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r>
      <w:rPr>
        <w:sz w:val="2"/>
      </w:rPr>
      <mc:AlternateContent>
        <mc:Choice Requires="wps">
          <w:drawing>
            <wp:anchor distT="0" distB="0" distL="114300" distR="114300" simplePos="0" relativeHeight="251662336" behindDoc="0" locked="0" layoutInCell="1" allowOverlap="1">
              <wp:simplePos x="0" y="0"/>
              <wp:positionH relativeFrom="margin">
                <wp:align>inside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- 27 -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ind w:left="0"/>
      <w:rPr>
        <w:sz w:val="20"/>
      </w:rPr>
    </w:pPr>
    <w:r>
      <mc:AlternateContent>
        <mc:Choice Requires="wps">
          <w:drawing>
            <wp:anchor distT="0" distB="0" distL="114300" distR="114300" simplePos="0" relativeHeight="251660288" behindDoc="1" locked="0" layoutInCell="1" allowOverlap="1">
              <wp:simplePos x="0" y="0"/>
              <wp:positionH relativeFrom="page">
                <wp:posOffset>1791335</wp:posOffset>
              </wp:positionH>
              <wp:positionV relativeFrom="page">
                <wp:posOffset>623570</wp:posOffset>
              </wp:positionV>
              <wp:extent cx="3945890" cy="215265"/>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3945890" cy="215265"/>
                      </a:xfrm>
                      <a:prstGeom prst="rect">
                        <a:avLst/>
                      </a:prstGeom>
                      <a:noFill/>
                      <a:ln w="9525">
                        <a:noFill/>
                      </a:ln>
                    </wps:spPr>
                    <wps:txbx>
                      <w:txbxContent>
                        <w:p>
                          <w:pPr>
                            <w:pStyle w:val="9"/>
                            <w:keepNext w:val="0"/>
                            <w:keepLines w:val="0"/>
                            <w:pageBreakBefore w:val="0"/>
                            <w:pBdr>
                              <w:bottom w:val="thinThickLargeGap" w:color="auto" w:sz="4" w:space="1"/>
                            </w:pBdr>
                            <w:kinsoku/>
                            <w:wordWrap/>
                            <w:overflowPunct/>
                            <w:topLinePunct w:val="0"/>
                            <w:autoSpaceDE/>
                            <w:autoSpaceDN/>
                            <w:bidi w:val="0"/>
                            <w:adjustRightInd/>
                            <w:spacing w:line="360" w:lineRule="auto"/>
                            <w:ind w:right="0" w:rightChars="0" w:firstLine="0" w:firstLineChars="0"/>
                            <w:jc w:val="both"/>
                            <w:textAlignment w:val="auto"/>
                            <w:outlineLvl w:val="9"/>
                            <w:rPr>
                              <w:rFonts w:hint="eastAsia" w:ascii="Calibri" w:hAnsi="Calibri" w:cs="Times New Roman"/>
                              <w:b/>
                              <w:bCs/>
                              <w:i w:val="0"/>
                              <w:iCs w:val="0"/>
                              <w:kern w:val="2"/>
                              <w:sz w:val="18"/>
                              <w:szCs w:val="18"/>
                              <w:lang w:val="en-US" w:eastAsia="zh-Hans"/>
                            </w:rPr>
                          </w:pPr>
                        </w:p>
                        <w:p>
                          <w:pPr>
                            <w:keepNext w:val="0"/>
                            <w:keepLines w:val="0"/>
                            <w:pageBreakBefore w:val="0"/>
                            <w:kinsoku/>
                            <w:wordWrap/>
                            <w:overflowPunct/>
                            <w:topLinePunct w:val="0"/>
                            <w:autoSpaceDE/>
                            <w:autoSpaceDN/>
                            <w:bidi w:val="0"/>
                            <w:adjustRightInd/>
                            <w:spacing w:line="360" w:lineRule="auto"/>
                            <w:ind w:left="20" w:right="0" w:rightChars="0" w:firstLine="0" w:firstLineChars="0"/>
                            <w:textAlignment w:val="auto"/>
                            <w:rPr>
                              <w:rFonts w:ascii="仿宋" w:eastAsia="仿宋"/>
                              <w:i w:val="0"/>
                              <w:iCs w:val="0"/>
                              <w:sz w:val="18"/>
                              <w:szCs w:val="18"/>
                              <w:lang w:eastAsia="zh-Hans"/>
                            </w:rPr>
                          </w:pPr>
                        </w:p>
                      </w:txbxContent>
                    </wps:txbx>
                    <wps:bodyPr lIns="0" tIns="0" rIns="0" bIns="0" upright="1"/>
                  </wps:wsp>
                </a:graphicData>
              </a:graphic>
            </wp:anchor>
          </w:drawing>
        </mc:Choice>
        <mc:Fallback>
          <w:pict>
            <v:shape id="_x0000_s1026" o:spid="_x0000_s1026" o:spt="202" type="#_x0000_t202" style="position:absolute;left:0pt;margin-left:141.05pt;margin-top:49.1pt;height:16.95pt;width:310.7pt;mso-position-horizontal-relative:page;mso-position-vertical-relative:page;z-index:-251656192;mso-width-relative:page;mso-height-relative:page;" filled="f" stroked="f" coordsize="21600,21600" o:gfxdata="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9Anp/YAAAACgEAAA8AAAAAAAAAAQAgAAAAIgAAAGRycy9kb3ducmV2&#10;LnhtbFBLAQIUABQAAAAIAIdO4kCXiU2BwwEAAH0DAAAOAAAAAAAAAAEAIAAAACcBAABkcnMvZTJv&#10;RG9jLnhtbFBLBQYAAAAABgAGAFkBAABcBQAAAAA=&#10;">
              <v:fill on="f" focussize="0,0"/>
              <v:stroke on="f"/>
              <v:imagedata o:title=""/>
              <o:lock v:ext="edit" aspectratio="f"/>
              <v:textbox inset="0mm,0mm,0mm,0mm">
                <w:txbxContent>
                  <w:p>
                    <w:pPr>
                      <w:pStyle w:val="9"/>
                      <w:keepNext w:val="0"/>
                      <w:keepLines w:val="0"/>
                      <w:pageBreakBefore w:val="0"/>
                      <w:pBdr>
                        <w:bottom w:val="thinThickLargeGap" w:color="auto" w:sz="4" w:space="1"/>
                      </w:pBdr>
                      <w:kinsoku/>
                      <w:wordWrap/>
                      <w:overflowPunct/>
                      <w:topLinePunct w:val="0"/>
                      <w:autoSpaceDE/>
                      <w:autoSpaceDN/>
                      <w:bidi w:val="0"/>
                      <w:adjustRightInd/>
                      <w:spacing w:line="360" w:lineRule="auto"/>
                      <w:ind w:right="0" w:rightChars="0" w:firstLine="0" w:firstLineChars="0"/>
                      <w:jc w:val="both"/>
                      <w:textAlignment w:val="auto"/>
                      <w:outlineLvl w:val="9"/>
                      <w:rPr>
                        <w:rFonts w:hint="eastAsia" w:ascii="Calibri" w:hAnsi="Calibri" w:cs="Times New Roman"/>
                        <w:b/>
                        <w:bCs/>
                        <w:i w:val="0"/>
                        <w:iCs w:val="0"/>
                        <w:kern w:val="2"/>
                        <w:sz w:val="18"/>
                        <w:szCs w:val="18"/>
                        <w:lang w:val="en-US" w:eastAsia="zh-Hans"/>
                      </w:rPr>
                    </w:pPr>
                  </w:p>
                  <w:p>
                    <w:pPr>
                      <w:keepNext w:val="0"/>
                      <w:keepLines w:val="0"/>
                      <w:pageBreakBefore w:val="0"/>
                      <w:kinsoku/>
                      <w:wordWrap/>
                      <w:overflowPunct/>
                      <w:topLinePunct w:val="0"/>
                      <w:autoSpaceDE/>
                      <w:autoSpaceDN/>
                      <w:bidi w:val="0"/>
                      <w:adjustRightInd/>
                      <w:spacing w:line="360" w:lineRule="auto"/>
                      <w:ind w:left="20" w:right="0" w:rightChars="0" w:firstLine="0" w:firstLineChars="0"/>
                      <w:textAlignment w:val="auto"/>
                      <w:rPr>
                        <w:rFonts w:ascii="仿宋" w:eastAsia="仿宋"/>
                        <w:i w:val="0"/>
                        <w:iCs w:val="0"/>
                        <w:sz w:val="18"/>
                        <w:szCs w:val="18"/>
                        <w:lang w:eastAsia="zh-Hans"/>
                      </w:rPr>
                    </w:pP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1143000</wp:posOffset>
              </wp:positionH>
              <wp:positionV relativeFrom="page">
                <wp:posOffset>789940</wp:posOffset>
              </wp:positionV>
              <wp:extent cx="5274310" cy="5715"/>
              <wp:effectExtent l="0" t="0" r="0" b="0"/>
              <wp:wrapNone/>
              <wp:docPr id="14" name="矩形 14"/>
              <wp:cNvGraphicFramePr/>
              <a:graphic xmlns:a="http://schemas.openxmlformats.org/drawingml/2006/main">
                <a:graphicData uri="http://schemas.microsoft.com/office/word/2010/wordprocessingShape">
                  <wps:wsp>
                    <wps:cNvSpPr/>
                    <wps:spPr>
                      <a:xfrm>
                        <a:off x="0" y="0"/>
                        <a:ext cx="5274310" cy="5715"/>
                      </a:xfrm>
                      <a:prstGeom prst="rect">
                        <a:avLst/>
                      </a:prstGeom>
                      <a:solidFill>
                        <a:srgbClr val="000000"/>
                      </a:solidFill>
                      <a:ln w="9525">
                        <a:noFill/>
                      </a:ln>
                    </wps:spPr>
                    <wps:bodyPr upright="1"/>
                  </wps:wsp>
                </a:graphicData>
              </a:graphic>
            </wp:anchor>
          </w:drawing>
        </mc:Choice>
        <mc:Fallback>
          <w:pict>
            <v:rect id="_x0000_s1026" o:spid="_x0000_s1026" o:spt="1" style="position:absolute;left:0pt;margin-left:90pt;margin-top:62.2pt;height:0.45pt;width:415.3pt;mso-position-horizontal-relative:page;mso-position-vertical-relative:page;z-index:-251657216;mso-width-relative:page;mso-height-relative:page;" fillcolor="#000000" filled="t" stroked="f" coordsize="21600,21600" o:gfxdata="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qC3gf2QAAAAwBAAAPAAAAAAAAAAEAIAAAACIAAABkcnMvZG93bnJldi54bWxQSwECFAAU&#10;AAAACACHTuJAu7PtprcBAABoAwAADgAAAAAAAAABACAAAAAoAQAAZHJzL2Uyb0RvYy54bWxQSwUG&#10;AAAAAAYABgBZAQAAUQUAAAAA&#10;">
              <v:fill on="t" focussize="0,0"/>
              <v:stroke on="f"/>
              <v:imagedata o:title=""/>
              <o:lock v:ext="edit" aspectratio="f"/>
            </v:rect>
          </w:pict>
        </mc:Fallback>
      </mc:AlternateContent>
    </w:r>
    <w:r>
      <mc:AlternateContent>
        <mc:Choice Requires="wps">
          <w:drawing>
            <wp:anchor distT="0" distB="0" distL="114300" distR="114300" simplePos="0" relativeHeight="251661312" behindDoc="1" locked="0" layoutInCell="1" allowOverlap="1">
              <wp:simplePos x="0" y="0"/>
              <wp:positionH relativeFrom="page">
                <wp:posOffset>5490210</wp:posOffset>
              </wp:positionH>
              <wp:positionV relativeFrom="page">
                <wp:posOffset>633095</wp:posOffset>
              </wp:positionV>
              <wp:extent cx="939800" cy="26479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939800" cy="264795"/>
                      </a:xfrm>
                      <a:prstGeom prst="rect">
                        <a:avLst/>
                      </a:prstGeom>
                      <a:noFill/>
                      <a:ln w="9525">
                        <a:noFill/>
                      </a:ln>
                    </wps:spPr>
                    <wps:txbx>
                      <w:txbxContent>
                        <w:p>
                          <w:pPr>
                            <w:spacing w:line="220" w:lineRule="exact"/>
                            <w:rPr>
                              <w:rFonts w:ascii="仿宋" w:eastAsia="仿宋"/>
                              <w:sz w:val="18"/>
                            </w:rPr>
                          </w:pPr>
                        </w:p>
                      </w:txbxContent>
                    </wps:txbx>
                    <wps:bodyPr lIns="0" tIns="0" rIns="0" bIns="0" upright="1"/>
                  </wps:wsp>
                </a:graphicData>
              </a:graphic>
            </wp:anchor>
          </w:drawing>
        </mc:Choice>
        <mc:Fallback>
          <w:pict>
            <v:shape id="_x0000_s1026" o:spid="_x0000_s1026" o:spt="202" type="#_x0000_t202" style="position:absolute;left:0pt;margin-left:432.3pt;margin-top:49.85pt;height:20.85pt;width:74pt;mso-position-horizontal-relative:page;mso-position-vertical-relative:page;z-index:-251655168;mso-width-relative:page;mso-height-relative:page;" filled="f" stroked="f" coordsize="21600,21600" o:gfxdata="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FISh6/ZAAAACwEAAA8AAAAAAAAAAQAgAAAAIgAAAGRycy9kb3ducmV2&#10;LnhtbFBLAQIUABQAAAAIAIdO4kAYsVnRwgEAAHwDAAAOAAAAAAAAAAEAIAAAACgBAABkcnMvZTJv&#10;RG9jLnhtbFBLBQYAAAAABgAGAFkBAABcBQAAAAA=&#10;">
              <v:fill on="f" focussize="0,0"/>
              <v:stroke on="f"/>
              <v:imagedata o:title=""/>
              <o:lock v:ext="edit" aspectratio="f"/>
              <v:textbox inset="0mm,0mm,0mm,0mm">
                <w:txbxContent>
                  <w:p>
                    <w:pPr>
                      <w:spacing w:line="220" w:lineRule="exact"/>
                      <w:rPr>
                        <w:rFonts w:ascii="仿宋" w:eastAsia="仿宋"/>
                        <w:sz w:val="18"/>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DDEAA4"/>
    <w:multiLevelType w:val="singleLevel"/>
    <w:tmpl w:val="FCDDEAA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779509E"/>
    <w:rsid w:val="00033DCF"/>
    <w:rsid w:val="000A4298"/>
    <w:rsid w:val="000C18C9"/>
    <w:rsid w:val="00135EF6"/>
    <w:rsid w:val="00136F12"/>
    <w:rsid w:val="00193A3E"/>
    <w:rsid w:val="001A570D"/>
    <w:rsid w:val="001C51AB"/>
    <w:rsid w:val="00262AA9"/>
    <w:rsid w:val="00277917"/>
    <w:rsid w:val="002B1E7D"/>
    <w:rsid w:val="003D0043"/>
    <w:rsid w:val="00420C10"/>
    <w:rsid w:val="00447529"/>
    <w:rsid w:val="004709C6"/>
    <w:rsid w:val="00475D62"/>
    <w:rsid w:val="004B344F"/>
    <w:rsid w:val="004C51A4"/>
    <w:rsid w:val="00525570"/>
    <w:rsid w:val="00546BF5"/>
    <w:rsid w:val="00563C88"/>
    <w:rsid w:val="0057025D"/>
    <w:rsid w:val="005B05EB"/>
    <w:rsid w:val="005C5E71"/>
    <w:rsid w:val="00643454"/>
    <w:rsid w:val="006A3C6A"/>
    <w:rsid w:val="006B6C4F"/>
    <w:rsid w:val="006B789A"/>
    <w:rsid w:val="006F65A7"/>
    <w:rsid w:val="00763DE0"/>
    <w:rsid w:val="00780296"/>
    <w:rsid w:val="007B41AD"/>
    <w:rsid w:val="007C3CAD"/>
    <w:rsid w:val="00851E6F"/>
    <w:rsid w:val="00893CA6"/>
    <w:rsid w:val="008E5AF9"/>
    <w:rsid w:val="00910385"/>
    <w:rsid w:val="009523D1"/>
    <w:rsid w:val="00960C52"/>
    <w:rsid w:val="009613AB"/>
    <w:rsid w:val="00970B18"/>
    <w:rsid w:val="009870FD"/>
    <w:rsid w:val="009E4828"/>
    <w:rsid w:val="009F30A0"/>
    <w:rsid w:val="00A32055"/>
    <w:rsid w:val="00A35DDB"/>
    <w:rsid w:val="00A47C8B"/>
    <w:rsid w:val="00A80360"/>
    <w:rsid w:val="00AA4420"/>
    <w:rsid w:val="00AD16A7"/>
    <w:rsid w:val="00AF02B9"/>
    <w:rsid w:val="00B03739"/>
    <w:rsid w:val="00B06507"/>
    <w:rsid w:val="00B707ED"/>
    <w:rsid w:val="00B9048D"/>
    <w:rsid w:val="00BA0D97"/>
    <w:rsid w:val="00BA691D"/>
    <w:rsid w:val="00C068CC"/>
    <w:rsid w:val="00C36E68"/>
    <w:rsid w:val="00C43B5A"/>
    <w:rsid w:val="00C76FBD"/>
    <w:rsid w:val="00C94E20"/>
    <w:rsid w:val="00CE1753"/>
    <w:rsid w:val="00D71E77"/>
    <w:rsid w:val="00D925A8"/>
    <w:rsid w:val="00DA1C50"/>
    <w:rsid w:val="00E03C8C"/>
    <w:rsid w:val="00E21638"/>
    <w:rsid w:val="00EB2C85"/>
    <w:rsid w:val="00F43C4D"/>
    <w:rsid w:val="00FA78FE"/>
    <w:rsid w:val="013259D1"/>
    <w:rsid w:val="01414589"/>
    <w:rsid w:val="014E6F2D"/>
    <w:rsid w:val="016C782E"/>
    <w:rsid w:val="01E82D68"/>
    <w:rsid w:val="01FE30BB"/>
    <w:rsid w:val="021511A6"/>
    <w:rsid w:val="023B5E18"/>
    <w:rsid w:val="02A03789"/>
    <w:rsid w:val="03763AF9"/>
    <w:rsid w:val="037954DB"/>
    <w:rsid w:val="03F276E4"/>
    <w:rsid w:val="03FD3C8E"/>
    <w:rsid w:val="0414258C"/>
    <w:rsid w:val="041A57B3"/>
    <w:rsid w:val="04362FD1"/>
    <w:rsid w:val="043A1088"/>
    <w:rsid w:val="04421231"/>
    <w:rsid w:val="044779A9"/>
    <w:rsid w:val="048A2B2B"/>
    <w:rsid w:val="04956E50"/>
    <w:rsid w:val="04C93412"/>
    <w:rsid w:val="04E356F0"/>
    <w:rsid w:val="05080B83"/>
    <w:rsid w:val="05B04835"/>
    <w:rsid w:val="05C76026"/>
    <w:rsid w:val="05C77A61"/>
    <w:rsid w:val="05E0082C"/>
    <w:rsid w:val="05FD20FC"/>
    <w:rsid w:val="061F613C"/>
    <w:rsid w:val="06364AC5"/>
    <w:rsid w:val="066731F5"/>
    <w:rsid w:val="066B0A36"/>
    <w:rsid w:val="06754D8C"/>
    <w:rsid w:val="068B7C22"/>
    <w:rsid w:val="06983B56"/>
    <w:rsid w:val="06A76340"/>
    <w:rsid w:val="06F77E35"/>
    <w:rsid w:val="07596AFB"/>
    <w:rsid w:val="078B3248"/>
    <w:rsid w:val="078D7C5D"/>
    <w:rsid w:val="07AF2EF4"/>
    <w:rsid w:val="07AFA6BE"/>
    <w:rsid w:val="07C2597F"/>
    <w:rsid w:val="07DC47E2"/>
    <w:rsid w:val="07ED44AF"/>
    <w:rsid w:val="07F62B60"/>
    <w:rsid w:val="08440002"/>
    <w:rsid w:val="0880581D"/>
    <w:rsid w:val="08E763B1"/>
    <w:rsid w:val="08FF143A"/>
    <w:rsid w:val="09282892"/>
    <w:rsid w:val="09B75971"/>
    <w:rsid w:val="09D5139F"/>
    <w:rsid w:val="0A0041AA"/>
    <w:rsid w:val="0A541ADF"/>
    <w:rsid w:val="0A753250"/>
    <w:rsid w:val="0A802F07"/>
    <w:rsid w:val="0A852BD3"/>
    <w:rsid w:val="0ACC7640"/>
    <w:rsid w:val="0AF76836"/>
    <w:rsid w:val="0B266A39"/>
    <w:rsid w:val="0B575902"/>
    <w:rsid w:val="0B5C6090"/>
    <w:rsid w:val="0B7752FB"/>
    <w:rsid w:val="0BB3238B"/>
    <w:rsid w:val="0BD62806"/>
    <w:rsid w:val="0BDC27C2"/>
    <w:rsid w:val="0BFF64E4"/>
    <w:rsid w:val="0C105AEF"/>
    <w:rsid w:val="0C2B3DE6"/>
    <w:rsid w:val="0C4869E2"/>
    <w:rsid w:val="0C544519"/>
    <w:rsid w:val="0CB1757F"/>
    <w:rsid w:val="0CDC2615"/>
    <w:rsid w:val="0CED0034"/>
    <w:rsid w:val="0D310454"/>
    <w:rsid w:val="0D44070F"/>
    <w:rsid w:val="0D8D3876"/>
    <w:rsid w:val="0DDE22FC"/>
    <w:rsid w:val="0DEA6DBD"/>
    <w:rsid w:val="0DED0A90"/>
    <w:rsid w:val="0E325784"/>
    <w:rsid w:val="0E3A028A"/>
    <w:rsid w:val="0E7C7AE0"/>
    <w:rsid w:val="0E8A62E7"/>
    <w:rsid w:val="0F446D5E"/>
    <w:rsid w:val="0F536FEE"/>
    <w:rsid w:val="0F7221FC"/>
    <w:rsid w:val="0F8942AC"/>
    <w:rsid w:val="0F9D5B98"/>
    <w:rsid w:val="0FA5679E"/>
    <w:rsid w:val="0FB6670F"/>
    <w:rsid w:val="102B5370"/>
    <w:rsid w:val="103857B0"/>
    <w:rsid w:val="104D2379"/>
    <w:rsid w:val="10537D9F"/>
    <w:rsid w:val="10654BC8"/>
    <w:rsid w:val="10707038"/>
    <w:rsid w:val="10C67A5F"/>
    <w:rsid w:val="10E12DA4"/>
    <w:rsid w:val="110161EE"/>
    <w:rsid w:val="11B46810"/>
    <w:rsid w:val="11E0180C"/>
    <w:rsid w:val="120704DD"/>
    <w:rsid w:val="12407B51"/>
    <w:rsid w:val="12607C2C"/>
    <w:rsid w:val="126C79C9"/>
    <w:rsid w:val="12804956"/>
    <w:rsid w:val="12A07F1B"/>
    <w:rsid w:val="12A45F5F"/>
    <w:rsid w:val="12B25490"/>
    <w:rsid w:val="12E0045C"/>
    <w:rsid w:val="13292527"/>
    <w:rsid w:val="133557CB"/>
    <w:rsid w:val="13EF2888"/>
    <w:rsid w:val="142C5389"/>
    <w:rsid w:val="143A491D"/>
    <w:rsid w:val="14B50AFC"/>
    <w:rsid w:val="14BC12BD"/>
    <w:rsid w:val="14C63493"/>
    <w:rsid w:val="14E922E3"/>
    <w:rsid w:val="150C140E"/>
    <w:rsid w:val="1513305A"/>
    <w:rsid w:val="15182545"/>
    <w:rsid w:val="156163BD"/>
    <w:rsid w:val="15903B4E"/>
    <w:rsid w:val="15913ACC"/>
    <w:rsid w:val="159C452D"/>
    <w:rsid w:val="15BC3BCF"/>
    <w:rsid w:val="15DE418A"/>
    <w:rsid w:val="163300CC"/>
    <w:rsid w:val="163460BC"/>
    <w:rsid w:val="163E64F6"/>
    <w:rsid w:val="171133F3"/>
    <w:rsid w:val="172603C6"/>
    <w:rsid w:val="17382826"/>
    <w:rsid w:val="17513854"/>
    <w:rsid w:val="176F2D8B"/>
    <w:rsid w:val="179B56FF"/>
    <w:rsid w:val="17BB19F6"/>
    <w:rsid w:val="184833AC"/>
    <w:rsid w:val="18587C33"/>
    <w:rsid w:val="188329F8"/>
    <w:rsid w:val="18B00AC0"/>
    <w:rsid w:val="18F45187"/>
    <w:rsid w:val="18FD3673"/>
    <w:rsid w:val="190C4AB7"/>
    <w:rsid w:val="190D4B17"/>
    <w:rsid w:val="191B665E"/>
    <w:rsid w:val="199537F5"/>
    <w:rsid w:val="19AF7BA0"/>
    <w:rsid w:val="1A19496A"/>
    <w:rsid w:val="1A283112"/>
    <w:rsid w:val="1A3A766D"/>
    <w:rsid w:val="1A4F1286"/>
    <w:rsid w:val="1A591792"/>
    <w:rsid w:val="1A7365CF"/>
    <w:rsid w:val="1A783987"/>
    <w:rsid w:val="1AD204DE"/>
    <w:rsid w:val="1AD65B30"/>
    <w:rsid w:val="1B0C1BB0"/>
    <w:rsid w:val="1B143312"/>
    <w:rsid w:val="1B2B1B0F"/>
    <w:rsid w:val="1B4968E8"/>
    <w:rsid w:val="1B5B356A"/>
    <w:rsid w:val="1B820597"/>
    <w:rsid w:val="1B82655F"/>
    <w:rsid w:val="1B8B123E"/>
    <w:rsid w:val="1BBA7C97"/>
    <w:rsid w:val="1BE50B84"/>
    <w:rsid w:val="1C440A92"/>
    <w:rsid w:val="1C816DB5"/>
    <w:rsid w:val="1CA10911"/>
    <w:rsid w:val="1CC30C5A"/>
    <w:rsid w:val="1CC85C7A"/>
    <w:rsid w:val="1D311AD8"/>
    <w:rsid w:val="1D37130F"/>
    <w:rsid w:val="1DD45429"/>
    <w:rsid w:val="1E0334C8"/>
    <w:rsid w:val="1E1C526B"/>
    <w:rsid w:val="1E6D2384"/>
    <w:rsid w:val="1E6F2138"/>
    <w:rsid w:val="1E755056"/>
    <w:rsid w:val="1E7D37A1"/>
    <w:rsid w:val="1E80293A"/>
    <w:rsid w:val="1ED77E4D"/>
    <w:rsid w:val="1EDA1CAA"/>
    <w:rsid w:val="1EE10438"/>
    <w:rsid w:val="1F181A43"/>
    <w:rsid w:val="1F5A653C"/>
    <w:rsid w:val="1F72491C"/>
    <w:rsid w:val="1F98298D"/>
    <w:rsid w:val="1FCE652E"/>
    <w:rsid w:val="1FED0E93"/>
    <w:rsid w:val="201E5127"/>
    <w:rsid w:val="203C75C9"/>
    <w:rsid w:val="20776716"/>
    <w:rsid w:val="208D2567"/>
    <w:rsid w:val="21004F83"/>
    <w:rsid w:val="217B0B87"/>
    <w:rsid w:val="21860E90"/>
    <w:rsid w:val="21C64C14"/>
    <w:rsid w:val="21E44818"/>
    <w:rsid w:val="220D2177"/>
    <w:rsid w:val="223C43FE"/>
    <w:rsid w:val="22911CA3"/>
    <w:rsid w:val="22EC14AF"/>
    <w:rsid w:val="23181B72"/>
    <w:rsid w:val="231B5029"/>
    <w:rsid w:val="23760F4A"/>
    <w:rsid w:val="23926449"/>
    <w:rsid w:val="23C31021"/>
    <w:rsid w:val="23E059E6"/>
    <w:rsid w:val="24402B70"/>
    <w:rsid w:val="24485925"/>
    <w:rsid w:val="246B040E"/>
    <w:rsid w:val="246F3375"/>
    <w:rsid w:val="24786622"/>
    <w:rsid w:val="247F1BFC"/>
    <w:rsid w:val="24FE4594"/>
    <w:rsid w:val="250C675E"/>
    <w:rsid w:val="251603DF"/>
    <w:rsid w:val="251C38FE"/>
    <w:rsid w:val="251E6154"/>
    <w:rsid w:val="255B71A8"/>
    <w:rsid w:val="25650443"/>
    <w:rsid w:val="25761DD0"/>
    <w:rsid w:val="25BC16F7"/>
    <w:rsid w:val="25C62D01"/>
    <w:rsid w:val="25CC5E57"/>
    <w:rsid w:val="25CF71A4"/>
    <w:rsid w:val="2602774C"/>
    <w:rsid w:val="26065717"/>
    <w:rsid w:val="261841F8"/>
    <w:rsid w:val="265A7B2E"/>
    <w:rsid w:val="26675F9C"/>
    <w:rsid w:val="26687BC1"/>
    <w:rsid w:val="266D4FC8"/>
    <w:rsid w:val="267427F5"/>
    <w:rsid w:val="267B7E28"/>
    <w:rsid w:val="268240A0"/>
    <w:rsid w:val="26DE550A"/>
    <w:rsid w:val="26FF65E3"/>
    <w:rsid w:val="26FF7AA7"/>
    <w:rsid w:val="270742FB"/>
    <w:rsid w:val="27314294"/>
    <w:rsid w:val="27323C04"/>
    <w:rsid w:val="2783228B"/>
    <w:rsid w:val="27944151"/>
    <w:rsid w:val="27BE1936"/>
    <w:rsid w:val="27DE7AF8"/>
    <w:rsid w:val="27FF37CB"/>
    <w:rsid w:val="28061A88"/>
    <w:rsid w:val="284424EF"/>
    <w:rsid w:val="28721089"/>
    <w:rsid w:val="288517DB"/>
    <w:rsid w:val="28A960FC"/>
    <w:rsid w:val="28AB2098"/>
    <w:rsid w:val="28D6709F"/>
    <w:rsid w:val="28F66C1B"/>
    <w:rsid w:val="28F9256E"/>
    <w:rsid w:val="28FD0B24"/>
    <w:rsid w:val="291B6739"/>
    <w:rsid w:val="29526988"/>
    <w:rsid w:val="296D689E"/>
    <w:rsid w:val="29821AFE"/>
    <w:rsid w:val="29E26ED7"/>
    <w:rsid w:val="2A185AAA"/>
    <w:rsid w:val="2A2B053E"/>
    <w:rsid w:val="2A8D5774"/>
    <w:rsid w:val="2B004A03"/>
    <w:rsid w:val="2B667741"/>
    <w:rsid w:val="2B952DC9"/>
    <w:rsid w:val="2C0E63FB"/>
    <w:rsid w:val="2C1B65AB"/>
    <w:rsid w:val="2C266A13"/>
    <w:rsid w:val="2C413F15"/>
    <w:rsid w:val="2C484ADF"/>
    <w:rsid w:val="2C863B0A"/>
    <w:rsid w:val="2C9E2C9F"/>
    <w:rsid w:val="2CE65367"/>
    <w:rsid w:val="2D7711F4"/>
    <w:rsid w:val="2D7C046B"/>
    <w:rsid w:val="2DB2412B"/>
    <w:rsid w:val="2DBA2C9C"/>
    <w:rsid w:val="2DFE1003"/>
    <w:rsid w:val="2E125EE8"/>
    <w:rsid w:val="2E196807"/>
    <w:rsid w:val="2E636917"/>
    <w:rsid w:val="2E72538B"/>
    <w:rsid w:val="2E824D61"/>
    <w:rsid w:val="2E937434"/>
    <w:rsid w:val="2ECD273D"/>
    <w:rsid w:val="2EDD13FD"/>
    <w:rsid w:val="2EF608E5"/>
    <w:rsid w:val="2EF64165"/>
    <w:rsid w:val="2EFF4609"/>
    <w:rsid w:val="2F4078ED"/>
    <w:rsid w:val="2F436126"/>
    <w:rsid w:val="2F5D2AAD"/>
    <w:rsid w:val="2F5F0DD2"/>
    <w:rsid w:val="2F895979"/>
    <w:rsid w:val="2F946CFE"/>
    <w:rsid w:val="2FA70C43"/>
    <w:rsid w:val="2FAF3FA5"/>
    <w:rsid w:val="2FE81203"/>
    <w:rsid w:val="30002233"/>
    <w:rsid w:val="301A49E7"/>
    <w:rsid w:val="30AB434B"/>
    <w:rsid w:val="30B94BC4"/>
    <w:rsid w:val="30DD69AA"/>
    <w:rsid w:val="311E4603"/>
    <w:rsid w:val="31403C0A"/>
    <w:rsid w:val="315F23CD"/>
    <w:rsid w:val="31644FA8"/>
    <w:rsid w:val="31BE78A2"/>
    <w:rsid w:val="31D411F6"/>
    <w:rsid w:val="3201211C"/>
    <w:rsid w:val="3216747E"/>
    <w:rsid w:val="32367F1D"/>
    <w:rsid w:val="324F10BD"/>
    <w:rsid w:val="3255427B"/>
    <w:rsid w:val="328B7D3F"/>
    <w:rsid w:val="32D26CBC"/>
    <w:rsid w:val="32E813AE"/>
    <w:rsid w:val="32F62F6C"/>
    <w:rsid w:val="32FF0698"/>
    <w:rsid w:val="33344C0B"/>
    <w:rsid w:val="337309AA"/>
    <w:rsid w:val="33A30157"/>
    <w:rsid w:val="34371F3F"/>
    <w:rsid w:val="34446958"/>
    <w:rsid w:val="344554F3"/>
    <w:rsid w:val="34EB417E"/>
    <w:rsid w:val="357445C6"/>
    <w:rsid w:val="357D0D8F"/>
    <w:rsid w:val="358950ED"/>
    <w:rsid w:val="358B3C38"/>
    <w:rsid w:val="35AA2847"/>
    <w:rsid w:val="35DE460F"/>
    <w:rsid w:val="35F57C0E"/>
    <w:rsid w:val="3618408E"/>
    <w:rsid w:val="36190C78"/>
    <w:rsid w:val="36607590"/>
    <w:rsid w:val="36820561"/>
    <w:rsid w:val="368538FE"/>
    <w:rsid w:val="36956F32"/>
    <w:rsid w:val="36CD592E"/>
    <w:rsid w:val="36E62DA0"/>
    <w:rsid w:val="37056BB4"/>
    <w:rsid w:val="372E6A6C"/>
    <w:rsid w:val="375D844E"/>
    <w:rsid w:val="37C63DFA"/>
    <w:rsid w:val="380035FF"/>
    <w:rsid w:val="38247311"/>
    <w:rsid w:val="383F05AD"/>
    <w:rsid w:val="38677118"/>
    <w:rsid w:val="388536F6"/>
    <w:rsid w:val="3893085C"/>
    <w:rsid w:val="38DB6D55"/>
    <w:rsid w:val="38F47CA6"/>
    <w:rsid w:val="390A46C3"/>
    <w:rsid w:val="393775B4"/>
    <w:rsid w:val="39452513"/>
    <w:rsid w:val="39503C1D"/>
    <w:rsid w:val="399A68D8"/>
    <w:rsid w:val="39BE2D40"/>
    <w:rsid w:val="39DA0B42"/>
    <w:rsid w:val="39E003EA"/>
    <w:rsid w:val="39E735EB"/>
    <w:rsid w:val="39FC04BC"/>
    <w:rsid w:val="39FE74FE"/>
    <w:rsid w:val="3A050183"/>
    <w:rsid w:val="3A5F60E2"/>
    <w:rsid w:val="3A8E4210"/>
    <w:rsid w:val="3A9C475D"/>
    <w:rsid w:val="3AC31978"/>
    <w:rsid w:val="3AD65A19"/>
    <w:rsid w:val="3B091EF2"/>
    <w:rsid w:val="3B3310D4"/>
    <w:rsid w:val="3B3521C2"/>
    <w:rsid w:val="3BC14E56"/>
    <w:rsid w:val="3BD90F29"/>
    <w:rsid w:val="3BFE92E6"/>
    <w:rsid w:val="3C48420A"/>
    <w:rsid w:val="3C5D7628"/>
    <w:rsid w:val="3C7E08AD"/>
    <w:rsid w:val="3C8C47A8"/>
    <w:rsid w:val="3C925432"/>
    <w:rsid w:val="3CA774F5"/>
    <w:rsid w:val="3CAA50ED"/>
    <w:rsid w:val="3CBB0E51"/>
    <w:rsid w:val="3CD576EC"/>
    <w:rsid w:val="3D055DAB"/>
    <w:rsid w:val="3D4D580B"/>
    <w:rsid w:val="3D6152A1"/>
    <w:rsid w:val="3D767E1F"/>
    <w:rsid w:val="3D982F80"/>
    <w:rsid w:val="3DCF3C04"/>
    <w:rsid w:val="3DF84D4A"/>
    <w:rsid w:val="3DFD758E"/>
    <w:rsid w:val="3E5652A4"/>
    <w:rsid w:val="3E971C2C"/>
    <w:rsid w:val="3EBF4761"/>
    <w:rsid w:val="3EE02645"/>
    <w:rsid w:val="3EF83F8F"/>
    <w:rsid w:val="3F0370EF"/>
    <w:rsid w:val="3F0A500B"/>
    <w:rsid w:val="3F2324EC"/>
    <w:rsid w:val="3F3123B0"/>
    <w:rsid w:val="3F321A54"/>
    <w:rsid w:val="3F4A2449"/>
    <w:rsid w:val="3F5A6BDC"/>
    <w:rsid w:val="3F68568F"/>
    <w:rsid w:val="3F72FB8E"/>
    <w:rsid w:val="3F792843"/>
    <w:rsid w:val="3F857BF7"/>
    <w:rsid w:val="3FB054BB"/>
    <w:rsid w:val="3FCF87E2"/>
    <w:rsid w:val="3FDA0A90"/>
    <w:rsid w:val="3FE30CC0"/>
    <w:rsid w:val="3FE4F30A"/>
    <w:rsid w:val="3FE52700"/>
    <w:rsid w:val="3FEA7C05"/>
    <w:rsid w:val="3FED7CA3"/>
    <w:rsid w:val="3FFDE92B"/>
    <w:rsid w:val="408E2BEB"/>
    <w:rsid w:val="40934335"/>
    <w:rsid w:val="40B225AE"/>
    <w:rsid w:val="40C800AC"/>
    <w:rsid w:val="40E404D8"/>
    <w:rsid w:val="413967CD"/>
    <w:rsid w:val="41912562"/>
    <w:rsid w:val="41AE1262"/>
    <w:rsid w:val="41FE0CE6"/>
    <w:rsid w:val="42127509"/>
    <w:rsid w:val="42134965"/>
    <w:rsid w:val="425A24CD"/>
    <w:rsid w:val="42D22654"/>
    <w:rsid w:val="43171557"/>
    <w:rsid w:val="432E6646"/>
    <w:rsid w:val="43427F96"/>
    <w:rsid w:val="43A34F97"/>
    <w:rsid w:val="43DD6659"/>
    <w:rsid w:val="43F00A88"/>
    <w:rsid w:val="440C1A62"/>
    <w:rsid w:val="441F27E8"/>
    <w:rsid w:val="44275231"/>
    <w:rsid w:val="442E6626"/>
    <w:rsid w:val="44360473"/>
    <w:rsid w:val="44AF72AA"/>
    <w:rsid w:val="453F6242"/>
    <w:rsid w:val="454D3391"/>
    <w:rsid w:val="45980D6F"/>
    <w:rsid w:val="45995097"/>
    <w:rsid w:val="45B15AFC"/>
    <w:rsid w:val="45F13BAE"/>
    <w:rsid w:val="45FEEC7A"/>
    <w:rsid w:val="46327DEB"/>
    <w:rsid w:val="46431B5C"/>
    <w:rsid w:val="465034C7"/>
    <w:rsid w:val="466677DA"/>
    <w:rsid w:val="46685015"/>
    <w:rsid w:val="467D76E6"/>
    <w:rsid w:val="46CE74F7"/>
    <w:rsid w:val="47143F62"/>
    <w:rsid w:val="47257D59"/>
    <w:rsid w:val="47940467"/>
    <w:rsid w:val="479D60B9"/>
    <w:rsid w:val="47AA4550"/>
    <w:rsid w:val="47AE2D1A"/>
    <w:rsid w:val="47D83DA2"/>
    <w:rsid w:val="482E71D7"/>
    <w:rsid w:val="483779F8"/>
    <w:rsid w:val="48920502"/>
    <w:rsid w:val="48A94735"/>
    <w:rsid w:val="48BC7F54"/>
    <w:rsid w:val="495A275A"/>
    <w:rsid w:val="49603F28"/>
    <w:rsid w:val="497046E6"/>
    <w:rsid w:val="497E57A3"/>
    <w:rsid w:val="499D6C40"/>
    <w:rsid w:val="49A04D73"/>
    <w:rsid w:val="49F62F02"/>
    <w:rsid w:val="4AA449D8"/>
    <w:rsid w:val="4ACE17F3"/>
    <w:rsid w:val="4AE740B0"/>
    <w:rsid w:val="4AED00BD"/>
    <w:rsid w:val="4B0407D4"/>
    <w:rsid w:val="4B164492"/>
    <w:rsid w:val="4B4C0B57"/>
    <w:rsid w:val="4B522676"/>
    <w:rsid w:val="4B6F0A88"/>
    <w:rsid w:val="4B743800"/>
    <w:rsid w:val="4BB739C4"/>
    <w:rsid w:val="4BEE10F4"/>
    <w:rsid w:val="4C1E44FF"/>
    <w:rsid w:val="4C544D34"/>
    <w:rsid w:val="4C5A76CC"/>
    <w:rsid w:val="4CCA5CCD"/>
    <w:rsid w:val="4CE248BA"/>
    <w:rsid w:val="4CE566CA"/>
    <w:rsid w:val="4D317851"/>
    <w:rsid w:val="4D555C0F"/>
    <w:rsid w:val="4D5B5CF8"/>
    <w:rsid w:val="4D750090"/>
    <w:rsid w:val="4D9B160E"/>
    <w:rsid w:val="4DA8581C"/>
    <w:rsid w:val="4DB847AB"/>
    <w:rsid w:val="4DC5726B"/>
    <w:rsid w:val="4DEE2383"/>
    <w:rsid w:val="4E180AAD"/>
    <w:rsid w:val="4E1D72F4"/>
    <w:rsid w:val="4E3D5C6A"/>
    <w:rsid w:val="4E401BA3"/>
    <w:rsid w:val="4E744B01"/>
    <w:rsid w:val="4EEA5B73"/>
    <w:rsid w:val="4EEB1428"/>
    <w:rsid w:val="4F150B43"/>
    <w:rsid w:val="4F1D6068"/>
    <w:rsid w:val="4F2E567D"/>
    <w:rsid w:val="4F5376AB"/>
    <w:rsid w:val="4F7F1927"/>
    <w:rsid w:val="4F996B24"/>
    <w:rsid w:val="4FAD70FE"/>
    <w:rsid w:val="4FB753CF"/>
    <w:rsid w:val="4FCD5443"/>
    <w:rsid w:val="4FEF641E"/>
    <w:rsid w:val="5017510F"/>
    <w:rsid w:val="501836CF"/>
    <w:rsid w:val="50364AF1"/>
    <w:rsid w:val="505B5B81"/>
    <w:rsid w:val="5069215F"/>
    <w:rsid w:val="50775897"/>
    <w:rsid w:val="50A1408A"/>
    <w:rsid w:val="50AC2D0F"/>
    <w:rsid w:val="50B204D7"/>
    <w:rsid w:val="51060167"/>
    <w:rsid w:val="515A160E"/>
    <w:rsid w:val="51975976"/>
    <w:rsid w:val="51DF6EAD"/>
    <w:rsid w:val="520B7E90"/>
    <w:rsid w:val="52162A3B"/>
    <w:rsid w:val="52280045"/>
    <w:rsid w:val="525F00E3"/>
    <w:rsid w:val="527C456F"/>
    <w:rsid w:val="52993572"/>
    <w:rsid w:val="52AB6E90"/>
    <w:rsid w:val="52C94A24"/>
    <w:rsid w:val="52D50C03"/>
    <w:rsid w:val="531B02FB"/>
    <w:rsid w:val="533650B8"/>
    <w:rsid w:val="533C504C"/>
    <w:rsid w:val="536A1860"/>
    <w:rsid w:val="53815E9E"/>
    <w:rsid w:val="539C678F"/>
    <w:rsid w:val="53AC44AB"/>
    <w:rsid w:val="53DE689E"/>
    <w:rsid w:val="53DF49D0"/>
    <w:rsid w:val="5411524C"/>
    <w:rsid w:val="54493BC0"/>
    <w:rsid w:val="546623FD"/>
    <w:rsid w:val="54B52BFD"/>
    <w:rsid w:val="54D41F55"/>
    <w:rsid w:val="54F3605F"/>
    <w:rsid w:val="54F91522"/>
    <w:rsid w:val="550A5A6C"/>
    <w:rsid w:val="552E27A5"/>
    <w:rsid w:val="556C4F7B"/>
    <w:rsid w:val="557C1355"/>
    <w:rsid w:val="55846703"/>
    <w:rsid w:val="55B71EFD"/>
    <w:rsid w:val="55C71844"/>
    <w:rsid w:val="56160AE4"/>
    <w:rsid w:val="562C7BFD"/>
    <w:rsid w:val="563764E0"/>
    <w:rsid w:val="564E228B"/>
    <w:rsid w:val="569C1602"/>
    <w:rsid w:val="56A61FE8"/>
    <w:rsid w:val="56A70057"/>
    <w:rsid w:val="56C41FE1"/>
    <w:rsid w:val="56CF3B57"/>
    <w:rsid w:val="56DB676E"/>
    <w:rsid w:val="5707272C"/>
    <w:rsid w:val="57323AEE"/>
    <w:rsid w:val="57675951"/>
    <w:rsid w:val="578D7532"/>
    <w:rsid w:val="579328B7"/>
    <w:rsid w:val="57AE0D7D"/>
    <w:rsid w:val="57B6441C"/>
    <w:rsid w:val="57EC285C"/>
    <w:rsid w:val="58432E17"/>
    <w:rsid w:val="58576E0C"/>
    <w:rsid w:val="589C5B44"/>
    <w:rsid w:val="58A27DA7"/>
    <w:rsid w:val="58A77221"/>
    <w:rsid w:val="58D75F64"/>
    <w:rsid w:val="58DE6357"/>
    <w:rsid w:val="59151653"/>
    <w:rsid w:val="59155C76"/>
    <w:rsid w:val="593B2FB5"/>
    <w:rsid w:val="596155CD"/>
    <w:rsid w:val="5A2B1AD3"/>
    <w:rsid w:val="5A3D527E"/>
    <w:rsid w:val="5A44296F"/>
    <w:rsid w:val="5A4B230C"/>
    <w:rsid w:val="5A4C209B"/>
    <w:rsid w:val="5A5D00D0"/>
    <w:rsid w:val="5A9B0EC0"/>
    <w:rsid w:val="5AF143C8"/>
    <w:rsid w:val="5B1C4FC1"/>
    <w:rsid w:val="5B5F8D84"/>
    <w:rsid w:val="5B7E99B1"/>
    <w:rsid w:val="5BB160B9"/>
    <w:rsid w:val="5BBC5FA1"/>
    <w:rsid w:val="5BBC7F8E"/>
    <w:rsid w:val="5BEF5BA4"/>
    <w:rsid w:val="5C1944E7"/>
    <w:rsid w:val="5C351B04"/>
    <w:rsid w:val="5C476A03"/>
    <w:rsid w:val="5CC03254"/>
    <w:rsid w:val="5CD36FB4"/>
    <w:rsid w:val="5CF00217"/>
    <w:rsid w:val="5D4F69A5"/>
    <w:rsid w:val="5D5B032C"/>
    <w:rsid w:val="5D845F7E"/>
    <w:rsid w:val="5D852A13"/>
    <w:rsid w:val="5E2307A1"/>
    <w:rsid w:val="5E3F5ABA"/>
    <w:rsid w:val="5E43640C"/>
    <w:rsid w:val="5E594615"/>
    <w:rsid w:val="5E8500B8"/>
    <w:rsid w:val="5EAA3A0A"/>
    <w:rsid w:val="5EC72782"/>
    <w:rsid w:val="5EDF2B36"/>
    <w:rsid w:val="5EF00814"/>
    <w:rsid w:val="5F16422C"/>
    <w:rsid w:val="5F186462"/>
    <w:rsid w:val="5F283E0F"/>
    <w:rsid w:val="5F2C34E6"/>
    <w:rsid w:val="5F363017"/>
    <w:rsid w:val="5F396915"/>
    <w:rsid w:val="5F4E6445"/>
    <w:rsid w:val="5FCA31D4"/>
    <w:rsid w:val="602521ED"/>
    <w:rsid w:val="606A4797"/>
    <w:rsid w:val="60A02D1C"/>
    <w:rsid w:val="60AE74A6"/>
    <w:rsid w:val="60B11FFA"/>
    <w:rsid w:val="60C03031"/>
    <w:rsid w:val="60E9232C"/>
    <w:rsid w:val="61164DA4"/>
    <w:rsid w:val="6154274D"/>
    <w:rsid w:val="619C127E"/>
    <w:rsid w:val="61EE3D90"/>
    <w:rsid w:val="62075D1F"/>
    <w:rsid w:val="62367FF4"/>
    <w:rsid w:val="62520495"/>
    <w:rsid w:val="62663B03"/>
    <w:rsid w:val="628F52BA"/>
    <w:rsid w:val="62A31E80"/>
    <w:rsid w:val="62D95169"/>
    <w:rsid w:val="62EB0B21"/>
    <w:rsid w:val="63084E53"/>
    <w:rsid w:val="630A4AFA"/>
    <w:rsid w:val="630E1FD9"/>
    <w:rsid w:val="63496257"/>
    <w:rsid w:val="63A56B8C"/>
    <w:rsid w:val="63B81771"/>
    <w:rsid w:val="63C4604E"/>
    <w:rsid w:val="63CD2F02"/>
    <w:rsid w:val="640B490F"/>
    <w:rsid w:val="641342D8"/>
    <w:rsid w:val="64282A7D"/>
    <w:rsid w:val="644867EA"/>
    <w:rsid w:val="645F5F1F"/>
    <w:rsid w:val="64BF59D4"/>
    <w:rsid w:val="64E30C56"/>
    <w:rsid w:val="64F30ED0"/>
    <w:rsid w:val="65E440B0"/>
    <w:rsid w:val="66124ABB"/>
    <w:rsid w:val="661A487D"/>
    <w:rsid w:val="6655583A"/>
    <w:rsid w:val="66782B50"/>
    <w:rsid w:val="668E6D55"/>
    <w:rsid w:val="66B62AAF"/>
    <w:rsid w:val="66B63F0F"/>
    <w:rsid w:val="66EB066A"/>
    <w:rsid w:val="671625BA"/>
    <w:rsid w:val="67171FE6"/>
    <w:rsid w:val="67365440"/>
    <w:rsid w:val="677C10DD"/>
    <w:rsid w:val="67AA26A2"/>
    <w:rsid w:val="67AF2C39"/>
    <w:rsid w:val="67DC6F41"/>
    <w:rsid w:val="68702643"/>
    <w:rsid w:val="687C1128"/>
    <w:rsid w:val="68D9613A"/>
    <w:rsid w:val="697131E7"/>
    <w:rsid w:val="69740BF3"/>
    <w:rsid w:val="697A1AE8"/>
    <w:rsid w:val="69852D69"/>
    <w:rsid w:val="69CD5350"/>
    <w:rsid w:val="69EF5E36"/>
    <w:rsid w:val="69F10A19"/>
    <w:rsid w:val="69FF4056"/>
    <w:rsid w:val="6A022147"/>
    <w:rsid w:val="6A0E2CAA"/>
    <w:rsid w:val="6A312F47"/>
    <w:rsid w:val="6A3A1241"/>
    <w:rsid w:val="6A5B0688"/>
    <w:rsid w:val="6A6D435E"/>
    <w:rsid w:val="6A837F6B"/>
    <w:rsid w:val="6A9A3C03"/>
    <w:rsid w:val="6AE165AB"/>
    <w:rsid w:val="6AF70877"/>
    <w:rsid w:val="6B3804C7"/>
    <w:rsid w:val="6B416891"/>
    <w:rsid w:val="6B730ADB"/>
    <w:rsid w:val="6B7E27CF"/>
    <w:rsid w:val="6B8004D1"/>
    <w:rsid w:val="6B973F54"/>
    <w:rsid w:val="6BE54B19"/>
    <w:rsid w:val="6BE66DBF"/>
    <w:rsid w:val="6BFC559A"/>
    <w:rsid w:val="6C383DC7"/>
    <w:rsid w:val="6C735685"/>
    <w:rsid w:val="6C907842"/>
    <w:rsid w:val="6CA12127"/>
    <w:rsid w:val="6CE74ADB"/>
    <w:rsid w:val="6D1A550C"/>
    <w:rsid w:val="6D1F1146"/>
    <w:rsid w:val="6D23490B"/>
    <w:rsid w:val="6D6D126F"/>
    <w:rsid w:val="6D7F0B21"/>
    <w:rsid w:val="6DDB5EF2"/>
    <w:rsid w:val="6DFF493C"/>
    <w:rsid w:val="6E1E0067"/>
    <w:rsid w:val="6E3103DE"/>
    <w:rsid w:val="6E570CD0"/>
    <w:rsid w:val="6F2D403A"/>
    <w:rsid w:val="6F686B2C"/>
    <w:rsid w:val="6F7B2B5C"/>
    <w:rsid w:val="6F95430A"/>
    <w:rsid w:val="6F984B50"/>
    <w:rsid w:val="6FAF9792"/>
    <w:rsid w:val="6FCB6674"/>
    <w:rsid w:val="6FDA1680"/>
    <w:rsid w:val="6FDF92CE"/>
    <w:rsid w:val="6FED039D"/>
    <w:rsid w:val="6FEE0A49"/>
    <w:rsid w:val="6FF62692"/>
    <w:rsid w:val="6FFB20AD"/>
    <w:rsid w:val="6FFE7D7E"/>
    <w:rsid w:val="700A718A"/>
    <w:rsid w:val="703F39D2"/>
    <w:rsid w:val="705F59F1"/>
    <w:rsid w:val="706A2D4C"/>
    <w:rsid w:val="70954FF6"/>
    <w:rsid w:val="70EA4B85"/>
    <w:rsid w:val="70F72883"/>
    <w:rsid w:val="71340B7D"/>
    <w:rsid w:val="71537B1E"/>
    <w:rsid w:val="71826C7B"/>
    <w:rsid w:val="719271D0"/>
    <w:rsid w:val="72BC7438"/>
    <w:rsid w:val="72C826B7"/>
    <w:rsid w:val="72D60E3E"/>
    <w:rsid w:val="72EA3CA9"/>
    <w:rsid w:val="72EA7002"/>
    <w:rsid w:val="72FC7FDE"/>
    <w:rsid w:val="73180AD2"/>
    <w:rsid w:val="7353633E"/>
    <w:rsid w:val="738C25CF"/>
    <w:rsid w:val="73A77236"/>
    <w:rsid w:val="73B76B14"/>
    <w:rsid w:val="73CE05C8"/>
    <w:rsid w:val="74027120"/>
    <w:rsid w:val="74216914"/>
    <w:rsid w:val="7440414A"/>
    <w:rsid w:val="74B4651B"/>
    <w:rsid w:val="74BB1D77"/>
    <w:rsid w:val="74EBB814"/>
    <w:rsid w:val="75092ABC"/>
    <w:rsid w:val="750D7E98"/>
    <w:rsid w:val="751F5C31"/>
    <w:rsid w:val="75499311"/>
    <w:rsid w:val="756E67ED"/>
    <w:rsid w:val="758548CF"/>
    <w:rsid w:val="75B118FB"/>
    <w:rsid w:val="75FB5E58"/>
    <w:rsid w:val="76114D5D"/>
    <w:rsid w:val="76117975"/>
    <w:rsid w:val="7632520E"/>
    <w:rsid w:val="76622199"/>
    <w:rsid w:val="76712296"/>
    <w:rsid w:val="767652A8"/>
    <w:rsid w:val="76A82910"/>
    <w:rsid w:val="76E13B38"/>
    <w:rsid w:val="76E807EC"/>
    <w:rsid w:val="76FD7797"/>
    <w:rsid w:val="777079AD"/>
    <w:rsid w:val="77DFB228"/>
    <w:rsid w:val="77F932E0"/>
    <w:rsid w:val="78646262"/>
    <w:rsid w:val="78874BB4"/>
    <w:rsid w:val="78946A6F"/>
    <w:rsid w:val="78CF4C8A"/>
    <w:rsid w:val="7915708D"/>
    <w:rsid w:val="794B7D9C"/>
    <w:rsid w:val="799338DA"/>
    <w:rsid w:val="799C6B9D"/>
    <w:rsid w:val="799F3238"/>
    <w:rsid w:val="79BD41C2"/>
    <w:rsid w:val="79D54EA3"/>
    <w:rsid w:val="79F72995"/>
    <w:rsid w:val="7A05246F"/>
    <w:rsid w:val="7A562165"/>
    <w:rsid w:val="7A611CBD"/>
    <w:rsid w:val="7AD061B2"/>
    <w:rsid w:val="7AE65124"/>
    <w:rsid w:val="7AE918CD"/>
    <w:rsid w:val="7B1C41BB"/>
    <w:rsid w:val="7B3303F3"/>
    <w:rsid w:val="7B4B6BC8"/>
    <w:rsid w:val="7B9D0E88"/>
    <w:rsid w:val="7BE17CCF"/>
    <w:rsid w:val="7BFBA993"/>
    <w:rsid w:val="7BFBAB29"/>
    <w:rsid w:val="7C10559B"/>
    <w:rsid w:val="7C3471C4"/>
    <w:rsid w:val="7CC553AA"/>
    <w:rsid w:val="7CF74789"/>
    <w:rsid w:val="7D033001"/>
    <w:rsid w:val="7D500092"/>
    <w:rsid w:val="7D584CA2"/>
    <w:rsid w:val="7D5C3245"/>
    <w:rsid w:val="7D6925E9"/>
    <w:rsid w:val="7D6F453F"/>
    <w:rsid w:val="7DAF2E86"/>
    <w:rsid w:val="7DCB1578"/>
    <w:rsid w:val="7DFD5226"/>
    <w:rsid w:val="7E1D7FA5"/>
    <w:rsid w:val="7E2969CB"/>
    <w:rsid w:val="7E3A1FB9"/>
    <w:rsid w:val="7E5B2F60"/>
    <w:rsid w:val="7ECD4EAB"/>
    <w:rsid w:val="7ECF1DB6"/>
    <w:rsid w:val="7ED43DD4"/>
    <w:rsid w:val="7F023C68"/>
    <w:rsid w:val="7F027446"/>
    <w:rsid w:val="7F104911"/>
    <w:rsid w:val="7F3C5DB2"/>
    <w:rsid w:val="7F50607E"/>
    <w:rsid w:val="7F5724B5"/>
    <w:rsid w:val="7F5E96C4"/>
    <w:rsid w:val="7F6D0B4A"/>
    <w:rsid w:val="7F73122C"/>
    <w:rsid w:val="7F7C7A99"/>
    <w:rsid w:val="7F7F9C3C"/>
    <w:rsid w:val="7F8963F8"/>
    <w:rsid w:val="7F9F4961"/>
    <w:rsid w:val="7FBF5E51"/>
    <w:rsid w:val="7FD2F7DB"/>
    <w:rsid w:val="7FD53426"/>
    <w:rsid w:val="7FF65F05"/>
    <w:rsid w:val="7FFC03A8"/>
    <w:rsid w:val="7FFDD5E0"/>
    <w:rsid w:val="7FFFD2A8"/>
    <w:rsid w:val="97BF568E"/>
    <w:rsid w:val="97FF0C9B"/>
    <w:rsid w:val="A65BFCF2"/>
    <w:rsid w:val="AD3F6BA7"/>
    <w:rsid w:val="AEBF24CF"/>
    <w:rsid w:val="BEFEAF53"/>
    <w:rsid w:val="BF9B9E8B"/>
    <w:rsid w:val="BFEF0A90"/>
    <w:rsid w:val="BFFB8A96"/>
    <w:rsid w:val="BFFBC8E2"/>
    <w:rsid w:val="CF5FAA61"/>
    <w:rsid w:val="CFFDE188"/>
    <w:rsid w:val="D779509E"/>
    <w:rsid w:val="DAE98030"/>
    <w:rsid w:val="DBFC2DAC"/>
    <w:rsid w:val="DEF79C17"/>
    <w:rsid w:val="DFFD4476"/>
    <w:rsid w:val="E3F31B5A"/>
    <w:rsid w:val="E77FB029"/>
    <w:rsid w:val="E7FF7D65"/>
    <w:rsid w:val="E7FFFCB9"/>
    <w:rsid w:val="EBFB0AF1"/>
    <w:rsid w:val="ECFE597C"/>
    <w:rsid w:val="EEC5936D"/>
    <w:rsid w:val="EF7F6E0E"/>
    <w:rsid w:val="EFAFA580"/>
    <w:rsid w:val="EFE31AD5"/>
    <w:rsid w:val="EFF7C251"/>
    <w:rsid w:val="EFFC0CE8"/>
    <w:rsid w:val="F5F6466D"/>
    <w:rsid w:val="F77EABDF"/>
    <w:rsid w:val="FAE43EF2"/>
    <w:rsid w:val="FAFF6502"/>
    <w:rsid w:val="FC963BD8"/>
    <w:rsid w:val="FDE81FC7"/>
    <w:rsid w:val="FDFF782F"/>
    <w:rsid w:val="FEBF9360"/>
    <w:rsid w:val="FEC0D99D"/>
    <w:rsid w:val="FECF7BEC"/>
    <w:rsid w:val="FF075838"/>
    <w:rsid w:val="FF5F9900"/>
    <w:rsid w:val="FFDFC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paragraph" w:styleId="3">
    <w:name w:val="heading 1"/>
    <w:basedOn w:val="1"/>
    <w:next w:val="1"/>
    <w:qFormat/>
    <w:uiPriority w:val="0"/>
    <w:pPr>
      <w:widowControl w:val="0"/>
      <w:autoSpaceDE w:val="0"/>
      <w:autoSpaceDN w:val="0"/>
      <w:ind w:left="860"/>
      <w:outlineLvl w:val="0"/>
    </w:pPr>
    <w:rPr>
      <w:rFonts w:ascii="微软雅黑" w:hAnsi="微软雅黑" w:eastAsia="微软雅黑" w:cs="微软雅黑"/>
      <w:b/>
      <w:bCs/>
      <w:sz w:val="32"/>
      <w:szCs w:val="32"/>
    </w:rPr>
  </w:style>
  <w:style w:type="paragraph" w:styleId="4">
    <w:name w:val="heading 2"/>
    <w:basedOn w:val="1"/>
    <w:next w:val="1"/>
    <w:unhideWhenUsed/>
    <w:qFormat/>
    <w:uiPriority w:val="0"/>
    <w:pPr>
      <w:keepNext/>
      <w:keepLines/>
      <w:widowControl w:val="0"/>
      <w:autoSpaceDE w:val="0"/>
      <w:autoSpaceDN w:val="0"/>
      <w:spacing w:before="260" w:after="260" w:line="416" w:lineRule="auto"/>
      <w:outlineLvl w:val="1"/>
    </w:pPr>
    <w:rPr>
      <w:rFonts w:ascii="Arial" w:hAnsi="Arial" w:eastAsia="黑体"/>
      <w:b/>
      <w:bCs/>
      <w:sz w:val="32"/>
      <w:szCs w:val="32"/>
    </w:rPr>
  </w:style>
  <w:style w:type="paragraph" w:styleId="5">
    <w:name w:val="heading 3"/>
    <w:basedOn w:val="1"/>
    <w:next w:val="1"/>
    <w:unhideWhenUsed/>
    <w:qFormat/>
    <w:uiPriority w:val="0"/>
    <w:pPr>
      <w:widowControl w:val="0"/>
      <w:autoSpaceDE w:val="0"/>
      <w:autoSpaceDN w:val="0"/>
      <w:ind w:left="1093"/>
      <w:outlineLvl w:val="2"/>
    </w:pPr>
    <w:rPr>
      <w:rFonts w:ascii="微软雅黑" w:hAnsi="微软雅黑" w:eastAsia="微软雅黑" w:cs="微软雅黑"/>
      <w:b/>
      <w:bCs/>
      <w:sz w:val="28"/>
      <w:szCs w:val="28"/>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widowControl w:val="0"/>
      <w:autoSpaceDE w:val="0"/>
      <w:autoSpaceDN w:val="0"/>
      <w:spacing w:before="190"/>
      <w:ind w:left="220"/>
    </w:pPr>
    <w:rPr>
      <w:sz w:val="32"/>
      <w:szCs w:val="32"/>
    </w:rPr>
  </w:style>
  <w:style w:type="paragraph" w:styleId="6">
    <w:name w:val="annotation text"/>
    <w:basedOn w:val="1"/>
    <w:link w:val="29"/>
    <w:qFormat/>
    <w:uiPriority w:val="0"/>
  </w:style>
  <w:style w:type="paragraph" w:styleId="7">
    <w:name w:val="toc 3"/>
    <w:basedOn w:val="1"/>
    <w:next w:val="1"/>
    <w:qFormat/>
    <w:uiPriority w:val="0"/>
    <w:pPr>
      <w:ind w:left="840" w:leftChars="400"/>
    </w:pPr>
  </w:style>
  <w:style w:type="paragraph" w:styleId="8">
    <w:name w:val="footer"/>
    <w:basedOn w:val="1"/>
    <w:qFormat/>
    <w:uiPriority w:val="0"/>
    <w:pPr>
      <w:widowControl w:val="0"/>
      <w:tabs>
        <w:tab w:val="center" w:pos="4153"/>
        <w:tab w:val="right" w:pos="8306"/>
      </w:tabs>
      <w:autoSpaceDE w:val="0"/>
      <w:autoSpaceDN w:val="0"/>
      <w:snapToGrid w:val="0"/>
    </w:pPr>
    <w:rPr>
      <w:sz w:val="18"/>
      <w:szCs w:val="22"/>
    </w:rPr>
  </w:style>
  <w:style w:type="paragraph" w:styleId="9">
    <w:name w:val="header"/>
    <w:basedOn w:val="1"/>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autoSpaceDE w:val="0"/>
      <w:autoSpaceDN w:val="0"/>
      <w:snapToGrid w:val="0"/>
      <w:jc w:val="both"/>
    </w:pPr>
    <w:rPr>
      <w:rFonts w:ascii="DejaVu Sans" w:hAnsi="DejaVu Sans"/>
      <w:sz w:val="18"/>
      <w:szCs w:val="22"/>
    </w:rPr>
  </w:style>
  <w:style w:type="paragraph" w:styleId="10">
    <w:name w:val="toc 1"/>
    <w:basedOn w:val="1"/>
    <w:next w:val="1"/>
    <w:qFormat/>
    <w:uiPriority w:val="0"/>
    <w:pPr>
      <w:widowControl w:val="0"/>
      <w:autoSpaceDE w:val="0"/>
      <w:autoSpaceDN w:val="0"/>
      <w:spacing w:before="119"/>
      <w:ind w:left="220"/>
    </w:pPr>
    <w:rPr>
      <w:rFonts w:ascii="微软雅黑" w:hAnsi="微软雅黑" w:eastAsia="微软雅黑" w:cs="微软雅黑"/>
      <w:b/>
      <w:bCs/>
      <w:sz w:val="20"/>
      <w:szCs w:val="20"/>
    </w:rPr>
  </w:style>
  <w:style w:type="paragraph" w:styleId="11">
    <w:name w:val="toc 2"/>
    <w:basedOn w:val="1"/>
    <w:next w:val="1"/>
    <w:qFormat/>
    <w:uiPriority w:val="0"/>
    <w:pPr>
      <w:widowControl w:val="0"/>
      <w:autoSpaceDE w:val="0"/>
      <w:autoSpaceDN w:val="0"/>
      <w:spacing w:before="183"/>
      <w:ind w:left="779"/>
    </w:pPr>
    <w:rPr>
      <w:sz w:val="20"/>
      <w:szCs w:val="20"/>
    </w:rPr>
  </w:style>
  <w:style w:type="paragraph" w:styleId="12">
    <w:name w:val="Normal (Web)"/>
    <w:basedOn w:val="1"/>
    <w:unhideWhenUsed/>
    <w:qFormat/>
    <w:uiPriority w:val="99"/>
    <w:pPr>
      <w:spacing w:before="100" w:beforeAutospacing="1" w:after="100" w:afterAutospacing="1"/>
    </w:pPr>
  </w:style>
  <w:style w:type="paragraph" w:styleId="13">
    <w:name w:val="Title"/>
    <w:basedOn w:val="1"/>
    <w:qFormat/>
    <w:uiPriority w:val="0"/>
    <w:pPr>
      <w:widowControl w:val="0"/>
      <w:autoSpaceDE w:val="0"/>
      <w:autoSpaceDN w:val="0"/>
      <w:spacing w:before="21"/>
      <w:ind w:left="1964" w:right="784" w:hanging="1282"/>
    </w:pPr>
    <w:rPr>
      <w:rFonts w:ascii="黑体" w:hAnsi="黑体" w:eastAsia="黑体" w:cs="黑体"/>
      <w:b/>
      <w:bCs/>
      <w:sz w:val="56"/>
      <w:szCs w:val="56"/>
    </w:rPr>
  </w:style>
  <w:style w:type="paragraph" w:styleId="14">
    <w:name w:val="annotation subject"/>
    <w:basedOn w:val="6"/>
    <w:next w:val="6"/>
    <w:link w:val="30"/>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qFormat/>
    <w:uiPriority w:val="0"/>
    <w:rPr>
      <w:color w:val="800080"/>
      <w:u w:val="single"/>
    </w:rPr>
  </w:style>
  <w:style w:type="character" w:styleId="19">
    <w:name w:val="Hyperlink"/>
    <w:basedOn w:val="17"/>
    <w:qFormat/>
    <w:uiPriority w:val="0"/>
    <w:rPr>
      <w:color w:val="0000FF"/>
      <w:u w:val="single"/>
    </w:rPr>
  </w:style>
  <w:style w:type="character" w:styleId="20">
    <w:name w:val="annotation reference"/>
    <w:basedOn w:val="17"/>
    <w:qFormat/>
    <w:uiPriority w:val="0"/>
    <w:rPr>
      <w:sz w:val="21"/>
      <w:szCs w:val="21"/>
    </w:rPr>
  </w:style>
  <w:style w:type="paragraph" w:customStyle="1" w:styleId="21">
    <w:name w:val="列表段落1"/>
    <w:basedOn w:val="1"/>
    <w:qFormat/>
    <w:uiPriority w:val="1"/>
    <w:pPr>
      <w:widowControl w:val="0"/>
      <w:autoSpaceDE w:val="0"/>
      <w:autoSpaceDN w:val="0"/>
      <w:spacing w:before="190"/>
      <w:ind w:left="1182" w:hanging="323"/>
    </w:pPr>
    <w:rPr>
      <w:sz w:val="22"/>
      <w:szCs w:val="22"/>
    </w:rPr>
  </w:style>
  <w:style w:type="paragraph" w:customStyle="1" w:styleId="22">
    <w:name w:val="Table Paragraph"/>
    <w:basedOn w:val="1"/>
    <w:qFormat/>
    <w:uiPriority w:val="1"/>
    <w:pPr>
      <w:widowControl w:val="0"/>
      <w:autoSpaceDE w:val="0"/>
      <w:autoSpaceDN w:val="0"/>
    </w:pPr>
    <w:rPr>
      <w:sz w:val="22"/>
      <w:szCs w:val="22"/>
    </w:rPr>
  </w:style>
  <w:style w:type="paragraph" w:customStyle="1" w:styleId="23">
    <w:name w:val="WPSOffice手动目录 1"/>
    <w:qFormat/>
    <w:uiPriority w:val="0"/>
    <w:rPr>
      <w:rFonts w:ascii="Times New Roman" w:hAnsi="Times New Roman" w:eastAsia="宋体" w:cs="Times New Roman"/>
      <w:lang w:val="en-US" w:eastAsia="zh-CN" w:bidi="ar-SA"/>
    </w:rPr>
  </w:style>
  <w:style w:type="paragraph" w:customStyle="1" w:styleId="2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26">
    <w:name w:val="列出段落1"/>
    <w:basedOn w:val="1"/>
    <w:qFormat/>
    <w:uiPriority w:val="34"/>
    <w:pPr>
      <w:widowControl w:val="0"/>
      <w:autoSpaceDE w:val="0"/>
      <w:autoSpaceDN w:val="0"/>
      <w:ind w:firstLine="420" w:firstLineChars="200"/>
    </w:pPr>
    <w:rPr>
      <w:sz w:val="22"/>
      <w:szCs w:val="22"/>
    </w:rPr>
  </w:style>
  <w:style w:type="character" w:customStyle="1" w:styleId="27">
    <w:name w:val="apple-converted-space"/>
    <w:basedOn w:val="17"/>
    <w:qFormat/>
    <w:uiPriority w:val="0"/>
  </w:style>
  <w:style w:type="paragraph" w:customStyle="1" w:styleId="28">
    <w:name w:val="List Paragraph"/>
    <w:basedOn w:val="1"/>
    <w:qFormat/>
    <w:uiPriority w:val="99"/>
    <w:pPr>
      <w:widowControl w:val="0"/>
      <w:autoSpaceDE w:val="0"/>
      <w:autoSpaceDN w:val="0"/>
      <w:ind w:firstLine="420" w:firstLineChars="200"/>
    </w:pPr>
    <w:rPr>
      <w:sz w:val="22"/>
      <w:szCs w:val="22"/>
    </w:rPr>
  </w:style>
  <w:style w:type="character" w:customStyle="1" w:styleId="29">
    <w:name w:val="批注文字 字符"/>
    <w:basedOn w:val="17"/>
    <w:link w:val="6"/>
    <w:qFormat/>
    <w:uiPriority w:val="0"/>
    <w:rPr>
      <w:rFonts w:ascii="宋体" w:hAnsi="宋体" w:cs="宋体"/>
      <w:sz w:val="24"/>
      <w:szCs w:val="24"/>
    </w:rPr>
  </w:style>
  <w:style w:type="character" w:customStyle="1" w:styleId="30">
    <w:name w:val="批注主题 字符"/>
    <w:basedOn w:val="29"/>
    <w:link w:val="14"/>
    <w:qFormat/>
    <w:uiPriority w:val="0"/>
    <w:rPr>
      <w:rFonts w:ascii="宋体" w:hAnsi="宋体" w:cs="宋体"/>
      <w:b/>
      <w:bCs/>
      <w:sz w:val="24"/>
      <w:szCs w:val="24"/>
    </w:rPr>
  </w:style>
  <w:style w:type="character" w:customStyle="1" w:styleId="31">
    <w:name w:val="font11"/>
    <w:basedOn w:val="17"/>
    <w:qFormat/>
    <w:uiPriority w:val="0"/>
    <w:rPr>
      <w:rFonts w:hint="default" w:ascii="仿宋_GB2312" w:eastAsia="仿宋_GB2312" w:cs="仿宋_GB2312"/>
      <w:color w:val="000000"/>
      <w:sz w:val="24"/>
      <w:szCs w:val="24"/>
      <w:u w:val="none"/>
    </w:rPr>
  </w:style>
  <w:style w:type="character" w:customStyle="1" w:styleId="32">
    <w:name w:val="font01"/>
    <w:basedOn w:val="17"/>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25792</Words>
  <Characters>27791</Characters>
  <Lines>226</Lines>
  <Paragraphs>63</Paragraphs>
  <TotalTime>34</TotalTime>
  <ScaleCrop>false</ScaleCrop>
  <LinksUpToDate>false</LinksUpToDate>
  <CharactersWithSpaces>35345</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2021-07-29T07:54:00Z</dcterms:created>
  <dc:creator>michaelzhang</dc:creator>
  <cp:lastModifiedBy>迷人的危险</cp:lastModifiedBy>
  <dcterms:modified xsi:type="dcterms:W3CDTF">2021-11-25T08:26:49Z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8569F57E886743CFBF8F065686E960A4</vt:lpwstr>
  </property>
</Properties>
</file>