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0"/>
        <w:jc w:val="center"/>
        <w:textAlignment w:val="auto"/>
        <w:rPr>
          <w:rFonts w:hint="eastAsia" w:ascii="楷体" w:hAnsi="楷体" w:eastAsia="楷体" w:cs="楷体"/>
          <w:sz w:val="36"/>
          <w:szCs w:val="36"/>
          <w:lang w:val="en-US" w:eastAsia="zh-CN"/>
        </w:rPr>
      </w:pPr>
    </w:p>
    <w:p>
      <w:pPr>
        <w:pStyle w:val="13"/>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0"/>
        <w:jc w:val="center"/>
        <w:textAlignment w:val="auto"/>
        <w:rPr>
          <w:rFonts w:hint="eastAsia" w:ascii="楷体" w:hAnsi="楷体" w:eastAsia="楷体" w:cs="楷体"/>
          <w:sz w:val="36"/>
          <w:szCs w:val="36"/>
          <w:lang w:val="en-US" w:eastAsia="zh-CN"/>
        </w:rPr>
      </w:pPr>
    </w:p>
    <w:p>
      <w:pPr>
        <w:pStyle w:val="13"/>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0"/>
        <w:jc w:val="center"/>
        <w:textAlignment w:val="auto"/>
        <w:rPr>
          <w:rFonts w:hint="eastAsia" w:ascii="楷体" w:hAnsi="楷体" w:eastAsia="楷体" w:cs="楷体"/>
          <w:sz w:val="36"/>
          <w:szCs w:val="36"/>
        </w:rPr>
      </w:pPr>
      <w:r>
        <w:rPr>
          <w:rFonts w:hint="eastAsia" w:ascii="楷体" w:hAnsi="楷体" w:eastAsia="楷体" w:cs="楷体"/>
          <w:sz w:val="36"/>
          <w:szCs w:val="36"/>
          <w:lang w:val="en-US" w:eastAsia="zh-CN"/>
        </w:rPr>
        <w:t>铜川市新区财政局2020年新区商务局</w:t>
      </w:r>
    </w:p>
    <w:p>
      <w:pPr>
        <w:pStyle w:val="13"/>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0"/>
        <w:jc w:val="center"/>
        <w:textAlignment w:val="auto"/>
        <w:rPr>
          <w:rFonts w:hint="eastAsia"/>
          <w:sz w:val="56"/>
          <w:szCs w:val="56"/>
          <w:lang w:eastAsia="zh-Hans"/>
        </w:rPr>
      </w:pPr>
      <w:r>
        <w:rPr>
          <w:rFonts w:hint="eastAsia" w:ascii="楷体" w:hAnsi="楷体" w:eastAsia="楷体" w:cs="楷体"/>
          <w:sz w:val="36"/>
          <w:szCs w:val="36"/>
          <w:lang w:eastAsia="zh-Hans"/>
        </w:rPr>
        <w:t>部门</w:t>
      </w:r>
      <w:r>
        <w:rPr>
          <w:rFonts w:hint="eastAsia" w:ascii="楷体" w:hAnsi="楷体" w:eastAsia="楷体" w:cs="楷体"/>
          <w:sz w:val="36"/>
          <w:szCs w:val="36"/>
        </w:rPr>
        <w:t>整体支出</w:t>
      </w:r>
      <w:r>
        <w:rPr>
          <w:rFonts w:hint="eastAsia" w:ascii="楷体" w:hAnsi="楷体" w:eastAsia="楷体" w:cs="楷体"/>
          <w:sz w:val="36"/>
          <w:szCs w:val="36"/>
          <w:lang w:eastAsia="zh-Hans"/>
        </w:rPr>
        <w:t>重点</w:t>
      </w:r>
    </w:p>
    <w:p>
      <w:pPr>
        <w:pStyle w:val="13"/>
        <w:keepNext w:val="0"/>
        <w:keepLines w:val="0"/>
        <w:pageBreakBefore w:val="0"/>
        <w:widowControl w:val="0"/>
        <w:kinsoku/>
        <w:wordWrap/>
        <w:overflowPunct/>
        <w:topLinePunct w:val="0"/>
        <w:autoSpaceDE w:val="0"/>
        <w:autoSpaceDN w:val="0"/>
        <w:bidi w:val="0"/>
        <w:adjustRightInd/>
        <w:snapToGrid/>
        <w:spacing w:before="0" w:line="1200" w:lineRule="exact"/>
        <w:ind w:left="0" w:right="0" w:firstLine="0"/>
        <w:jc w:val="center"/>
        <w:textAlignment w:val="auto"/>
        <w:rPr>
          <w:sz w:val="72"/>
          <w:szCs w:val="72"/>
        </w:rPr>
      </w:pPr>
      <w:r>
        <w:rPr>
          <w:rFonts w:hint="eastAsia"/>
          <w:sz w:val="72"/>
          <w:szCs w:val="72"/>
        </w:rPr>
        <w:t>绩</w:t>
      </w:r>
      <w:r>
        <w:rPr>
          <w:rFonts w:hint="eastAsia"/>
          <w:sz w:val="72"/>
          <w:szCs w:val="72"/>
          <w:lang w:val="en-US" w:eastAsia="zh-CN"/>
        </w:rPr>
        <w:t xml:space="preserve"> </w:t>
      </w:r>
      <w:r>
        <w:rPr>
          <w:rFonts w:hint="eastAsia"/>
          <w:sz w:val="72"/>
          <w:szCs w:val="72"/>
        </w:rPr>
        <w:t>效</w:t>
      </w:r>
      <w:r>
        <w:rPr>
          <w:rFonts w:hint="eastAsia"/>
          <w:sz w:val="72"/>
          <w:szCs w:val="72"/>
          <w:lang w:val="en-US" w:eastAsia="zh-CN"/>
        </w:rPr>
        <w:t xml:space="preserve"> </w:t>
      </w:r>
      <w:r>
        <w:rPr>
          <w:rFonts w:hint="eastAsia"/>
          <w:sz w:val="72"/>
          <w:szCs w:val="72"/>
        </w:rPr>
        <w:t>评</w:t>
      </w:r>
      <w:r>
        <w:rPr>
          <w:rFonts w:hint="eastAsia"/>
          <w:sz w:val="72"/>
          <w:szCs w:val="72"/>
          <w:lang w:val="en-US" w:eastAsia="zh-CN"/>
        </w:rPr>
        <w:t xml:space="preserve"> </w:t>
      </w:r>
      <w:r>
        <w:rPr>
          <w:rFonts w:hint="eastAsia"/>
          <w:sz w:val="72"/>
          <w:szCs w:val="72"/>
        </w:rPr>
        <w:t>价</w:t>
      </w:r>
      <w:r>
        <w:rPr>
          <w:rFonts w:hint="eastAsia"/>
          <w:sz w:val="72"/>
          <w:szCs w:val="72"/>
          <w:lang w:val="en-US" w:eastAsia="zh-CN"/>
        </w:rPr>
        <w:t xml:space="preserve"> </w:t>
      </w:r>
      <w:r>
        <w:rPr>
          <w:sz w:val="72"/>
          <w:szCs w:val="72"/>
        </w:rPr>
        <w:t>报</w:t>
      </w:r>
      <w:r>
        <w:rPr>
          <w:rFonts w:hint="eastAsia"/>
          <w:sz w:val="72"/>
          <w:szCs w:val="72"/>
          <w:lang w:val="en-US" w:eastAsia="zh-CN"/>
        </w:rPr>
        <w:t xml:space="preserve"> </w:t>
      </w:r>
      <w:r>
        <w:rPr>
          <w:sz w:val="72"/>
          <w:szCs w:val="72"/>
        </w:rPr>
        <w:t>告</w:t>
      </w:r>
    </w:p>
    <w:p>
      <w:pPr>
        <w:pStyle w:val="2"/>
        <w:spacing w:before="0"/>
        <w:ind w:left="0"/>
        <w:rPr>
          <w:rFonts w:ascii="黑体"/>
          <w:b/>
          <w:sz w:val="56"/>
        </w:rPr>
      </w:pPr>
    </w:p>
    <w:p>
      <w:pPr>
        <w:pStyle w:val="2"/>
        <w:spacing w:before="0"/>
        <w:ind w:left="0"/>
        <w:rPr>
          <w:rFonts w:ascii="黑体"/>
          <w:b/>
          <w:sz w:val="56"/>
        </w:rPr>
      </w:pPr>
    </w:p>
    <w:p>
      <w:pPr>
        <w:pStyle w:val="2"/>
        <w:spacing w:before="0"/>
        <w:ind w:left="0"/>
        <w:rPr>
          <w:rFonts w:ascii="黑体"/>
          <w:b/>
          <w:sz w:val="56"/>
        </w:rPr>
      </w:pPr>
    </w:p>
    <w:p>
      <w:pPr>
        <w:pStyle w:val="2"/>
        <w:spacing w:before="0"/>
        <w:ind w:left="0"/>
        <w:rPr>
          <w:rFonts w:ascii="黑体"/>
          <w:b/>
          <w:sz w:val="56"/>
        </w:rPr>
      </w:pPr>
    </w:p>
    <w:p>
      <w:pPr>
        <w:pStyle w:val="2"/>
        <w:spacing w:before="0"/>
        <w:ind w:left="0"/>
        <w:rPr>
          <w:rFonts w:ascii="黑体"/>
          <w:b/>
          <w:sz w:val="56"/>
        </w:rPr>
      </w:pPr>
    </w:p>
    <w:p>
      <w:pPr>
        <w:pStyle w:val="2"/>
        <w:spacing w:before="0"/>
        <w:ind w:left="0"/>
        <w:rPr>
          <w:rFonts w:ascii="黑体"/>
          <w:b/>
          <w:sz w:val="56"/>
        </w:rPr>
      </w:pPr>
    </w:p>
    <w:p>
      <w:pPr>
        <w:pStyle w:val="2"/>
        <w:spacing w:before="0"/>
        <w:ind w:left="0"/>
        <w:rPr>
          <w:rFonts w:ascii="黑体"/>
          <w:b/>
          <w:sz w:val="56"/>
        </w:rPr>
      </w:pP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1280" w:firstLineChars="400"/>
        <w:jc w:val="both"/>
        <w:textAlignment w:val="auto"/>
        <w:outlineLvl w:val="9"/>
        <w:rPr>
          <w:rFonts w:hint="default" w:ascii="楷体" w:hAnsi="楷体" w:eastAsia="楷体" w:cs="楷体"/>
          <w:b w:val="0"/>
          <w:bCs/>
          <w:color w:val="auto"/>
          <w:sz w:val="32"/>
          <w:szCs w:val="32"/>
          <w:highlight w:val="none"/>
          <w:u w:val="none"/>
          <w:lang w:val="en-US" w:eastAsia="zh-CN" w:bidi="ar-SA"/>
        </w:rPr>
      </w:pPr>
      <w:r>
        <w:rPr>
          <w:rFonts w:hint="eastAsia" w:ascii="楷体" w:hAnsi="楷体" w:eastAsia="楷体" w:cs="楷体"/>
          <w:b w:val="0"/>
          <w:bCs/>
          <w:color w:val="auto"/>
          <w:sz w:val="32"/>
          <w:szCs w:val="32"/>
          <w:highlight w:val="none"/>
          <w:u w:val="none"/>
          <w:lang w:val="en-US" w:eastAsia="zh-CN"/>
        </w:rPr>
        <w:t>项目单位</w:t>
      </w:r>
      <w:bookmarkStart w:id="41" w:name="_GoBack"/>
      <w:bookmarkEnd w:id="41"/>
      <w:r>
        <w:rPr>
          <w:rFonts w:hint="eastAsia" w:ascii="楷体" w:hAnsi="楷体" w:eastAsia="楷体" w:cs="楷体"/>
          <w:b w:val="0"/>
          <w:bCs/>
          <w:color w:val="auto"/>
          <w:sz w:val="32"/>
          <w:szCs w:val="32"/>
          <w:highlight w:val="none"/>
          <w:u w:val="none"/>
          <w:lang w:val="en-US" w:eastAsia="zh-CN"/>
        </w:rPr>
        <w:t xml:space="preserve">：铜川市新区商务局           </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1280" w:firstLineChars="400"/>
        <w:jc w:val="both"/>
        <w:textAlignment w:val="auto"/>
        <w:outlineLvl w:val="9"/>
        <w:rPr>
          <w:rFonts w:hint="default" w:ascii="楷体" w:hAnsi="楷体" w:eastAsia="楷体" w:cs="楷体"/>
          <w:b w:val="0"/>
          <w:bCs/>
          <w:color w:val="auto"/>
          <w:sz w:val="32"/>
          <w:szCs w:val="32"/>
          <w:highlight w:val="none"/>
          <w:u w:val="none"/>
          <w:lang w:val="en-US" w:eastAsia="zh-CN"/>
        </w:rPr>
      </w:pPr>
      <w:r>
        <w:rPr>
          <w:rFonts w:hint="eastAsia" w:ascii="楷体" w:hAnsi="楷体" w:eastAsia="楷体" w:cs="楷体"/>
          <w:b w:val="0"/>
          <w:bCs/>
          <w:color w:val="auto"/>
          <w:sz w:val="32"/>
          <w:szCs w:val="32"/>
          <w:highlight w:val="none"/>
          <w:u w:val="none"/>
          <w:lang w:val="en-US" w:eastAsia="zh-CN"/>
        </w:rPr>
        <w:t>组织</w:t>
      </w:r>
      <w:r>
        <w:rPr>
          <w:rFonts w:hint="eastAsia" w:ascii="楷体" w:hAnsi="楷体" w:eastAsia="楷体" w:cs="楷体"/>
          <w:b w:val="0"/>
          <w:bCs/>
          <w:color w:val="auto"/>
          <w:sz w:val="32"/>
          <w:szCs w:val="32"/>
          <w:highlight w:val="none"/>
          <w:u w:val="none"/>
          <w:lang w:val="en-US" w:eastAsia="zh-Hans"/>
        </w:rPr>
        <w:t>单位</w:t>
      </w:r>
      <w:r>
        <w:rPr>
          <w:rFonts w:hint="eastAsia" w:ascii="楷体" w:hAnsi="楷体" w:eastAsia="楷体" w:cs="楷体"/>
          <w:b w:val="0"/>
          <w:bCs/>
          <w:color w:val="auto"/>
          <w:sz w:val="32"/>
          <w:szCs w:val="32"/>
          <w:highlight w:val="none"/>
          <w:u w:val="none"/>
          <w:lang w:val="en-US" w:eastAsia="zh-CN"/>
        </w:rPr>
        <w:t xml:space="preserve">：铜川市新区财政局           </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1280" w:firstLineChars="400"/>
        <w:jc w:val="both"/>
        <w:textAlignment w:val="auto"/>
        <w:outlineLvl w:val="9"/>
        <w:rPr>
          <w:rFonts w:hint="eastAsia" w:ascii="楷体" w:hAnsi="楷体" w:eastAsia="楷体" w:cs="楷体"/>
          <w:b w:val="0"/>
          <w:bCs/>
          <w:color w:val="auto"/>
          <w:sz w:val="32"/>
          <w:szCs w:val="32"/>
          <w:highlight w:val="none"/>
          <w:u w:val="none"/>
          <w:lang w:val="en-US" w:eastAsia="zh-CN"/>
        </w:rPr>
      </w:pPr>
      <w:r>
        <w:rPr>
          <w:rFonts w:hint="eastAsia" w:ascii="楷体" w:hAnsi="楷体" w:eastAsia="楷体" w:cs="楷体"/>
          <w:b w:val="0"/>
          <w:bCs/>
          <w:color w:val="auto"/>
          <w:sz w:val="32"/>
          <w:szCs w:val="32"/>
          <w:highlight w:val="none"/>
          <w:u w:val="none"/>
          <w:lang w:val="en-US" w:eastAsia="zh-Hans"/>
        </w:rPr>
        <w:t>评价</w:t>
      </w:r>
      <w:r>
        <w:rPr>
          <w:rFonts w:hint="eastAsia" w:ascii="楷体" w:hAnsi="楷体" w:eastAsia="楷体" w:cs="楷体"/>
          <w:b w:val="0"/>
          <w:bCs/>
          <w:color w:val="auto"/>
          <w:sz w:val="32"/>
          <w:szCs w:val="32"/>
          <w:highlight w:val="none"/>
          <w:u w:val="none"/>
          <w:lang w:val="en-US" w:eastAsia="zh-CN"/>
        </w:rPr>
        <w:t>机构：深圳市万德公共咨询有限公司</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1280" w:firstLineChars="400"/>
        <w:jc w:val="both"/>
        <w:textAlignment w:val="auto"/>
        <w:outlineLvl w:val="9"/>
        <w:rPr>
          <w:rFonts w:hint="default"/>
          <w:u w:val="none"/>
          <w:lang w:val="en-US" w:eastAsia="zh-CN"/>
        </w:rPr>
      </w:pPr>
      <w:r>
        <w:rPr>
          <w:rFonts w:hint="eastAsia" w:ascii="楷体" w:hAnsi="楷体" w:eastAsia="楷体" w:cs="楷体"/>
          <w:b w:val="0"/>
          <w:bCs/>
          <w:color w:val="auto"/>
          <w:sz w:val="32"/>
          <w:szCs w:val="32"/>
          <w:highlight w:val="none"/>
          <w:u w:val="none"/>
          <w:lang w:val="en-US" w:eastAsia="zh-CN"/>
        </w:rPr>
        <w:t xml:space="preserve">报告编号：铜新评审2021-09 </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1280" w:firstLineChars="400"/>
        <w:jc w:val="both"/>
        <w:textAlignment w:val="auto"/>
        <w:outlineLvl w:val="9"/>
        <w:rPr>
          <w:rFonts w:hint="default" w:ascii="楷体" w:hAnsi="楷体" w:eastAsia="楷体" w:cs="楷体"/>
          <w:sz w:val="32"/>
          <w:szCs w:val="32"/>
          <w:u w:val="single"/>
          <w:lang w:val="en-US"/>
        </w:rPr>
      </w:pPr>
      <w:r>
        <w:rPr>
          <w:rFonts w:hint="eastAsia" w:ascii="楷体" w:hAnsi="楷体" w:eastAsia="楷体" w:cs="楷体"/>
          <w:b w:val="0"/>
          <w:bCs/>
          <w:color w:val="auto"/>
          <w:sz w:val="32"/>
          <w:szCs w:val="32"/>
          <w:highlight w:val="none"/>
          <w:u w:val="none"/>
          <w:lang w:val="en-US" w:eastAsia="zh-CN"/>
        </w:rPr>
        <w:t xml:space="preserve">编制日期：2021年11月           </w:t>
      </w:r>
    </w:p>
    <w:p>
      <w:pPr>
        <w:bidi w:val="0"/>
        <w:jc w:val="left"/>
        <w:rPr>
          <w:rFonts w:hint="default"/>
          <w:lang w:val="en-US" w:eastAsia="zh-CN"/>
        </w:rPr>
      </w:pPr>
      <w:r>
        <w:rPr>
          <w:rFonts w:hint="default"/>
          <w:lang w:val="en-US" w:eastAsia="zh-CN"/>
        </w:rPr>
        <w:br w:type="page"/>
      </w:r>
    </w:p>
    <w:p>
      <w:pPr>
        <w:keepNext w:val="0"/>
        <w:keepLines w:val="0"/>
        <w:pageBreakBefore w:val="0"/>
        <w:widowControl w:val="0"/>
        <w:kinsoku/>
        <w:wordWrap/>
        <w:overflowPunct/>
        <w:topLinePunct w:val="0"/>
        <w:autoSpaceDE/>
        <w:autoSpaceDN/>
        <w:bidi w:val="0"/>
        <w:adjustRightInd/>
        <w:snapToGrid/>
        <w:spacing w:beforeLines="0" w:afterLines="0" w:line="600" w:lineRule="exact"/>
        <w:ind w:left="0" w:leftChars="0" w:right="0" w:rightChars="0" w:firstLine="0" w:firstLineChars="0"/>
        <w:jc w:val="center"/>
        <w:textAlignment w:val="auto"/>
        <w:rPr>
          <w:rFonts w:hint="eastAsia" w:ascii="宋体" w:hAnsi="宋体" w:eastAsia="宋体" w:cs="宋体"/>
          <w:b/>
          <w:bCs/>
          <w:color w:val="auto"/>
          <w:sz w:val="36"/>
          <w:szCs w:val="36"/>
          <w:highlight w:val="none"/>
          <w:lang w:val="en-US" w:eastAsia="zh-CN" w:bidi="ar-SA"/>
        </w:rPr>
      </w:pPr>
      <w:r>
        <w:rPr>
          <w:rFonts w:hint="eastAsia" w:ascii="宋体" w:hAnsi="宋体" w:eastAsia="宋体" w:cs="宋体"/>
          <w:b/>
          <w:bCs/>
          <w:color w:val="auto"/>
          <w:sz w:val="36"/>
          <w:szCs w:val="36"/>
          <w:highlight w:val="none"/>
          <w:lang w:val="en-US" w:eastAsia="zh-CN" w:bidi="ar-SA"/>
        </w:rPr>
        <w:t>铜川市新区财政局2020年新区商务局</w:t>
      </w:r>
      <w:r>
        <w:rPr>
          <w:rFonts w:hint="eastAsia" w:ascii="宋体" w:hAnsi="宋体" w:eastAsia="宋体" w:cs="宋体"/>
          <w:b/>
          <w:bCs/>
          <w:color w:val="auto"/>
          <w:sz w:val="36"/>
          <w:szCs w:val="36"/>
          <w:highlight w:val="none"/>
          <w:lang w:val="en-US" w:eastAsia="zh-Hans" w:bidi="ar-SA"/>
        </w:rPr>
        <w:t>部门</w:t>
      </w:r>
      <w:r>
        <w:rPr>
          <w:rFonts w:hint="eastAsia" w:ascii="宋体" w:hAnsi="宋体" w:eastAsia="宋体" w:cs="宋体"/>
          <w:b/>
          <w:bCs/>
          <w:color w:val="auto"/>
          <w:sz w:val="36"/>
          <w:szCs w:val="36"/>
          <w:highlight w:val="none"/>
          <w:lang w:val="en-US" w:eastAsia="zh-CN" w:bidi="ar-SA"/>
        </w:rPr>
        <w:t>整体</w:t>
      </w:r>
    </w:p>
    <w:p>
      <w:pPr>
        <w:keepNext w:val="0"/>
        <w:keepLines w:val="0"/>
        <w:pageBreakBefore w:val="0"/>
        <w:widowControl w:val="0"/>
        <w:kinsoku/>
        <w:wordWrap/>
        <w:overflowPunct/>
        <w:topLinePunct w:val="0"/>
        <w:autoSpaceDE/>
        <w:autoSpaceDN/>
        <w:bidi w:val="0"/>
        <w:adjustRightInd/>
        <w:snapToGrid/>
        <w:spacing w:beforeLines="0" w:afterLines="0" w:line="600" w:lineRule="exact"/>
        <w:ind w:left="0" w:leftChars="0" w:right="0" w:rightChars="0" w:firstLine="0" w:firstLineChars="0"/>
        <w:jc w:val="center"/>
        <w:textAlignment w:val="auto"/>
        <w:rPr>
          <w:rFonts w:hint="eastAsia" w:ascii="仿宋" w:hAnsi="仿宋" w:eastAsia="仿宋" w:cs="仿宋"/>
          <w:i w:val="0"/>
          <w:iCs w:val="0"/>
          <w:color w:val="000000"/>
          <w:kern w:val="0"/>
          <w:sz w:val="24"/>
          <w:szCs w:val="24"/>
          <w:highlight w:val="none"/>
          <w:u w:val="none"/>
          <w:lang w:val="en-US" w:eastAsia="zh-CN" w:bidi="ar"/>
        </w:rPr>
      </w:pPr>
      <w:r>
        <w:rPr>
          <w:rFonts w:hint="eastAsia" w:ascii="宋体" w:hAnsi="宋体" w:eastAsia="宋体" w:cs="宋体"/>
          <w:b/>
          <w:bCs/>
          <w:color w:val="auto"/>
          <w:sz w:val="36"/>
          <w:szCs w:val="36"/>
          <w:highlight w:val="none"/>
          <w:lang w:val="en-US" w:eastAsia="zh-CN" w:bidi="ar-SA"/>
        </w:rPr>
        <w:t>支出</w:t>
      </w:r>
      <w:r>
        <w:rPr>
          <w:rFonts w:hint="eastAsia" w:ascii="宋体" w:hAnsi="宋体"/>
          <w:b/>
          <w:bCs/>
          <w:color w:val="auto"/>
          <w:sz w:val="36"/>
          <w:szCs w:val="36"/>
          <w:highlight w:val="none"/>
          <w:lang w:val="en-US" w:eastAsia="zh-CN"/>
        </w:rPr>
        <w:t>绩效评价总览表</w:t>
      </w:r>
    </w:p>
    <w:tbl>
      <w:tblPr>
        <w:tblStyle w:val="1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42"/>
        <w:gridCol w:w="1849"/>
        <w:gridCol w:w="1926"/>
        <w:gridCol w:w="30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000" w:type="pct"/>
            <w:gridSpan w:val="4"/>
            <w:noWrap w:val="0"/>
            <w:vAlign w:val="center"/>
          </w:tcPr>
          <w:p>
            <w:pPr>
              <w:keepNext w:val="0"/>
              <w:keepLines w:val="0"/>
              <w:widowControl/>
              <w:suppressLineNumbers w:val="0"/>
              <w:jc w:val="center"/>
              <w:textAlignment w:val="center"/>
              <w:rPr>
                <w:rFonts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一、项目预算资金安排和使用情况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1242"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项目名称</w:t>
            </w:r>
          </w:p>
        </w:tc>
        <w:tc>
          <w:tcPr>
            <w:tcW w:w="3757" w:type="pct"/>
            <w:gridSpan w:val="3"/>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rPr>
            </w:pPr>
            <w:r>
              <w:rPr>
                <w:rFonts w:hint="eastAsia" w:ascii="仿宋" w:hAnsi="仿宋" w:eastAsia="仿宋" w:cs="仿宋"/>
                <w:i w:val="0"/>
                <w:iCs w:val="0"/>
                <w:color w:val="000000"/>
                <w:sz w:val="24"/>
                <w:szCs w:val="24"/>
                <w:highlight w:val="none"/>
                <w:u w:val="none"/>
                <w:lang w:val="en-US" w:eastAsia="zh-CN"/>
              </w:rPr>
              <w:t>铜川市新区财政局2020年新区商务局</w:t>
            </w:r>
            <w:r>
              <w:rPr>
                <w:rFonts w:hint="eastAsia" w:ascii="仿宋" w:hAnsi="仿宋" w:eastAsia="仿宋" w:cs="仿宋"/>
                <w:i w:val="0"/>
                <w:iCs w:val="0"/>
                <w:color w:val="000000"/>
                <w:sz w:val="24"/>
                <w:szCs w:val="24"/>
                <w:highlight w:val="none"/>
                <w:u w:val="none"/>
                <w:lang w:val="en-US" w:eastAsia="zh-Hans"/>
              </w:rPr>
              <w:t>部门</w:t>
            </w:r>
            <w:r>
              <w:rPr>
                <w:rFonts w:hint="eastAsia" w:ascii="仿宋" w:hAnsi="仿宋" w:eastAsia="仿宋" w:cs="仿宋"/>
                <w:i w:val="0"/>
                <w:iCs w:val="0"/>
                <w:color w:val="000000"/>
                <w:sz w:val="24"/>
                <w:szCs w:val="24"/>
                <w:highlight w:val="none"/>
                <w:u w:val="none"/>
                <w:lang w:val="en-US" w:eastAsia="zh-CN"/>
              </w:rPr>
              <w:t>整体支出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42"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实施单位</w:t>
            </w:r>
          </w:p>
        </w:tc>
        <w:tc>
          <w:tcPr>
            <w:tcW w:w="3757" w:type="pct"/>
            <w:gridSpan w:val="3"/>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铜川市新区商务局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42"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主管处室</w:t>
            </w:r>
          </w:p>
        </w:tc>
        <w:tc>
          <w:tcPr>
            <w:tcW w:w="1024" w:type="pct"/>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rPr>
            </w:pPr>
            <w:r>
              <w:rPr>
                <w:rFonts w:hint="eastAsia" w:ascii="仿宋" w:hAnsi="仿宋" w:eastAsia="仿宋" w:cs="仿宋"/>
                <w:i w:val="0"/>
                <w:iCs w:val="0"/>
                <w:color w:val="000000"/>
                <w:sz w:val="24"/>
                <w:szCs w:val="24"/>
                <w:highlight w:val="none"/>
                <w:u w:val="none"/>
                <w:lang w:val="en-US" w:eastAsia="zh-CN"/>
              </w:rPr>
              <w:t>铜川市新区财政局综合科</w:t>
            </w:r>
          </w:p>
        </w:tc>
        <w:tc>
          <w:tcPr>
            <w:tcW w:w="1067"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主管部门</w:t>
            </w:r>
          </w:p>
        </w:tc>
        <w:tc>
          <w:tcPr>
            <w:tcW w:w="1665" w:type="pct"/>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rPr>
            </w:pPr>
            <w:r>
              <w:rPr>
                <w:rFonts w:hint="eastAsia" w:ascii="仿宋" w:hAnsi="仿宋" w:eastAsia="仿宋" w:cs="仿宋"/>
                <w:i w:val="0"/>
                <w:iCs w:val="0"/>
                <w:color w:val="000000"/>
                <w:sz w:val="24"/>
                <w:szCs w:val="24"/>
                <w:highlight w:val="none"/>
                <w:u w:val="none"/>
                <w:lang w:val="en-US" w:eastAsia="zh-CN"/>
              </w:rPr>
              <w:t>铜川市新区商务局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trPr>
        <w:tc>
          <w:tcPr>
            <w:tcW w:w="1242"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年度预算资金安排</w:t>
            </w:r>
          </w:p>
        </w:tc>
        <w:tc>
          <w:tcPr>
            <w:tcW w:w="3757" w:type="pct"/>
            <w:gridSpan w:val="3"/>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866.52</w:t>
            </w:r>
            <w:r>
              <w:rPr>
                <w:rFonts w:hint="eastAsia" w:ascii="仿宋" w:hAnsi="仿宋" w:eastAsia="仿宋" w:cs="仿宋"/>
                <w:i w:val="0"/>
                <w:iCs w:val="0"/>
                <w:color w:val="000000"/>
                <w:kern w:val="0"/>
                <w:sz w:val="24"/>
                <w:szCs w:val="24"/>
                <w:highlight w:val="none"/>
                <w:u w:val="none"/>
                <w:lang w:val="en-US" w:eastAsia="zh-Hans" w:bidi="ar"/>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242"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其中</w:t>
            </w:r>
          </w:p>
        </w:tc>
        <w:tc>
          <w:tcPr>
            <w:tcW w:w="3757" w:type="pct"/>
            <w:gridSpan w:val="3"/>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当年财政拨款853.50万元（98.5%）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242"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年度实际支出</w:t>
            </w:r>
          </w:p>
        </w:tc>
        <w:tc>
          <w:tcPr>
            <w:tcW w:w="3757" w:type="pct"/>
            <w:gridSpan w:val="3"/>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年度支出433.37万元，占比50%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trPr>
        <w:tc>
          <w:tcPr>
            <w:tcW w:w="5000" w:type="pct"/>
            <w:gridSpan w:val="4"/>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二、项目绩效目标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1242"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绩效目标</w:t>
            </w:r>
          </w:p>
        </w:tc>
        <w:tc>
          <w:tcPr>
            <w:tcW w:w="3757" w:type="pct"/>
            <w:gridSpan w:val="3"/>
            <w:noWrap w:val="0"/>
            <w:vAlign w:val="center"/>
          </w:tcPr>
          <w:p>
            <w:pPr>
              <w:keepNext w:val="0"/>
              <w:keepLines w:val="0"/>
              <w:widowControl/>
              <w:suppressLineNumbers w:val="0"/>
              <w:ind w:firstLineChars="200"/>
              <w:jc w:val="left"/>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kern w:val="0"/>
                <w:sz w:val="24"/>
                <w:szCs w:val="24"/>
                <w:highlight w:val="none"/>
                <w:u w:val="none"/>
                <w:lang w:val="en-US" w:eastAsia="zh-CN" w:bidi="ar"/>
              </w:rPr>
              <w:t>保障2020年新区商务局业务工作开展正常运行；紧盯全年目标任务，抓好社零、外贸进出口总额等市考指标的顺利完成；组织做好新区参加第三届“进博会”相关工作；做好招商引资相关工作。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trPr>
        <w:tc>
          <w:tcPr>
            <w:tcW w:w="1242" w:type="pct"/>
            <w:noWrap w:val="0"/>
            <w:vAlign w:val="center"/>
          </w:tcPr>
          <w:p>
            <w:pPr>
              <w:keepNext w:val="0"/>
              <w:keepLines w:val="0"/>
              <w:widowControl/>
              <w:suppressLineNumbers w:val="0"/>
              <w:ind w:firstLineChars="200"/>
              <w:jc w:val="both"/>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主要指标</w:t>
            </w:r>
          </w:p>
        </w:tc>
        <w:tc>
          <w:tcPr>
            <w:tcW w:w="3757" w:type="pct"/>
            <w:gridSpan w:val="3"/>
            <w:noWrap w:val="0"/>
            <w:vAlign w:val="center"/>
          </w:tcPr>
          <w:p>
            <w:pPr>
              <w:keepNext w:val="0"/>
              <w:keepLines w:val="0"/>
              <w:widowControl/>
              <w:suppressLineNumbers w:val="0"/>
              <w:ind w:firstLineChars="200"/>
              <w:jc w:val="left"/>
              <w:textAlignment w:val="center"/>
              <w:rPr>
                <w:rFonts w:hint="default" w:ascii="仿宋" w:hAnsi="仿宋" w:eastAsia="仿宋" w:cs="仿宋"/>
                <w:i w:val="0"/>
                <w:iCs w:val="0"/>
                <w:color w:val="000000"/>
                <w:sz w:val="24"/>
                <w:szCs w:val="24"/>
                <w:highlight w:val="none"/>
                <w:u w:val="none"/>
                <w:lang w:val="en-US" w:eastAsia="zh-CN"/>
              </w:rPr>
            </w:pPr>
            <w:r>
              <w:rPr>
                <w:rFonts w:hint="default" w:ascii="仿宋" w:hAnsi="仿宋" w:eastAsia="仿宋" w:cs="仿宋"/>
                <w:i w:val="0"/>
                <w:iCs w:val="0"/>
                <w:color w:val="000000"/>
                <w:sz w:val="24"/>
                <w:szCs w:val="24"/>
                <w:highlight w:val="none"/>
                <w:u w:val="none"/>
                <w:lang w:val="en-US" w:eastAsia="zh-CN"/>
              </w:rPr>
              <w:t>消费促进月活动销售额</w:t>
            </w:r>
            <w:r>
              <w:rPr>
                <w:rFonts w:hint="eastAsia" w:ascii="仿宋" w:hAnsi="仿宋" w:eastAsia="仿宋" w:cs="仿宋"/>
                <w:i w:val="0"/>
                <w:iCs w:val="0"/>
                <w:color w:val="000000"/>
                <w:sz w:val="24"/>
                <w:szCs w:val="24"/>
                <w:highlight w:val="none"/>
                <w:u w:val="none"/>
                <w:lang w:val="en-US" w:eastAsia="zh-CN"/>
              </w:rPr>
              <w:t>，商贸服务业项目申报情况，培育新增“四上”企业情况，社零、外贸进出口、R&amp;D、技术市场交易额等指标完成情况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7" w:hRule="atLeast"/>
        </w:trPr>
        <w:tc>
          <w:tcPr>
            <w:tcW w:w="1242" w:type="pct"/>
            <w:noWrap w:val="0"/>
            <w:vAlign w:val="center"/>
          </w:tcPr>
          <w:p>
            <w:pPr>
              <w:keepNext w:val="0"/>
              <w:keepLines w:val="0"/>
              <w:widowControl/>
              <w:suppressLineNumbers w:val="0"/>
              <w:ind w:firstLineChars="200"/>
              <w:jc w:val="both"/>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完成情况</w:t>
            </w:r>
          </w:p>
        </w:tc>
        <w:tc>
          <w:tcPr>
            <w:tcW w:w="3757" w:type="pct"/>
            <w:gridSpan w:val="3"/>
            <w:noWrap w:val="0"/>
            <w:vAlign w:val="center"/>
          </w:tcPr>
          <w:p>
            <w:pPr>
              <w:keepNext w:val="0"/>
              <w:keepLines w:val="0"/>
              <w:widowControl/>
              <w:numPr>
                <w:ilvl w:val="0"/>
                <w:numId w:val="0"/>
              </w:numPr>
              <w:suppressLineNumbers w:val="0"/>
              <w:ind w:firstLine="480" w:firstLineChars="200"/>
              <w:jc w:val="left"/>
              <w:textAlignment w:val="center"/>
              <w:rPr>
                <w:rFonts w:hint="default"/>
                <w:lang w:val="en-US" w:eastAsia="zh-CN"/>
              </w:rPr>
            </w:pPr>
            <w:r>
              <w:rPr>
                <w:rFonts w:hint="eastAsia" w:ascii="仿宋" w:hAnsi="仿宋" w:eastAsia="仿宋" w:cs="仿宋"/>
                <w:i w:val="0"/>
                <w:iCs w:val="0"/>
                <w:color w:val="000000"/>
                <w:kern w:val="0"/>
                <w:sz w:val="24"/>
                <w:szCs w:val="24"/>
                <w:highlight w:val="none"/>
                <w:u w:val="none"/>
                <w:lang w:val="en-US" w:eastAsia="zh-CN" w:bidi="ar"/>
              </w:rPr>
              <w:t>2020年新区商务局业务工作开展正常运行，社零、外贸进出口总额等市考指标顺利完成，因疫情原因未促进“进博会”，招商引资相关工作开展顺利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5000" w:type="pct"/>
            <w:gridSpan w:val="4"/>
            <w:noWrap w:val="0"/>
            <w:vAlign w:val="center"/>
          </w:tcPr>
          <w:p>
            <w:pPr>
              <w:keepNext w:val="0"/>
              <w:keepLines w:val="0"/>
              <w:widowControl/>
              <w:suppressLineNumbers w:val="0"/>
              <w:ind w:firstLineChars="20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三、综合评价结论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000" w:type="pct"/>
            <w:gridSpan w:val="4"/>
            <w:vMerge w:val="restart"/>
            <w:noWrap w:val="0"/>
            <w:vAlign w:val="center"/>
          </w:tcPr>
          <w:p>
            <w:pPr>
              <w:keepNext w:val="0"/>
              <w:keepLines w:val="0"/>
              <w:widowControl/>
              <w:numPr>
                <w:ilvl w:val="0"/>
                <w:numId w:val="0"/>
              </w:numPr>
              <w:suppressLineNumbers w:val="0"/>
              <w:ind w:firstLine="480" w:firstLineChars="20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经综合分析，该部门整体支出综合评价得分为85.5分，绩效等级为“良”。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000" w:type="pct"/>
            <w:gridSpan w:val="4"/>
            <w:vMerge w:val="continue"/>
            <w:noWrap w:val="0"/>
            <w:vAlign w:val="center"/>
          </w:tcPr>
          <w:p>
            <w:pPr>
              <w:jc w:val="center"/>
              <w:rPr>
                <w:rFonts w:hint="eastAsia" w:ascii="仿宋" w:hAnsi="仿宋" w:eastAsia="仿宋" w:cs="仿宋"/>
                <w:i w:val="0"/>
                <w:iCs w:val="0"/>
                <w:color w:val="000000"/>
                <w:sz w:val="24"/>
                <w:szCs w:val="24"/>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000" w:type="pct"/>
            <w:gridSpan w:val="4"/>
            <w:vMerge w:val="continue"/>
            <w:noWrap w:val="0"/>
            <w:vAlign w:val="center"/>
          </w:tcPr>
          <w:p>
            <w:pPr>
              <w:jc w:val="center"/>
              <w:rPr>
                <w:rFonts w:hint="eastAsia" w:ascii="仿宋" w:hAnsi="仿宋" w:eastAsia="仿宋" w:cs="仿宋"/>
                <w:i w:val="0"/>
                <w:iCs w:val="0"/>
                <w:color w:val="000000"/>
                <w:sz w:val="24"/>
                <w:szCs w:val="24"/>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5000" w:type="pct"/>
            <w:gridSpan w:val="4"/>
            <w:vMerge w:val="continue"/>
            <w:noWrap w:val="0"/>
            <w:vAlign w:val="center"/>
          </w:tcPr>
          <w:p>
            <w:pPr>
              <w:jc w:val="center"/>
              <w:rPr>
                <w:rFonts w:hint="eastAsia" w:ascii="仿宋" w:hAnsi="仿宋" w:eastAsia="仿宋" w:cs="仿宋"/>
                <w:i w:val="0"/>
                <w:iCs w:val="0"/>
                <w:color w:val="000000"/>
                <w:sz w:val="24"/>
                <w:szCs w:val="24"/>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000" w:type="pct"/>
            <w:gridSpan w:val="4"/>
            <w:noWrap w:val="0"/>
            <w:vAlign w:val="center"/>
          </w:tcPr>
          <w:p>
            <w:pPr>
              <w:keepNext w:val="0"/>
              <w:keepLines w:val="0"/>
              <w:widowControl/>
              <w:suppressLineNumbers w:val="0"/>
              <w:ind w:firstLineChars="200"/>
              <w:jc w:val="center"/>
              <w:textAlignment w:val="center"/>
              <w:rPr>
                <w:rFonts w:hint="default" w:ascii="仿宋" w:hAnsi="仿宋" w:eastAsia="仿宋" w:cs="仿宋"/>
                <w:i w:val="0"/>
                <w:iCs w:val="0"/>
                <w:color w:val="000000"/>
                <w:sz w:val="24"/>
                <w:szCs w:val="24"/>
                <w:highlight w:val="none"/>
                <w:u w:val="none"/>
                <w:lang w:val="en-US"/>
              </w:rPr>
            </w:pPr>
            <w:r>
              <w:rPr>
                <w:rFonts w:hint="eastAsia" w:ascii="仿宋" w:hAnsi="仿宋" w:eastAsia="仿宋" w:cs="仿宋"/>
                <w:i w:val="0"/>
                <w:iCs w:val="0"/>
                <w:color w:val="000000"/>
                <w:kern w:val="0"/>
                <w:sz w:val="24"/>
                <w:szCs w:val="24"/>
                <w:highlight w:val="none"/>
                <w:u w:val="none"/>
                <w:lang w:val="en-US" w:eastAsia="zh-CN" w:bidi="ar"/>
              </w:rPr>
              <w:t>四、主要绩效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4" w:hRule="atLeast"/>
        </w:trPr>
        <w:tc>
          <w:tcPr>
            <w:tcW w:w="5000" w:type="pct"/>
            <w:gridSpan w:val="4"/>
            <w:noWrap w:val="0"/>
            <w:vAlign w:val="center"/>
          </w:tcPr>
          <w:p>
            <w:pPr>
              <w:keepNext w:val="0"/>
              <w:keepLines w:val="0"/>
              <w:widowControl/>
              <w:suppressLineNumbers w:val="0"/>
              <w:ind w:firstLineChars="20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（一）完善制度和平台建设，推进科技创新</w:t>
            </w:r>
          </w:p>
          <w:p>
            <w:pPr>
              <w:keepNext w:val="0"/>
              <w:keepLines w:val="0"/>
              <w:widowControl/>
              <w:suppressLineNumbers w:val="0"/>
              <w:ind w:firstLineChars="200"/>
              <w:jc w:val="left"/>
              <w:textAlignment w:val="center"/>
              <w:rPr>
                <w:rFonts w:hint="default"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Hans" w:bidi="ar"/>
              </w:rPr>
              <w:t>（二）</w:t>
            </w:r>
            <w:r>
              <w:rPr>
                <w:rFonts w:hint="eastAsia" w:ascii="仿宋" w:hAnsi="仿宋" w:eastAsia="仿宋" w:cs="仿宋"/>
                <w:i w:val="0"/>
                <w:iCs w:val="0"/>
                <w:color w:val="000000"/>
                <w:kern w:val="0"/>
                <w:sz w:val="24"/>
                <w:szCs w:val="24"/>
                <w:highlight w:val="none"/>
                <w:u w:val="none"/>
                <w:lang w:val="en-US" w:eastAsia="zh-CN" w:bidi="ar"/>
              </w:rPr>
              <w:t>创新促进消费方式，带动消费回暖</w:t>
            </w:r>
          </w:p>
          <w:p>
            <w:pPr>
              <w:keepNext w:val="0"/>
              <w:keepLines w:val="0"/>
              <w:widowControl/>
              <w:suppressLineNumbers w:val="0"/>
              <w:ind w:firstLineChars="200"/>
              <w:jc w:val="left"/>
              <w:textAlignment w:val="center"/>
              <w:rPr>
                <w:rFonts w:hint="default" w:ascii="仿宋" w:hAnsi="仿宋" w:eastAsia="仿宋" w:cs="仿宋"/>
                <w:i w:val="0"/>
                <w:iCs w:val="0"/>
                <w:color w:val="000000"/>
                <w:sz w:val="24"/>
                <w:szCs w:val="24"/>
                <w:highlight w:val="none"/>
                <w:u w:val="none"/>
                <w:lang w:val="en-US"/>
              </w:rPr>
            </w:pPr>
            <w:r>
              <w:rPr>
                <w:rFonts w:hint="eastAsia" w:ascii="仿宋" w:hAnsi="仿宋" w:eastAsia="仿宋" w:cs="仿宋"/>
                <w:i w:val="0"/>
                <w:iCs w:val="0"/>
                <w:color w:val="000000"/>
                <w:kern w:val="0"/>
                <w:sz w:val="24"/>
                <w:szCs w:val="24"/>
                <w:highlight w:val="none"/>
                <w:u w:val="none"/>
                <w:lang w:val="en-US" w:eastAsia="zh-Hans" w:bidi="ar"/>
              </w:rPr>
              <w:t>（三）</w:t>
            </w:r>
            <w:r>
              <w:rPr>
                <w:rFonts w:hint="eastAsia" w:ascii="仿宋" w:hAnsi="仿宋" w:eastAsia="仿宋" w:cs="仿宋"/>
                <w:i w:val="0"/>
                <w:iCs w:val="0"/>
                <w:color w:val="000000"/>
                <w:kern w:val="0"/>
                <w:sz w:val="24"/>
                <w:szCs w:val="24"/>
                <w:highlight w:val="none"/>
                <w:u w:val="none"/>
                <w:lang w:val="en-US" w:eastAsia="zh-CN" w:bidi="ar"/>
              </w:rPr>
              <w:t>推进疫情防控工作，助力打赢疫情防控战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000" w:type="pct"/>
            <w:gridSpan w:val="4"/>
            <w:noWrap w:val="0"/>
            <w:vAlign w:val="center"/>
          </w:tcPr>
          <w:p>
            <w:pPr>
              <w:keepNext w:val="0"/>
              <w:keepLines w:val="0"/>
              <w:widowControl/>
              <w:suppressLineNumbers w:val="0"/>
              <w:ind w:firstLineChars="20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五、存在主要问题及有关建议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000" w:type="pct"/>
            <w:gridSpan w:val="4"/>
            <w:noWrap w:val="0"/>
            <w:vAlign w:val="center"/>
          </w:tcPr>
          <w:p>
            <w:pPr>
              <w:keepNext w:val="0"/>
              <w:keepLines w:val="0"/>
              <w:widowControl/>
              <w:suppressLineNumbers w:val="0"/>
              <w:ind w:firstLineChars="200"/>
              <w:jc w:val="left"/>
              <w:textAlignment w:val="center"/>
              <w:rPr>
                <w:rFonts w:hint="default"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主要问题：1、部门预算绩效管理工作需要加强。2、</w:t>
            </w:r>
            <w:r>
              <w:rPr>
                <w:rFonts w:hint="eastAsia" w:ascii="仿宋" w:hAnsi="仿宋" w:eastAsia="仿宋" w:cs="仿宋"/>
                <w:i w:val="0"/>
                <w:iCs w:val="0"/>
                <w:color w:val="000000"/>
                <w:kern w:val="0"/>
                <w:sz w:val="24"/>
                <w:szCs w:val="24"/>
                <w:highlight w:val="none"/>
                <w:u w:val="none"/>
                <w:lang w:val="en-US" w:eastAsia="zh-Hans" w:bidi="ar"/>
              </w:rPr>
              <w:t>部门预算编制</w:t>
            </w:r>
            <w:r>
              <w:rPr>
                <w:rFonts w:hint="eastAsia" w:ascii="仿宋" w:hAnsi="仿宋" w:eastAsia="仿宋" w:cs="仿宋"/>
                <w:i w:val="0"/>
                <w:iCs w:val="0"/>
                <w:color w:val="000000"/>
                <w:kern w:val="0"/>
                <w:sz w:val="24"/>
                <w:szCs w:val="24"/>
                <w:highlight w:val="none"/>
                <w:u w:val="none"/>
                <w:lang w:val="en-US" w:eastAsia="zh-CN" w:bidi="ar"/>
              </w:rPr>
              <w:t>工作有待完善。</w:t>
            </w:r>
          </w:p>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 xml:space="preserve">3、部门预算和资产管理制度有待健全。            </w:t>
            </w:r>
          </w:p>
          <w:p>
            <w:pPr>
              <w:keepNext w:val="0"/>
              <w:keepLines w:val="0"/>
              <w:widowControl/>
              <w:suppressLineNumbers w:val="0"/>
              <w:ind w:firstLineChars="200"/>
              <w:jc w:val="left"/>
              <w:textAlignment w:val="center"/>
              <w:rPr>
                <w:rFonts w:hint="default" w:ascii="仿宋" w:hAnsi="仿宋" w:eastAsia="仿宋" w:cs="仿宋"/>
                <w:i w:val="0"/>
                <w:iCs w:val="0"/>
                <w:color w:val="000000"/>
                <w:sz w:val="24"/>
                <w:szCs w:val="24"/>
                <w:highlight w:val="none"/>
                <w:u w:val="none"/>
                <w:lang w:val="en-US"/>
              </w:rPr>
            </w:pPr>
            <w:r>
              <w:rPr>
                <w:rFonts w:hint="eastAsia" w:ascii="仿宋" w:hAnsi="仿宋" w:eastAsia="仿宋" w:cs="仿宋"/>
                <w:i w:val="0"/>
                <w:iCs w:val="0"/>
                <w:color w:val="000000"/>
                <w:kern w:val="0"/>
                <w:sz w:val="24"/>
                <w:szCs w:val="24"/>
                <w:highlight w:val="none"/>
                <w:u w:val="none"/>
                <w:lang w:val="en-US" w:eastAsia="zh-CN" w:bidi="ar"/>
              </w:rPr>
              <w:t>有关建议：1、明确预算绩效管理职责，提高预算绩效管理水平。2、科学合理编制预算，</w:t>
            </w:r>
            <w:r>
              <w:rPr>
                <w:rFonts w:hint="eastAsia" w:ascii="仿宋" w:hAnsi="仿宋" w:eastAsia="仿宋" w:cs="仿宋"/>
                <w:i w:val="0"/>
                <w:iCs w:val="0"/>
                <w:color w:val="000000"/>
                <w:kern w:val="0"/>
                <w:sz w:val="24"/>
                <w:szCs w:val="24"/>
                <w:highlight w:val="none"/>
                <w:u w:val="none"/>
                <w:lang w:val="en-US" w:eastAsia="zh-Hans" w:bidi="ar"/>
              </w:rPr>
              <w:t>落实预算执行监管</w:t>
            </w:r>
            <w:r>
              <w:rPr>
                <w:rFonts w:hint="eastAsia" w:ascii="仿宋" w:hAnsi="仿宋" w:eastAsia="仿宋" w:cs="仿宋"/>
                <w:i w:val="0"/>
                <w:iCs w:val="0"/>
                <w:color w:val="000000"/>
                <w:kern w:val="0"/>
                <w:sz w:val="24"/>
                <w:szCs w:val="24"/>
                <w:highlight w:val="none"/>
                <w:u w:val="none"/>
                <w:lang w:val="en-US" w:eastAsia="zh-CN" w:bidi="ar"/>
              </w:rPr>
              <w:t>。3、加强管理制度建设，完善预算管理和资产管理。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000" w:type="pct"/>
            <w:gridSpan w:val="4"/>
            <w:noWrap w:val="0"/>
            <w:vAlign w:val="center"/>
          </w:tcPr>
          <w:p>
            <w:pPr>
              <w:keepNext w:val="0"/>
              <w:keepLines w:val="0"/>
              <w:widowControl/>
              <w:suppressLineNumbers w:val="0"/>
              <w:ind w:firstLineChars="20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六、综合评价得分和等级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242"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一级指标</w:t>
            </w:r>
          </w:p>
        </w:tc>
        <w:tc>
          <w:tcPr>
            <w:tcW w:w="1024"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分值</w:t>
            </w:r>
          </w:p>
        </w:tc>
        <w:tc>
          <w:tcPr>
            <w:tcW w:w="1067"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得分</w:t>
            </w:r>
          </w:p>
        </w:tc>
        <w:tc>
          <w:tcPr>
            <w:tcW w:w="1665"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得分率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242"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决策</w:t>
            </w:r>
          </w:p>
        </w:tc>
        <w:tc>
          <w:tcPr>
            <w:tcW w:w="1849" w:type="dxa"/>
            <w:noWrap w:val="0"/>
            <w:vAlign w:val="center"/>
          </w:tcPr>
          <w:p>
            <w:pPr>
              <w:pStyle w:val="2"/>
              <w:spacing w:before="0" w:line="240" w:lineRule="auto"/>
              <w:ind w:left="0" w:leftChars="0"/>
              <w:jc w:val="center"/>
              <w:outlineLvl w:val="9"/>
              <w:rPr>
                <w:rFonts w:hint="default" w:ascii="仿宋" w:hAnsi="仿宋" w:eastAsia="仿宋" w:cs="仿宋"/>
                <w:i w:val="0"/>
                <w:iCs w:val="0"/>
                <w:color w:val="000000"/>
                <w:sz w:val="24"/>
                <w:szCs w:val="24"/>
                <w:highlight w:val="none"/>
                <w:u w:val="none"/>
                <w:lang w:val="en-US" w:eastAsia="zh-CN" w:bidi="ar-SA"/>
              </w:rPr>
            </w:pPr>
            <w:r>
              <w:rPr>
                <w:rFonts w:hint="eastAsia" w:ascii="仿宋" w:hAnsi="仿宋" w:eastAsia="仿宋" w:cs="仿宋"/>
                <w:i w:val="0"/>
                <w:iCs w:val="0"/>
                <w:color w:val="000000"/>
                <w:sz w:val="24"/>
                <w:szCs w:val="24"/>
                <w:highlight w:val="none"/>
                <w:u w:val="none"/>
                <w:lang w:val="en-US" w:eastAsia="zh-CN" w:bidi="ar-SA"/>
              </w:rPr>
              <w:t>16</w:t>
            </w:r>
          </w:p>
        </w:tc>
        <w:tc>
          <w:tcPr>
            <w:tcW w:w="1926" w:type="dxa"/>
            <w:noWrap w:val="0"/>
            <w:vAlign w:val="center"/>
          </w:tcPr>
          <w:p>
            <w:pPr>
              <w:pStyle w:val="2"/>
              <w:spacing w:before="0" w:line="240" w:lineRule="auto"/>
              <w:ind w:left="0" w:leftChars="0"/>
              <w:jc w:val="center"/>
              <w:outlineLvl w:val="9"/>
              <w:rPr>
                <w:rFonts w:hint="default" w:ascii="仿宋" w:hAnsi="仿宋" w:eastAsia="仿宋" w:cs="仿宋"/>
                <w:i w:val="0"/>
                <w:iCs w:val="0"/>
                <w:color w:val="000000"/>
                <w:sz w:val="24"/>
                <w:szCs w:val="24"/>
                <w:highlight w:val="none"/>
                <w:u w:val="none"/>
                <w:lang w:val="en-US" w:eastAsia="zh-CN" w:bidi="ar-SA"/>
              </w:rPr>
            </w:pPr>
            <w:r>
              <w:rPr>
                <w:rFonts w:hint="eastAsia" w:ascii="仿宋" w:hAnsi="仿宋" w:eastAsia="仿宋" w:cs="仿宋"/>
                <w:i w:val="0"/>
                <w:iCs w:val="0"/>
                <w:color w:val="000000"/>
                <w:sz w:val="24"/>
                <w:szCs w:val="24"/>
                <w:highlight w:val="none"/>
                <w:u w:val="none"/>
                <w:lang w:val="en-US" w:eastAsia="zh-CN" w:bidi="ar-SA"/>
              </w:rPr>
              <w:t>15.5</w:t>
            </w:r>
          </w:p>
        </w:tc>
        <w:tc>
          <w:tcPr>
            <w:tcW w:w="3009" w:type="dxa"/>
            <w:noWrap w:val="0"/>
            <w:vAlign w:val="center"/>
          </w:tcPr>
          <w:p>
            <w:pPr>
              <w:pStyle w:val="2"/>
              <w:spacing w:before="0" w:line="240" w:lineRule="auto"/>
              <w:ind w:left="0" w:leftChars="0"/>
              <w:jc w:val="center"/>
              <w:outlineLvl w:val="9"/>
              <w:rPr>
                <w:rFonts w:hint="eastAsia" w:ascii="仿宋" w:hAnsi="仿宋" w:eastAsia="仿宋" w:cs="仿宋"/>
                <w:i w:val="0"/>
                <w:iCs w:val="0"/>
                <w:color w:val="000000"/>
                <w:sz w:val="24"/>
                <w:szCs w:val="24"/>
                <w:highlight w:val="none"/>
                <w:u w:val="none"/>
                <w:lang w:val="en-US" w:eastAsia="zh-CN" w:bidi="ar-SA"/>
              </w:rPr>
            </w:pPr>
            <w:r>
              <w:rPr>
                <w:rFonts w:hint="eastAsia" w:ascii="仿宋" w:hAnsi="仿宋" w:eastAsia="仿宋" w:cs="仿宋"/>
                <w:i w:val="0"/>
                <w:iCs w:val="0"/>
                <w:color w:val="000000"/>
                <w:sz w:val="24"/>
                <w:szCs w:val="24"/>
                <w:highlight w:val="none"/>
                <w:u w:val="none"/>
                <w:lang w:val="en-US" w:eastAsia="zh-CN" w:bidi="ar-SA"/>
              </w:rPr>
              <w:t>96.9%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242"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过程</w:t>
            </w:r>
          </w:p>
        </w:tc>
        <w:tc>
          <w:tcPr>
            <w:tcW w:w="1849" w:type="dxa"/>
            <w:noWrap w:val="0"/>
            <w:vAlign w:val="center"/>
          </w:tcPr>
          <w:p>
            <w:pPr>
              <w:pStyle w:val="2"/>
              <w:spacing w:before="0" w:line="240" w:lineRule="auto"/>
              <w:ind w:left="0" w:leftChars="0"/>
              <w:jc w:val="center"/>
              <w:outlineLvl w:val="9"/>
              <w:rPr>
                <w:rFonts w:hint="default" w:ascii="仿宋" w:hAnsi="仿宋" w:eastAsia="仿宋" w:cs="仿宋"/>
                <w:i w:val="0"/>
                <w:iCs w:val="0"/>
                <w:color w:val="000000"/>
                <w:sz w:val="24"/>
                <w:szCs w:val="24"/>
                <w:highlight w:val="none"/>
                <w:u w:val="none"/>
                <w:lang w:val="en-US" w:eastAsia="zh-CN" w:bidi="ar-SA"/>
              </w:rPr>
            </w:pPr>
            <w:r>
              <w:rPr>
                <w:rFonts w:hint="eastAsia" w:ascii="仿宋" w:hAnsi="仿宋" w:eastAsia="仿宋" w:cs="仿宋"/>
                <w:i w:val="0"/>
                <w:iCs w:val="0"/>
                <w:color w:val="000000"/>
                <w:sz w:val="24"/>
                <w:szCs w:val="24"/>
                <w:highlight w:val="none"/>
                <w:u w:val="none"/>
                <w:lang w:val="en-US" w:eastAsia="zh-CN" w:bidi="ar-SA"/>
              </w:rPr>
              <w:t>39</w:t>
            </w:r>
          </w:p>
        </w:tc>
        <w:tc>
          <w:tcPr>
            <w:tcW w:w="1926" w:type="dxa"/>
            <w:noWrap w:val="0"/>
            <w:vAlign w:val="center"/>
          </w:tcPr>
          <w:p>
            <w:pPr>
              <w:pStyle w:val="2"/>
              <w:spacing w:before="0" w:line="240" w:lineRule="auto"/>
              <w:ind w:left="0" w:leftChars="0"/>
              <w:jc w:val="center"/>
              <w:outlineLvl w:val="9"/>
              <w:rPr>
                <w:rFonts w:hint="default" w:ascii="仿宋" w:hAnsi="仿宋" w:eastAsia="仿宋" w:cs="仿宋"/>
                <w:i w:val="0"/>
                <w:iCs w:val="0"/>
                <w:color w:val="000000"/>
                <w:sz w:val="24"/>
                <w:szCs w:val="24"/>
                <w:highlight w:val="none"/>
                <w:u w:val="none"/>
                <w:lang w:val="en-US" w:eastAsia="zh-CN" w:bidi="ar-SA"/>
              </w:rPr>
            </w:pPr>
            <w:r>
              <w:rPr>
                <w:rFonts w:hint="eastAsia" w:ascii="仿宋" w:hAnsi="仿宋" w:eastAsia="仿宋" w:cs="仿宋"/>
                <w:i w:val="0"/>
                <w:iCs w:val="0"/>
                <w:color w:val="000000"/>
                <w:sz w:val="24"/>
                <w:szCs w:val="24"/>
                <w:highlight w:val="none"/>
                <w:u w:val="none"/>
                <w:lang w:val="en-US" w:eastAsia="zh-CN" w:bidi="ar-SA"/>
              </w:rPr>
              <w:t>26</w:t>
            </w:r>
          </w:p>
        </w:tc>
        <w:tc>
          <w:tcPr>
            <w:tcW w:w="3009" w:type="dxa"/>
            <w:noWrap w:val="0"/>
            <w:vAlign w:val="center"/>
          </w:tcPr>
          <w:p>
            <w:pPr>
              <w:pStyle w:val="2"/>
              <w:spacing w:before="0" w:line="240" w:lineRule="auto"/>
              <w:ind w:left="0" w:leftChars="0"/>
              <w:jc w:val="center"/>
              <w:outlineLvl w:val="9"/>
              <w:rPr>
                <w:rFonts w:hint="eastAsia" w:ascii="仿宋" w:hAnsi="仿宋" w:eastAsia="仿宋" w:cs="仿宋"/>
                <w:i w:val="0"/>
                <w:iCs w:val="0"/>
                <w:color w:val="000000"/>
                <w:sz w:val="24"/>
                <w:szCs w:val="24"/>
                <w:highlight w:val="none"/>
                <w:u w:val="none"/>
                <w:lang w:val="en-US" w:eastAsia="zh-CN" w:bidi="ar-SA"/>
              </w:rPr>
            </w:pPr>
            <w:r>
              <w:rPr>
                <w:rFonts w:hint="eastAsia" w:ascii="仿宋" w:hAnsi="仿宋" w:eastAsia="仿宋" w:cs="仿宋"/>
                <w:i w:val="0"/>
                <w:iCs w:val="0"/>
                <w:color w:val="000000"/>
                <w:sz w:val="24"/>
                <w:szCs w:val="24"/>
                <w:highlight w:val="none"/>
                <w:u w:val="none"/>
                <w:lang w:val="en-US" w:eastAsia="zh-CN" w:bidi="ar-SA"/>
              </w:rPr>
              <w:t>66.67%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242"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产出</w:t>
            </w:r>
          </w:p>
        </w:tc>
        <w:tc>
          <w:tcPr>
            <w:tcW w:w="1849" w:type="dxa"/>
            <w:noWrap w:val="0"/>
            <w:vAlign w:val="center"/>
          </w:tcPr>
          <w:p>
            <w:pPr>
              <w:pStyle w:val="2"/>
              <w:spacing w:before="0" w:line="240" w:lineRule="auto"/>
              <w:ind w:left="0" w:leftChars="0"/>
              <w:jc w:val="center"/>
              <w:outlineLvl w:val="9"/>
              <w:rPr>
                <w:rFonts w:hint="default" w:ascii="仿宋" w:hAnsi="仿宋" w:eastAsia="仿宋" w:cs="仿宋"/>
                <w:i w:val="0"/>
                <w:iCs w:val="0"/>
                <w:color w:val="000000"/>
                <w:sz w:val="24"/>
                <w:szCs w:val="24"/>
                <w:highlight w:val="none"/>
                <w:u w:val="none"/>
                <w:lang w:val="en-US" w:eastAsia="zh-CN" w:bidi="ar-SA"/>
              </w:rPr>
            </w:pPr>
            <w:r>
              <w:rPr>
                <w:rFonts w:hint="eastAsia" w:ascii="仿宋" w:hAnsi="仿宋" w:eastAsia="仿宋" w:cs="仿宋"/>
                <w:i w:val="0"/>
                <w:iCs w:val="0"/>
                <w:color w:val="000000"/>
                <w:sz w:val="24"/>
                <w:szCs w:val="24"/>
                <w:highlight w:val="none"/>
                <w:u w:val="none"/>
                <w:lang w:val="en-US" w:eastAsia="zh-CN" w:bidi="ar-SA"/>
              </w:rPr>
              <w:t>21</w:t>
            </w:r>
          </w:p>
        </w:tc>
        <w:tc>
          <w:tcPr>
            <w:tcW w:w="1926" w:type="dxa"/>
            <w:noWrap w:val="0"/>
            <w:vAlign w:val="center"/>
          </w:tcPr>
          <w:p>
            <w:pPr>
              <w:pStyle w:val="2"/>
              <w:spacing w:before="0" w:line="240" w:lineRule="auto"/>
              <w:ind w:left="0" w:leftChars="0"/>
              <w:jc w:val="center"/>
              <w:outlineLvl w:val="9"/>
              <w:rPr>
                <w:rFonts w:hint="default" w:ascii="仿宋" w:hAnsi="仿宋" w:eastAsia="仿宋" w:cs="仿宋"/>
                <w:i w:val="0"/>
                <w:iCs w:val="0"/>
                <w:color w:val="000000"/>
                <w:sz w:val="24"/>
                <w:szCs w:val="24"/>
                <w:highlight w:val="none"/>
                <w:u w:val="none"/>
                <w:lang w:val="en-US" w:eastAsia="zh-CN" w:bidi="ar-SA"/>
              </w:rPr>
            </w:pPr>
            <w:r>
              <w:rPr>
                <w:rFonts w:hint="eastAsia" w:ascii="仿宋" w:hAnsi="仿宋" w:eastAsia="仿宋" w:cs="仿宋"/>
                <w:i w:val="0"/>
                <w:iCs w:val="0"/>
                <w:color w:val="000000"/>
                <w:sz w:val="24"/>
                <w:szCs w:val="24"/>
                <w:highlight w:val="none"/>
                <w:u w:val="none"/>
                <w:lang w:val="en-US" w:eastAsia="zh-CN" w:bidi="ar-SA"/>
              </w:rPr>
              <w:t>21</w:t>
            </w:r>
          </w:p>
        </w:tc>
        <w:tc>
          <w:tcPr>
            <w:tcW w:w="3009" w:type="dxa"/>
            <w:noWrap w:val="0"/>
            <w:vAlign w:val="center"/>
          </w:tcPr>
          <w:p>
            <w:pPr>
              <w:pStyle w:val="2"/>
              <w:spacing w:before="0" w:line="240" w:lineRule="auto"/>
              <w:ind w:left="0" w:leftChars="0"/>
              <w:jc w:val="center"/>
              <w:outlineLvl w:val="9"/>
              <w:rPr>
                <w:rFonts w:hint="eastAsia" w:ascii="仿宋" w:hAnsi="仿宋" w:eastAsia="仿宋" w:cs="仿宋"/>
                <w:i w:val="0"/>
                <w:iCs w:val="0"/>
                <w:color w:val="000000"/>
                <w:sz w:val="24"/>
                <w:szCs w:val="24"/>
                <w:highlight w:val="none"/>
                <w:u w:val="none"/>
                <w:lang w:val="en-US" w:eastAsia="zh-CN" w:bidi="ar-SA"/>
              </w:rPr>
            </w:pPr>
            <w:r>
              <w:rPr>
                <w:rFonts w:hint="eastAsia" w:ascii="仿宋" w:hAnsi="仿宋" w:eastAsia="仿宋" w:cs="仿宋"/>
                <w:i w:val="0"/>
                <w:iCs w:val="0"/>
                <w:color w:val="000000"/>
                <w:sz w:val="24"/>
                <w:szCs w:val="24"/>
                <w:highlight w:val="none"/>
                <w:u w:val="none"/>
                <w:lang w:val="en-US" w:eastAsia="zh-CN"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242"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效益</w:t>
            </w:r>
          </w:p>
        </w:tc>
        <w:tc>
          <w:tcPr>
            <w:tcW w:w="1849" w:type="dxa"/>
            <w:noWrap w:val="0"/>
            <w:vAlign w:val="center"/>
          </w:tcPr>
          <w:p>
            <w:pPr>
              <w:pStyle w:val="2"/>
              <w:spacing w:before="0" w:line="240" w:lineRule="auto"/>
              <w:ind w:left="0" w:leftChars="0"/>
              <w:jc w:val="center"/>
              <w:outlineLvl w:val="9"/>
              <w:rPr>
                <w:rFonts w:hint="default" w:ascii="仿宋" w:hAnsi="仿宋" w:eastAsia="仿宋" w:cs="仿宋"/>
                <w:i w:val="0"/>
                <w:iCs w:val="0"/>
                <w:color w:val="000000"/>
                <w:sz w:val="24"/>
                <w:szCs w:val="24"/>
                <w:highlight w:val="none"/>
                <w:u w:val="none"/>
                <w:lang w:val="en-US" w:eastAsia="zh-CN" w:bidi="ar-SA"/>
              </w:rPr>
            </w:pPr>
            <w:r>
              <w:rPr>
                <w:rFonts w:hint="eastAsia" w:ascii="仿宋" w:hAnsi="仿宋" w:eastAsia="仿宋" w:cs="仿宋"/>
                <w:i w:val="0"/>
                <w:iCs w:val="0"/>
                <w:color w:val="000000"/>
                <w:sz w:val="24"/>
                <w:szCs w:val="24"/>
                <w:highlight w:val="none"/>
                <w:u w:val="none"/>
                <w:lang w:val="en-US" w:eastAsia="zh-CN" w:bidi="ar-SA"/>
              </w:rPr>
              <w:t>24</w:t>
            </w:r>
          </w:p>
        </w:tc>
        <w:tc>
          <w:tcPr>
            <w:tcW w:w="1926" w:type="dxa"/>
            <w:noWrap w:val="0"/>
            <w:vAlign w:val="center"/>
          </w:tcPr>
          <w:p>
            <w:pPr>
              <w:pStyle w:val="2"/>
              <w:spacing w:before="0" w:line="240" w:lineRule="auto"/>
              <w:ind w:left="0" w:leftChars="0"/>
              <w:jc w:val="center"/>
              <w:outlineLvl w:val="9"/>
              <w:rPr>
                <w:rFonts w:hint="default" w:ascii="仿宋" w:hAnsi="仿宋" w:eastAsia="仿宋" w:cs="仿宋"/>
                <w:i w:val="0"/>
                <w:iCs w:val="0"/>
                <w:color w:val="000000"/>
                <w:sz w:val="24"/>
                <w:szCs w:val="24"/>
                <w:highlight w:val="none"/>
                <w:u w:val="none"/>
                <w:lang w:val="en-US" w:eastAsia="zh-CN" w:bidi="ar-SA"/>
              </w:rPr>
            </w:pPr>
            <w:r>
              <w:rPr>
                <w:rFonts w:hint="eastAsia" w:ascii="仿宋" w:hAnsi="仿宋" w:eastAsia="仿宋" w:cs="仿宋"/>
                <w:i w:val="0"/>
                <w:iCs w:val="0"/>
                <w:color w:val="000000"/>
                <w:sz w:val="24"/>
                <w:szCs w:val="24"/>
                <w:highlight w:val="none"/>
                <w:u w:val="none"/>
                <w:lang w:val="en-US" w:eastAsia="zh-CN" w:bidi="ar-SA"/>
              </w:rPr>
              <w:t>23</w:t>
            </w:r>
          </w:p>
        </w:tc>
        <w:tc>
          <w:tcPr>
            <w:tcW w:w="3009" w:type="dxa"/>
            <w:noWrap w:val="0"/>
            <w:vAlign w:val="center"/>
          </w:tcPr>
          <w:p>
            <w:pPr>
              <w:pStyle w:val="2"/>
              <w:spacing w:before="0" w:line="240" w:lineRule="auto"/>
              <w:ind w:left="0" w:leftChars="0"/>
              <w:jc w:val="center"/>
              <w:outlineLvl w:val="9"/>
              <w:rPr>
                <w:rFonts w:hint="eastAsia" w:ascii="仿宋" w:hAnsi="仿宋" w:eastAsia="仿宋" w:cs="仿宋"/>
                <w:i w:val="0"/>
                <w:iCs w:val="0"/>
                <w:color w:val="000000"/>
                <w:sz w:val="24"/>
                <w:szCs w:val="24"/>
                <w:highlight w:val="none"/>
                <w:u w:val="none"/>
                <w:lang w:val="en-US" w:eastAsia="zh-CN" w:bidi="ar-SA"/>
              </w:rPr>
            </w:pPr>
            <w:r>
              <w:rPr>
                <w:rFonts w:hint="eastAsia" w:ascii="仿宋" w:hAnsi="仿宋" w:eastAsia="仿宋" w:cs="仿宋"/>
                <w:i w:val="0"/>
                <w:iCs w:val="0"/>
                <w:color w:val="000000"/>
                <w:sz w:val="24"/>
                <w:szCs w:val="24"/>
                <w:highlight w:val="none"/>
                <w:u w:val="none"/>
                <w:lang w:val="en-US" w:eastAsia="zh-CN" w:bidi="ar-SA"/>
              </w:rPr>
              <w:t>95.8%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242"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合计</w:t>
            </w:r>
          </w:p>
        </w:tc>
        <w:tc>
          <w:tcPr>
            <w:tcW w:w="1849" w:type="dxa"/>
            <w:noWrap w:val="0"/>
            <w:vAlign w:val="center"/>
          </w:tcPr>
          <w:p>
            <w:pPr>
              <w:pStyle w:val="2"/>
              <w:spacing w:before="0" w:line="240" w:lineRule="auto"/>
              <w:ind w:left="0" w:leftChars="0"/>
              <w:jc w:val="center"/>
              <w:outlineLvl w:val="9"/>
              <w:rPr>
                <w:rFonts w:hint="eastAsia" w:ascii="仿宋" w:hAnsi="仿宋" w:eastAsia="仿宋" w:cs="仿宋"/>
                <w:i w:val="0"/>
                <w:iCs w:val="0"/>
                <w:color w:val="000000"/>
                <w:sz w:val="24"/>
                <w:szCs w:val="24"/>
                <w:highlight w:val="none"/>
                <w:u w:val="none"/>
                <w:lang w:val="en-US" w:eastAsia="zh-CN" w:bidi="ar-SA"/>
              </w:rPr>
            </w:pPr>
            <w:r>
              <w:rPr>
                <w:rFonts w:hint="eastAsia" w:ascii="仿宋" w:hAnsi="仿宋" w:eastAsia="仿宋" w:cs="仿宋"/>
                <w:i w:val="0"/>
                <w:iCs w:val="0"/>
                <w:color w:val="000000"/>
                <w:sz w:val="24"/>
                <w:szCs w:val="24"/>
                <w:highlight w:val="none"/>
                <w:u w:val="none"/>
                <w:lang w:val="en-US" w:eastAsia="zh-CN" w:bidi="ar-SA"/>
              </w:rPr>
              <w:t>100</w:t>
            </w:r>
          </w:p>
        </w:tc>
        <w:tc>
          <w:tcPr>
            <w:tcW w:w="1926" w:type="dxa"/>
            <w:noWrap w:val="0"/>
            <w:vAlign w:val="center"/>
          </w:tcPr>
          <w:p>
            <w:pPr>
              <w:pStyle w:val="2"/>
              <w:spacing w:before="0" w:line="240" w:lineRule="auto"/>
              <w:ind w:left="0" w:leftChars="0"/>
              <w:jc w:val="center"/>
              <w:outlineLvl w:val="9"/>
              <w:rPr>
                <w:rFonts w:hint="default" w:ascii="仿宋" w:hAnsi="仿宋" w:eastAsia="仿宋" w:cs="仿宋"/>
                <w:i w:val="0"/>
                <w:iCs w:val="0"/>
                <w:color w:val="000000"/>
                <w:sz w:val="24"/>
                <w:szCs w:val="24"/>
                <w:highlight w:val="none"/>
                <w:u w:val="none"/>
                <w:lang w:val="en-US" w:eastAsia="zh-CN" w:bidi="ar-SA"/>
              </w:rPr>
            </w:pPr>
            <w:r>
              <w:rPr>
                <w:rFonts w:hint="eastAsia" w:ascii="仿宋" w:hAnsi="仿宋" w:eastAsia="仿宋" w:cs="仿宋"/>
                <w:i w:val="0"/>
                <w:iCs w:val="0"/>
                <w:color w:val="000000"/>
                <w:sz w:val="24"/>
                <w:szCs w:val="24"/>
                <w:highlight w:val="none"/>
                <w:u w:val="none"/>
                <w:lang w:val="en-US" w:eastAsia="zh-CN" w:bidi="ar-SA"/>
              </w:rPr>
              <w:t>85.5</w:t>
            </w:r>
          </w:p>
        </w:tc>
        <w:tc>
          <w:tcPr>
            <w:tcW w:w="3009" w:type="dxa"/>
            <w:noWrap w:val="0"/>
            <w:vAlign w:val="center"/>
          </w:tcPr>
          <w:p>
            <w:pPr>
              <w:pStyle w:val="2"/>
              <w:spacing w:before="0" w:line="240" w:lineRule="auto"/>
              <w:ind w:left="0" w:leftChars="0"/>
              <w:jc w:val="center"/>
              <w:outlineLvl w:val="9"/>
              <w:rPr>
                <w:rFonts w:hint="eastAsia" w:ascii="仿宋" w:hAnsi="仿宋" w:eastAsia="仿宋" w:cs="仿宋"/>
                <w:i w:val="0"/>
                <w:iCs w:val="0"/>
                <w:color w:val="000000"/>
                <w:sz w:val="24"/>
                <w:szCs w:val="24"/>
                <w:highlight w:val="none"/>
                <w:u w:val="none"/>
                <w:lang w:val="en-US" w:eastAsia="zh-CN" w:bidi="ar-SA"/>
              </w:rPr>
            </w:pPr>
            <w:r>
              <w:rPr>
                <w:rFonts w:hint="eastAsia" w:ascii="仿宋" w:hAnsi="仿宋" w:eastAsia="仿宋" w:cs="仿宋"/>
                <w:i w:val="0"/>
                <w:iCs w:val="0"/>
                <w:color w:val="000000"/>
                <w:sz w:val="24"/>
                <w:szCs w:val="24"/>
                <w:highlight w:val="none"/>
                <w:u w:val="none"/>
                <w:lang w:val="en-US" w:eastAsia="zh-CN" w:bidi="ar-SA"/>
              </w:rPr>
              <w:t>85.5%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242"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绩效评价得分：</w:t>
            </w:r>
          </w:p>
        </w:tc>
        <w:tc>
          <w:tcPr>
            <w:tcW w:w="1024" w:type="pct"/>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85.5</w:t>
            </w:r>
          </w:p>
        </w:tc>
        <w:tc>
          <w:tcPr>
            <w:tcW w:w="1067"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综合评价结果等级：</w:t>
            </w:r>
          </w:p>
        </w:tc>
        <w:tc>
          <w:tcPr>
            <w:tcW w:w="1665" w:type="pct"/>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良</w:t>
            </w:r>
          </w:p>
        </w:tc>
      </w:tr>
    </w:tbl>
    <w:p>
      <w:pPr>
        <w:pStyle w:val="2"/>
        <w:ind w:left="0" w:leftChars="0" w:firstLine="0" w:firstLineChars="0"/>
        <w:rPr>
          <w:rFonts w:hint="default"/>
          <w:lang w:val="en-US" w:eastAsia="zh-CN"/>
        </w:rPr>
        <w:sectPr>
          <w:footerReference r:id="rId3" w:type="default"/>
          <w:pgSz w:w="11910" w:h="16840"/>
          <w:pgMar w:top="1440" w:right="1803" w:bottom="1440" w:left="1803" w:header="720" w:footer="720" w:gutter="0"/>
          <w:pgNumType w:fmt="decimal" w:start="1"/>
          <w:cols w:equalWidth="0" w:num="1">
            <w:col w:w="8810"/>
          </w:cols>
        </w:sectPr>
      </w:pPr>
    </w:p>
    <w:p>
      <w:pPr>
        <w:pStyle w:val="13"/>
        <w:spacing w:before="0" w:line="360" w:lineRule="auto"/>
        <w:ind w:left="0" w:right="0" w:firstLine="0"/>
        <w:jc w:val="center"/>
        <w:rPr>
          <w:rFonts w:hint="eastAsia" w:ascii="方正小标宋简体" w:hAnsi="方正小标宋简体" w:eastAsia="方正小标宋简体" w:cs="方正小标宋简体"/>
          <w:b w:val="0"/>
          <w:bCs/>
          <w:sz w:val="36"/>
          <w:szCs w:val="24"/>
          <w:lang w:val="en-US" w:eastAsia="zh-CN" w:bidi="ar-SA"/>
        </w:rPr>
      </w:pPr>
      <w:r>
        <w:rPr>
          <w:rFonts w:hint="eastAsia" w:ascii="方正小标宋简体" w:hAnsi="方正小标宋简体" w:eastAsia="方正小标宋简体" w:cs="方正小标宋简体"/>
          <w:b w:val="0"/>
          <w:bCs/>
          <w:sz w:val="36"/>
          <w:szCs w:val="24"/>
          <w:lang w:val="en-US" w:eastAsia="zh-CN" w:bidi="ar-SA"/>
        </w:rPr>
        <w:t>铜川市新区财政局2020年新区商务局</w:t>
      </w:r>
    </w:p>
    <w:p>
      <w:pPr>
        <w:shd w:val="clear" w:color="auto" w:fill="FFFFFF"/>
        <w:spacing w:after="240" w:afterLines="100"/>
        <w:jc w:val="center"/>
        <w:outlineLvl w:val="9"/>
        <w:rPr>
          <w:rFonts w:hint="eastAsia" w:ascii="方正小标宋简体" w:hAnsi="方正小标宋简体" w:eastAsia="方正小标宋简体" w:cs="方正小标宋简体"/>
          <w:b w:val="0"/>
          <w:bCs/>
          <w:sz w:val="36"/>
        </w:rPr>
      </w:pPr>
      <w:r>
        <w:rPr>
          <w:rFonts w:hint="eastAsia" w:ascii="方正小标宋简体" w:hAnsi="方正小标宋简体" w:eastAsia="方正小标宋简体" w:cs="方正小标宋简体"/>
          <w:b w:val="0"/>
          <w:bCs/>
          <w:sz w:val="36"/>
          <w:szCs w:val="24"/>
          <w:lang w:val="en-US" w:eastAsia="zh-Hans" w:bidi="ar-SA"/>
        </w:rPr>
        <w:t>部门</w:t>
      </w:r>
      <w:r>
        <w:rPr>
          <w:rFonts w:hint="eastAsia" w:ascii="方正小标宋简体" w:hAnsi="方正小标宋简体" w:eastAsia="方正小标宋简体" w:cs="方正小标宋简体"/>
          <w:b w:val="0"/>
          <w:bCs/>
          <w:sz w:val="36"/>
          <w:szCs w:val="24"/>
          <w:lang w:val="en-US" w:eastAsia="zh-CN" w:bidi="ar-SA"/>
        </w:rPr>
        <w:t>整体支出</w:t>
      </w:r>
      <w:r>
        <w:rPr>
          <w:rFonts w:hint="eastAsia" w:ascii="方正小标宋简体" w:hAnsi="方正小标宋简体" w:eastAsia="方正小标宋简体" w:cs="方正小标宋简体"/>
          <w:b w:val="0"/>
          <w:bCs/>
          <w:sz w:val="36"/>
        </w:rPr>
        <w:t>重点绩效评价报告</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lang w:val="en-US" w:eastAsia="zh-CN"/>
        </w:rPr>
      </w:pPr>
      <w:r>
        <w:rPr>
          <w:rFonts w:hint="eastAsia" w:ascii="仿宋" w:hAnsi="仿宋" w:eastAsia="仿宋" w:cs="仿宋"/>
          <w:color w:val="auto"/>
          <w:kern w:val="0"/>
          <w:sz w:val="32"/>
          <w:szCs w:val="32"/>
          <w:highlight w:val="none"/>
          <w:lang w:val="en-US" w:eastAsia="zh-CN"/>
        </w:rPr>
        <w:t>为规范政府部门财政支出预算管理，考核财政资金预期绩效目标的实现程度和综合效果，更好地优化资源配置，切实提高财政资金的使用效益，进一步提升预算部门的行政效能，根据</w:t>
      </w:r>
      <w:r>
        <w:rPr>
          <w:rFonts w:hint="eastAsia" w:ascii="仿宋" w:hAnsi="仿宋" w:eastAsia="仿宋" w:cs="仿宋"/>
          <w:color w:val="000000"/>
          <w:kern w:val="0"/>
          <w:sz w:val="32"/>
          <w:szCs w:val="32"/>
          <w:highlight w:val="none"/>
          <w:shd w:val="clear" w:color="auto" w:fill="FFFFFF"/>
          <w:lang w:val="en-US" w:eastAsia="zh-CN"/>
        </w:rPr>
        <w:t>《关于开展2020年度新区项目和部门整体支出绩效自评和重点项目绩效评价工作的通知》（铜新财评〔2021〕1号）</w:t>
      </w:r>
      <w:r>
        <w:rPr>
          <w:rFonts w:hint="eastAsia" w:ascii="仿宋" w:hAnsi="仿宋" w:eastAsia="仿宋" w:cs="仿宋"/>
          <w:color w:val="auto"/>
          <w:kern w:val="0"/>
          <w:sz w:val="32"/>
          <w:szCs w:val="32"/>
          <w:highlight w:val="none"/>
          <w:lang w:val="en-US" w:eastAsia="zh-CN"/>
        </w:rPr>
        <w:t>文件要求，由铜川市新区财政局组织，深圳市万德公共咨询有限公司从投入、过程、产出、效果四个维度对铜川市新区商务局2020年度部门整体支出进行绩效评价。第三方机构经过资料审查、数据采集、现场访谈、社会调查等评价程序，运用科学、合理的绩效评价方法，形成本绩效评价报告。</w:t>
      </w:r>
      <w:bookmarkStart w:id="0" w:name="_bookmark0"/>
      <w:bookmarkEnd w:id="0"/>
      <w:bookmarkStart w:id="1" w:name="一、项目基本情况"/>
      <w:bookmarkEnd w:id="1"/>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0"/>
        <w:rPr>
          <w:rFonts w:hint="eastAsia" w:ascii="黑体" w:hAnsi="黑体" w:eastAsia="黑体" w:cs="黑体"/>
          <w:b w:val="0"/>
          <w:bCs w:val="0"/>
          <w:color w:val="auto"/>
          <w:kern w:val="0"/>
          <w:sz w:val="32"/>
          <w:szCs w:val="32"/>
          <w:highlight w:val="none"/>
          <w:lang w:val="en-US" w:eastAsia="zh-CN"/>
        </w:rPr>
      </w:pPr>
      <w:bookmarkStart w:id="2" w:name="_Toc17799"/>
      <w:r>
        <w:rPr>
          <w:rFonts w:hint="eastAsia" w:ascii="黑体" w:hAnsi="黑体" w:eastAsia="黑体" w:cs="黑体"/>
          <w:b w:val="0"/>
          <w:bCs w:val="0"/>
          <w:color w:val="auto"/>
          <w:kern w:val="0"/>
          <w:sz w:val="32"/>
          <w:szCs w:val="32"/>
          <w:highlight w:val="none"/>
          <w:lang w:val="en-US" w:eastAsia="zh-CN"/>
        </w:rPr>
        <w:t>一、部门基本情况</w:t>
      </w:r>
      <w:bookmarkEnd w:id="2"/>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3" w:firstLineChars="200"/>
        <w:jc w:val="both"/>
        <w:textAlignment w:val="auto"/>
        <w:outlineLvl w:val="9"/>
        <w:rPr>
          <w:rFonts w:hint="eastAsia" w:ascii="楷体" w:hAnsi="楷体" w:eastAsia="楷体" w:cs="楷体"/>
          <w:b/>
          <w:bCs/>
          <w:color w:val="auto"/>
          <w:kern w:val="0"/>
          <w:sz w:val="32"/>
          <w:szCs w:val="32"/>
          <w:highlight w:val="none"/>
          <w:lang w:val="en-US" w:eastAsia="zh-CN"/>
        </w:rPr>
      </w:pPr>
      <w:r>
        <w:rPr>
          <w:rFonts w:hint="eastAsia" w:ascii="楷体" w:hAnsi="楷体" w:eastAsia="楷体" w:cs="楷体"/>
          <w:b/>
          <w:bCs/>
          <w:color w:val="auto"/>
          <w:kern w:val="0"/>
          <w:sz w:val="32"/>
          <w:szCs w:val="32"/>
          <w:highlight w:val="none"/>
          <w:lang w:val="en-US" w:eastAsia="zh-CN"/>
        </w:rPr>
        <w:t>（一）部门概况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3" w:firstLineChars="200"/>
        <w:jc w:val="both"/>
        <w:textAlignment w:val="auto"/>
        <w:outlineLvl w:val="9"/>
        <w:rPr>
          <w:rFonts w:hint="eastAsia" w:ascii="仿宋" w:hAnsi="仿宋" w:eastAsia="仿宋" w:cs="仿宋"/>
          <w:b/>
          <w:bCs/>
          <w:color w:val="auto"/>
          <w:kern w:val="0"/>
          <w:sz w:val="32"/>
          <w:szCs w:val="32"/>
          <w:highlight w:val="none"/>
          <w:lang w:val="en-US" w:eastAsia="zh-CN"/>
        </w:rPr>
      </w:pPr>
      <w:r>
        <w:rPr>
          <w:rFonts w:hint="eastAsia" w:ascii="仿宋" w:hAnsi="仿宋" w:eastAsia="仿宋" w:cs="仿宋"/>
          <w:b/>
          <w:bCs/>
          <w:color w:val="auto"/>
          <w:kern w:val="0"/>
          <w:sz w:val="32"/>
          <w:szCs w:val="32"/>
          <w:highlight w:val="none"/>
          <w:lang w:val="en-US" w:eastAsia="zh-CN"/>
        </w:rPr>
        <w:t>1.主要职</w:t>
      </w:r>
      <w:r>
        <w:rPr>
          <w:rFonts w:hint="eastAsia" w:ascii="仿宋" w:hAnsi="仿宋" w:eastAsia="仿宋" w:cs="仿宋"/>
          <w:b/>
          <w:bCs/>
          <w:color w:val="auto"/>
          <w:kern w:val="0"/>
          <w:sz w:val="32"/>
          <w:szCs w:val="32"/>
          <w:highlight w:val="none"/>
          <w:lang w:val="en-US" w:eastAsia="zh-Hans"/>
        </w:rPr>
        <w:t>责</w:t>
      </w:r>
      <w:r>
        <w:rPr>
          <w:rFonts w:hint="eastAsia" w:ascii="仿宋" w:hAnsi="仿宋" w:eastAsia="仿宋" w:cs="仿宋"/>
          <w:b/>
          <w:bCs/>
          <w:color w:val="auto"/>
          <w:kern w:val="0"/>
          <w:sz w:val="32"/>
          <w:szCs w:val="32"/>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（1）贯彻实施国家、省、市有关内外贸易、国际经济技术合作的发展战略、方针政策；</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 xml:space="preserve">（2）制定并组织实施本区域商务领域的规章、制度、标准和发展规划； </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 xml:space="preserve">（3）负责指导、协调商品进出口工作，承担全区外贸出口目标任务； </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 xml:space="preserve">（4）负责全区商贸运行和市场监测体系建设工作； </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 xml:space="preserve">（5）负责全区科技、科协工作； </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（6）承办新区管委会交办的其他事项。</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3" w:firstLineChars="200"/>
        <w:jc w:val="both"/>
        <w:textAlignment w:val="auto"/>
        <w:outlineLvl w:val="9"/>
        <w:rPr>
          <w:rFonts w:hint="eastAsia" w:ascii="仿宋" w:hAnsi="仿宋" w:eastAsia="仿宋" w:cs="仿宋"/>
          <w:b/>
          <w:bCs/>
          <w:color w:val="auto"/>
          <w:kern w:val="0"/>
          <w:sz w:val="32"/>
          <w:szCs w:val="32"/>
          <w:highlight w:val="none"/>
          <w:lang w:val="en-US" w:eastAsia="zh-CN"/>
        </w:rPr>
      </w:pPr>
      <w:r>
        <w:rPr>
          <w:rFonts w:hint="eastAsia" w:ascii="仿宋" w:hAnsi="仿宋" w:eastAsia="仿宋" w:cs="仿宋"/>
          <w:b/>
          <w:bCs/>
          <w:color w:val="auto"/>
          <w:kern w:val="0"/>
          <w:sz w:val="32"/>
          <w:szCs w:val="32"/>
          <w:highlight w:val="none"/>
          <w:lang w:val="en-US" w:eastAsia="zh-CN"/>
        </w:rPr>
        <w:t>2.组织机构。</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根据工作需要，新区商务局共设置“一办两科”，即办公室、商务科、科技科 3 个科室。</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3" w:firstLineChars="200"/>
        <w:jc w:val="both"/>
        <w:textAlignment w:val="auto"/>
        <w:outlineLvl w:val="9"/>
        <w:rPr>
          <w:rFonts w:hint="eastAsia" w:ascii="仿宋" w:hAnsi="仿宋" w:eastAsia="仿宋" w:cs="仿宋"/>
          <w:b/>
          <w:bCs/>
          <w:color w:val="auto"/>
          <w:kern w:val="0"/>
          <w:sz w:val="32"/>
          <w:szCs w:val="32"/>
          <w:highlight w:val="none"/>
          <w:lang w:val="en-US" w:eastAsia="zh-CN"/>
        </w:rPr>
      </w:pPr>
      <w:r>
        <w:rPr>
          <w:rFonts w:hint="eastAsia" w:ascii="仿宋" w:hAnsi="仿宋" w:eastAsia="仿宋" w:cs="仿宋"/>
          <w:b/>
          <w:bCs/>
          <w:color w:val="auto"/>
          <w:kern w:val="0"/>
          <w:sz w:val="32"/>
          <w:szCs w:val="32"/>
          <w:highlight w:val="none"/>
          <w:lang w:val="en-US" w:eastAsia="zh-Hans"/>
        </w:rPr>
        <w:t>3.财政预决算及项目支出情况</w:t>
      </w:r>
      <w:r>
        <w:rPr>
          <w:rFonts w:hint="eastAsia" w:ascii="仿宋" w:hAnsi="仿宋" w:eastAsia="仿宋" w:cs="仿宋"/>
          <w:b/>
          <w:bCs/>
          <w:color w:val="auto"/>
          <w:kern w:val="0"/>
          <w:sz w:val="32"/>
          <w:szCs w:val="32"/>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根据铜川市新区商务局2020年部门综合预算文件，2020年部门预算收入50.45万元，其中一般公共预算拨款收入50.45 万元。根据公开决算文件，2020年度新区商务局收入合计853.50万元，较上年增加782.20万元，主要原因是财政预留商贸服务业高质量发展奖补资金、创建高新区智库服务费项目资金增加。 2020年度本年支出合计433.37万元，较上年增加368.2万元，主要原因是财政预留商贸服务业高质量发展奖补资金、创建高新区智库服务费项目资金增加，其中:基本支出38.71万元，占8.93%；项目支出394.66万元，占91.07%；经营支出0万元，占0%。</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楷体" w:hAnsi="楷体" w:eastAsia="楷体" w:cs="楷体"/>
          <w:b/>
          <w:bCs/>
          <w:color w:val="auto"/>
          <w:kern w:val="0"/>
          <w:sz w:val="32"/>
          <w:szCs w:val="32"/>
          <w:highlight w:val="none"/>
          <w:shd w:val="clear" w:color="auto" w:fill="FFFFFF"/>
          <w:lang w:val="en-US" w:eastAsia="zh-CN"/>
        </w:rPr>
      </w:pPr>
      <w:r>
        <w:rPr>
          <w:rFonts w:hint="eastAsia" w:ascii="楷体" w:hAnsi="楷体" w:eastAsia="楷体" w:cs="楷体"/>
          <w:b/>
          <w:bCs/>
          <w:color w:val="auto"/>
          <w:kern w:val="0"/>
          <w:sz w:val="32"/>
          <w:szCs w:val="32"/>
          <w:highlight w:val="none"/>
          <w:shd w:val="clear" w:color="auto" w:fill="FFFFFF"/>
          <w:lang w:val="en-US" w:eastAsia="zh-CN"/>
        </w:rPr>
        <w:t>（二）绩效目标</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Hans"/>
        </w:rPr>
        <w:t>1.总体绩效目标</w:t>
      </w:r>
      <w:r>
        <w:rPr>
          <w:rFonts w:hint="eastAsia" w:ascii="仿宋" w:hAnsi="仿宋" w:eastAsia="仿宋" w:cs="仿宋"/>
          <w:b/>
          <w:bCs/>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根据《</w:t>
      </w:r>
      <w:r>
        <w:rPr>
          <w:rFonts w:hint="eastAsia" w:ascii="仿宋" w:hAnsi="仿宋" w:eastAsia="仿宋" w:cs="仿宋"/>
          <w:color w:val="auto"/>
          <w:kern w:val="0"/>
          <w:sz w:val="32"/>
          <w:szCs w:val="32"/>
          <w:highlight w:val="none"/>
          <w:shd w:val="clear" w:color="auto" w:fill="FFFFFF"/>
          <w:lang w:val="en-US" w:eastAsia="zh-CN"/>
        </w:rPr>
        <w:t>铜川市新区商务局</w:t>
      </w:r>
      <w:r>
        <w:rPr>
          <w:rFonts w:hint="eastAsia" w:ascii="仿宋" w:hAnsi="仿宋" w:eastAsia="仿宋" w:cs="仿宋"/>
          <w:color w:val="auto"/>
          <w:kern w:val="0"/>
          <w:sz w:val="32"/>
          <w:szCs w:val="32"/>
          <w:highlight w:val="none"/>
          <w:shd w:val="clear" w:color="auto" w:fill="FFFFFF"/>
          <w:lang w:val="en-US" w:eastAsia="zh-Hans"/>
        </w:rPr>
        <w:t>2020年部门整体绩效</w:t>
      </w:r>
      <w:r>
        <w:rPr>
          <w:rFonts w:hint="eastAsia" w:ascii="仿宋" w:hAnsi="仿宋" w:eastAsia="仿宋" w:cs="仿宋"/>
          <w:color w:val="auto"/>
          <w:kern w:val="0"/>
          <w:sz w:val="32"/>
          <w:szCs w:val="32"/>
          <w:highlight w:val="none"/>
          <w:shd w:val="clear" w:color="auto" w:fill="FFFFFF"/>
          <w:lang w:val="en-US" w:eastAsia="zh-CN"/>
        </w:rPr>
        <w:t>评价</w:t>
      </w:r>
      <w:r>
        <w:rPr>
          <w:rFonts w:hint="eastAsia" w:ascii="仿宋" w:hAnsi="仿宋" w:eastAsia="仿宋" w:cs="仿宋"/>
          <w:color w:val="auto"/>
          <w:kern w:val="0"/>
          <w:sz w:val="32"/>
          <w:szCs w:val="32"/>
          <w:highlight w:val="none"/>
          <w:shd w:val="clear" w:color="auto" w:fill="FFFFFF"/>
          <w:lang w:val="en-US" w:eastAsia="zh-Hans"/>
        </w:rPr>
        <w:t>报告》，</w:t>
      </w:r>
      <w:r>
        <w:rPr>
          <w:rFonts w:hint="eastAsia" w:ascii="仿宋" w:hAnsi="仿宋" w:eastAsia="仿宋" w:cs="仿宋"/>
          <w:color w:val="auto"/>
          <w:kern w:val="0"/>
          <w:sz w:val="32"/>
          <w:szCs w:val="32"/>
          <w:highlight w:val="none"/>
          <w:shd w:val="clear" w:color="auto" w:fill="FFFFFF"/>
          <w:lang w:val="en-US" w:eastAsia="zh-CN"/>
        </w:rPr>
        <w:t>新区商务局</w:t>
      </w:r>
      <w:r>
        <w:rPr>
          <w:rFonts w:hint="eastAsia" w:ascii="仿宋" w:hAnsi="仿宋" w:eastAsia="仿宋" w:cs="仿宋"/>
          <w:color w:val="auto"/>
          <w:kern w:val="0"/>
          <w:sz w:val="32"/>
          <w:szCs w:val="32"/>
          <w:highlight w:val="none"/>
          <w:shd w:val="clear" w:color="auto" w:fill="FFFFFF"/>
          <w:lang w:val="en-US" w:eastAsia="zh-Hans"/>
        </w:rPr>
        <w:t>2020年度绩效</w:t>
      </w:r>
      <w:r>
        <w:rPr>
          <w:rFonts w:hint="eastAsia" w:ascii="仿宋" w:hAnsi="仿宋" w:eastAsia="仿宋" w:cs="仿宋"/>
          <w:color w:val="auto"/>
          <w:kern w:val="0"/>
          <w:sz w:val="32"/>
          <w:szCs w:val="32"/>
          <w:highlight w:val="none"/>
          <w:shd w:val="clear" w:color="auto" w:fill="FFFFFF"/>
          <w:lang w:val="en-US" w:eastAsia="zh-CN"/>
        </w:rPr>
        <w:t>目标</w:t>
      </w:r>
      <w:r>
        <w:rPr>
          <w:rFonts w:hint="eastAsia" w:ascii="仿宋" w:hAnsi="仿宋" w:eastAsia="仿宋" w:cs="仿宋"/>
          <w:color w:val="auto"/>
          <w:kern w:val="0"/>
          <w:sz w:val="32"/>
          <w:szCs w:val="32"/>
          <w:highlight w:val="none"/>
          <w:shd w:val="clear" w:color="auto" w:fill="FFFFFF"/>
          <w:lang w:val="en-US" w:eastAsia="zh-Hans"/>
        </w:rPr>
        <w:t>设置情况：</w:t>
      </w:r>
      <w:r>
        <w:rPr>
          <w:rFonts w:hint="eastAsia" w:ascii="仿宋" w:hAnsi="仿宋" w:eastAsia="仿宋" w:cs="仿宋"/>
          <w:color w:val="auto"/>
          <w:kern w:val="0"/>
          <w:sz w:val="32"/>
          <w:szCs w:val="32"/>
          <w:highlight w:val="none"/>
          <w:shd w:val="clear" w:color="auto" w:fill="FFFFFF"/>
          <w:lang w:val="en-US" w:eastAsia="zh-CN"/>
        </w:rPr>
        <w:t>保障2020年新区商务局业务工作开展正常运行；紧盯全年目标任务，抓好社零、外贸进出口总额等市考指标的顺利完成；组织做好新区参加第三届“进博会”相关工作；做好招商引资相关工作。</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CN"/>
        </w:rPr>
        <w:t>2.年度绩效目标。</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Hans"/>
        </w:rPr>
        <w:t>根据《</w:t>
      </w:r>
      <w:r>
        <w:rPr>
          <w:rFonts w:hint="eastAsia" w:ascii="仿宋" w:hAnsi="仿宋" w:eastAsia="仿宋" w:cs="仿宋"/>
          <w:color w:val="auto"/>
          <w:kern w:val="0"/>
          <w:sz w:val="32"/>
          <w:szCs w:val="32"/>
          <w:highlight w:val="none"/>
          <w:shd w:val="clear" w:color="auto" w:fill="FFFFFF"/>
          <w:lang w:val="en-US" w:eastAsia="zh-CN"/>
        </w:rPr>
        <w:t>铜川市新区商务局</w:t>
      </w:r>
      <w:r>
        <w:rPr>
          <w:rFonts w:hint="eastAsia" w:ascii="仿宋" w:hAnsi="仿宋" w:eastAsia="仿宋" w:cs="仿宋"/>
          <w:color w:val="auto"/>
          <w:kern w:val="0"/>
          <w:sz w:val="32"/>
          <w:szCs w:val="32"/>
          <w:highlight w:val="none"/>
          <w:shd w:val="clear" w:color="auto" w:fill="FFFFFF"/>
          <w:lang w:val="en-US" w:eastAsia="zh-Hans"/>
        </w:rPr>
        <w:t>2020年部门整体绩效</w:t>
      </w:r>
      <w:r>
        <w:rPr>
          <w:rFonts w:hint="eastAsia" w:ascii="仿宋" w:hAnsi="仿宋" w:eastAsia="仿宋" w:cs="仿宋"/>
          <w:color w:val="auto"/>
          <w:kern w:val="0"/>
          <w:sz w:val="32"/>
          <w:szCs w:val="32"/>
          <w:highlight w:val="none"/>
          <w:shd w:val="clear" w:color="auto" w:fill="FFFFFF"/>
          <w:lang w:val="en-US" w:eastAsia="zh-CN"/>
        </w:rPr>
        <w:t>评价</w:t>
      </w:r>
      <w:r>
        <w:rPr>
          <w:rFonts w:hint="eastAsia" w:ascii="仿宋" w:hAnsi="仿宋" w:eastAsia="仿宋" w:cs="仿宋"/>
          <w:color w:val="auto"/>
          <w:kern w:val="0"/>
          <w:sz w:val="32"/>
          <w:szCs w:val="32"/>
          <w:highlight w:val="none"/>
          <w:shd w:val="clear" w:color="auto" w:fill="FFFFFF"/>
          <w:lang w:val="en-US" w:eastAsia="zh-Hans"/>
        </w:rPr>
        <w:t>报告》，</w:t>
      </w:r>
      <w:r>
        <w:rPr>
          <w:rFonts w:hint="eastAsia" w:ascii="仿宋" w:hAnsi="仿宋" w:eastAsia="仿宋" w:cs="仿宋"/>
          <w:color w:val="auto"/>
          <w:kern w:val="0"/>
          <w:sz w:val="32"/>
          <w:szCs w:val="32"/>
          <w:highlight w:val="none"/>
          <w:shd w:val="clear" w:color="auto" w:fill="FFFFFF"/>
          <w:lang w:val="en-US" w:eastAsia="zh-CN"/>
        </w:rPr>
        <w:t>新区商务局</w:t>
      </w:r>
      <w:r>
        <w:rPr>
          <w:rFonts w:hint="eastAsia" w:ascii="仿宋" w:hAnsi="仿宋" w:eastAsia="仿宋" w:cs="仿宋"/>
          <w:color w:val="auto"/>
          <w:kern w:val="0"/>
          <w:sz w:val="32"/>
          <w:szCs w:val="32"/>
          <w:highlight w:val="none"/>
          <w:shd w:val="clear" w:color="auto" w:fill="FFFFFF"/>
          <w:lang w:val="en-US" w:eastAsia="zh-Hans"/>
        </w:rPr>
        <w:t>2020年度</w:t>
      </w:r>
      <w:bookmarkStart w:id="3" w:name="_Toc553331752_WPSOffice_Level2"/>
      <w:bookmarkStart w:id="4" w:name="_Toc221867956_WPSOffice_Level2"/>
      <w:r>
        <w:rPr>
          <w:rFonts w:hint="eastAsia" w:ascii="仿宋" w:hAnsi="仿宋" w:eastAsia="仿宋" w:cs="仿宋"/>
          <w:color w:val="auto"/>
          <w:kern w:val="0"/>
          <w:sz w:val="32"/>
          <w:szCs w:val="32"/>
          <w:highlight w:val="none"/>
          <w:shd w:val="clear" w:color="auto" w:fill="FFFFFF"/>
          <w:lang w:val="en-US" w:eastAsia="zh-CN"/>
        </w:rPr>
        <w:t>具体绩效目标如表1-1。</w:t>
      </w:r>
    </w:p>
    <w:p>
      <w:pPr>
        <w:shd w:val="clear" w:color="auto" w:fill="FFFFFF"/>
        <w:spacing w:before="120" w:beforeLines="50" w:line="360" w:lineRule="auto"/>
        <w:jc w:val="center"/>
        <w:outlineLvl w:val="9"/>
        <w:rPr>
          <w:rFonts w:hint="eastAsia" w:ascii="仿宋" w:hAnsi="仿宋" w:eastAsia="仿宋" w:cs="仿宋"/>
          <w:b/>
          <w:bCs/>
          <w:color w:val="auto"/>
          <w:kern w:val="0"/>
          <w:sz w:val="28"/>
          <w:szCs w:val="28"/>
          <w:highlight w:val="none"/>
          <w:lang w:val="en-US" w:eastAsia="zh-CN"/>
        </w:rPr>
      </w:pPr>
      <w:r>
        <w:rPr>
          <w:rFonts w:hint="eastAsia" w:ascii="仿宋" w:hAnsi="仿宋" w:eastAsia="仿宋" w:cs="仿宋"/>
          <w:b/>
          <w:bCs/>
          <w:color w:val="auto"/>
          <w:kern w:val="0"/>
          <w:sz w:val="28"/>
          <w:szCs w:val="28"/>
          <w:highlight w:val="none"/>
          <w:lang w:val="en-US" w:eastAsia="zh-CN"/>
        </w:rPr>
        <w:t>表1-1 2020年度新区商务局整体支出绩效指标设置</w:t>
      </w:r>
      <w:bookmarkEnd w:id="3"/>
      <w:bookmarkEnd w:id="4"/>
    </w:p>
    <w:tbl>
      <w:tblPr>
        <w:tblStyle w:val="15"/>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176"/>
        <w:gridCol w:w="1656"/>
        <w:gridCol w:w="3731"/>
        <w:gridCol w:w="245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一级指标</w:t>
            </w:r>
          </w:p>
        </w:tc>
        <w:tc>
          <w:tcPr>
            <w:tcW w:w="8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二级指标</w:t>
            </w:r>
          </w:p>
        </w:tc>
        <w:tc>
          <w:tcPr>
            <w:tcW w:w="21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三级指标</w:t>
            </w:r>
          </w:p>
        </w:tc>
        <w:tc>
          <w:tcPr>
            <w:tcW w:w="14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3" w:hRule="atLeast"/>
        </w:trPr>
        <w:tc>
          <w:tcPr>
            <w:tcW w:w="595"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产出指标</w:t>
            </w:r>
          </w:p>
        </w:tc>
        <w:tc>
          <w:tcPr>
            <w:tcW w:w="834"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数量指标</w:t>
            </w:r>
          </w:p>
        </w:tc>
        <w:tc>
          <w:tcPr>
            <w:tcW w:w="21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人员经费保障职工人数</w:t>
            </w:r>
          </w:p>
        </w:tc>
        <w:tc>
          <w:tcPr>
            <w:tcW w:w="14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8人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2" w:hRule="atLeast"/>
        </w:trPr>
        <w:tc>
          <w:tcPr>
            <w:tcW w:w="5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83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21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参加各类招商活动次数</w:t>
            </w:r>
          </w:p>
        </w:tc>
        <w:tc>
          <w:tcPr>
            <w:tcW w:w="14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≥10次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5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83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21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招商对接企业数量</w:t>
            </w:r>
          </w:p>
        </w:tc>
        <w:tc>
          <w:tcPr>
            <w:tcW w:w="14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≥10家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5" w:hRule="atLeast"/>
        </w:trPr>
        <w:tc>
          <w:tcPr>
            <w:tcW w:w="5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83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21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协助参加“进博会”人员完成信息注册等工作</w:t>
            </w:r>
          </w:p>
        </w:tc>
        <w:tc>
          <w:tcPr>
            <w:tcW w:w="14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≥10人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2" w:hRule="atLeast"/>
        </w:trPr>
        <w:tc>
          <w:tcPr>
            <w:tcW w:w="5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83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21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协助办理参加“进博会”参展证件数量</w:t>
            </w:r>
          </w:p>
        </w:tc>
        <w:tc>
          <w:tcPr>
            <w:tcW w:w="14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≥10人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9" w:hRule="atLeast"/>
        </w:trPr>
        <w:tc>
          <w:tcPr>
            <w:tcW w:w="5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83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21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保障“进博会”参会人数</w:t>
            </w:r>
          </w:p>
        </w:tc>
        <w:tc>
          <w:tcPr>
            <w:tcW w:w="14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≥10人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83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21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制作便民蔬菜供应点价目牌数量</w:t>
            </w:r>
          </w:p>
        </w:tc>
        <w:tc>
          <w:tcPr>
            <w:tcW w:w="14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15个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5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83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21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社零、外贸进出口总额、R&amp;D等市考指标</w:t>
            </w:r>
          </w:p>
        </w:tc>
        <w:tc>
          <w:tcPr>
            <w:tcW w:w="14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按市级下达任务完成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8" w:hRule="atLeast"/>
        </w:trPr>
        <w:tc>
          <w:tcPr>
            <w:tcW w:w="5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834"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质量指标</w:t>
            </w:r>
          </w:p>
        </w:tc>
        <w:tc>
          <w:tcPr>
            <w:tcW w:w="21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促成“进博会”项目签约个数</w:t>
            </w:r>
          </w:p>
        </w:tc>
        <w:tc>
          <w:tcPr>
            <w:tcW w:w="14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3个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7" w:hRule="atLeast"/>
        </w:trPr>
        <w:tc>
          <w:tcPr>
            <w:tcW w:w="5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83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21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促成各类项目签约个数</w:t>
            </w:r>
          </w:p>
        </w:tc>
        <w:tc>
          <w:tcPr>
            <w:tcW w:w="14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3个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5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834"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时效指标</w:t>
            </w:r>
          </w:p>
        </w:tc>
        <w:tc>
          <w:tcPr>
            <w:tcW w:w="21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全民招商时间</w:t>
            </w:r>
          </w:p>
        </w:tc>
        <w:tc>
          <w:tcPr>
            <w:tcW w:w="14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2020年1月-2020年12月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2" w:hRule="atLeast"/>
        </w:trPr>
        <w:tc>
          <w:tcPr>
            <w:tcW w:w="5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83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21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对接信息反馈及时性</w:t>
            </w:r>
          </w:p>
        </w:tc>
        <w:tc>
          <w:tcPr>
            <w:tcW w:w="14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0" w:hRule="atLeast"/>
        </w:trPr>
        <w:tc>
          <w:tcPr>
            <w:tcW w:w="5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83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21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参加“进博会”时间</w:t>
            </w:r>
          </w:p>
        </w:tc>
        <w:tc>
          <w:tcPr>
            <w:tcW w:w="14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2020年11月5日-2020年11月10日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0" w:hRule="atLeast"/>
        </w:trPr>
        <w:tc>
          <w:tcPr>
            <w:tcW w:w="5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83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21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疫情防控工作时间</w:t>
            </w:r>
          </w:p>
        </w:tc>
        <w:tc>
          <w:tcPr>
            <w:tcW w:w="14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疫情防控工作时间 2020年1月-疫情结束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834"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成本指标</w:t>
            </w:r>
          </w:p>
        </w:tc>
        <w:tc>
          <w:tcPr>
            <w:tcW w:w="21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人员经费</w:t>
            </w:r>
          </w:p>
        </w:tc>
        <w:tc>
          <w:tcPr>
            <w:tcW w:w="14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30.05万元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83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21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公用经费</w:t>
            </w:r>
          </w:p>
        </w:tc>
        <w:tc>
          <w:tcPr>
            <w:tcW w:w="14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5.4万元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83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21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组织参加“进博会”工作经费</w:t>
            </w:r>
          </w:p>
        </w:tc>
        <w:tc>
          <w:tcPr>
            <w:tcW w:w="14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5万元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83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21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全民招商工作经费</w:t>
            </w:r>
          </w:p>
        </w:tc>
        <w:tc>
          <w:tcPr>
            <w:tcW w:w="14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5万元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83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21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疫情防治专项工作经费</w:t>
            </w:r>
          </w:p>
        </w:tc>
        <w:tc>
          <w:tcPr>
            <w:tcW w:w="14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5万元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595"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效益指标</w:t>
            </w:r>
          </w:p>
        </w:tc>
        <w:tc>
          <w:tcPr>
            <w:tcW w:w="834"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经济效益</w:t>
            </w:r>
          </w:p>
        </w:tc>
        <w:tc>
          <w:tcPr>
            <w:tcW w:w="21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合同及意向成交额</w:t>
            </w:r>
          </w:p>
        </w:tc>
        <w:tc>
          <w:tcPr>
            <w:tcW w:w="14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0" w:hRule="atLeast"/>
        </w:trPr>
        <w:tc>
          <w:tcPr>
            <w:tcW w:w="5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83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21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抓好社零、外贸进出口总额、R&amp;D等指标的顺利完成，为完成全区经济指标做出贡献</w:t>
            </w:r>
          </w:p>
        </w:tc>
        <w:tc>
          <w:tcPr>
            <w:tcW w:w="14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有效促进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5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834"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社会效益</w:t>
            </w:r>
          </w:p>
        </w:tc>
        <w:tc>
          <w:tcPr>
            <w:tcW w:w="21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促成项目在铜落地</w:t>
            </w:r>
          </w:p>
        </w:tc>
        <w:tc>
          <w:tcPr>
            <w:tcW w:w="14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有效促成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83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21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推动新区外向型经济高质量发展</w:t>
            </w:r>
          </w:p>
        </w:tc>
        <w:tc>
          <w:tcPr>
            <w:tcW w:w="14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有效推动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3" w:hRule="atLeast"/>
        </w:trPr>
        <w:tc>
          <w:tcPr>
            <w:tcW w:w="5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8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可持续性影响</w:t>
            </w:r>
          </w:p>
        </w:tc>
        <w:tc>
          <w:tcPr>
            <w:tcW w:w="21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签约项目可持续时间</w:t>
            </w:r>
          </w:p>
        </w:tc>
        <w:tc>
          <w:tcPr>
            <w:tcW w:w="14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≥3年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83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服务对象满意度指标</w:t>
            </w:r>
          </w:p>
        </w:tc>
        <w:tc>
          <w:tcPr>
            <w:tcW w:w="21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企业满意度</w:t>
            </w:r>
          </w:p>
        </w:tc>
        <w:tc>
          <w:tcPr>
            <w:tcW w:w="14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97%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5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8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21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群众满意度</w:t>
            </w:r>
          </w:p>
        </w:tc>
        <w:tc>
          <w:tcPr>
            <w:tcW w:w="14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97%</w:t>
            </w:r>
          </w:p>
        </w:tc>
      </w:tr>
    </w:tbl>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0"/>
        <w:rPr>
          <w:rFonts w:hint="eastAsia" w:ascii="黑体" w:hAnsi="黑体" w:eastAsia="黑体" w:cs="黑体"/>
          <w:b w:val="0"/>
          <w:bCs w:val="0"/>
          <w:color w:val="auto"/>
          <w:kern w:val="0"/>
          <w:sz w:val="32"/>
          <w:szCs w:val="32"/>
          <w:highlight w:val="none"/>
          <w:lang w:val="en-US" w:eastAsia="zh-CN"/>
        </w:rPr>
      </w:pPr>
      <w:bookmarkStart w:id="5" w:name="_Toc16485"/>
      <w:r>
        <w:rPr>
          <w:rFonts w:hint="eastAsia" w:ascii="黑体" w:hAnsi="黑体" w:eastAsia="黑体" w:cs="黑体"/>
          <w:b w:val="0"/>
          <w:bCs w:val="0"/>
          <w:color w:val="auto"/>
          <w:kern w:val="0"/>
          <w:sz w:val="32"/>
          <w:szCs w:val="32"/>
          <w:highlight w:val="none"/>
          <w:lang w:val="en-US" w:eastAsia="zh-CN"/>
        </w:rPr>
        <w:t>二、绩效评价工作开展情况</w:t>
      </w:r>
      <w:bookmarkEnd w:id="5"/>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1"/>
        <w:rPr>
          <w:rFonts w:hint="eastAsia" w:ascii="楷体" w:hAnsi="楷体" w:eastAsia="楷体" w:cs="楷体"/>
          <w:b/>
          <w:bCs/>
          <w:color w:val="auto"/>
          <w:kern w:val="0"/>
          <w:sz w:val="32"/>
          <w:szCs w:val="32"/>
          <w:highlight w:val="none"/>
          <w:lang w:val="en-US" w:eastAsia="zh-CN"/>
        </w:rPr>
      </w:pPr>
      <w:bookmarkStart w:id="6" w:name="_Toc2061"/>
      <w:r>
        <w:rPr>
          <w:rFonts w:hint="eastAsia" w:ascii="楷体" w:hAnsi="楷体" w:eastAsia="楷体" w:cs="楷体"/>
          <w:b/>
          <w:bCs/>
          <w:color w:val="auto"/>
          <w:kern w:val="0"/>
          <w:sz w:val="32"/>
          <w:szCs w:val="32"/>
          <w:highlight w:val="none"/>
          <w:lang w:val="en-US" w:eastAsia="zh-CN"/>
        </w:rPr>
        <w:t>（一）绩效评价目的和依据</w:t>
      </w:r>
      <w:bookmarkEnd w:id="6"/>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推进预算绩效管理是贯彻落实党中央、国务院要求，从根本上深化行政管理体制改革、促进政府职能转变、提高部门责任意识，建设高效、责任、透明政府的有效举措，是贯彻落实科学发展观的必然选择,是实施行政问责制和加强政府效能建设的重要抓手。为深入贯彻落实科学发展观，完善公共财政体系，进一步推进财政预算绩效管理，不断提升财政管理科学化精细化水平，根据《关于全面实施预算绩效管理的意见》（中发〔2018〕34号）、《项目支出绩效评价管理办法》（财预〔2020〕10号）以及《地方预决算公开操作规程》（铜财预〔2016〕102 号）、《铜川市预决算公开工作考核办法》（铜财预〔2018〕117号）和《关于做好2019年部门预算公开的通知》（铜财预〔2019〕15号）等文件要求，依据</w:t>
      </w:r>
      <w:r>
        <w:rPr>
          <w:rFonts w:hint="eastAsia" w:ascii="仿宋" w:hAnsi="仿宋" w:eastAsia="仿宋" w:cs="仿宋"/>
          <w:color w:val="000000"/>
          <w:kern w:val="0"/>
          <w:sz w:val="32"/>
          <w:szCs w:val="32"/>
          <w:highlight w:val="none"/>
          <w:shd w:val="clear" w:color="auto" w:fill="FFFFFF"/>
          <w:lang w:val="en-US" w:eastAsia="zh-CN"/>
        </w:rPr>
        <w:t>《关于开展2020年度新区项目和部门整体支出绩效自评和重点项目绩效评价工作的通知》（铜新财评〔2021〕1号）</w:t>
      </w:r>
      <w:r>
        <w:rPr>
          <w:rFonts w:hint="eastAsia" w:ascii="仿宋" w:hAnsi="仿宋" w:eastAsia="仿宋" w:cs="仿宋"/>
          <w:color w:val="auto"/>
          <w:kern w:val="0"/>
          <w:sz w:val="32"/>
          <w:szCs w:val="32"/>
          <w:highlight w:val="none"/>
          <w:shd w:val="clear" w:color="auto" w:fill="FFFFFF"/>
          <w:lang w:val="en-US" w:eastAsia="zh-Hans"/>
        </w:rPr>
        <w:t>文件规定，铜川市</w:t>
      </w:r>
      <w:r>
        <w:rPr>
          <w:rFonts w:hint="eastAsia" w:ascii="仿宋" w:hAnsi="仿宋" w:eastAsia="仿宋" w:cs="仿宋"/>
          <w:color w:val="auto"/>
          <w:kern w:val="0"/>
          <w:sz w:val="32"/>
          <w:szCs w:val="32"/>
          <w:highlight w:val="none"/>
          <w:shd w:val="clear" w:color="auto" w:fill="FFFFFF"/>
          <w:lang w:val="en-US" w:eastAsia="zh-CN"/>
        </w:rPr>
        <w:t>新区财政局委托</w:t>
      </w:r>
      <w:r>
        <w:rPr>
          <w:rFonts w:hint="eastAsia" w:ascii="仿宋" w:hAnsi="仿宋" w:eastAsia="仿宋" w:cs="仿宋"/>
          <w:color w:val="auto"/>
          <w:kern w:val="0"/>
          <w:sz w:val="32"/>
          <w:szCs w:val="32"/>
          <w:highlight w:val="none"/>
          <w:shd w:val="clear" w:color="auto" w:fill="FFFFFF"/>
          <w:lang w:val="en-US" w:eastAsia="zh-Hans"/>
        </w:rPr>
        <w:t>深圳市万德公共咨询有限公司，对</w:t>
      </w:r>
      <w:r>
        <w:rPr>
          <w:rFonts w:hint="eastAsia" w:ascii="仿宋" w:hAnsi="仿宋" w:eastAsia="仿宋" w:cs="仿宋"/>
          <w:color w:val="auto"/>
          <w:kern w:val="0"/>
          <w:sz w:val="32"/>
          <w:szCs w:val="32"/>
          <w:highlight w:val="none"/>
          <w:shd w:val="clear" w:color="auto" w:fill="FFFFFF"/>
          <w:lang w:val="en-US" w:eastAsia="zh-CN"/>
        </w:rPr>
        <w:t>铜川市新区商务局</w:t>
      </w:r>
      <w:r>
        <w:rPr>
          <w:rFonts w:hint="eastAsia" w:ascii="仿宋" w:hAnsi="仿宋" w:eastAsia="仿宋" w:cs="仿宋"/>
          <w:color w:val="auto"/>
          <w:kern w:val="0"/>
          <w:sz w:val="32"/>
          <w:szCs w:val="32"/>
          <w:highlight w:val="none"/>
          <w:shd w:val="clear" w:color="auto" w:fill="FFFFFF"/>
          <w:lang w:val="en-US" w:eastAsia="zh-Hans"/>
        </w:rPr>
        <w:t>2020年度整体支出资金使用情况，以及部门职能及重点工作执行情况进行绩效评价。</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Hans"/>
        </w:rPr>
        <w:t>1.评价目的</w:t>
      </w:r>
      <w:r>
        <w:rPr>
          <w:rFonts w:hint="eastAsia" w:ascii="仿宋" w:hAnsi="仿宋" w:eastAsia="仿宋" w:cs="仿宋"/>
          <w:b/>
          <w:bCs/>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本次绩效评价工作主要目的包括如下两部分：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一是通过开展部门整体支出绩效评价，促进部门从整体上提升预算绩效管理工作水平，强化部门支出责任，规范资金管理行为，提高财政资金使用效益，保障部门更好地履行职责。</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二是通过本次绩效评价工作的开展，为铜川市</w:t>
      </w:r>
      <w:r>
        <w:rPr>
          <w:rFonts w:hint="eastAsia" w:ascii="仿宋" w:hAnsi="仿宋" w:eastAsia="仿宋" w:cs="仿宋"/>
          <w:color w:val="auto"/>
          <w:kern w:val="0"/>
          <w:sz w:val="32"/>
          <w:szCs w:val="32"/>
          <w:highlight w:val="none"/>
          <w:shd w:val="clear" w:color="auto" w:fill="FFFFFF"/>
          <w:lang w:val="en-US" w:eastAsia="zh-CN"/>
        </w:rPr>
        <w:t>新区</w:t>
      </w:r>
      <w:r>
        <w:rPr>
          <w:rFonts w:hint="eastAsia" w:ascii="仿宋" w:hAnsi="仿宋" w:eastAsia="仿宋" w:cs="仿宋"/>
          <w:color w:val="auto"/>
          <w:kern w:val="0"/>
          <w:sz w:val="32"/>
          <w:szCs w:val="32"/>
          <w:highlight w:val="none"/>
          <w:shd w:val="clear" w:color="auto" w:fill="FFFFFF"/>
          <w:lang w:val="en-US" w:eastAsia="zh-Hans"/>
        </w:rPr>
        <w:t>财政绩效管理工作积累经验，并有效落实绩效评价结果应用，探索更加符合财政项目管理特点的绩效管理模式和方法，优化项目顶层设计，提升财政支出项目执行效率。</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Hans"/>
        </w:rPr>
        <w:t>2.评价依据</w:t>
      </w:r>
      <w:r>
        <w:rPr>
          <w:rFonts w:hint="eastAsia" w:ascii="仿宋" w:hAnsi="仿宋" w:eastAsia="仿宋" w:cs="仿宋"/>
          <w:b/>
          <w:bCs/>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（1）《财政部关于印发&lt;项目支出绩效评价管理办法&gt;的通知》（财预〔2020〕10 号）；</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（2）《预算绩效评价共性指标体系框架》（财预〔2013〕53 号）；</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Hans"/>
        </w:rPr>
        <w:t xml:space="preserve">（3）陕西省财政厅关于印发《省级部门整体支出绩效评价办法》的通知(陕财办预〔2017〕80 号) </w:t>
      </w:r>
      <w:r>
        <w:rPr>
          <w:rFonts w:hint="eastAsia" w:ascii="仿宋" w:hAnsi="仿宋" w:eastAsia="仿宋" w:cs="仿宋"/>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（4）</w:t>
      </w:r>
      <w:r>
        <w:rPr>
          <w:rFonts w:hint="eastAsia" w:ascii="仿宋" w:hAnsi="仿宋" w:eastAsia="仿宋" w:cs="仿宋"/>
          <w:color w:val="000000"/>
          <w:kern w:val="0"/>
          <w:sz w:val="32"/>
          <w:szCs w:val="32"/>
          <w:highlight w:val="none"/>
          <w:shd w:val="clear" w:color="auto" w:fill="FFFFFF"/>
          <w:lang w:val="en-US" w:eastAsia="zh-CN"/>
        </w:rPr>
        <w:t>《关于开展2020年度新区项目和部门整体支出绩效自评和重点项目绩效评价工作的通知》（铜新财评〔2021〕1号）</w:t>
      </w:r>
      <w:r>
        <w:rPr>
          <w:rFonts w:hint="eastAsia" w:ascii="仿宋" w:hAnsi="仿宋" w:eastAsia="仿宋" w:cs="仿宋"/>
          <w:color w:val="auto"/>
          <w:kern w:val="0"/>
          <w:sz w:val="32"/>
          <w:szCs w:val="32"/>
          <w:highlight w:val="none"/>
          <w:shd w:val="clear" w:color="auto" w:fill="FFFFFF"/>
          <w:lang w:val="en-US" w:eastAsia="zh-Hans"/>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（5）《关于做好2020年部门预算公开的通知》（铜财预〔2020〕41号）；</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（6）《铜川市预决算公开工作考核办法》（铜财预〔2018〕117 号）；</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（7）铜川市人民政府办公室《关于印发铜川市财政投资评审管理办法的通知》（铜政办发〔2017〕52号）；</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（8）《地方预决算公开操作规程》（铜财预〔2016〕102号）；</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（9）铜川市财政局印发的《铜川市市级部门预算绩效管理工作考核办法》（铜财预〔2016〕92号）；</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（10）铜川市财政局印发的《市级部门预算绩效目标管理暂行办法》（铜财预〔2016〕74号）；</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（11）铜川市</w:t>
      </w:r>
      <w:r>
        <w:rPr>
          <w:rFonts w:hint="eastAsia" w:ascii="仿宋" w:hAnsi="仿宋" w:eastAsia="仿宋" w:cs="仿宋"/>
          <w:color w:val="auto"/>
          <w:kern w:val="0"/>
          <w:sz w:val="32"/>
          <w:szCs w:val="32"/>
          <w:highlight w:val="none"/>
          <w:shd w:val="clear" w:color="auto" w:fill="FFFFFF"/>
          <w:lang w:val="en-US" w:eastAsia="zh-CN"/>
        </w:rPr>
        <w:t>新区商务局</w:t>
      </w:r>
      <w:r>
        <w:rPr>
          <w:rFonts w:hint="eastAsia" w:ascii="仿宋" w:hAnsi="仿宋" w:eastAsia="仿宋" w:cs="仿宋"/>
          <w:color w:val="auto"/>
          <w:kern w:val="0"/>
          <w:sz w:val="32"/>
          <w:szCs w:val="32"/>
          <w:highlight w:val="none"/>
          <w:shd w:val="clear" w:color="auto" w:fill="FFFFFF"/>
          <w:lang w:val="en-US" w:eastAsia="zh-Hans"/>
        </w:rPr>
        <w:t>相关职责、制度及管理办法；</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（12）铜川市</w:t>
      </w:r>
      <w:r>
        <w:rPr>
          <w:rFonts w:hint="eastAsia" w:ascii="仿宋" w:hAnsi="仿宋" w:eastAsia="仿宋" w:cs="仿宋"/>
          <w:color w:val="auto"/>
          <w:kern w:val="0"/>
          <w:sz w:val="32"/>
          <w:szCs w:val="32"/>
          <w:highlight w:val="none"/>
          <w:shd w:val="clear" w:color="auto" w:fill="FFFFFF"/>
          <w:lang w:val="en-US" w:eastAsia="zh-CN"/>
        </w:rPr>
        <w:t>新区商务局</w:t>
      </w:r>
      <w:r>
        <w:rPr>
          <w:rFonts w:hint="eastAsia" w:ascii="仿宋" w:hAnsi="仿宋" w:eastAsia="仿宋" w:cs="仿宋"/>
          <w:color w:val="auto"/>
          <w:kern w:val="0"/>
          <w:sz w:val="32"/>
          <w:szCs w:val="32"/>
          <w:highlight w:val="none"/>
          <w:shd w:val="clear" w:color="auto" w:fill="FFFFFF"/>
          <w:lang w:val="en-US" w:eastAsia="zh-Hans"/>
        </w:rPr>
        <w:t>开展项目绩效资料（预算批复文件、项目支出明细账、会计凭证等财务资料，年度工作计划、项目实施方案、年度工作总结、阶段总结、绩效佐证资料等档案资料）。</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1"/>
        <w:rPr>
          <w:rFonts w:hint="eastAsia" w:ascii="楷体" w:hAnsi="楷体" w:eastAsia="楷体" w:cs="楷体"/>
          <w:b/>
          <w:bCs/>
          <w:color w:val="auto"/>
          <w:kern w:val="0"/>
          <w:sz w:val="32"/>
          <w:szCs w:val="32"/>
          <w:highlight w:val="none"/>
          <w:shd w:val="clear" w:color="auto" w:fill="FFFFFF"/>
          <w:lang w:val="en-US" w:eastAsia="zh-Hans"/>
        </w:rPr>
      </w:pPr>
      <w:bookmarkStart w:id="7" w:name="_Toc32256"/>
      <w:r>
        <w:rPr>
          <w:rFonts w:hint="eastAsia" w:ascii="楷体" w:hAnsi="楷体" w:eastAsia="楷体" w:cs="楷体"/>
          <w:b/>
          <w:bCs/>
          <w:color w:val="auto"/>
          <w:kern w:val="0"/>
          <w:sz w:val="32"/>
          <w:szCs w:val="32"/>
          <w:highlight w:val="none"/>
          <w:shd w:val="clear" w:color="auto" w:fill="FFFFFF"/>
          <w:lang w:val="en-US" w:eastAsia="zh-Hans"/>
        </w:rPr>
        <w:t>（二）评价对象、范围和时段</w:t>
      </w:r>
      <w:bookmarkEnd w:id="7"/>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评价对象：铜川市</w:t>
      </w:r>
      <w:r>
        <w:rPr>
          <w:rFonts w:hint="eastAsia" w:ascii="仿宋" w:hAnsi="仿宋" w:eastAsia="仿宋" w:cs="仿宋"/>
          <w:color w:val="auto"/>
          <w:kern w:val="0"/>
          <w:sz w:val="32"/>
          <w:szCs w:val="32"/>
          <w:highlight w:val="none"/>
          <w:shd w:val="clear" w:color="auto" w:fill="FFFFFF"/>
          <w:lang w:val="en-US" w:eastAsia="zh-CN"/>
        </w:rPr>
        <w:t>新区商务局</w:t>
      </w:r>
      <w:r>
        <w:rPr>
          <w:rFonts w:hint="eastAsia" w:ascii="仿宋" w:hAnsi="仿宋" w:eastAsia="仿宋" w:cs="仿宋"/>
          <w:color w:val="auto"/>
          <w:kern w:val="0"/>
          <w:sz w:val="32"/>
          <w:szCs w:val="32"/>
          <w:highlight w:val="none"/>
          <w:shd w:val="clear" w:color="auto" w:fill="FFFFFF"/>
          <w:lang w:val="en-US" w:eastAsia="zh-Hans"/>
        </w:rPr>
        <w:t>2020年部门整体支出资金</w:t>
      </w:r>
      <w:r>
        <w:rPr>
          <w:rFonts w:hint="eastAsia" w:ascii="仿宋" w:hAnsi="仿宋" w:eastAsia="仿宋" w:cs="仿宋"/>
          <w:color w:val="auto"/>
          <w:kern w:val="0"/>
          <w:sz w:val="32"/>
          <w:szCs w:val="32"/>
          <w:highlight w:val="none"/>
          <w:shd w:val="clear" w:color="auto" w:fill="FFFFFF"/>
          <w:lang w:val="en-US" w:eastAsia="zh-CN"/>
        </w:rPr>
        <w:t>433.37</w:t>
      </w:r>
      <w:r>
        <w:rPr>
          <w:rFonts w:hint="eastAsia" w:ascii="仿宋" w:hAnsi="仿宋" w:eastAsia="仿宋" w:cs="仿宋"/>
          <w:color w:val="auto"/>
          <w:kern w:val="0"/>
          <w:sz w:val="32"/>
          <w:szCs w:val="32"/>
          <w:highlight w:val="none"/>
          <w:shd w:val="clear" w:color="auto" w:fill="FFFFFF"/>
          <w:lang w:val="en-US" w:eastAsia="zh-Hans"/>
        </w:rPr>
        <w:t>万元。</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评价范围：铜川市</w:t>
      </w:r>
      <w:r>
        <w:rPr>
          <w:rFonts w:hint="eastAsia" w:ascii="仿宋" w:hAnsi="仿宋" w:eastAsia="仿宋" w:cs="仿宋"/>
          <w:color w:val="auto"/>
          <w:kern w:val="0"/>
          <w:sz w:val="32"/>
          <w:szCs w:val="32"/>
          <w:highlight w:val="none"/>
          <w:shd w:val="clear" w:color="auto" w:fill="FFFFFF"/>
          <w:lang w:val="en-US" w:eastAsia="zh-CN"/>
        </w:rPr>
        <w:t>新区商务局</w:t>
      </w:r>
      <w:r>
        <w:rPr>
          <w:rFonts w:hint="eastAsia" w:ascii="仿宋" w:hAnsi="仿宋" w:eastAsia="仿宋" w:cs="仿宋"/>
          <w:color w:val="auto"/>
          <w:kern w:val="0"/>
          <w:sz w:val="32"/>
          <w:szCs w:val="32"/>
          <w:highlight w:val="none"/>
          <w:shd w:val="clear" w:color="auto" w:fill="FFFFFF"/>
          <w:lang w:val="en-US" w:eastAsia="zh-Hans"/>
        </w:rPr>
        <w:t>2020年度依据部门职能开展的工作。</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评价时段：2020年1月1日-2020年12月31日。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1"/>
        <w:rPr>
          <w:rFonts w:hint="eastAsia" w:ascii="楷体" w:hAnsi="楷体" w:eastAsia="楷体" w:cs="楷体"/>
          <w:b/>
          <w:bCs/>
          <w:color w:val="auto"/>
          <w:kern w:val="0"/>
          <w:sz w:val="32"/>
          <w:szCs w:val="32"/>
          <w:highlight w:val="none"/>
          <w:shd w:val="clear" w:color="auto" w:fill="FFFFFF"/>
          <w:lang w:val="en-US" w:eastAsia="zh-Hans"/>
        </w:rPr>
      </w:pPr>
      <w:bookmarkStart w:id="8" w:name="_Toc5205"/>
      <w:r>
        <w:rPr>
          <w:rFonts w:hint="eastAsia" w:ascii="楷体" w:hAnsi="楷体" w:eastAsia="楷体" w:cs="楷体"/>
          <w:b/>
          <w:bCs/>
          <w:color w:val="auto"/>
          <w:kern w:val="0"/>
          <w:sz w:val="32"/>
          <w:szCs w:val="32"/>
          <w:highlight w:val="none"/>
          <w:shd w:val="clear" w:color="auto" w:fill="FFFFFF"/>
          <w:lang w:val="en-US" w:eastAsia="zh-Hans"/>
        </w:rPr>
        <w:t>（三）绩效评价原则、评价方法、评价指标体系</w:t>
      </w:r>
      <w:bookmarkEnd w:id="8"/>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Hans"/>
        </w:rPr>
        <w:t>1.评价原则</w:t>
      </w:r>
      <w:r>
        <w:rPr>
          <w:rFonts w:hint="eastAsia" w:ascii="仿宋" w:hAnsi="仿宋" w:eastAsia="仿宋" w:cs="仿宋"/>
          <w:b/>
          <w:bCs/>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（1）科学规范原则。本次绩效评价工作按照科学可行的原则，采取定量分析与定性分析相结合的评价方法，评价机构设计绩效评价工作方案并组织实施绩效评价。</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（2）独立公正原则。评价机构作为独立的第三方，以真实、客观、公正的要求完成本次绩效评价工作，并接受相关部门监督。</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3）绩效相关原则。本次绩效评价工作重点对该项目财政支出及其产出绩效进行评价，评价结果反映项目支出与产出绩效之间的紧密对应关系。在以评“绩效”为主的情况下，适当延伸至项目的投入与过程管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4）简便有效原则。本次绩效评价工作尽量简化工作程序，尽量减少委托方、项目实施单位工作负担，通过科学合理的工作方式与方法，在全面分析绩效材料，并在与委托方、项目实施单位充分沟通的基础上，着力保障绩效评价工作本身的“绩效”。</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Hans"/>
        </w:rPr>
        <w:t>2.评价方法</w:t>
      </w:r>
      <w:r>
        <w:rPr>
          <w:rFonts w:hint="eastAsia" w:ascii="仿宋" w:hAnsi="仿宋" w:eastAsia="仿宋" w:cs="仿宋"/>
          <w:b/>
          <w:bCs/>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本次评价将通过文件资料研读、现场调研等方法进行定性评价；通过基础数据统计分析等方法，进行定量评价。在定性评价中，也须明确支撑评价结果的证明材料，尽量减少定性评价带有的主观随意性。本次绩效评价使用（但不限于）以下几种具体的评价方法：</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Hans"/>
        </w:rPr>
        <w:t>（1）成本效益法</w:t>
      </w:r>
      <w:r>
        <w:rPr>
          <w:rFonts w:hint="eastAsia" w:ascii="仿宋" w:hAnsi="仿宋" w:eastAsia="仿宋" w:cs="仿宋"/>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通过对部门的预算执行情况、项目管理资料、绩效报告等相关资料进行研究、比较、分析，提取重要信息，将部门投入与产出、效益进行关联性分析。</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Hans"/>
        </w:rPr>
        <w:t>（2）案卷研究法</w:t>
      </w:r>
      <w:r>
        <w:rPr>
          <w:rFonts w:hint="eastAsia" w:ascii="仿宋" w:hAnsi="仿宋" w:eastAsia="仿宋" w:cs="仿宋"/>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对于相关的法规和文件通知、实施方案、政府采购相关文件、资金支出程序文件、工作总结、服务对象满意度调查等相关资料进行深入研究、比较、分析，提取重要信息，为绩效评价提供支撑依据。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Hans"/>
        </w:rPr>
        <w:t>（3）</w:t>
      </w:r>
      <w:r>
        <w:rPr>
          <w:rFonts w:hint="eastAsia" w:ascii="仿宋" w:hAnsi="仿宋" w:eastAsia="仿宋" w:cs="仿宋"/>
          <w:color w:val="auto"/>
          <w:kern w:val="0"/>
          <w:sz w:val="32"/>
          <w:szCs w:val="32"/>
          <w:highlight w:val="none"/>
          <w:shd w:val="clear" w:color="auto" w:fill="FFFFFF"/>
          <w:lang w:val="en-US" w:eastAsia="zh-CN"/>
        </w:rPr>
        <w:t>公众评判法。</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CN"/>
        </w:rPr>
        <w:t>通过专家评估、公众问卷及抽样调查等方式对部门整体支出进行评判。</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Hans"/>
        </w:rPr>
        <w:t>（4）因素分析法</w:t>
      </w:r>
      <w:r>
        <w:rPr>
          <w:rFonts w:hint="eastAsia" w:ascii="仿宋" w:hAnsi="仿宋" w:eastAsia="仿宋" w:cs="仿宋"/>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在评价过程中，通过综合分析相关资料，挖掘影响绩效目标实现、实施效果的内外部因素，科学评判项目实施过程中存在的问题，有效提出相关建议。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Hans"/>
        </w:rPr>
        <w:t>3、评价指标体系</w:t>
      </w:r>
      <w:r>
        <w:rPr>
          <w:rFonts w:hint="eastAsia" w:ascii="仿宋" w:hAnsi="仿宋" w:eastAsia="仿宋" w:cs="仿宋"/>
          <w:b/>
          <w:bCs/>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根据部门整体支出绩效评价的基本原理、原则和部门特点，结合《铜川市市级部门整体支出绩效评价指标及评分标准》的要求，本次绩效评价指标体系包括投入、过程、产出及效果4个一级指标，7个二级指标和2</w:t>
      </w:r>
      <w:r>
        <w:rPr>
          <w:rFonts w:hint="eastAsia" w:ascii="仿宋" w:hAnsi="仿宋" w:eastAsia="仿宋" w:cs="仿宋"/>
          <w:color w:val="auto"/>
          <w:kern w:val="0"/>
          <w:sz w:val="32"/>
          <w:szCs w:val="32"/>
          <w:highlight w:val="none"/>
          <w:shd w:val="clear" w:color="auto" w:fill="FFFFFF"/>
          <w:lang w:val="en-US" w:eastAsia="zh-CN"/>
        </w:rPr>
        <w:t>6</w:t>
      </w:r>
      <w:r>
        <w:rPr>
          <w:rFonts w:hint="eastAsia" w:ascii="仿宋" w:hAnsi="仿宋" w:eastAsia="仿宋" w:cs="仿宋"/>
          <w:color w:val="auto"/>
          <w:kern w:val="0"/>
          <w:sz w:val="32"/>
          <w:szCs w:val="32"/>
          <w:highlight w:val="none"/>
          <w:shd w:val="clear" w:color="auto" w:fill="FFFFFF"/>
          <w:lang w:val="en-US" w:eastAsia="zh-Hans"/>
        </w:rPr>
        <w:t>个三级指标（详见附件</w:t>
      </w:r>
      <w:r>
        <w:rPr>
          <w:rFonts w:hint="eastAsia" w:ascii="仿宋" w:hAnsi="仿宋" w:eastAsia="仿宋" w:cs="仿宋"/>
          <w:color w:val="auto"/>
          <w:kern w:val="0"/>
          <w:sz w:val="32"/>
          <w:szCs w:val="32"/>
          <w:highlight w:val="none"/>
          <w:shd w:val="clear" w:color="auto" w:fill="FFFFFF"/>
          <w:lang w:val="en-US" w:eastAsia="zh-CN"/>
        </w:rPr>
        <w:t>3</w:t>
      </w:r>
      <w:r>
        <w:rPr>
          <w:rFonts w:hint="eastAsia" w:ascii="仿宋" w:hAnsi="仿宋" w:eastAsia="仿宋" w:cs="仿宋"/>
          <w:color w:val="auto"/>
          <w:kern w:val="0"/>
          <w:sz w:val="32"/>
          <w:szCs w:val="32"/>
          <w:highlight w:val="none"/>
          <w:shd w:val="clear" w:color="auto" w:fill="FFFFFF"/>
          <w:lang w:val="en-US" w:eastAsia="zh-Hans"/>
        </w:rPr>
        <w:t>），满分为100分。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（1）投入：从目标设定和预算配置两方面评价绩效目标合理性、绩效指标明确性、“三公经费”变动率、在职人员控制率、重点支出安排率等内容。</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（2）过程：从预算执行、预算管理和资产管理三方面评价</w:t>
      </w:r>
      <w:r>
        <w:rPr>
          <w:rFonts w:hint="eastAsia" w:ascii="仿宋" w:hAnsi="仿宋" w:eastAsia="仿宋" w:cs="仿宋"/>
          <w:color w:val="auto"/>
          <w:kern w:val="0"/>
          <w:sz w:val="32"/>
          <w:szCs w:val="32"/>
          <w:highlight w:val="none"/>
          <w:shd w:val="clear" w:color="auto" w:fill="FFFFFF"/>
          <w:lang w:val="en-US" w:eastAsia="zh-CN"/>
        </w:rPr>
        <w:t>预算完成率、预算调整率、结转结余率、结转结余变动率、“三公经费”控制率、公用经费控制率、政府采购执行率、管理制度健全性、资金使用合规性、预算执行监控、预决算信息公开性、管理制度健全性、资产管理安全性、固定资产利用率等</w:t>
      </w:r>
      <w:r>
        <w:rPr>
          <w:rFonts w:hint="eastAsia" w:ascii="仿宋" w:hAnsi="仿宋" w:eastAsia="仿宋" w:cs="仿宋"/>
          <w:color w:val="auto"/>
          <w:kern w:val="0"/>
          <w:sz w:val="32"/>
          <w:szCs w:val="32"/>
          <w:highlight w:val="none"/>
          <w:shd w:val="clear" w:color="auto" w:fill="FFFFFF"/>
          <w:lang w:val="en-US" w:eastAsia="zh-Hans"/>
        </w:rPr>
        <w:t>等内容。</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（3）产出：用于考察年度工作及项目资金投入的实际完成率、完成及时率、质量达标率和重点工作办结率等内容。</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（4）效果：用于综合评价部门年度总体工作及资金投用所得项目产出产生的经济效益、社会效益</w:t>
      </w:r>
      <w:r>
        <w:rPr>
          <w:rFonts w:hint="eastAsia" w:ascii="仿宋" w:hAnsi="仿宋" w:eastAsia="仿宋" w:cs="仿宋"/>
          <w:color w:val="auto"/>
          <w:kern w:val="0"/>
          <w:sz w:val="32"/>
          <w:szCs w:val="32"/>
          <w:highlight w:val="none"/>
          <w:shd w:val="clear" w:color="auto" w:fill="FFFFFF"/>
          <w:lang w:val="en-US" w:eastAsia="zh-CN"/>
        </w:rPr>
        <w:t>、服务对象</w:t>
      </w:r>
      <w:r>
        <w:rPr>
          <w:rFonts w:hint="eastAsia" w:ascii="仿宋" w:hAnsi="仿宋" w:eastAsia="仿宋" w:cs="仿宋"/>
          <w:color w:val="auto"/>
          <w:kern w:val="0"/>
          <w:sz w:val="32"/>
          <w:szCs w:val="32"/>
          <w:highlight w:val="none"/>
          <w:shd w:val="clear" w:color="auto" w:fill="FFFFFF"/>
          <w:lang w:val="en-US" w:eastAsia="zh-Hans"/>
        </w:rPr>
        <w:t>满意度。</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Hans"/>
        </w:rPr>
        <w:t>4、绩效评价的局限性</w:t>
      </w:r>
      <w:r>
        <w:rPr>
          <w:rFonts w:hint="eastAsia" w:ascii="仿宋" w:hAnsi="仿宋" w:eastAsia="仿宋" w:cs="仿宋"/>
          <w:b/>
          <w:bCs/>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bookmarkStart w:id="9" w:name="_Toc1318217999"/>
      <w:r>
        <w:rPr>
          <w:rFonts w:hint="eastAsia" w:ascii="仿宋" w:hAnsi="仿宋" w:eastAsia="仿宋" w:cs="仿宋"/>
          <w:color w:val="auto"/>
          <w:kern w:val="0"/>
          <w:sz w:val="32"/>
          <w:szCs w:val="32"/>
          <w:highlight w:val="none"/>
          <w:shd w:val="clear" w:color="auto" w:fill="FFFFFF"/>
          <w:lang w:val="en-US" w:eastAsia="zh-Hans"/>
        </w:rPr>
        <w:t>本次对</w:t>
      </w:r>
      <w:r>
        <w:rPr>
          <w:rFonts w:hint="eastAsia" w:ascii="仿宋" w:hAnsi="仿宋" w:eastAsia="仿宋" w:cs="仿宋"/>
          <w:color w:val="auto"/>
          <w:kern w:val="0"/>
          <w:sz w:val="32"/>
          <w:szCs w:val="32"/>
          <w:highlight w:val="none"/>
          <w:shd w:val="clear" w:color="auto" w:fill="FFFFFF"/>
          <w:lang w:val="en-US" w:eastAsia="zh-CN"/>
        </w:rPr>
        <w:t>新区商务局</w:t>
      </w:r>
      <w:r>
        <w:rPr>
          <w:rFonts w:hint="eastAsia" w:ascii="仿宋" w:hAnsi="仿宋" w:eastAsia="仿宋" w:cs="仿宋"/>
          <w:color w:val="auto"/>
          <w:kern w:val="0"/>
          <w:sz w:val="32"/>
          <w:szCs w:val="32"/>
          <w:highlight w:val="none"/>
          <w:shd w:val="clear" w:color="auto" w:fill="FFFFFF"/>
          <w:lang w:val="en-US" w:eastAsia="zh-Hans"/>
        </w:rPr>
        <w:t>2020年度部门整体支出绩效进行分析和评价打分的基础数据来源于其提供的2020年</w:t>
      </w:r>
      <w:r>
        <w:rPr>
          <w:rFonts w:hint="eastAsia" w:ascii="仿宋" w:hAnsi="仿宋" w:eastAsia="仿宋" w:cs="仿宋"/>
          <w:color w:val="auto"/>
          <w:kern w:val="0"/>
          <w:sz w:val="32"/>
          <w:szCs w:val="32"/>
          <w:highlight w:val="none"/>
          <w:shd w:val="clear" w:color="auto" w:fill="FFFFFF"/>
          <w:lang w:val="en-US" w:eastAsia="zh-CN"/>
        </w:rPr>
        <w:t>新区商务局</w:t>
      </w:r>
      <w:r>
        <w:rPr>
          <w:rFonts w:hint="eastAsia" w:ascii="仿宋" w:hAnsi="仿宋" w:eastAsia="仿宋" w:cs="仿宋"/>
          <w:color w:val="auto"/>
          <w:kern w:val="0"/>
          <w:sz w:val="32"/>
          <w:szCs w:val="32"/>
          <w:highlight w:val="none"/>
          <w:shd w:val="clear" w:color="auto" w:fill="FFFFFF"/>
          <w:lang w:val="en-US" w:eastAsia="zh-Hans"/>
        </w:rPr>
        <w:t>本级部门预算表、2020年度部门决算报表、</w:t>
      </w:r>
      <w:r>
        <w:rPr>
          <w:rFonts w:hint="eastAsia" w:ascii="仿宋" w:hAnsi="仿宋" w:eastAsia="仿宋" w:cs="仿宋"/>
          <w:color w:val="auto"/>
          <w:kern w:val="0"/>
          <w:sz w:val="32"/>
          <w:szCs w:val="32"/>
          <w:highlight w:val="none"/>
          <w:shd w:val="clear" w:color="auto" w:fill="FFFFFF"/>
          <w:lang w:val="en-US" w:eastAsia="zh-CN"/>
        </w:rPr>
        <w:t>新区商务局</w:t>
      </w:r>
      <w:r>
        <w:rPr>
          <w:rFonts w:hint="eastAsia" w:ascii="仿宋" w:hAnsi="仿宋" w:eastAsia="仿宋" w:cs="仿宋"/>
          <w:color w:val="auto"/>
          <w:kern w:val="0"/>
          <w:sz w:val="32"/>
          <w:szCs w:val="32"/>
          <w:highlight w:val="none"/>
          <w:shd w:val="clear" w:color="auto" w:fill="FFFFFF"/>
          <w:lang w:val="en-US" w:eastAsia="zh-Hans"/>
        </w:rPr>
        <w:t>提供的档案资料以及调查者反映的情况等资料，上述数据的完整性、真实性、准确性直接影响绩效评价结果。</w:t>
      </w:r>
      <w:bookmarkEnd w:id="9"/>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1"/>
        <w:rPr>
          <w:rFonts w:hint="eastAsia" w:ascii="楷体" w:hAnsi="楷体" w:eastAsia="楷体" w:cs="楷体"/>
          <w:color w:val="auto"/>
          <w:kern w:val="0"/>
          <w:sz w:val="32"/>
          <w:szCs w:val="32"/>
          <w:highlight w:val="none"/>
          <w:shd w:val="clear" w:color="auto" w:fill="FFFFFF"/>
          <w:lang w:val="en-US" w:eastAsia="zh-Hans"/>
        </w:rPr>
      </w:pPr>
      <w:bookmarkStart w:id="10" w:name="_Toc3064"/>
      <w:r>
        <w:rPr>
          <w:rFonts w:hint="eastAsia" w:ascii="楷体" w:hAnsi="楷体" w:eastAsia="楷体" w:cs="楷体"/>
          <w:b/>
          <w:bCs/>
          <w:color w:val="auto"/>
          <w:kern w:val="0"/>
          <w:sz w:val="32"/>
          <w:szCs w:val="32"/>
          <w:highlight w:val="none"/>
          <w:shd w:val="clear" w:color="auto" w:fill="FFFFFF"/>
          <w:lang w:val="en-US" w:eastAsia="zh-Hans"/>
        </w:rPr>
        <w:t>（四）评价工作过程</w:t>
      </w:r>
      <w:bookmarkEnd w:id="10"/>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CN"/>
        </w:rPr>
        <w:t>首先，成立绩效评价工作组并进行相关培训和任务分配，在一周内收集原始资料进行工作方案制定和指标设计，形成方案初稿；其次，在第二周根据相关意见对指标体系进行完善，并根据指标体系完善资料；再者，在第三周根据相关资料进行评价，针对相关内容与被评价单位进行座谈和现场调研，完善评价依据；最终，在第四周形成绩效评价报告初稿，并修整完成定稿。</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0"/>
        <w:rPr>
          <w:rFonts w:hint="eastAsia" w:ascii="黑体" w:hAnsi="黑体" w:eastAsia="黑体" w:cs="黑体"/>
          <w:b w:val="0"/>
          <w:bCs w:val="0"/>
          <w:color w:val="auto"/>
          <w:kern w:val="0"/>
          <w:sz w:val="32"/>
          <w:szCs w:val="32"/>
          <w:highlight w:val="none"/>
          <w:shd w:val="clear" w:color="auto" w:fill="FFFFFF"/>
          <w:lang w:val="en-US" w:eastAsia="zh-Hans"/>
        </w:rPr>
      </w:pPr>
      <w:bookmarkStart w:id="11" w:name="_Toc19350"/>
      <w:r>
        <w:rPr>
          <w:rFonts w:hint="eastAsia" w:ascii="黑体" w:hAnsi="黑体" w:eastAsia="黑体" w:cs="黑体"/>
          <w:b w:val="0"/>
          <w:bCs w:val="0"/>
          <w:color w:val="auto"/>
          <w:kern w:val="0"/>
          <w:sz w:val="32"/>
          <w:szCs w:val="32"/>
          <w:highlight w:val="none"/>
          <w:shd w:val="clear" w:color="auto" w:fill="FFFFFF"/>
          <w:lang w:val="en-US" w:eastAsia="zh-Hans"/>
        </w:rPr>
        <w:t>三、评价结论</w:t>
      </w:r>
      <w:bookmarkEnd w:id="11"/>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第三方机构</w:t>
      </w:r>
      <w:r>
        <w:rPr>
          <w:rFonts w:hint="eastAsia" w:ascii="仿宋" w:hAnsi="仿宋" w:eastAsia="仿宋" w:cs="仿宋"/>
          <w:color w:val="auto"/>
          <w:kern w:val="0"/>
          <w:sz w:val="32"/>
          <w:szCs w:val="32"/>
          <w:highlight w:val="none"/>
          <w:shd w:val="clear" w:color="auto" w:fill="FFFFFF"/>
          <w:lang w:val="en-US" w:eastAsia="zh-Hans"/>
        </w:rPr>
        <w:t>通过对</w:t>
      </w:r>
      <w:r>
        <w:rPr>
          <w:rFonts w:hint="eastAsia" w:ascii="仿宋" w:hAnsi="仿宋" w:eastAsia="仿宋" w:cs="仿宋"/>
          <w:color w:val="auto"/>
          <w:kern w:val="0"/>
          <w:sz w:val="32"/>
          <w:szCs w:val="32"/>
          <w:highlight w:val="none"/>
          <w:shd w:val="clear" w:color="auto" w:fill="FFFFFF"/>
          <w:lang w:val="en-US" w:eastAsia="zh-CN"/>
        </w:rPr>
        <w:t>新区商务局</w:t>
      </w:r>
      <w:r>
        <w:rPr>
          <w:rFonts w:hint="eastAsia" w:ascii="仿宋" w:hAnsi="仿宋" w:eastAsia="仿宋" w:cs="仿宋"/>
          <w:color w:val="auto"/>
          <w:kern w:val="0"/>
          <w:sz w:val="32"/>
          <w:szCs w:val="32"/>
          <w:highlight w:val="none"/>
          <w:shd w:val="clear" w:color="auto" w:fill="FFFFFF"/>
          <w:lang w:val="en-US" w:eastAsia="zh-Hans"/>
        </w:rPr>
        <w:t>的自评材料审核和现场调研、评审等，从决策、管理、产出、效益四个维度综合评价铜川市</w:t>
      </w:r>
      <w:r>
        <w:rPr>
          <w:rFonts w:hint="eastAsia" w:ascii="仿宋" w:hAnsi="仿宋" w:eastAsia="仿宋" w:cs="仿宋"/>
          <w:color w:val="auto"/>
          <w:kern w:val="0"/>
          <w:sz w:val="32"/>
          <w:szCs w:val="32"/>
          <w:highlight w:val="none"/>
          <w:shd w:val="clear" w:color="auto" w:fill="FFFFFF"/>
          <w:lang w:val="en-US" w:eastAsia="zh-CN"/>
        </w:rPr>
        <w:t>新区商务局</w:t>
      </w:r>
      <w:r>
        <w:rPr>
          <w:rFonts w:hint="eastAsia" w:ascii="仿宋" w:hAnsi="仿宋" w:eastAsia="仿宋" w:cs="仿宋"/>
          <w:color w:val="auto"/>
          <w:kern w:val="0"/>
          <w:sz w:val="32"/>
          <w:szCs w:val="32"/>
          <w:highlight w:val="none"/>
          <w:shd w:val="clear" w:color="auto" w:fill="FFFFFF"/>
          <w:lang w:val="en-US" w:eastAsia="zh-Hans"/>
        </w:rPr>
        <w:t>2020年部门整体支出绩效，评价工作组认为：总体上</w:t>
      </w:r>
      <w:r>
        <w:rPr>
          <w:rFonts w:hint="eastAsia" w:ascii="仿宋" w:hAnsi="仿宋" w:eastAsia="仿宋" w:cs="仿宋"/>
          <w:color w:val="auto"/>
          <w:kern w:val="0"/>
          <w:sz w:val="32"/>
          <w:szCs w:val="32"/>
          <w:highlight w:val="none"/>
          <w:shd w:val="clear" w:color="auto" w:fill="FFFFFF"/>
          <w:lang w:val="en-US" w:eastAsia="zh-CN"/>
        </w:rPr>
        <w:t>新区商务局在职责履行及履职效益方面表现较好，但在投入和过程方面存在一定问题。</w:t>
      </w:r>
      <w:r>
        <w:rPr>
          <w:rFonts w:hint="eastAsia" w:ascii="仿宋" w:hAnsi="仿宋" w:eastAsia="仿宋" w:cs="仿宋"/>
          <w:color w:val="auto"/>
          <w:kern w:val="0"/>
          <w:sz w:val="32"/>
          <w:szCs w:val="32"/>
          <w:highlight w:val="none"/>
          <w:shd w:val="clear" w:color="auto" w:fill="FFFFFF"/>
          <w:lang w:val="en-US" w:eastAsia="zh-Hans"/>
        </w:rPr>
        <w:t>参照</w:t>
      </w:r>
      <w:r>
        <w:rPr>
          <w:rFonts w:hint="eastAsia" w:ascii="仿宋" w:hAnsi="仿宋" w:eastAsia="仿宋" w:cs="仿宋"/>
          <w:color w:val="auto"/>
          <w:kern w:val="0"/>
          <w:sz w:val="32"/>
          <w:szCs w:val="32"/>
          <w:highlight w:val="none"/>
          <w:shd w:val="clear" w:color="auto" w:fill="FFFFFF"/>
          <w:lang w:val="en-US" w:eastAsia="zh-CN"/>
        </w:rPr>
        <w:t>陕西省省级部门整体支出绩效评价管理办法，评价结果分为优(85分以上)、良(84-70分)、中(69-60分) 和差(59分以下)四个等次。经综合分析，该部门整体支出综合评价得分为85.5分，绩效等级为“良”。</w:t>
      </w: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jc w:val="center"/>
        <w:textAlignment w:val="auto"/>
        <w:outlineLvl w:val="9"/>
        <w:rPr>
          <w:rFonts w:hint="eastAsia" w:ascii="仿宋" w:hAnsi="仿宋" w:eastAsia="仿宋" w:cs="仿宋"/>
          <w:b/>
          <w:bCs/>
          <w:color w:val="auto"/>
          <w:kern w:val="0"/>
          <w:sz w:val="28"/>
          <w:szCs w:val="28"/>
          <w:highlight w:val="none"/>
          <w:shd w:val="clear" w:color="auto" w:fill="FFFFFF"/>
          <w:lang w:val="en-US" w:eastAsia="zh-Hans"/>
        </w:rPr>
      </w:pPr>
      <w:r>
        <w:rPr>
          <w:rFonts w:hint="eastAsia" w:ascii="仿宋" w:hAnsi="仿宋" w:eastAsia="仿宋" w:cs="仿宋"/>
          <w:b/>
          <w:bCs/>
          <w:color w:val="auto"/>
          <w:kern w:val="0"/>
          <w:sz w:val="28"/>
          <w:szCs w:val="28"/>
          <w:highlight w:val="none"/>
          <w:shd w:val="clear" w:color="auto" w:fill="FFFFFF"/>
          <w:lang w:val="en-US" w:eastAsia="zh-Hans"/>
        </w:rPr>
        <w:t>表3-1 2020年</w:t>
      </w:r>
      <w:r>
        <w:rPr>
          <w:rFonts w:hint="eastAsia" w:ascii="仿宋" w:hAnsi="仿宋" w:eastAsia="仿宋" w:cs="仿宋"/>
          <w:b/>
          <w:bCs/>
          <w:color w:val="auto"/>
          <w:kern w:val="0"/>
          <w:sz w:val="28"/>
          <w:szCs w:val="28"/>
          <w:highlight w:val="none"/>
          <w:shd w:val="clear" w:color="auto" w:fill="FFFFFF"/>
          <w:lang w:val="en-US" w:eastAsia="zh-CN"/>
        </w:rPr>
        <w:t>铜川市新区商务局</w:t>
      </w:r>
      <w:r>
        <w:rPr>
          <w:rFonts w:hint="eastAsia" w:ascii="仿宋" w:hAnsi="仿宋" w:eastAsia="仿宋" w:cs="仿宋"/>
          <w:b/>
          <w:bCs/>
          <w:color w:val="auto"/>
          <w:kern w:val="0"/>
          <w:sz w:val="28"/>
          <w:szCs w:val="28"/>
          <w:highlight w:val="none"/>
          <w:shd w:val="clear" w:color="auto" w:fill="FFFFFF"/>
          <w:lang w:val="en-US" w:eastAsia="zh-Hans"/>
        </w:rPr>
        <w:t>部门整体支出绩效</w:t>
      </w:r>
      <w:r>
        <w:rPr>
          <w:rFonts w:hint="eastAsia" w:ascii="仿宋" w:hAnsi="仿宋" w:eastAsia="仿宋" w:cs="仿宋"/>
          <w:b/>
          <w:bCs/>
          <w:color w:val="auto"/>
          <w:kern w:val="0"/>
          <w:sz w:val="28"/>
          <w:szCs w:val="28"/>
          <w:highlight w:val="none"/>
          <w:shd w:val="clear" w:color="auto" w:fill="FFFFFF"/>
          <w:lang w:val="en-US" w:eastAsia="zh-CN"/>
        </w:rPr>
        <w:t>评价得分</w:t>
      </w:r>
      <w:r>
        <w:rPr>
          <w:rFonts w:hint="eastAsia" w:ascii="仿宋" w:hAnsi="仿宋" w:eastAsia="仿宋" w:cs="仿宋"/>
          <w:b/>
          <w:bCs/>
          <w:color w:val="auto"/>
          <w:kern w:val="0"/>
          <w:sz w:val="28"/>
          <w:szCs w:val="28"/>
          <w:highlight w:val="none"/>
          <w:shd w:val="clear" w:color="auto" w:fill="FFFFFF"/>
          <w:lang w:val="en-US" w:eastAsia="zh-Hans"/>
        </w:rPr>
        <w:t>表</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30"/>
        <w:gridCol w:w="2130"/>
        <w:gridCol w:w="2130"/>
        <w:gridCol w:w="21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130" w:type="dxa"/>
            <w:vAlign w:val="center"/>
          </w:tcPr>
          <w:p>
            <w:pPr>
              <w:pStyle w:val="2"/>
              <w:spacing w:before="0" w:line="240" w:lineRule="auto"/>
              <w:ind w:left="0"/>
              <w:jc w:val="center"/>
              <w:outlineLvl w:val="9"/>
              <w:rPr>
                <w:rFonts w:hint="eastAsia" w:ascii="仿宋" w:hAnsi="仿宋" w:eastAsia="仿宋" w:cs="仿宋"/>
                <w:color w:val="auto"/>
                <w:kern w:val="0"/>
                <w:sz w:val="24"/>
                <w:szCs w:val="24"/>
                <w:highlight w:val="none"/>
                <w:shd w:val="clear" w:color="auto" w:fill="FFFFFF"/>
                <w:lang w:val="en-US" w:eastAsia="zh-CN" w:bidi="ar-SA"/>
              </w:rPr>
            </w:pPr>
            <w:r>
              <w:rPr>
                <w:rFonts w:hint="eastAsia" w:ascii="仿宋" w:hAnsi="仿宋" w:eastAsia="仿宋" w:cs="仿宋"/>
                <w:color w:val="auto"/>
                <w:kern w:val="0"/>
                <w:sz w:val="24"/>
                <w:szCs w:val="24"/>
                <w:highlight w:val="none"/>
                <w:shd w:val="clear" w:color="auto" w:fill="FFFFFF"/>
                <w:lang w:val="en-US" w:eastAsia="zh-CN" w:bidi="ar-SA"/>
              </w:rPr>
              <w:t>评价维度</w:t>
            </w:r>
          </w:p>
        </w:tc>
        <w:tc>
          <w:tcPr>
            <w:tcW w:w="2130" w:type="dxa"/>
            <w:vAlign w:val="center"/>
          </w:tcPr>
          <w:p>
            <w:pPr>
              <w:pStyle w:val="2"/>
              <w:spacing w:before="0" w:line="240" w:lineRule="auto"/>
              <w:ind w:left="0"/>
              <w:jc w:val="center"/>
              <w:outlineLvl w:val="9"/>
              <w:rPr>
                <w:rFonts w:hint="eastAsia" w:ascii="仿宋" w:hAnsi="仿宋" w:eastAsia="仿宋" w:cs="仿宋"/>
                <w:color w:val="auto"/>
                <w:kern w:val="0"/>
                <w:sz w:val="24"/>
                <w:szCs w:val="24"/>
                <w:highlight w:val="none"/>
                <w:shd w:val="clear" w:color="auto" w:fill="FFFFFF"/>
                <w:lang w:val="en-US" w:eastAsia="zh-CN" w:bidi="ar-SA"/>
              </w:rPr>
            </w:pPr>
            <w:r>
              <w:rPr>
                <w:rFonts w:hint="eastAsia" w:ascii="仿宋" w:hAnsi="仿宋" w:eastAsia="仿宋" w:cs="仿宋"/>
                <w:color w:val="auto"/>
                <w:kern w:val="0"/>
                <w:sz w:val="24"/>
                <w:szCs w:val="24"/>
                <w:highlight w:val="none"/>
                <w:shd w:val="clear" w:color="auto" w:fill="FFFFFF"/>
                <w:lang w:val="en-US" w:eastAsia="zh-CN" w:bidi="ar-SA"/>
              </w:rPr>
              <w:t>指标权重</w:t>
            </w:r>
          </w:p>
        </w:tc>
        <w:tc>
          <w:tcPr>
            <w:tcW w:w="2130" w:type="dxa"/>
            <w:vAlign w:val="center"/>
          </w:tcPr>
          <w:p>
            <w:pPr>
              <w:pStyle w:val="2"/>
              <w:spacing w:before="0" w:line="240" w:lineRule="auto"/>
              <w:ind w:left="0"/>
              <w:jc w:val="center"/>
              <w:outlineLvl w:val="9"/>
              <w:rPr>
                <w:rFonts w:hint="eastAsia" w:ascii="仿宋" w:hAnsi="仿宋" w:eastAsia="仿宋" w:cs="仿宋"/>
                <w:color w:val="auto"/>
                <w:kern w:val="0"/>
                <w:sz w:val="24"/>
                <w:szCs w:val="24"/>
                <w:highlight w:val="none"/>
                <w:shd w:val="clear" w:color="auto" w:fill="FFFFFF"/>
                <w:lang w:val="en-US" w:eastAsia="zh-CN" w:bidi="ar-SA"/>
              </w:rPr>
            </w:pPr>
            <w:r>
              <w:rPr>
                <w:rFonts w:hint="eastAsia" w:ascii="仿宋" w:hAnsi="仿宋" w:eastAsia="仿宋" w:cs="仿宋"/>
                <w:color w:val="auto"/>
                <w:kern w:val="0"/>
                <w:sz w:val="24"/>
                <w:szCs w:val="24"/>
                <w:highlight w:val="none"/>
                <w:shd w:val="clear" w:color="auto" w:fill="FFFFFF"/>
                <w:lang w:val="en-US" w:eastAsia="zh-CN" w:bidi="ar-SA"/>
              </w:rPr>
              <w:t>评价得分</w:t>
            </w:r>
          </w:p>
        </w:tc>
        <w:tc>
          <w:tcPr>
            <w:tcW w:w="2130" w:type="dxa"/>
            <w:vAlign w:val="center"/>
          </w:tcPr>
          <w:p>
            <w:pPr>
              <w:pStyle w:val="2"/>
              <w:spacing w:before="0" w:line="240" w:lineRule="auto"/>
              <w:ind w:left="0"/>
              <w:jc w:val="center"/>
              <w:outlineLvl w:val="9"/>
              <w:rPr>
                <w:rFonts w:hint="eastAsia" w:ascii="仿宋" w:hAnsi="仿宋" w:eastAsia="仿宋" w:cs="仿宋"/>
                <w:color w:val="auto"/>
                <w:kern w:val="0"/>
                <w:sz w:val="24"/>
                <w:szCs w:val="24"/>
                <w:highlight w:val="none"/>
                <w:shd w:val="clear" w:color="auto" w:fill="FFFFFF"/>
                <w:lang w:val="en-US" w:eastAsia="zh-CN" w:bidi="ar-SA"/>
              </w:rPr>
            </w:pPr>
            <w:r>
              <w:rPr>
                <w:rFonts w:hint="eastAsia" w:ascii="仿宋" w:hAnsi="仿宋" w:eastAsia="仿宋" w:cs="仿宋"/>
                <w:color w:val="auto"/>
                <w:kern w:val="0"/>
                <w:sz w:val="24"/>
                <w:szCs w:val="24"/>
                <w:highlight w:val="none"/>
                <w:shd w:val="clear" w:color="auto" w:fill="FFFFFF"/>
                <w:lang w:val="en-US" w:eastAsia="zh-CN" w:bidi="ar-SA"/>
              </w:rPr>
              <w:t>得分率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vAlign w:val="center"/>
          </w:tcPr>
          <w:p>
            <w:pPr>
              <w:pStyle w:val="2"/>
              <w:spacing w:before="0" w:line="240" w:lineRule="auto"/>
              <w:ind w:left="0"/>
              <w:jc w:val="center"/>
              <w:outlineLvl w:val="9"/>
              <w:rPr>
                <w:rFonts w:hint="eastAsia" w:ascii="仿宋" w:hAnsi="仿宋" w:eastAsia="仿宋" w:cs="仿宋"/>
                <w:color w:val="auto"/>
                <w:kern w:val="0"/>
                <w:sz w:val="24"/>
                <w:szCs w:val="24"/>
                <w:highlight w:val="none"/>
                <w:shd w:val="clear" w:color="auto" w:fill="FFFFFF"/>
                <w:lang w:val="en-US" w:eastAsia="zh-CN" w:bidi="ar-SA"/>
              </w:rPr>
            </w:pPr>
            <w:r>
              <w:rPr>
                <w:rFonts w:hint="eastAsia" w:ascii="仿宋" w:hAnsi="仿宋" w:eastAsia="仿宋" w:cs="仿宋"/>
                <w:color w:val="auto"/>
                <w:kern w:val="0"/>
                <w:sz w:val="24"/>
                <w:szCs w:val="24"/>
                <w:highlight w:val="none"/>
                <w:shd w:val="clear" w:color="auto" w:fill="FFFFFF"/>
                <w:lang w:val="en-US" w:eastAsia="zh-CN" w:bidi="ar-SA"/>
              </w:rPr>
              <w:t>投入</w:t>
            </w:r>
          </w:p>
        </w:tc>
        <w:tc>
          <w:tcPr>
            <w:tcW w:w="2130" w:type="dxa"/>
            <w:vAlign w:val="center"/>
          </w:tcPr>
          <w:p>
            <w:pPr>
              <w:pStyle w:val="2"/>
              <w:spacing w:before="0" w:line="240" w:lineRule="auto"/>
              <w:ind w:left="0"/>
              <w:jc w:val="center"/>
              <w:outlineLvl w:val="9"/>
              <w:rPr>
                <w:rFonts w:hint="default" w:ascii="仿宋" w:hAnsi="仿宋" w:eastAsia="仿宋" w:cs="仿宋"/>
                <w:color w:val="auto"/>
                <w:kern w:val="0"/>
                <w:sz w:val="24"/>
                <w:szCs w:val="24"/>
                <w:highlight w:val="none"/>
                <w:shd w:val="clear" w:color="auto" w:fill="FFFFFF"/>
                <w:lang w:val="en-US" w:eastAsia="zh-CN" w:bidi="ar-SA"/>
              </w:rPr>
            </w:pPr>
            <w:r>
              <w:rPr>
                <w:rFonts w:hint="eastAsia" w:ascii="仿宋" w:hAnsi="仿宋" w:eastAsia="仿宋" w:cs="仿宋"/>
                <w:color w:val="auto"/>
                <w:kern w:val="0"/>
                <w:sz w:val="24"/>
                <w:szCs w:val="24"/>
                <w:highlight w:val="none"/>
                <w:shd w:val="clear" w:color="auto" w:fill="FFFFFF"/>
                <w:lang w:val="en-US" w:eastAsia="zh-CN" w:bidi="ar-SA"/>
              </w:rPr>
              <w:t>16</w:t>
            </w:r>
          </w:p>
        </w:tc>
        <w:tc>
          <w:tcPr>
            <w:tcW w:w="2130" w:type="dxa"/>
            <w:vAlign w:val="center"/>
          </w:tcPr>
          <w:p>
            <w:pPr>
              <w:pStyle w:val="2"/>
              <w:spacing w:before="0" w:line="240" w:lineRule="auto"/>
              <w:ind w:left="0"/>
              <w:jc w:val="center"/>
              <w:outlineLvl w:val="9"/>
              <w:rPr>
                <w:rFonts w:hint="eastAsia" w:ascii="仿宋" w:hAnsi="仿宋" w:eastAsia="仿宋" w:cs="仿宋"/>
                <w:color w:val="auto"/>
                <w:kern w:val="0"/>
                <w:sz w:val="24"/>
                <w:szCs w:val="24"/>
                <w:highlight w:val="none"/>
                <w:shd w:val="clear" w:color="auto" w:fill="FFFFFF"/>
                <w:lang w:val="en-US" w:eastAsia="zh-CN" w:bidi="ar-SA"/>
              </w:rPr>
            </w:pPr>
            <w:r>
              <w:rPr>
                <w:rFonts w:hint="eastAsia" w:ascii="仿宋" w:hAnsi="仿宋" w:eastAsia="仿宋" w:cs="仿宋"/>
                <w:color w:val="auto"/>
                <w:kern w:val="0"/>
                <w:sz w:val="24"/>
                <w:szCs w:val="24"/>
                <w:highlight w:val="none"/>
                <w:shd w:val="clear" w:color="auto" w:fill="FFFFFF"/>
                <w:lang w:val="en-US" w:eastAsia="zh-CN" w:bidi="ar-SA"/>
              </w:rPr>
              <w:t>15.5</w:t>
            </w:r>
          </w:p>
        </w:tc>
        <w:tc>
          <w:tcPr>
            <w:tcW w:w="2130" w:type="dxa"/>
            <w:vAlign w:val="center"/>
          </w:tcPr>
          <w:p>
            <w:pPr>
              <w:pStyle w:val="2"/>
              <w:spacing w:before="0" w:line="240" w:lineRule="auto"/>
              <w:ind w:left="0"/>
              <w:jc w:val="center"/>
              <w:outlineLvl w:val="9"/>
              <w:rPr>
                <w:rFonts w:hint="eastAsia" w:ascii="仿宋" w:hAnsi="仿宋" w:eastAsia="仿宋" w:cs="仿宋"/>
                <w:color w:val="auto"/>
                <w:kern w:val="0"/>
                <w:sz w:val="24"/>
                <w:szCs w:val="24"/>
                <w:highlight w:val="none"/>
                <w:shd w:val="clear" w:color="auto" w:fill="FFFFFF"/>
                <w:lang w:val="en-US" w:eastAsia="zh-CN" w:bidi="ar-SA"/>
              </w:rPr>
            </w:pPr>
            <w:r>
              <w:rPr>
                <w:rFonts w:hint="eastAsia" w:ascii="仿宋" w:hAnsi="仿宋" w:eastAsia="仿宋" w:cs="仿宋"/>
                <w:color w:val="auto"/>
                <w:kern w:val="0"/>
                <w:sz w:val="24"/>
                <w:szCs w:val="24"/>
                <w:highlight w:val="none"/>
                <w:shd w:val="clear" w:color="auto" w:fill="FFFFFF"/>
                <w:lang w:val="en-US" w:eastAsia="zh-CN" w:bidi="ar-SA"/>
              </w:rPr>
              <w:t>96.9%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vAlign w:val="center"/>
          </w:tcPr>
          <w:p>
            <w:pPr>
              <w:pStyle w:val="2"/>
              <w:spacing w:before="0" w:line="240" w:lineRule="auto"/>
              <w:ind w:left="0"/>
              <w:jc w:val="center"/>
              <w:outlineLvl w:val="9"/>
              <w:rPr>
                <w:rFonts w:hint="eastAsia" w:ascii="仿宋" w:hAnsi="仿宋" w:eastAsia="仿宋" w:cs="仿宋"/>
                <w:color w:val="auto"/>
                <w:kern w:val="0"/>
                <w:sz w:val="24"/>
                <w:szCs w:val="24"/>
                <w:highlight w:val="none"/>
                <w:shd w:val="clear" w:color="auto" w:fill="FFFFFF"/>
                <w:lang w:val="en-US" w:eastAsia="zh-CN" w:bidi="ar-SA"/>
              </w:rPr>
            </w:pPr>
            <w:r>
              <w:rPr>
                <w:rFonts w:hint="eastAsia" w:ascii="仿宋" w:hAnsi="仿宋" w:eastAsia="仿宋" w:cs="仿宋"/>
                <w:color w:val="auto"/>
                <w:kern w:val="0"/>
                <w:sz w:val="24"/>
                <w:szCs w:val="24"/>
                <w:highlight w:val="none"/>
                <w:shd w:val="clear" w:color="auto" w:fill="FFFFFF"/>
                <w:lang w:val="en-US" w:eastAsia="zh-CN" w:bidi="ar-SA"/>
              </w:rPr>
              <w:t>过程</w:t>
            </w:r>
          </w:p>
        </w:tc>
        <w:tc>
          <w:tcPr>
            <w:tcW w:w="2130" w:type="dxa"/>
            <w:vAlign w:val="center"/>
          </w:tcPr>
          <w:p>
            <w:pPr>
              <w:pStyle w:val="2"/>
              <w:spacing w:before="0" w:line="240" w:lineRule="auto"/>
              <w:ind w:left="0"/>
              <w:jc w:val="center"/>
              <w:outlineLvl w:val="9"/>
              <w:rPr>
                <w:rFonts w:hint="default" w:ascii="仿宋" w:hAnsi="仿宋" w:eastAsia="仿宋" w:cs="仿宋"/>
                <w:color w:val="auto"/>
                <w:kern w:val="0"/>
                <w:sz w:val="24"/>
                <w:szCs w:val="24"/>
                <w:highlight w:val="none"/>
                <w:shd w:val="clear" w:color="auto" w:fill="FFFFFF"/>
                <w:lang w:val="en-US" w:eastAsia="zh-CN" w:bidi="ar-SA"/>
              </w:rPr>
            </w:pPr>
            <w:r>
              <w:rPr>
                <w:rFonts w:hint="eastAsia" w:ascii="仿宋" w:hAnsi="仿宋" w:eastAsia="仿宋" w:cs="仿宋"/>
                <w:color w:val="auto"/>
                <w:kern w:val="0"/>
                <w:sz w:val="24"/>
                <w:szCs w:val="24"/>
                <w:highlight w:val="none"/>
                <w:shd w:val="clear" w:color="auto" w:fill="FFFFFF"/>
                <w:lang w:val="en-US" w:eastAsia="zh-CN" w:bidi="ar-SA"/>
              </w:rPr>
              <w:t>39</w:t>
            </w:r>
          </w:p>
        </w:tc>
        <w:tc>
          <w:tcPr>
            <w:tcW w:w="2130" w:type="dxa"/>
            <w:vAlign w:val="center"/>
          </w:tcPr>
          <w:p>
            <w:pPr>
              <w:pStyle w:val="2"/>
              <w:spacing w:before="0" w:line="240" w:lineRule="auto"/>
              <w:ind w:left="0"/>
              <w:jc w:val="center"/>
              <w:outlineLvl w:val="9"/>
              <w:rPr>
                <w:rFonts w:hint="default" w:ascii="仿宋" w:hAnsi="仿宋" w:eastAsia="仿宋" w:cs="仿宋"/>
                <w:color w:val="auto"/>
                <w:kern w:val="0"/>
                <w:sz w:val="24"/>
                <w:szCs w:val="24"/>
                <w:highlight w:val="none"/>
                <w:shd w:val="clear" w:color="auto" w:fill="FFFFFF"/>
                <w:lang w:val="en-US" w:eastAsia="zh-CN" w:bidi="ar-SA"/>
              </w:rPr>
            </w:pPr>
            <w:r>
              <w:rPr>
                <w:rFonts w:hint="eastAsia" w:ascii="仿宋" w:hAnsi="仿宋" w:eastAsia="仿宋" w:cs="仿宋"/>
                <w:color w:val="auto"/>
                <w:kern w:val="0"/>
                <w:sz w:val="24"/>
                <w:szCs w:val="24"/>
                <w:highlight w:val="none"/>
                <w:shd w:val="clear" w:color="auto" w:fill="FFFFFF"/>
                <w:lang w:val="en-US" w:eastAsia="zh-CN" w:bidi="ar-SA"/>
              </w:rPr>
              <w:t>26</w:t>
            </w:r>
          </w:p>
        </w:tc>
        <w:tc>
          <w:tcPr>
            <w:tcW w:w="2130" w:type="dxa"/>
            <w:vAlign w:val="center"/>
          </w:tcPr>
          <w:p>
            <w:pPr>
              <w:pStyle w:val="2"/>
              <w:spacing w:before="0" w:line="240" w:lineRule="auto"/>
              <w:ind w:left="0"/>
              <w:jc w:val="center"/>
              <w:outlineLvl w:val="9"/>
              <w:rPr>
                <w:rFonts w:hint="eastAsia" w:ascii="仿宋" w:hAnsi="仿宋" w:eastAsia="仿宋" w:cs="仿宋"/>
                <w:color w:val="auto"/>
                <w:kern w:val="0"/>
                <w:sz w:val="24"/>
                <w:szCs w:val="24"/>
                <w:highlight w:val="none"/>
                <w:shd w:val="clear" w:color="auto" w:fill="FFFFFF"/>
                <w:lang w:val="en-US" w:eastAsia="zh-CN" w:bidi="ar-SA"/>
              </w:rPr>
            </w:pPr>
            <w:r>
              <w:rPr>
                <w:rFonts w:hint="eastAsia" w:ascii="仿宋" w:hAnsi="仿宋" w:eastAsia="仿宋" w:cs="仿宋"/>
                <w:color w:val="auto"/>
                <w:kern w:val="0"/>
                <w:sz w:val="24"/>
                <w:szCs w:val="24"/>
                <w:highlight w:val="none"/>
                <w:shd w:val="clear" w:color="auto" w:fill="FFFFFF"/>
                <w:lang w:val="en-US" w:eastAsia="zh-CN" w:bidi="ar-SA"/>
              </w:rPr>
              <w:t>66.67%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vAlign w:val="center"/>
          </w:tcPr>
          <w:p>
            <w:pPr>
              <w:pStyle w:val="2"/>
              <w:spacing w:before="0" w:line="240" w:lineRule="auto"/>
              <w:ind w:left="0"/>
              <w:jc w:val="center"/>
              <w:outlineLvl w:val="9"/>
              <w:rPr>
                <w:rFonts w:hint="eastAsia" w:ascii="仿宋" w:hAnsi="仿宋" w:eastAsia="仿宋" w:cs="仿宋"/>
                <w:color w:val="auto"/>
                <w:kern w:val="0"/>
                <w:sz w:val="24"/>
                <w:szCs w:val="24"/>
                <w:highlight w:val="none"/>
                <w:shd w:val="clear" w:color="auto" w:fill="FFFFFF"/>
                <w:lang w:val="en-US" w:eastAsia="zh-CN" w:bidi="ar-SA"/>
              </w:rPr>
            </w:pPr>
            <w:r>
              <w:rPr>
                <w:rFonts w:hint="eastAsia" w:ascii="仿宋" w:hAnsi="仿宋" w:eastAsia="仿宋" w:cs="仿宋"/>
                <w:color w:val="auto"/>
                <w:kern w:val="0"/>
                <w:sz w:val="24"/>
                <w:szCs w:val="24"/>
                <w:highlight w:val="none"/>
                <w:shd w:val="clear" w:color="auto" w:fill="FFFFFF"/>
                <w:lang w:val="en-US" w:eastAsia="zh-CN" w:bidi="ar-SA"/>
              </w:rPr>
              <w:t>产出</w:t>
            </w:r>
          </w:p>
        </w:tc>
        <w:tc>
          <w:tcPr>
            <w:tcW w:w="2130" w:type="dxa"/>
            <w:vAlign w:val="center"/>
          </w:tcPr>
          <w:p>
            <w:pPr>
              <w:pStyle w:val="2"/>
              <w:spacing w:before="0" w:line="240" w:lineRule="auto"/>
              <w:ind w:left="0"/>
              <w:jc w:val="center"/>
              <w:outlineLvl w:val="9"/>
              <w:rPr>
                <w:rFonts w:hint="default" w:ascii="仿宋" w:hAnsi="仿宋" w:eastAsia="仿宋" w:cs="仿宋"/>
                <w:color w:val="auto"/>
                <w:kern w:val="0"/>
                <w:sz w:val="24"/>
                <w:szCs w:val="24"/>
                <w:highlight w:val="none"/>
                <w:shd w:val="clear" w:color="auto" w:fill="FFFFFF"/>
                <w:lang w:val="en-US" w:eastAsia="zh-CN" w:bidi="ar-SA"/>
              </w:rPr>
            </w:pPr>
            <w:r>
              <w:rPr>
                <w:rFonts w:hint="eastAsia" w:ascii="仿宋" w:hAnsi="仿宋" w:eastAsia="仿宋" w:cs="仿宋"/>
                <w:color w:val="auto"/>
                <w:kern w:val="0"/>
                <w:sz w:val="24"/>
                <w:szCs w:val="24"/>
                <w:highlight w:val="none"/>
                <w:shd w:val="clear" w:color="auto" w:fill="FFFFFF"/>
                <w:lang w:val="en-US" w:eastAsia="zh-CN" w:bidi="ar-SA"/>
              </w:rPr>
              <w:t>21</w:t>
            </w:r>
          </w:p>
        </w:tc>
        <w:tc>
          <w:tcPr>
            <w:tcW w:w="2130" w:type="dxa"/>
            <w:vAlign w:val="center"/>
          </w:tcPr>
          <w:p>
            <w:pPr>
              <w:pStyle w:val="2"/>
              <w:spacing w:before="0" w:line="240" w:lineRule="auto"/>
              <w:ind w:left="0"/>
              <w:jc w:val="center"/>
              <w:outlineLvl w:val="9"/>
              <w:rPr>
                <w:rFonts w:hint="default" w:ascii="仿宋" w:hAnsi="仿宋" w:eastAsia="仿宋" w:cs="仿宋"/>
                <w:color w:val="auto"/>
                <w:kern w:val="0"/>
                <w:sz w:val="24"/>
                <w:szCs w:val="24"/>
                <w:highlight w:val="none"/>
                <w:shd w:val="clear" w:color="auto" w:fill="FFFFFF"/>
                <w:lang w:val="en-US" w:eastAsia="zh-CN" w:bidi="ar-SA"/>
              </w:rPr>
            </w:pPr>
            <w:r>
              <w:rPr>
                <w:rFonts w:hint="eastAsia" w:ascii="仿宋" w:hAnsi="仿宋" w:eastAsia="仿宋" w:cs="仿宋"/>
                <w:color w:val="auto"/>
                <w:kern w:val="0"/>
                <w:sz w:val="24"/>
                <w:szCs w:val="24"/>
                <w:highlight w:val="none"/>
                <w:shd w:val="clear" w:color="auto" w:fill="FFFFFF"/>
                <w:lang w:val="en-US" w:eastAsia="zh-CN" w:bidi="ar-SA"/>
              </w:rPr>
              <w:t>21</w:t>
            </w:r>
          </w:p>
        </w:tc>
        <w:tc>
          <w:tcPr>
            <w:tcW w:w="2130" w:type="dxa"/>
            <w:vAlign w:val="center"/>
          </w:tcPr>
          <w:p>
            <w:pPr>
              <w:pStyle w:val="2"/>
              <w:spacing w:before="0" w:line="240" w:lineRule="auto"/>
              <w:ind w:left="0"/>
              <w:jc w:val="center"/>
              <w:outlineLvl w:val="9"/>
              <w:rPr>
                <w:rFonts w:hint="eastAsia" w:ascii="仿宋" w:hAnsi="仿宋" w:eastAsia="仿宋" w:cs="仿宋"/>
                <w:color w:val="auto"/>
                <w:kern w:val="0"/>
                <w:sz w:val="24"/>
                <w:szCs w:val="24"/>
                <w:highlight w:val="none"/>
                <w:shd w:val="clear" w:color="auto" w:fill="FFFFFF"/>
                <w:lang w:val="en-US" w:eastAsia="zh-CN" w:bidi="ar-SA"/>
              </w:rPr>
            </w:pPr>
            <w:r>
              <w:rPr>
                <w:rFonts w:hint="eastAsia" w:ascii="仿宋" w:hAnsi="仿宋" w:eastAsia="仿宋" w:cs="仿宋"/>
                <w:color w:val="auto"/>
                <w:kern w:val="0"/>
                <w:sz w:val="24"/>
                <w:szCs w:val="24"/>
                <w:highlight w:val="none"/>
                <w:shd w:val="clear" w:color="auto" w:fill="FFFFFF"/>
                <w:lang w:val="en-US" w:eastAsia="zh-CN"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vAlign w:val="center"/>
          </w:tcPr>
          <w:p>
            <w:pPr>
              <w:pStyle w:val="2"/>
              <w:spacing w:before="0" w:line="240" w:lineRule="auto"/>
              <w:ind w:left="0"/>
              <w:jc w:val="center"/>
              <w:outlineLvl w:val="9"/>
              <w:rPr>
                <w:rFonts w:hint="eastAsia" w:ascii="仿宋" w:hAnsi="仿宋" w:eastAsia="仿宋" w:cs="仿宋"/>
                <w:color w:val="auto"/>
                <w:kern w:val="0"/>
                <w:sz w:val="24"/>
                <w:szCs w:val="24"/>
                <w:highlight w:val="none"/>
                <w:shd w:val="clear" w:color="auto" w:fill="FFFFFF"/>
                <w:lang w:val="en-US" w:eastAsia="zh-CN" w:bidi="ar-SA"/>
              </w:rPr>
            </w:pPr>
            <w:r>
              <w:rPr>
                <w:rFonts w:hint="eastAsia" w:ascii="仿宋" w:hAnsi="仿宋" w:eastAsia="仿宋" w:cs="仿宋"/>
                <w:color w:val="auto"/>
                <w:kern w:val="0"/>
                <w:sz w:val="24"/>
                <w:szCs w:val="24"/>
                <w:highlight w:val="none"/>
                <w:shd w:val="clear" w:color="auto" w:fill="FFFFFF"/>
                <w:lang w:val="en-US" w:eastAsia="zh-CN" w:bidi="ar-SA"/>
              </w:rPr>
              <w:t>效果</w:t>
            </w:r>
          </w:p>
        </w:tc>
        <w:tc>
          <w:tcPr>
            <w:tcW w:w="2130" w:type="dxa"/>
            <w:vAlign w:val="center"/>
          </w:tcPr>
          <w:p>
            <w:pPr>
              <w:pStyle w:val="2"/>
              <w:spacing w:before="0" w:line="240" w:lineRule="auto"/>
              <w:ind w:left="0"/>
              <w:jc w:val="center"/>
              <w:outlineLvl w:val="9"/>
              <w:rPr>
                <w:rFonts w:hint="default" w:ascii="仿宋" w:hAnsi="仿宋" w:eastAsia="仿宋" w:cs="仿宋"/>
                <w:color w:val="auto"/>
                <w:kern w:val="0"/>
                <w:sz w:val="24"/>
                <w:szCs w:val="24"/>
                <w:highlight w:val="none"/>
                <w:shd w:val="clear" w:color="auto" w:fill="FFFFFF"/>
                <w:lang w:val="en-US" w:eastAsia="zh-CN" w:bidi="ar-SA"/>
              </w:rPr>
            </w:pPr>
            <w:r>
              <w:rPr>
                <w:rFonts w:hint="eastAsia" w:ascii="仿宋" w:hAnsi="仿宋" w:eastAsia="仿宋" w:cs="仿宋"/>
                <w:color w:val="auto"/>
                <w:kern w:val="0"/>
                <w:sz w:val="24"/>
                <w:szCs w:val="24"/>
                <w:highlight w:val="none"/>
                <w:shd w:val="clear" w:color="auto" w:fill="FFFFFF"/>
                <w:lang w:val="en-US" w:eastAsia="zh-CN" w:bidi="ar-SA"/>
              </w:rPr>
              <w:t>24</w:t>
            </w:r>
          </w:p>
        </w:tc>
        <w:tc>
          <w:tcPr>
            <w:tcW w:w="2130" w:type="dxa"/>
            <w:vAlign w:val="center"/>
          </w:tcPr>
          <w:p>
            <w:pPr>
              <w:pStyle w:val="2"/>
              <w:spacing w:before="0" w:line="240" w:lineRule="auto"/>
              <w:ind w:left="0"/>
              <w:jc w:val="center"/>
              <w:outlineLvl w:val="9"/>
              <w:rPr>
                <w:rFonts w:hint="default" w:ascii="仿宋" w:hAnsi="仿宋" w:eastAsia="仿宋" w:cs="仿宋"/>
                <w:color w:val="auto"/>
                <w:kern w:val="0"/>
                <w:sz w:val="24"/>
                <w:szCs w:val="24"/>
                <w:highlight w:val="none"/>
                <w:shd w:val="clear" w:color="auto" w:fill="FFFFFF"/>
                <w:lang w:val="en-US" w:eastAsia="zh-CN" w:bidi="ar-SA"/>
              </w:rPr>
            </w:pPr>
            <w:r>
              <w:rPr>
                <w:rFonts w:hint="eastAsia" w:ascii="仿宋" w:hAnsi="仿宋" w:eastAsia="仿宋" w:cs="仿宋"/>
                <w:color w:val="auto"/>
                <w:kern w:val="0"/>
                <w:sz w:val="24"/>
                <w:szCs w:val="24"/>
                <w:highlight w:val="none"/>
                <w:shd w:val="clear" w:color="auto" w:fill="FFFFFF"/>
                <w:lang w:val="en-US" w:eastAsia="zh-CN" w:bidi="ar-SA"/>
              </w:rPr>
              <w:t>23</w:t>
            </w:r>
          </w:p>
        </w:tc>
        <w:tc>
          <w:tcPr>
            <w:tcW w:w="2130" w:type="dxa"/>
            <w:vAlign w:val="center"/>
          </w:tcPr>
          <w:p>
            <w:pPr>
              <w:pStyle w:val="2"/>
              <w:spacing w:before="0" w:line="240" w:lineRule="auto"/>
              <w:ind w:left="0"/>
              <w:jc w:val="center"/>
              <w:outlineLvl w:val="9"/>
              <w:rPr>
                <w:rFonts w:hint="eastAsia" w:ascii="仿宋" w:hAnsi="仿宋" w:eastAsia="仿宋" w:cs="仿宋"/>
                <w:color w:val="auto"/>
                <w:kern w:val="0"/>
                <w:sz w:val="24"/>
                <w:szCs w:val="24"/>
                <w:highlight w:val="none"/>
                <w:shd w:val="clear" w:color="auto" w:fill="FFFFFF"/>
                <w:lang w:val="en-US" w:eastAsia="zh-CN" w:bidi="ar-SA"/>
              </w:rPr>
            </w:pPr>
            <w:r>
              <w:rPr>
                <w:rFonts w:hint="eastAsia" w:ascii="仿宋" w:hAnsi="仿宋" w:eastAsia="仿宋" w:cs="仿宋"/>
                <w:color w:val="auto"/>
                <w:kern w:val="0"/>
                <w:sz w:val="24"/>
                <w:szCs w:val="24"/>
                <w:highlight w:val="none"/>
                <w:shd w:val="clear" w:color="auto" w:fill="FFFFFF"/>
                <w:lang w:val="en-US" w:eastAsia="zh-CN" w:bidi="ar-SA"/>
              </w:rPr>
              <w:t>95.8%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vAlign w:val="center"/>
          </w:tcPr>
          <w:p>
            <w:pPr>
              <w:pStyle w:val="2"/>
              <w:spacing w:before="0" w:line="240" w:lineRule="auto"/>
              <w:ind w:left="0"/>
              <w:jc w:val="center"/>
              <w:outlineLvl w:val="9"/>
              <w:rPr>
                <w:rFonts w:hint="eastAsia" w:ascii="仿宋" w:hAnsi="仿宋" w:eastAsia="仿宋" w:cs="仿宋"/>
                <w:color w:val="auto"/>
                <w:kern w:val="0"/>
                <w:sz w:val="24"/>
                <w:szCs w:val="24"/>
                <w:highlight w:val="none"/>
                <w:shd w:val="clear" w:color="auto" w:fill="FFFFFF"/>
                <w:lang w:val="en-US" w:eastAsia="zh-CN" w:bidi="ar-SA"/>
              </w:rPr>
            </w:pPr>
            <w:r>
              <w:rPr>
                <w:rFonts w:hint="eastAsia" w:ascii="仿宋" w:hAnsi="仿宋" w:eastAsia="仿宋" w:cs="仿宋"/>
                <w:color w:val="auto"/>
                <w:kern w:val="0"/>
                <w:sz w:val="24"/>
                <w:szCs w:val="24"/>
                <w:highlight w:val="none"/>
                <w:shd w:val="clear" w:color="auto" w:fill="FFFFFF"/>
                <w:lang w:val="en-US" w:eastAsia="zh-CN" w:bidi="ar-SA"/>
              </w:rPr>
              <w:t>合计</w:t>
            </w:r>
          </w:p>
        </w:tc>
        <w:tc>
          <w:tcPr>
            <w:tcW w:w="2130" w:type="dxa"/>
            <w:vAlign w:val="center"/>
          </w:tcPr>
          <w:p>
            <w:pPr>
              <w:pStyle w:val="2"/>
              <w:spacing w:before="0" w:line="240" w:lineRule="auto"/>
              <w:ind w:left="0"/>
              <w:jc w:val="center"/>
              <w:outlineLvl w:val="9"/>
              <w:rPr>
                <w:rFonts w:hint="eastAsia" w:ascii="仿宋" w:hAnsi="仿宋" w:eastAsia="仿宋" w:cs="仿宋"/>
                <w:color w:val="auto"/>
                <w:kern w:val="0"/>
                <w:sz w:val="24"/>
                <w:szCs w:val="24"/>
                <w:highlight w:val="none"/>
                <w:shd w:val="clear" w:color="auto" w:fill="FFFFFF"/>
                <w:lang w:val="en-US" w:eastAsia="zh-CN" w:bidi="ar-SA"/>
              </w:rPr>
            </w:pPr>
            <w:r>
              <w:rPr>
                <w:rFonts w:hint="eastAsia" w:ascii="仿宋" w:hAnsi="仿宋" w:eastAsia="仿宋" w:cs="仿宋"/>
                <w:color w:val="auto"/>
                <w:kern w:val="0"/>
                <w:sz w:val="24"/>
                <w:szCs w:val="24"/>
                <w:highlight w:val="none"/>
                <w:shd w:val="clear" w:color="auto" w:fill="FFFFFF"/>
                <w:lang w:val="en-US" w:eastAsia="zh-CN" w:bidi="ar-SA"/>
              </w:rPr>
              <w:t>100</w:t>
            </w:r>
          </w:p>
        </w:tc>
        <w:tc>
          <w:tcPr>
            <w:tcW w:w="2130" w:type="dxa"/>
            <w:vAlign w:val="center"/>
          </w:tcPr>
          <w:p>
            <w:pPr>
              <w:pStyle w:val="2"/>
              <w:spacing w:before="0" w:line="240" w:lineRule="auto"/>
              <w:ind w:left="0"/>
              <w:jc w:val="center"/>
              <w:outlineLvl w:val="9"/>
              <w:rPr>
                <w:rFonts w:hint="default" w:ascii="仿宋" w:hAnsi="仿宋" w:eastAsia="仿宋" w:cs="仿宋"/>
                <w:color w:val="auto"/>
                <w:kern w:val="0"/>
                <w:sz w:val="24"/>
                <w:szCs w:val="24"/>
                <w:highlight w:val="none"/>
                <w:shd w:val="clear" w:color="auto" w:fill="FFFFFF"/>
                <w:lang w:val="en-US" w:eastAsia="zh-CN" w:bidi="ar-SA"/>
              </w:rPr>
            </w:pPr>
            <w:r>
              <w:rPr>
                <w:rFonts w:hint="eastAsia" w:ascii="仿宋" w:hAnsi="仿宋" w:eastAsia="仿宋" w:cs="仿宋"/>
                <w:color w:val="auto"/>
                <w:kern w:val="0"/>
                <w:sz w:val="24"/>
                <w:szCs w:val="24"/>
                <w:highlight w:val="none"/>
                <w:shd w:val="clear" w:color="auto" w:fill="FFFFFF"/>
                <w:lang w:val="en-US" w:eastAsia="zh-CN" w:bidi="ar-SA"/>
              </w:rPr>
              <w:t>85.5</w:t>
            </w:r>
          </w:p>
        </w:tc>
        <w:tc>
          <w:tcPr>
            <w:tcW w:w="2130" w:type="dxa"/>
            <w:vAlign w:val="center"/>
          </w:tcPr>
          <w:p>
            <w:pPr>
              <w:pStyle w:val="2"/>
              <w:spacing w:before="0" w:line="240" w:lineRule="auto"/>
              <w:ind w:left="0"/>
              <w:jc w:val="center"/>
              <w:outlineLvl w:val="9"/>
              <w:rPr>
                <w:rFonts w:hint="eastAsia" w:ascii="仿宋" w:hAnsi="仿宋" w:eastAsia="仿宋" w:cs="仿宋"/>
                <w:color w:val="auto"/>
                <w:kern w:val="0"/>
                <w:sz w:val="24"/>
                <w:szCs w:val="24"/>
                <w:highlight w:val="none"/>
                <w:shd w:val="clear" w:color="auto" w:fill="FFFFFF"/>
                <w:lang w:val="en-US" w:eastAsia="zh-CN" w:bidi="ar-SA"/>
              </w:rPr>
            </w:pPr>
            <w:r>
              <w:rPr>
                <w:rFonts w:hint="eastAsia" w:ascii="仿宋" w:hAnsi="仿宋" w:eastAsia="仿宋" w:cs="仿宋"/>
                <w:color w:val="auto"/>
                <w:kern w:val="0"/>
                <w:sz w:val="24"/>
                <w:szCs w:val="24"/>
                <w:highlight w:val="none"/>
                <w:shd w:val="clear" w:color="auto" w:fill="FFFFFF"/>
                <w:lang w:val="en-US" w:eastAsia="zh-CN" w:bidi="ar-SA"/>
              </w:rPr>
              <w:t>85.5%</w:t>
            </w:r>
          </w:p>
        </w:tc>
      </w:tr>
    </w:tbl>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0"/>
        <w:rPr>
          <w:rFonts w:hint="eastAsia" w:ascii="黑体" w:hAnsi="黑体" w:eastAsia="黑体" w:cs="黑体"/>
          <w:b w:val="0"/>
          <w:bCs w:val="0"/>
          <w:color w:val="auto"/>
          <w:kern w:val="0"/>
          <w:sz w:val="32"/>
          <w:szCs w:val="32"/>
          <w:highlight w:val="none"/>
          <w:lang w:val="en-US" w:eastAsia="zh-Hans"/>
        </w:rPr>
      </w:pPr>
      <w:bookmarkStart w:id="12" w:name="_Toc21975"/>
      <w:r>
        <w:rPr>
          <w:rFonts w:hint="eastAsia" w:ascii="黑体" w:hAnsi="黑体" w:eastAsia="黑体" w:cs="黑体"/>
          <w:b w:val="0"/>
          <w:bCs w:val="0"/>
          <w:color w:val="auto"/>
          <w:kern w:val="0"/>
          <w:sz w:val="32"/>
          <w:szCs w:val="32"/>
          <w:highlight w:val="none"/>
          <w:lang w:val="en-US" w:eastAsia="zh-Hans"/>
        </w:rPr>
        <w:t>四、绩效评价分析</w:t>
      </w:r>
      <w:bookmarkEnd w:id="12"/>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1"/>
        <w:rPr>
          <w:rFonts w:hint="eastAsia" w:ascii="楷体" w:hAnsi="楷体" w:eastAsia="楷体" w:cs="楷体"/>
          <w:b/>
          <w:bCs/>
          <w:color w:val="auto"/>
          <w:kern w:val="0"/>
          <w:sz w:val="32"/>
          <w:szCs w:val="32"/>
          <w:highlight w:val="none"/>
          <w:shd w:val="clear" w:color="auto" w:fill="FFFFFF"/>
          <w:lang w:val="en-US" w:eastAsia="zh-CN"/>
        </w:rPr>
      </w:pPr>
      <w:bookmarkStart w:id="13" w:name="_Toc26039"/>
      <w:r>
        <w:rPr>
          <w:rFonts w:hint="eastAsia" w:ascii="楷体" w:hAnsi="楷体" w:eastAsia="楷体" w:cs="楷体"/>
          <w:b/>
          <w:bCs/>
          <w:color w:val="auto"/>
          <w:kern w:val="0"/>
          <w:sz w:val="32"/>
          <w:szCs w:val="32"/>
          <w:highlight w:val="none"/>
          <w:shd w:val="clear" w:color="auto" w:fill="FFFFFF"/>
          <w:lang w:val="en-US" w:eastAsia="zh-CN"/>
        </w:rPr>
        <w:t>（一）投入方面</w:t>
      </w:r>
      <w:bookmarkEnd w:id="13"/>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CN"/>
        </w:rPr>
        <w:t>该指标主要考核部门</w:t>
      </w:r>
      <w:r>
        <w:rPr>
          <w:rFonts w:hint="eastAsia" w:ascii="仿宋" w:hAnsi="仿宋" w:eastAsia="仿宋" w:cs="仿宋"/>
          <w:color w:val="auto"/>
          <w:kern w:val="0"/>
          <w:sz w:val="32"/>
          <w:szCs w:val="32"/>
          <w:highlight w:val="none"/>
          <w:shd w:val="clear" w:color="auto" w:fill="FFFFFF"/>
          <w:lang w:val="en-US" w:eastAsia="zh-Hans"/>
        </w:rPr>
        <w:t>目标设定和预算配置两方面内容</w:t>
      </w:r>
      <w:r>
        <w:rPr>
          <w:rFonts w:hint="eastAsia" w:ascii="仿宋" w:hAnsi="仿宋" w:eastAsia="仿宋" w:cs="仿宋"/>
          <w:color w:val="auto"/>
          <w:kern w:val="0"/>
          <w:sz w:val="32"/>
          <w:szCs w:val="32"/>
          <w:highlight w:val="none"/>
          <w:shd w:val="clear" w:color="auto" w:fill="FFFFFF"/>
          <w:lang w:val="en-US" w:eastAsia="zh-CN"/>
        </w:rPr>
        <w:t>，包括绩效目标合理性、</w:t>
      </w:r>
      <w:r>
        <w:rPr>
          <w:rFonts w:hint="eastAsia" w:ascii="仿宋" w:hAnsi="仿宋" w:eastAsia="仿宋" w:cs="仿宋"/>
          <w:color w:val="auto"/>
          <w:kern w:val="0"/>
          <w:sz w:val="32"/>
          <w:szCs w:val="32"/>
          <w:highlight w:val="none"/>
          <w:shd w:val="clear" w:color="auto" w:fill="FFFFFF"/>
          <w:lang w:val="en-US" w:eastAsia="zh-Hans"/>
        </w:rPr>
        <w:t>绩效指标明确性、“三公经费”变动率、在职人员控制率、重点支出安排率</w:t>
      </w:r>
      <w:r>
        <w:rPr>
          <w:rFonts w:hint="eastAsia" w:ascii="仿宋" w:hAnsi="仿宋" w:eastAsia="仿宋" w:cs="仿宋"/>
          <w:color w:val="auto"/>
          <w:kern w:val="0"/>
          <w:sz w:val="32"/>
          <w:szCs w:val="32"/>
          <w:highlight w:val="none"/>
          <w:shd w:val="clear" w:color="auto" w:fill="FFFFFF"/>
          <w:lang w:val="en-US" w:eastAsia="zh-CN"/>
        </w:rPr>
        <w:t>等5个三级指标，指标权重16分，评价得分15.5分，得分率为96.9%。</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Hans"/>
        </w:rPr>
        <w:t>1.目标设定</w:t>
      </w:r>
      <w:r>
        <w:rPr>
          <w:rFonts w:hint="eastAsia" w:ascii="仿宋" w:hAnsi="仿宋" w:eastAsia="仿宋" w:cs="仿宋"/>
          <w:b/>
          <w:bCs/>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Hans"/>
        </w:rPr>
        <w:t>（1）绩效目标合理性</w:t>
      </w:r>
      <w:r>
        <w:rPr>
          <w:rFonts w:hint="eastAsia" w:ascii="仿宋" w:hAnsi="仿宋" w:eastAsia="仿宋" w:cs="仿宋"/>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Hans"/>
        </w:rPr>
        <w:t>根据《2020年部门整体支出绩效目标表》，</w:t>
      </w:r>
      <w:r>
        <w:rPr>
          <w:rFonts w:hint="eastAsia" w:ascii="仿宋" w:hAnsi="仿宋" w:eastAsia="仿宋" w:cs="仿宋"/>
          <w:color w:val="auto"/>
          <w:kern w:val="0"/>
          <w:sz w:val="32"/>
          <w:szCs w:val="32"/>
          <w:highlight w:val="none"/>
          <w:shd w:val="clear" w:color="auto" w:fill="FFFFFF"/>
          <w:lang w:val="en-US" w:eastAsia="zh-CN"/>
        </w:rPr>
        <w:t>新区商务局</w:t>
      </w:r>
      <w:r>
        <w:rPr>
          <w:rFonts w:hint="eastAsia" w:ascii="仿宋" w:hAnsi="仿宋" w:eastAsia="仿宋" w:cs="仿宋"/>
          <w:color w:val="auto"/>
          <w:kern w:val="0"/>
          <w:sz w:val="32"/>
          <w:szCs w:val="32"/>
          <w:highlight w:val="none"/>
          <w:shd w:val="clear" w:color="auto" w:fill="FFFFFF"/>
          <w:lang w:val="en-US" w:eastAsia="zh-Hans"/>
        </w:rPr>
        <w:t>根据年度工作计划设置</w:t>
      </w:r>
      <w:r>
        <w:rPr>
          <w:rFonts w:hint="eastAsia" w:ascii="仿宋" w:hAnsi="仿宋" w:eastAsia="仿宋" w:cs="仿宋"/>
          <w:color w:val="auto"/>
          <w:kern w:val="0"/>
          <w:sz w:val="32"/>
          <w:szCs w:val="32"/>
          <w:highlight w:val="none"/>
          <w:shd w:val="clear" w:color="auto" w:fill="FFFFFF"/>
          <w:lang w:val="en-US" w:eastAsia="zh-CN"/>
        </w:rPr>
        <w:t>了</w:t>
      </w:r>
      <w:r>
        <w:rPr>
          <w:rFonts w:hint="eastAsia" w:ascii="仿宋" w:hAnsi="仿宋" w:eastAsia="仿宋" w:cs="仿宋"/>
          <w:color w:val="auto"/>
          <w:kern w:val="0"/>
          <w:sz w:val="32"/>
          <w:szCs w:val="32"/>
          <w:highlight w:val="none"/>
          <w:shd w:val="clear" w:color="auto" w:fill="FFFFFF"/>
          <w:lang w:val="en-US" w:eastAsia="zh-Hans"/>
        </w:rPr>
        <w:t>年度</w:t>
      </w:r>
      <w:r>
        <w:rPr>
          <w:rFonts w:hint="eastAsia" w:ascii="仿宋" w:hAnsi="仿宋" w:eastAsia="仿宋" w:cs="仿宋"/>
          <w:color w:val="auto"/>
          <w:kern w:val="0"/>
          <w:sz w:val="32"/>
          <w:szCs w:val="32"/>
          <w:highlight w:val="none"/>
          <w:shd w:val="clear" w:color="auto" w:fill="FFFFFF"/>
          <w:lang w:val="en-US" w:eastAsia="zh-CN"/>
        </w:rPr>
        <w:t>绩效</w:t>
      </w:r>
      <w:r>
        <w:rPr>
          <w:rFonts w:hint="eastAsia" w:ascii="仿宋" w:hAnsi="仿宋" w:eastAsia="仿宋" w:cs="仿宋"/>
          <w:color w:val="auto"/>
          <w:kern w:val="0"/>
          <w:sz w:val="32"/>
          <w:szCs w:val="32"/>
          <w:highlight w:val="none"/>
          <w:shd w:val="clear" w:color="auto" w:fill="FFFFFF"/>
          <w:lang w:val="en-US" w:eastAsia="zh-Hans"/>
        </w:rPr>
        <w:t>目标，并</w:t>
      </w:r>
      <w:r>
        <w:rPr>
          <w:rFonts w:hint="eastAsia" w:ascii="仿宋" w:hAnsi="仿宋" w:eastAsia="仿宋" w:cs="仿宋"/>
          <w:color w:val="auto"/>
          <w:kern w:val="0"/>
          <w:sz w:val="32"/>
          <w:szCs w:val="32"/>
          <w:highlight w:val="none"/>
          <w:shd w:val="clear" w:color="auto" w:fill="FFFFFF"/>
          <w:lang w:val="en-US" w:eastAsia="zh-CN"/>
        </w:rPr>
        <w:t>将绩效目标细化分解为绩效指标</w:t>
      </w:r>
      <w:r>
        <w:rPr>
          <w:rFonts w:hint="eastAsia" w:ascii="仿宋" w:hAnsi="仿宋" w:eastAsia="仿宋" w:cs="仿宋"/>
          <w:color w:val="auto"/>
          <w:kern w:val="0"/>
          <w:sz w:val="32"/>
          <w:szCs w:val="32"/>
          <w:highlight w:val="none"/>
          <w:shd w:val="clear" w:color="auto" w:fill="FFFFFF"/>
          <w:lang w:val="en-US" w:eastAsia="zh-Hans"/>
        </w:rPr>
        <w:t>，</w:t>
      </w:r>
      <w:r>
        <w:rPr>
          <w:rFonts w:hint="eastAsia" w:ascii="仿宋" w:hAnsi="仿宋" w:eastAsia="仿宋" w:cs="仿宋"/>
          <w:color w:val="auto"/>
          <w:kern w:val="0"/>
          <w:sz w:val="32"/>
          <w:szCs w:val="32"/>
          <w:highlight w:val="none"/>
          <w:shd w:val="clear" w:color="auto" w:fill="FFFFFF"/>
          <w:lang w:val="en-US" w:eastAsia="zh-CN"/>
        </w:rPr>
        <w:t>绩效目标与部门职责内容相关，</w:t>
      </w:r>
      <w:r>
        <w:rPr>
          <w:rFonts w:hint="eastAsia" w:ascii="仿宋" w:hAnsi="仿宋" w:eastAsia="仿宋" w:cs="仿宋"/>
          <w:color w:val="auto"/>
          <w:kern w:val="0"/>
          <w:sz w:val="32"/>
          <w:szCs w:val="32"/>
          <w:highlight w:val="none"/>
          <w:shd w:val="clear" w:color="auto" w:fill="FFFFFF"/>
          <w:lang w:val="en-US" w:eastAsia="zh-Hans"/>
        </w:rPr>
        <w:t>符合《铜川市“十三五”规划》</w:t>
      </w:r>
      <w:r>
        <w:rPr>
          <w:rFonts w:hint="eastAsia" w:ascii="仿宋" w:hAnsi="仿宋" w:eastAsia="仿宋" w:cs="仿宋"/>
          <w:color w:val="auto"/>
          <w:kern w:val="0"/>
          <w:sz w:val="32"/>
          <w:szCs w:val="32"/>
          <w:highlight w:val="none"/>
          <w:shd w:val="clear" w:color="auto" w:fill="FFFFFF"/>
          <w:lang w:val="en-US" w:eastAsia="zh-CN"/>
        </w:rPr>
        <w:t>，并进行了申报，然后公开在铜川市新区管委会官网上。</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该指标满分</w:t>
      </w:r>
      <w:r>
        <w:rPr>
          <w:rFonts w:hint="eastAsia" w:ascii="仿宋" w:hAnsi="仿宋" w:eastAsia="仿宋" w:cs="仿宋"/>
          <w:color w:val="auto"/>
          <w:kern w:val="0"/>
          <w:sz w:val="32"/>
          <w:szCs w:val="32"/>
          <w:highlight w:val="none"/>
          <w:shd w:val="clear" w:color="auto" w:fill="FFFFFF"/>
          <w:lang w:val="en-US" w:eastAsia="zh-CN"/>
        </w:rPr>
        <w:t>4</w:t>
      </w:r>
      <w:r>
        <w:rPr>
          <w:rFonts w:hint="eastAsia" w:ascii="仿宋" w:hAnsi="仿宋" w:eastAsia="仿宋" w:cs="仿宋"/>
          <w:color w:val="auto"/>
          <w:kern w:val="0"/>
          <w:sz w:val="32"/>
          <w:szCs w:val="32"/>
          <w:highlight w:val="none"/>
          <w:shd w:val="clear" w:color="auto" w:fill="FFFFFF"/>
          <w:lang w:val="en-US" w:eastAsia="zh-Hans"/>
        </w:rPr>
        <w:t>分，</w:t>
      </w:r>
      <w:r>
        <w:rPr>
          <w:rFonts w:hint="eastAsia" w:ascii="仿宋" w:hAnsi="仿宋" w:eastAsia="仿宋" w:cs="仿宋"/>
          <w:color w:val="auto"/>
          <w:kern w:val="0"/>
          <w:sz w:val="32"/>
          <w:szCs w:val="32"/>
          <w:highlight w:val="none"/>
          <w:shd w:val="clear" w:color="auto" w:fill="FFFFFF"/>
          <w:lang w:val="en-US" w:eastAsia="zh-CN"/>
        </w:rPr>
        <w:t>得分4</w:t>
      </w:r>
      <w:r>
        <w:rPr>
          <w:rFonts w:hint="eastAsia" w:ascii="仿宋" w:hAnsi="仿宋" w:eastAsia="仿宋" w:cs="仿宋"/>
          <w:color w:val="auto"/>
          <w:kern w:val="0"/>
          <w:sz w:val="32"/>
          <w:szCs w:val="32"/>
          <w:highlight w:val="none"/>
          <w:shd w:val="clear" w:color="auto" w:fill="FFFFFF"/>
          <w:lang w:val="en-US" w:eastAsia="zh-Hans"/>
        </w:rPr>
        <w:t>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Hans"/>
        </w:rPr>
        <w:t>（2）绩效指标明确性</w:t>
      </w:r>
      <w:r>
        <w:rPr>
          <w:rFonts w:hint="eastAsia" w:ascii="仿宋" w:hAnsi="仿宋" w:eastAsia="仿宋" w:cs="仿宋"/>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Hans"/>
        </w:rPr>
        <w:t>该部门根据2020年度预算及工作内容，在产出指标上设置了数量、质量、时效和成本指标；在效益指标上设置了</w:t>
      </w:r>
      <w:r>
        <w:rPr>
          <w:rFonts w:hint="eastAsia" w:ascii="仿宋" w:hAnsi="仿宋" w:eastAsia="仿宋" w:cs="仿宋"/>
          <w:color w:val="auto"/>
          <w:kern w:val="0"/>
          <w:sz w:val="32"/>
          <w:szCs w:val="32"/>
          <w:highlight w:val="none"/>
          <w:shd w:val="clear" w:color="auto" w:fill="FFFFFF"/>
          <w:lang w:val="en-US" w:eastAsia="zh-CN"/>
        </w:rPr>
        <w:t>经济效益指标、</w:t>
      </w:r>
      <w:r>
        <w:rPr>
          <w:rFonts w:hint="eastAsia" w:ascii="仿宋" w:hAnsi="仿宋" w:eastAsia="仿宋" w:cs="仿宋"/>
          <w:color w:val="auto"/>
          <w:kern w:val="0"/>
          <w:sz w:val="32"/>
          <w:szCs w:val="32"/>
          <w:highlight w:val="none"/>
          <w:shd w:val="clear" w:color="auto" w:fill="FFFFFF"/>
          <w:lang w:val="en-US" w:eastAsia="zh-Hans"/>
        </w:rPr>
        <w:t>社会</w:t>
      </w:r>
      <w:r>
        <w:rPr>
          <w:rFonts w:hint="eastAsia" w:ascii="仿宋" w:hAnsi="仿宋" w:eastAsia="仿宋" w:cs="仿宋"/>
          <w:color w:val="auto"/>
          <w:kern w:val="0"/>
          <w:sz w:val="32"/>
          <w:szCs w:val="32"/>
          <w:highlight w:val="none"/>
          <w:shd w:val="clear" w:color="auto" w:fill="FFFFFF"/>
          <w:lang w:val="en-US" w:eastAsia="zh-CN"/>
        </w:rPr>
        <w:t>效益</w:t>
      </w:r>
      <w:r>
        <w:rPr>
          <w:rFonts w:hint="eastAsia" w:ascii="仿宋" w:hAnsi="仿宋" w:eastAsia="仿宋" w:cs="仿宋"/>
          <w:color w:val="auto"/>
          <w:kern w:val="0"/>
          <w:sz w:val="32"/>
          <w:szCs w:val="32"/>
          <w:highlight w:val="none"/>
          <w:shd w:val="clear" w:color="auto" w:fill="FFFFFF"/>
          <w:lang w:val="en-US" w:eastAsia="zh-Hans"/>
        </w:rPr>
        <w:t>指标、可持续影响指标、服务对象满意度指标等绩效指标，</w:t>
      </w:r>
      <w:r>
        <w:rPr>
          <w:rFonts w:hint="eastAsia" w:ascii="仿宋" w:hAnsi="仿宋" w:eastAsia="仿宋" w:cs="仿宋"/>
          <w:color w:val="auto"/>
          <w:kern w:val="0"/>
          <w:sz w:val="32"/>
          <w:szCs w:val="32"/>
          <w:highlight w:val="none"/>
          <w:shd w:val="clear" w:color="auto" w:fill="FFFFFF"/>
          <w:lang w:val="en-US" w:eastAsia="zh-CN"/>
        </w:rPr>
        <w:t>绩效指标比较明确，</w:t>
      </w:r>
      <w:r>
        <w:rPr>
          <w:rFonts w:hint="eastAsia" w:ascii="仿宋" w:hAnsi="仿宋" w:eastAsia="仿宋" w:cs="仿宋"/>
          <w:color w:val="auto"/>
          <w:kern w:val="0"/>
          <w:sz w:val="32"/>
          <w:szCs w:val="32"/>
          <w:highlight w:val="none"/>
          <w:shd w:val="clear" w:color="auto" w:fill="FFFFFF"/>
          <w:lang w:val="en-US" w:eastAsia="zh-Hans"/>
        </w:rPr>
        <w:t>将部门整体的绩效目标细化分解为具体的工作任务</w:t>
      </w:r>
      <w:r>
        <w:rPr>
          <w:rFonts w:hint="eastAsia" w:ascii="仿宋" w:hAnsi="仿宋" w:eastAsia="仿宋" w:cs="仿宋"/>
          <w:color w:val="auto"/>
          <w:kern w:val="0"/>
          <w:sz w:val="32"/>
          <w:szCs w:val="32"/>
          <w:highlight w:val="none"/>
          <w:shd w:val="clear" w:color="auto" w:fill="FFFFFF"/>
          <w:lang w:val="en-US" w:eastAsia="zh-CN"/>
        </w:rPr>
        <w:t>，</w:t>
      </w:r>
      <w:r>
        <w:rPr>
          <w:rFonts w:hint="eastAsia" w:ascii="仿宋" w:hAnsi="仿宋" w:eastAsia="仿宋" w:cs="仿宋"/>
          <w:color w:val="auto"/>
          <w:kern w:val="0"/>
          <w:sz w:val="32"/>
          <w:szCs w:val="32"/>
          <w:highlight w:val="none"/>
          <w:shd w:val="clear" w:color="auto" w:fill="FFFFFF"/>
          <w:lang w:val="en-US" w:eastAsia="zh-Hans"/>
        </w:rPr>
        <w:t>与部门年度的任务数或计划数相对应</w:t>
      </w:r>
      <w:r>
        <w:rPr>
          <w:rFonts w:hint="eastAsia" w:ascii="仿宋" w:hAnsi="仿宋" w:eastAsia="仿宋" w:cs="仿宋"/>
          <w:color w:val="auto"/>
          <w:kern w:val="0"/>
          <w:sz w:val="32"/>
          <w:szCs w:val="32"/>
          <w:highlight w:val="none"/>
          <w:shd w:val="clear" w:color="auto" w:fill="FFFFFF"/>
          <w:lang w:val="en-US" w:eastAsia="zh-CN"/>
        </w:rPr>
        <w:t>，</w:t>
      </w:r>
      <w:r>
        <w:rPr>
          <w:rFonts w:hint="eastAsia" w:ascii="仿宋" w:hAnsi="仿宋" w:eastAsia="仿宋" w:cs="仿宋"/>
          <w:color w:val="auto"/>
          <w:kern w:val="0"/>
          <w:sz w:val="32"/>
          <w:szCs w:val="32"/>
          <w:highlight w:val="none"/>
          <w:shd w:val="clear" w:color="auto" w:fill="FFFFFF"/>
          <w:lang w:val="en-US" w:eastAsia="zh-Hans"/>
        </w:rPr>
        <w:t>与本年度部门预算资金相匹配</w:t>
      </w:r>
      <w:r>
        <w:rPr>
          <w:rFonts w:hint="eastAsia" w:ascii="仿宋" w:hAnsi="仿宋" w:eastAsia="仿宋" w:cs="仿宋"/>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但经济效益指标和社会效益指标中的部分指标，没有</w:t>
      </w:r>
      <w:r>
        <w:rPr>
          <w:rFonts w:hint="eastAsia" w:ascii="仿宋" w:hAnsi="仿宋" w:eastAsia="仿宋" w:cs="仿宋"/>
          <w:color w:val="auto"/>
          <w:kern w:val="0"/>
          <w:sz w:val="32"/>
          <w:szCs w:val="32"/>
          <w:highlight w:val="none"/>
          <w:shd w:val="clear" w:color="auto" w:fill="FFFFFF"/>
          <w:lang w:val="en-US" w:eastAsia="zh-Hans"/>
        </w:rPr>
        <w:t>通过清晰、可衡量的指标值予以体现</w:t>
      </w:r>
      <w:r>
        <w:rPr>
          <w:rFonts w:hint="eastAsia" w:ascii="仿宋" w:hAnsi="仿宋" w:eastAsia="仿宋" w:cs="仿宋"/>
          <w:color w:val="auto"/>
          <w:kern w:val="0"/>
          <w:sz w:val="32"/>
          <w:szCs w:val="32"/>
          <w:highlight w:val="none"/>
          <w:shd w:val="clear" w:color="auto" w:fill="FFFFFF"/>
          <w:lang w:val="en-US" w:eastAsia="zh-CN"/>
        </w:rPr>
        <w:t>，仅以“有效促成”、“有效促进”、“有效推动”代替，扣0.5分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该指标满分</w:t>
      </w:r>
      <w:r>
        <w:rPr>
          <w:rFonts w:hint="eastAsia" w:ascii="仿宋" w:hAnsi="仿宋" w:eastAsia="仿宋" w:cs="仿宋"/>
          <w:color w:val="auto"/>
          <w:kern w:val="0"/>
          <w:sz w:val="32"/>
          <w:szCs w:val="32"/>
          <w:highlight w:val="none"/>
          <w:shd w:val="clear" w:color="auto" w:fill="FFFFFF"/>
          <w:lang w:val="en-US" w:eastAsia="zh-CN"/>
        </w:rPr>
        <w:t>4</w:t>
      </w:r>
      <w:r>
        <w:rPr>
          <w:rFonts w:hint="eastAsia" w:ascii="仿宋" w:hAnsi="仿宋" w:eastAsia="仿宋" w:cs="仿宋"/>
          <w:color w:val="auto"/>
          <w:kern w:val="0"/>
          <w:sz w:val="32"/>
          <w:szCs w:val="32"/>
          <w:highlight w:val="none"/>
          <w:shd w:val="clear" w:color="auto" w:fill="FFFFFF"/>
          <w:lang w:val="en-US" w:eastAsia="zh-Hans"/>
        </w:rPr>
        <w:t>分，</w:t>
      </w:r>
      <w:r>
        <w:rPr>
          <w:rFonts w:hint="eastAsia" w:ascii="仿宋" w:hAnsi="仿宋" w:eastAsia="仿宋" w:cs="仿宋"/>
          <w:color w:val="auto"/>
          <w:kern w:val="0"/>
          <w:sz w:val="32"/>
          <w:szCs w:val="32"/>
          <w:highlight w:val="none"/>
          <w:shd w:val="clear" w:color="auto" w:fill="FFFFFF"/>
          <w:lang w:val="en-US" w:eastAsia="zh-CN"/>
        </w:rPr>
        <w:t>扣0.5分，得分3.5分。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Hans"/>
        </w:rPr>
        <w:t>2.预算配置</w:t>
      </w:r>
      <w:r>
        <w:rPr>
          <w:rFonts w:hint="eastAsia" w:ascii="仿宋" w:hAnsi="仿宋" w:eastAsia="仿宋" w:cs="仿宋"/>
          <w:b/>
          <w:bCs/>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Hans"/>
        </w:rPr>
        <w:t>（</w:t>
      </w:r>
      <w:r>
        <w:rPr>
          <w:rFonts w:hint="eastAsia" w:ascii="仿宋" w:hAnsi="仿宋" w:eastAsia="仿宋" w:cs="仿宋"/>
          <w:color w:val="auto"/>
          <w:kern w:val="0"/>
          <w:sz w:val="32"/>
          <w:szCs w:val="32"/>
          <w:highlight w:val="none"/>
          <w:shd w:val="clear" w:color="auto" w:fill="FFFFFF"/>
          <w:lang w:val="en-US" w:eastAsia="zh-CN"/>
        </w:rPr>
        <w:t>1</w:t>
      </w:r>
      <w:r>
        <w:rPr>
          <w:rFonts w:hint="eastAsia" w:ascii="仿宋" w:hAnsi="仿宋" w:eastAsia="仿宋" w:cs="仿宋"/>
          <w:color w:val="auto"/>
          <w:kern w:val="0"/>
          <w:sz w:val="32"/>
          <w:szCs w:val="32"/>
          <w:highlight w:val="none"/>
          <w:shd w:val="clear" w:color="auto" w:fill="FFFFFF"/>
          <w:lang w:val="en-US" w:eastAsia="zh-Hans"/>
        </w:rPr>
        <w:t>）在职人员控制率</w:t>
      </w:r>
      <w:r>
        <w:rPr>
          <w:rFonts w:hint="eastAsia" w:ascii="仿宋" w:hAnsi="仿宋" w:eastAsia="仿宋" w:cs="仿宋"/>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CN"/>
        </w:rPr>
        <w:t>根据新区商务局2020年决算公开文件，</w:t>
      </w:r>
      <w:r>
        <w:rPr>
          <w:rFonts w:hint="eastAsia" w:ascii="仿宋" w:hAnsi="仿宋" w:eastAsia="仿宋" w:cs="仿宋"/>
          <w:color w:val="auto"/>
          <w:kern w:val="0"/>
          <w:sz w:val="32"/>
          <w:szCs w:val="32"/>
          <w:highlight w:val="none"/>
          <w:shd w:val="clear" w:color="auto" w:fill="FFFFFF"/>
          <w:lang w:val="en-US" w:eastAsia="zh-Hans"/>
        </w:rPr>
        <w:t>截至2020年12月31日，该部门在职人员数共计</w:t>
      </w:r>
      <w:r>
        <w:rPr>
          <w:rFonts w:hint="eastAsia" w:ascii="仿宋" w:hAnsi="仿宋" w:eastAsia="仿宋" w:cs="仿宋"/>
          <w:color w:val="auto"/>
          <w:kern w:val="0"/>
          <w:sz w:val="32"/>
          <w:szCs w:val="32"/>
          <w:highlight w:val="none"/>
          <w:shd w:val="clear" w:color="auto" w:fill="FFFFFF"/>
          <w:lang w:val="en-US" w:eastAsia="zh-CN"/>
        </w:rPr>
        <w:t>2</w:t>
      </w:r>
      <w:r>
        <w:rPr>
          <w:rFonts w:hint="eastAsia" w:ascii="仿宋" w:hAnsi="仿宋" w:eastAsia="仿宋" w:cs="仿宋"/>
          <w:color w:val="auto"/>
          <w:kern w:val="0"/>
          <w:sz w:val="32"/>
          <w:szCs w:val="32"/>
          <w:highlight w:val="none"/>
          <w:shd w:val="clear" w:color="auto" w:fill="FFFFFF"/>
          <w:lang w:val="en-US" w:eastAsia="zh-Hans"/>
        </w:rPr>
        <w:t>人，其中编制数</w:t>
      </w:r>
      <w:r>
        <w:rPr>
          <w:rFonts w:hint="eastAsia" w:ascii="仿宋" w:hAnsi="仿宋" w:eastAsia="仿宋" w:cs="仿宋"/>
          <w:color w:val="auto"/>
          <w:kern w:val="0"/>
          <w:sz w:val="32"/>
          <w:szCs w:val="32"/>
          <w:highlight w:val="none"/>
          <w:shd w:val="clear" w:color="auto" w:fill="FFFFFF"/>
          <w:lang w:val="en-US" w:eastAsia="zh-CN"/>
        </w:rPr>
        <w:t>4</w:t>
      </w:r>
      <w:r>
        <w:rPr>
          <w:rFonts w:hint="eastAsia" w:ascii="仿宋" w:hAnsi="仿宋" w:eastAsia="仿宋" w:cs="仿宋"/>
          <w:color w:val="auto"/>
          <w:kern w:val="0"/>
          <w:sz w:val="32"/>
          <w:szCs w:val="32"/>
          <w:highlight w:val="none"/>
          <w:shd w:val="clear" w:color="auto" w:fill="FFFFFF"/>
          <w:lang w:val="en-US" w:eastAsia="zh-Hans"/>
        </w:rPr>
        <w:t>人，在职人员控制率为</w:t>
      </w:r>
      <w:r>
        <w:rPr>
          <w:rFonts w:hint="eastAsia" w:ascii="仿宋" w:hAnsi="仿宋" w:eastAsia="仿宋" w:cs="仿宋"/>
          <w:color w:val="auto"/>
          <w:kern w:val="0"/>
          <w:sz w:val="32"/>
          <w:szCs w:val="32"/>
          <w:highlight w:val="none"/>
          <w:shd w:val="clear" w:color="auto" w:fill="FFFFFF"/>
          <w:lang w:val="en-US" w:eastAsia="zh-CN"/>
        </w:rPr>
        <w:t>50</w:t>
      </w:r>
      <w:r>
        <w:rPr>
          <w:rFonts w:hint="eastAsia" w:ascii="仿宋" w:hAnsi="仿宋" w:eastAsia="仿宋" w:cs="仿宋"/>
          <w:color w:val="auto"/>
          <w:kern w:val="0"/>
          <w:sz w:val="32"/>
          <w:szCs w:val="32"/>
          <w:highlight w:val="none"/>
          <w:shd w:val="clear" w:color="auto" w:fill="FFFFFF"/>
          <w:lang w:val="en-US" w:eastAsia="zh-Hans"/>
        </w:rPr>
        <w:t>%，</w:t>
      </w:r>
      <w:r>
        <w:rPr>
          <w:rFonts w:hint="eastAsia" w:ascii="仿宋" w:hAnsi="仿宋" w:eastAsia="仿宋" w:cs="仿宋"/>
          <w:color w:val="auto"/>
          <w:kern w:val="0"/>
          <w:sz w:val="32"/>
          <w:szCs w:val="32"/>
          <w:highlight w:val="none"/>
          <w:shd w:val="clear" w:color="auto" w:fill="FFFFFF"/>
          <w:lang w:val="en-US" w:eastAsia="zh-CN"/>
        </w:rPr>
        <w:t>小于100%，故不扣分</w:t>
      </w:r>
      <w:r>
        <w:rPr>
          <w:rFonts w:hint="eastAsia" w:ascii="仿宋" w:hAnsi="仿宋" w:eastAsia="仿宋" w:cs="仿宋"/>
          <w:color w:val="auto"/>
          <w:kern w:val="0"/>
          <w:sz w:val="32"/>
          <w:szCs w:val="32"/>
          <w:highlight w:val="none"/>
          <w:shd w:val="clear" w:color="auto" w:fill="FFFFFF"/>
          <w:lang w:val="en-US" w:eastAsia="zh-Hans"/>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该指标满分</w:t>
      </w:r>
      <w:r>
        <w:rPr>
          <w:rFonts w:hint="eastAsia" w:ascii="仿宋" w:hAnsi="仿宋" w:eastAsia="仿宋" w:cs="仿宋"/>
          <w:color w:val="auto"/>
          <w:kern w:val="0"/>
          <w:sz w:val="32"/>
          <w:szCs w:val="32"/>
          <w:highlight w:val="none"/>
          <w:shd w:val="clear" w:color="auto" w:fill="FFFFFF"/>
          <w:lang w:val="en-US" w:eastAsia="zh-CN"/>
        </w:rPr>
        <w:t>2</w:t>
      </w:r>
      <w:r>
        <w:rPr>
          <w:rFonts w:hint="eastAsia" w:ascii="仿宋" w:hAnsi="仿宋" w:eastAsia="仿宋" w:cs="仿宋"/>
          <w:color w:val="auto"/>
          <w:kern w:val="0"/>
          <w:sz w:val="32"/>
          <w:szCs w:val="32"/>
          <w:highlight w:val="none"/>
          <w:shd w:val="clear" w:color="auto" w:fill="FFFFFF"/>
          <w:lang w:val="en-US" w:eastAsia="zh-Hans"/>
        </w:rPr>
        <w:t>分，</w:t>
      </w:r>
      <w:r>
        <w:rPr>
          <w:rFonts w:hint="eastAsia" w:ascii="仿宋" w:hAnsi="仿宋" w:eastAsia="仿宋" w:cs="仿宋"/>
          <w:color w:val="auto"/>
          <w:kern w:val="0"/>
          <w:sz w:val="32"/>
          <w:szCs w:val="32"/>
          <w:highlight w:val="none"/>
          <w:shd w:val="clear" w:color="auto" w:fill="FFFFFF"/>
          <w:lang w:val="en-US" w:eastAsia="zh-CN"/>
        </w:rPr>
        <w:t>得分2</w:t>
      </w:r>
      <w:r>
        <w:rPr>
          <w:rFonts w:hint="eastAsia" w:ascii="仿宋" w:hAnsi="仿宋" w:eastAsia="仿宋" w:cs="仿宋"/>
          <w:color w:val="auto"/>
          <w:kern w:val="0"/>
          <w:sz w:val="32"/>
          <w:szCs w:val="32"/>
          <w:highlight w:val="none"/>
          <w:shd w:val="clear" w:color="auto" w:fill="FFFFFF"/>
          <w:lang w:val="en-US" w:eastAsia="zh-Hans"/>
        </w:rPr>
        <w:t>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（2）</w:t>
      </w:r>
      <w:r>
        <w:rPr>
          <w:rFonts w:hint="eastAsia" w:ascii="仿宋" w:hAnsi="仿宋" w:eastAsia="仿宋" w:cs="仿宋"/>
          <w:color w:val="auto"/>
          <w:kern w:val="0"/>
          <w:sz w:val="32"/>
          <w:szCs w:val="32"/>
          <w:highlight w:val="none"/>
          <w:shd w:val="clear" w:color="auto" w:fill="FFFFFF"/>
          <w:lang w:val="en-US" w:eastAsia="zh-Hans"/>
        </w:rPr>
        <w:t>“三公经费”变动率</w:t>
      </w:r>
      <w:r>
        <w:rPr>
          <w:rFonts w:hint="eastAsia" w:ascii="仿宋" w:hAnsi="仿宋" w:eastAsia="仿宋" w:cs="仿宋"/>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根据新区商务局</w:t>
      </w:r>
      <w:r>
        <w:rPr>
          <w:rFonts w:hint="eastAsia" w:ascii="仿宋" w:hAnsi="仿宋" w:eastAsia="仿宋" w:cs="仿宋"/>
          <w:color w:val="auto"/>
          <w:kern w:val="0"/>
          <w:sz w:val="32"/>
          <w:szCs w:val="32"/>
          <w:highlight w:val="none"/>
          <w:shd w:val="clear" w:color="auto" w:fill="FFFFFF"/>
          <w:lang w:val="en-US" w:eastAsia="zh-Hans"/>
        </w:rPr>
        <w:t>2020年度部门预算文件和2019年度部门预算文件</w:t>
      </w:r>
      <w:r>
        <w:rPr>
          <w:rFonts w:hint="eastAsia" w:ascii="仿宋" w:hAnsi="仿宋" w:eastAsia="仿宋" w:cs="仿宋"/>
          <w:color w:val="auto"/>
          <w:kern w:val="0"/>
          <w:sz w:val="32"/>
          <w:szCs w:val="32"/>
          <w:highlight w:val="none"/>
          <w:shd w:val="clear" w:color="auto" w:fill="FFFFFF"/>
          <w:lang w:val="en-US" w:eastAsia="zh-CN"/>
        </w:rPr>
        <w:t>，</w:t>
      </w:r>
      <w:r>
        <w:rPr>
          <w:rFonts w:hint="eastAsia" w:ascii="仿宋" w:hAnsi="仿宋" w:eastAsia="仿宋" w:cs="仿宋"/>
          <w:color w:val="auto"/>
          <w:kern w:val="0"/>
          <w:sz w:val="32"/>
          <w:szCs w:val="32"/>
          <w:highlight w:val="none"/>
          <w:shd w:val="clear" w:color="auto" w:fill="FFFFFF"/>
          <w:lang w:val="en-US" w:eastAsia="zh-Hans"/>
        </w:rPr>
        <w:t>2020年</w:t>
      </w:r>
      <w:r>
        <w:rPr>
          <w:rFonts w:hint="eastAsia" w:ascii="仿宋" w:hAnsi="仿宋" w:eastAsia="仿宋" w:cs="仿宋"/>
          <w:color w:val="auto"/>
          <w:kern w:val="0"/>
          <w:sz w:val="32"/>
          <w:szCs w:val="32"/>
          <w:highlight w:val="none"/>
          <w:shd w:val="clear" w:color="auto" w:fill="FFFFFF"/>
          <w:lang w:val="en-US" w:eastAsia="zh-CN"/>
        </w:rPr>
        <w:t>新区商务局</w:t>
      </w:r>
      <w:r>
        <w:rPr>
          <w:rFonts w:hint="eastAsia" w:ascii="仿宋" w:hAnsi="仿宋" w:eastAsia="仿宋" w:cs="仿宋"/>
          <w:color w:val="auto"/>
          <w:kern w:val="0"/>
          <w:sz w:val="32"/>
          <w:szCs w:val="32"/>
          <w:highlight w:val="none"/>
          <w:shd w:val="clear" w:color="auto" w:fill="FFFFFF"/>
          <w:lang w:val="en-US" w:eastAsia="zh-Hans"/>
        </w:rPr>
        <w:t>“三公经费”为</w:t>
      </w:r>
      <w:r>
        <w:rPr>
          <w:rFonts w:hint="eastAsia" w:ascii="仿宋" w:hAnsi="仿宋" w:eastAsia="仿宋" w:cs="仿宋"/>
          <w:color w:val="auto"/>
          <w:kern w:val="0"/>
          <w:sz w:val="32"/>
          <w:szCs w:val="32"/>
          <w:highlight w:val="none"/>
          <w:shd w:val="clear" w:color="auto" w:fill="FFFFFF"/>
          <w:lang w:val="en-US" w:eastAsia="zh-CN"/>
        </w:rPr>
        <w:t>0.1</w:t>
      </w:r>
      <w:r>
        <w:rPr>
          <w:rFonts w:hint="eastAsia" w:ascii="仿宋" w:hAnsi="仿宋" w:eastAsia="仿宋" w:cs="仿宋"/>
          <w:color w:val="auto"/>
          <w:kern w:val="0"/>
          <w:sz w:val="32"/>
          <w:szCs w:val="32"/>
          <w:highlight w:val="none"/>
          <w:shd w:val="clear" w:color="auto" w:fill="FFFFFF"/>
          <w:lang w:val="en-US" w:eastAsia="zh-Hans"/>
        </w:rPr>
        <w:t>万元，2019</w:t>
      </w:r>
      <w:r>
        <w:rPr>
          <w:rFonts w:hint="eastAsia" w:ascii="仿宋" w:hAnsi="仿宋" w:eastAsia="仿宋" w:cs="仿宋"/>
          <w:color w:val="auto"/>
          <w:kern w:val="0"/>
          <w:sz w:val="32"/>
          <w:szCs w:val="32"/>
          <w:highlight w:val="none"/>
          <w:shd w:val="clear" w:color="auto" w:fill="FFFFFF"/>
          <w:lang w:val="en-US" w:eastAsia="zh-CN"/>
        </w:rPr>
        <w:t>年</w:t>
      </w:r>
      <w:r>
        <w:rPr>
          <w:rFonts w:hint="eastAsia" w:ascii="仿宋" w:hAnsi="仿宋" w:eastAsia="仿宋" w:cs="仿宋"/>
          <w:color w:val="auto"/>
          <w:kern w:val="0"/>
          <w:sz w:val="32"/>
          <w:szCs w:val="32"/>
          <w:highlight w:val="none"/>
          <w:shd w:val="clear" w:color="auto" w:fill="FFFFFF"/>
          <w:lang w:val="en-US" w:eastAsia="zh-Hans"/>
        </w:rPr>
        <w:t>为</w:t>
      </w:r>
      <w:r>
        <w:rPr>
          <w:rFonts w:hint="eastAsia" w:ascii="仿宋" w:hAnsi="仿宋" w:eastAsia="仿宋" w:cs="仿宋"/>
          <w:color w:val="auto"/>
          <w:kern w:val="0"/>
          <w:sz w:val="32"/>
          <w:szCs w:val="32"/>
          <w:highlight w:val="none"/>
          <w:shd w:val="clear" w:color="auto" w:fill="FFFFFF"/>
          <w:lang w:val="en-US" w:eastAsia="zh-CN"/>
        </w:rPr>
        <w:t>0.9</w:t>
      </w:r>
      <w:r>
        <w:rPr>
          <w:rFonts w:hint="eastAsia" w:ascii="仿宋" w:hAnsi="仿宋" w:eastAsia="仿宋" w:cs="仿宋"/>
          <w:color w:val="auto"/>
          <w:kern w:val="0"/>
          <w:sz w:val="32"/>
          <w:szCs w:val="32"/>
          <w:highlight w:val="none"/>
          <w:shd w:val="clear" w:color="auto" w:fill="FFFFFF"/>
          <w:lang w:val="en-US" w:eastAsia="zh-Hans"/>
        </w:rPr>
        <w:t>万元，三公经费变动率为</w:t>
      </w:r>
      <w:r>
        <w:rPr>
          <w:rFonts w:hint="eastAsia" w:ascii="仿宋" w:hAnsi="仿宋" w:eastAsia="仿宋" w:cs="仿宋"/>
          <w:color w:val="auto"/>
          <w:kern w:val="0"/>
          <w:sz w:val="32"/>
          <w:szCs w:val="32"/>
          <w:highlight w:val="none"/>
          <w:shd w:val="clear" w:color="auto" w:fill="FFFFFF"/>
          <w:lang w:val="en-US" w:eastAsia="zh-CN"/>
        </w:rPr>
        <w:t>负88.9</w:t>
      </w:r>
      <w:r>
        <w:rPr>
          <w:rFonts w:hint="eastAsia" w:ascii="仿宋" w:hAnsi="仿宋" w:eastAsia="仿宋" w:cs="仿宋"/>
          <w:color w:val="auto"/>
          <w:kern w:val="0"/>
          <w:sz w:val="32"/>
          <w:szCs w:val="32"/>
          <w:highlight w:val="none"/>
          <w:shd w:val="clear" w:color="auto" w:fill="FFFFFF"/>
          <w:lang w:val="en-US" w:eastAsia="zh-Hans"/>
        </w:rPr>
        <w:t>%</w:t>
      </w:r>
      <w:r>
        <w:rPr>
          <w:rFonts w:hint="eastAsia" w:ascii="仿宋" w:hAnsi="仿宋" w:eastAsia="仿宋" w:cs="仿宋"/>
          <w:color w:val="auto"/>
          <w:kern w:val="0"/>
          <w:sz w:val="32"/>
          <w:szCs w:val="32"/>
          <w:highlight w:val="none"/>
          <w:shd w:val="clear" w:color="auto" w:fill="FFFFFF"/>
          <w:lang w:val="en-US" w:eastAsia="zh-CN"/>
        </w:rPr>
        <w:t>，小于0，不扣分。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该指标满分3分，</w:t>
      </w:r>
      <w:r>
        <w:rPr>
          <w:rFonts w:hint="eastAsia" w:ascii="仿宋" w:hAnsi="仿宋" w:eastAsia="仿宋" w:cs="仿宋"/>
          <w:color w:val="auto"/>
          <w:kern w:val="0"/>
          <w:sz w:val="32"/>
          <w:szCs w:val="32"/>
          <w:highlight w:val="none"/>
          <w:shd w:val="clear" w:color="auto" w:fill="FFFFFF"/>
          <w:lang w:val="en-US" w:eastAsia="zh-CN"/>
        </w:rPr>
        <w:t>得分3</w:t>
      </w:r>
      <w:r>
        <w:rPr>
          <w:rFonts w:hint="eastAsia" w:ascii="仿宋" w:hAnsi="仿宋" w:eastAsia="仿宋" w:cs="仿宋"/>
          <w:color w:val="auto"/>
          <w:kern w:val="0"/>
          <w:sz w:val="32"/>
          <w:szCs w:val="32"/>
          <w:highlight w:val="none"/>
          <w:shd w:val="clear" w:color="auto" w:fill="FFFFFF"/>
          <w:lang w:val="en-US" w:eastAsia="zh-Hans"/>
        </w:rPr>
        <w:t>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（3）</w:t>
      </w:r>
      <w:r>
        <w:rPr>
          <w:rFonts w:hint="eastAsia" w:ascii="仿宋" w:hAnsi="仿宋" w:eastAsia="仿宋" w:cs="仿宋"/>
          <w:color w:val="auto"/>
          <w:kern w:val="0"/>
          <w:sz w:val="32"/>
          <w:szCs w:val="32"/>
          <w:highlight w:val="none"/>
          <w:shd w:val="clear" w:color="auto" w:fill="FFFFFF"/>
          <w:lang w:val="en-US" w:eastAsia="zh-Hans"/>
        </w:rPr>
        <w:t>重点支出安排率</w:t>
      </w:r>
      <w:r>
        <w:rPr>
          <w:rFonts w:hint="eastAsia" w:ascii="仿宋" w:hAnsi="仿宋" w:eastAsia="仿宋" w:cs="仿宋"/>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根据新区商务局2020年部门综合预算文件，新区商务局2020年部门专项经费重点项目分别是：组织参加“进博会”工作经费（5万元）、全面招商工作经费（5万元）和疫情防治专项工作经费（5万元）。新区商务局2020年度调整预算安排的项目支出总额为15万元，重点支出安排率为100%，不扣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该指标满分3分，</w:t>
      </w:r>
      <w:r>
        <w:rPr>
          <w:rFonts w:hint="eastAsia" w:ascii="仿宋" w:hAnsi="仿宋" w:eastAsia="仿宋" w:cs="仿宋"/>
          <w:color w:val="auto"/>
          <w:kern w:val="0"/>
          <w:sz w:val="32"/>
          <w:szCs w:val="32"/>
          <w:highlight w:val="none"/>
          <w:shd w:val="clear" w:color="auto" w:fill="FFFFFF"/>
          <w:lang w:val="en-US" w:eastAsia="zh-CN"/>
        </w:rPr>
        <w:t>得分3分。</w:t>
      </w:r>
      <w:bookmarkStart w:id="14" w:name="_Toc1682881084_WPSOffice_Level2"/>
      <w:bookmarkStart w:id="15" w:name="_Toc373329643_WPSOffice_Level2"/>
    </w:p>
    <w:bookmarkEnd w:id="14"/>
    <w:bookmarkEnd w:id="15"/>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1"/>
        <w:rPr>
          <w:rFonts w:hint="eastAsia" w:ascii="仿宋" w:hAnsi="仿宋" w:eastAsia="仿宋" w:cs="仿宋"/>
          <w:color w:val="auto"/>
          <w:kern w:val="0"/>
          <w:sz w:val="32"/>
          <w:szCs w:val="32"/>
          <w:highlight w:val="none"/>
          <w:shd w:val="clear" w:color="auto" w:fill="FFFFFF"/>
          <w:lang w:val="en-US" w:eastAsia="zh-CN"/>
        </w:rPr>
      </w:pPr>
      <w:bookmarkStart w:id="16" w:name="_Toc19550"/>
      <w:r>
        <w:rPr>
          <w:rFonts w:hint="eastAsia" w:ascii="楷体" w:hAnsi="楷体" w:eastAsia="楷体" w:cs="楷体"/>
          <w:b/>
          <w:bCs/>
          <w:color w:val="auto"/>
          <w:kern w:val="0"/>
          <w:sz w:val="32"/>
          <w:szCs w:val="32"/>
          <w:highlight w:val="none"/>
          <w:shd w:val="clear" w:color="auto" w:fill="FFFFFF"/>
          <w:lang w:val="en-US" w:eastAsia="zh-CN"/>
        </w:rPr>
        <w:t>（二）过程管理</w:t>
      </w:r>
      <w:bookmarkEnd w:id="16"/>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该指标主要考核部门</w:t>
      </w:r>
      <w:r>
        <w:rPr>
          <w:rFonts w:hint="eastAsia" w:ascii="仿宋" w:hAnsi="仿宋" w:eastAsia="仿宋" w:cs="仿宋"/>
          <w:color w:val="auto"/>
          <w:kern w:val="0"/>
          <w:sz w:val="32"/>
          <w:szCs w:val="32"/>
          <w:highlight w:val="none"/>
          <w:shd w:val="clear" w:color="auto" w:fill="FFFFFF"/>
          <w:lang w:val="en-US" w:eastAsia="zh-Hans"/>
        </w:rPr>
        <w:t>预算执行、预算管理和资产管理三方面内容</w:t>
      </w:r>
      <w:r>
        <w:rPr>
          <w:rFonts w:hint="eastAsia" w:ascii="仿宋" w:hAnsi="仿宋" w:eastAsia="仿宋" w:cs="仿宋"/>
          <w:color w:val="auto"/>
          <w:kern w:val="0"/>
          <w:sz w:val="32"/>
          <w:szCs w:val="32"/>
          <w:highlight w:val="none"/>
          <w:shd w:val="clear" w:color="auto" w:fill="FFFFFF"/>
          <w:lang w:val="en-US" w:eastAsia="zh-CN"/>
        </w:rPr>
        <w:t>，包括预算完成率、预算调整率、结转结余率、结转结余变动率、“三公经费”控制率、公用经费控制率、政府采购执行率、管理制度健全性、资金使用合规性、预算执行监控、预决算信息公开性、管理制度健全性、资产管理安全性、固定资产利用率等14个三级指标，指标权重39分，评价得分26分，得分率为66.67%。</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Hans"/>
        </w:rPr>
        <w:t>1.预算执行</w:t>
      </w:r>
      <w:r>
        <w:rPr>
          <w:rFonts w:hint="eastAsia" w:ascii="仿宋" w:hAnsi="仿宋" w:eastAsia="仿宋" w:cs="仿宋"/>
          <w:b/>
          <w:bCs/>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Hans"/>
        </w:rPr>
        <w:t>（1）预算完成率</w:t>
      </w:r>
      <w:r>
        <w:rPr>
          <w:rFonts w:hint="eastAsia" w:ascii="仿宋" w:hAnsi="仿宋" w:eastAsia="仿宋" w:cs="仿宋"/>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CN"/>
        </w:rPr>
        <w:t>根据部门收入支出决算总表，新区商务局</w:t>
      </w:r>
      <w:r>
        <w:rPr>
          <w:rFonts w:hint="eastAsia" w:ascii="仿宋" w:hAnsi="仿宋" w:eastAsia="仿宋" w:cs="仿宋"/>
          <w:color w:val="auto"/>
          <w:kern w:val="0"/>
          <w:sz w:val="32"/>
          <w:szCs w:val="32"/>
          <w:highlight w:val="none"/>
          <w:shd w:val="clear" w:color="auto" w:fill="FFFFFF"/>
          <w:lang w:val="en-US" w:eastAsia="zh-Hans"/>
        </w:rPr>
        <w:t>2020年度</w:t>
      </w:r>
      <w:r>
        <w:rPr>
          <w:rFonts w:hint="eastAsia" w:ascii="仿宋" w:hAnsi="仿宋" w:eastAsia="仿宋" w:cs="仿宋"/>
          <w:color w:val="auto"/>
          <w:kern w:val="0"/>
          <w:sz w:val="32"/>
          <w:szCs w:val="32"/>
          <w:highlight w:val="none"/>
          <w:shd w:val="clear" w:color="auto" w:fill="FFFFFF"/>
          <w:lang w:val="en-US" w:eastAsia="zh-CN"/>
        </w:rPr>
        <w:t>调整后</w:t>
      </w:r>
      <w:r>
        <w:rPr>
          <w:rFonts w:hint="eastAsia" w:ascii="仿宋" w:hAnsi="仿宋" w:eastAsia="仿宋" w:cs="仿宋"/>
          <w:color w:val="auto"/>
          <w:kern w:val="0"/>
          <w:sz w:val="32"/>
          <w:szCs w:val="32"/>
          <w:highlight w:val="none"/>
          <w:shd w:val="clear" w:color="auto" w:fill="FFFFFF"/>
          <w:lang w:val="en-US" w:eastAsia="zh-Hans"/>
        </w:rPr>
        <w:t>财政</w:t>
      </w:r>
      <w:r>
        <w:rPr>
          <w:rFonts w:hint="eastAsia" w:ascii="仿宋" w:hAnsi="仿宋" w:eastAsia="仿宋" w:cs="仿宋"/>
          <w:color w:val="auto"/>
          <w:kern w:val="0"/>
          <w:sz w:val="32"/>
          <w:szCs w:val="32"/>
          <w:highlight w:val="none"/>
          <w:shd w:val="clear" w:color="auto" w:fill="FFFFFF"/>
          <w:lang w:val="en-US" w:eastAsia="zh-CN"/>
        </w:rPr>
        <w:t>支出</w:t>
      </w:r>
      <w:r>
        <w:rPr>
          <w:rFonts w:hint="eastAsia" w:ascii="仿宋" w:hAnsi="仿宋" w:eastAsia="仿宋" w:cs="仿宋"/>
          <w:color w:val="auto"/>
          <w:kern w:val="0"/>
          <w:sz w:val="32"/>
          <w:szCs w:val="32"/>
          <w:highlight w:val="none"/>
          <w:shd w:val="clear" w:color="auto" w:fill="FFFFFF"/>
          <w:lang w:val="en-US" w:eastAsia="zh-Hans"/>
        </w:rPr>
        <w:t>总预算为</w:t>
      </w:r>
      <w:r>
        <w:rPr>
          <w:rFonts w:hint="eastAsia" w:ascii="仿宋" w:hAnsi="仿宋" w:eastAsia="仿宋" w:cs="仿宋"/>
          <w:color w:val="auto"/>
          <w:kern w:val="0"/>
          <w:sz w:val="32"/>
          <w:szCs w:val="32"/>
          <w:highlight w:val="none"/>
          <w:shd w:val="clear" w:color="auto" w:fill="FFFFFF"/>
          <w:lang w:val="en-US" w:eastAsia="zh-CN"/>
        </w:rPr>
        <w:t>866.52</w:t>
      </w:r>
      <w:r>
        <w:rPr>
          <w:rFonts w:hint="eastAsia" w:ascii="仿宋" w:hAnsi="仿宋" w:eastAsia="仿宋" w:cs="仿宋"/>
          <w:color w:val="auto"/>
          <w:kern w:val="0"/>
          <w:sz w:val="32"/>
          <w:szCs w:val="32"/>
          <w:highlight w:val="none"/>
          <w:shd w:val="clear" w:color="auto" w:fill="FFFFFF"/>
          <w:lang w:val="en-US" w:eastAsia="zh-Hans"/>
        </w:rPr>
        <w:t>万元，</w:t>
      </w:r>
      <w:r>
        <w:rPr>
          <w:rFonts w:hint="eastAsia" w:ascii="仿宋" w:hAnsi="仿宋" w:eastAsia="仿宋" w:cs="仿宋"/>
          <w:color w:val="auto"/>
          <w:kern w:val="0"/>
          <w:sz w:val="32"/>
          <w:szCs w:val="32"/>
          <w:highlight w:val="none"/>
          <w:shd w:val="clear" w:color="auto" w:fill="FFFFFF"/>
          <w:lang w:val="en-US" w:eastAsia="zh-CN"/>
        </w:rPr>
        <w:t>2020年度支出决算数为433.37万元</w:t>
      </w:r>
      <w:r>
        <w:rPr>
          <w:rFonts w:hint="eastAsia" w:ascii="仿宋" w:hAnsi="仿宋" w:eastAsia="仿宋" w:cs="仿宋"/>
          <w:color w:val="auto"/>
          <w:kern w:val="0"/>
          <w:sz w:val="32"/>
          <w:szCs w:val="32"/>
          <w:highlight w:val="none"/>
          <w:shd w:val="clear" w:color="auto" w:fill="FFFFFF"/>
          <w:lang w:val="en-US" w:eastAsia="zh-Hans"/>
        </w:rPr>
        <w:t>，预算完成率</w:t>
      </w:r>
      <w:r>
        <w:rPr>
          <w:rFonts w:hint="eastAsia" w:ascii="仿宋" w:hAnsi="仿宋" w:eastAsia="仿宋" w:cs="仿宋"/>
          <w:color w:val="auto"/>
          <w:kern w:val="0"/>
          <w:sz w:val="32"/>
          <w:szCs w:val="32"/>
          <w:highlight w:val="none"/>
          <w:shd w:val="clear" w:color="auto" w:fill="FFFFFF"/>
          <w:lang w:val="en-US" w:eastAsia="zh-CN"/>
        </w:rPr>
        <w:t>50.01</w:t>
      </w:r>
      <w:r>
        <w:rPr>
          <w:rFonts w:hint="eastAsia" w:ascii="仿宋" w:hAnsi="仿宋" w:eastAsia="仿宋" w:cs="仿宋"/>
          <w:color w:val="auto"/>
          <w:kern w:val="0"/>
          <w:sz w:val="32"/>
          <w:szCs w:val="32"/>
          <w:highlight w:val="none"/>
          <w:shd w:val="clear" w:color="auto" w:fill="FFFFFF"/>
          <w:lang w:val="en-US" w:eastAsia="zh-Hans"/>
        </w:rPr>
        <w:t>%，该指标满分</w:t>
      </w:r>
      <w:r>
        <w:rPr>
          <w:rFonts w:hint="eastAsia" w:ascii="仿宋" w:hAnsi="仿宋" w:eastAsia="仿宋" w:cs="仿宋"/>
          <w:color w:val="auto"/>
          <w:kern w:val="0"/>
          <w:sz w:val="32"/>
          <w:szCs w:val="32"/>
          <w:highlight w:val="none"/>
          <w:shd w:val="clear" w:color="auto" w:fill="FFFFFF"/>
          <w:lang w:val="en-US" w:eastAsia="zh-CN"/>
        </w:rPr>
        <w:t>3</w:t>
      </w:r>
      <w:r>
        <w:rPr>
          <w:rFonts w:hint="eastAsia" w:ascii="仿宋" w:hAnsi="仿宋" w:eastAsia="仿宋" w:cs="仿宋"/>
          <w:color w:val="auto"/>
          <w:kern w:val="0"/>
          <w:sz w:val="32"/>
          <w:szCs w:val="32"/>
          <w:highlight w:val="none"/>
          <w:shd w:val="clear" w:color="auto" w:fill="FFFFFF"/>
          <w:lang w:val="en-US" w:eastAsia="zh-Hans"/>
        </w:rPr>
        <w:t>分，</w:t>
      </w:r>
      <w:r>
        <w:rPr>
          <w:rFonts w:hint="eastAsia" w:ascii="仿宋" w:hAnsi="仿宋" w:eastAsia="仿宋" w:cs="仿宋"/>
          <w:color w:val="auto"/>
          <w:kern w:val="0"/>
          <w:sz w:val="32"/>
          <w:szCs w:val="32"/>
          <w:highlight w:val="none"/>
          <w:shd w:val="clear" w:color="auto" w:fill="FFFFFF"/>
          <w:lang w:val="en-US" w:eastAsia="zh-CN"/>
        </w:rPr>
        <w:t>得分1.5</w:t>
      </w:r>
      <w:r>
        <w:rPr>
          <w:rFonts w:hint="eastAsia" w:ascii="仿宋" w:hAnsi="仿宋" w:eastAsia="仿宋" w:cs="仿宋"/>
          <w:color w:val="auto"/>
          <w:kern w:val="0"/>
          <w:sz w:val="32"/>
          <w:szCs w:val="32"/>
          <w:highlight w:val="none"/>
          <w:shd w:val="clear" w:color="auto" w:fill="FFFFFF"/>
          <w:lang w:val="en-US" w:eastAsia="zh-Hans"/>
        </w:rPr>
        <w:t>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Hans"/>
        </w:rPr>
        <w:t>（2）预算调整率</w:t>
      </w:r>
      <w:r>
        <w:rPr>
          <w:rFonts w:hint="eastAsia" w:ascii="仿宋" w:hAnsi="仿宋" w:eastAsia="仿宋" w:cs="仿宋"/>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CN"/>
        </w:rPr>
        <w:t>根据新区商务局2020年部门综合预算文件，新区财政局2020年度</w:t>
      </w:r>
      <w:r>
        <w:rPr>
          <w:rFonts w:hint="eastAsia" w:ascii="仿宋" w:hAnsi="仿宋" w:eastAsia="仿宋" w:cs="仿宋"/>
          <w:color w:val="auto"/>
          <w:kern w:val="0"/>
          <w:sz w:val="32"/>
          <w:szCs w:val="32"/>
          <w:highlight w:val="none"/>
          <w:shd w:val="clear" w:color="auto" w:fill="FFFFFF"/>
          <w:lang w:val="en-US" w:eastAsia="zh-Hans"/>
        </w:rPr>
        <w:t>预算</w:t>
      </w:r>
      <w:r>
        <w:rPr>
          <w:rFonts w:hint="eastAsia" w:ascii="仿宋" w:hAnsi="仿宋" w:eastAsia="仿宋" w:cs="仿宋"/>
          <w:color w:val="auto"/>
          <w:kern w:val="0"/>
          <w:sz w:val="32"/>
          <w:szCs w:val="32"/>
          <w:highlight w:val="none"/>
          <w:shd w:val="clear" w:color="auto" w:fill="FFFFFF"/>
          <w:lang w:val="en-US" w:eastAsia="zh-CN"/>
        </w:rPr>
        <w:t>数为50.45</w:t>
      </w:r>
      <w:r>
        <w:rPr>
          <w:rFonts w:hint="eastAsia" w:ascii="仿宋" w:hAnsi="仿宋" w:eastAsia="仿宋" w:cs="仿宋"/>
          <w:color w:val="auto"/>
          <w:kern w:val="0"/>
          <w:sz w:val="32"/>
          <w:szCs w:val="32"/>
          <w:highlight w:val="none"/>
          <w:shd w:val="clear" w:color="auto" w:fill="FFFFFF"/>
          <w:lang w:val="en-US" w:eastAsia="zh-Hans"/>
        </w:rPr>
        <w:t>万元，调整支出预算数为</w:t>
      </w:r>
      <w:r>
        <w:rPr>
          <w:rFonts w:hint="eastAsia" w:ascii="仿宋" w:hAnsi="仿宋" w:eastAsia="仿宋" w:cs="仿宋"/>
          <w:color w:val="auto"/>
          <w:kern w:val="0"/>
          <w:sz w:val="32"/>
          <w:szCs w:val="32"/>
          <w:highlight w:val="none"/>
          <w:shd w:val="clear" w:color="auto" w:fill="FFFFFF"/>
          <w:lang w:val="en-US" w:eastAsia="zh-CN"/>
        </w:rPr>
        <w:t>866.52</w:t>
      </w:r>
      <w:r>
        <w:rPr>
          <w:rFonts w:hint="eastAsia" w:ascii="仿宋" w:hAnsi="仿宋" w:eastAsia="仿宋" w:cs="仿宋"/>
          <w:color w:val="auto"/>
          <w:kern w:val="0"/>
          <w:sz w:val="32"/>
          <w:szCs w:val="32"/>
          <w:highlight w:val="none"/>
          <w:shd w:val="clear" w:color="auto" w:fill="FFFFFF"/>
          <w:lang w:val="en-US" w:eastAsia="zh-Hans"/>
        </w:rPr>
        <w:t>万元，调整率</w:t>
      </w:r>
      <w:r>
        <w:rPr>
          <w:rFonts w:hint="eastAsia" w:ascii="仿宋" w:hAnsi="仿宋" w:eastAsia="仿宋" w:cs="仿宋"/>
          <w:color w:val="auto"/>
          <w:kern w:val="0"/>
          <w:sz w:val="32"/>
          <w:szCs w:val="32"/>
          <w:highlight w:val="none"/>
          <w:shd w:val="clear" w:color="auto" w:fill="FFFFFF"/>
          <w:lang w:val="en-US" w:eastAsia="zh-CN"/>
        </w:rPr>
        <w:t>大于100%，根据评分标准不得分</w:t>
      </w:r>
      <w:r>
        <w:rPr>
          <w:rFonts w:hint="eastAsia" w:ascii="仿宋" w:hAnsi="仿宋" w:eastAsia="仿宋" w:cs="仿宋"/>
          <w:color w:val="auto"/>
          <w:kern w:val="0"/>
          <w:sz w:val="32"/>
          <w:szCs w:val="32"/>
          <w:highlight w:val="none"/>
          <w:shd w:val="clear" w:color="auto" w:fill="FFFFFF"/>
          <w:lang w:val="en-US" w:eastAsia="zh-Hans"/>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该指标满分</w:t>
      </w:r>
      <w:r>
        <w:rPr>
          <w:rFonts w:hint="eastAsia" w:ascii="仿宋" w:hAnsi="仿宋" w:eastAsia="仿宋" w:cs="仿宋"/>
          <w:color w:val="auto"/>
          <w:kern w:val="0"/>
          <w:sz w:val="32"/>
          <w:szCs w:val="32"/>
          <w:highlight w:val="none"/>
          <w:shd w:val="clear" w:color="auto" w:fill="FFFFFF"/>
          <w:lang w:val="en-US" w:eastAsia="zh-CN"/>
        </w:rPr>
        <w:t>2</w:t>
      </w:r>
      <w:r>
        <w:rPr>
          <w:rFonts w:hint="eastAsia" w:ascii="仿宋" w:hAnsi="仿宋" w:eastAsia="仿宋" w:cs="仿宋"/>
          <w:color w:val="auto"/>
          <w:kern w:val="0"/>
          <w:sz w:val="32"/>
          <w:szCs w:val="32"/>
          <w:highlight w:val="none"/>
          <w:shd w:val="clear" w:color="auto" w:fill="FFFFFF"/>
          <w:lang w:val="en-US" w:eastAsia="zh-Hans"/>
        </w:rPr>
        <w:t>分，</w:t>
      </w:r>
      <w:r>
        <w:rPr>
          <w:rFonts w:hint="eastAsia" w:ascii="仿宋" w:hAnsi="仿宋" w:eastAsia="仿宋" w:cs="仿宋"/>
          <w:color w:val="auto"/>
          <w:kern w:val="0"/>
          <w:sz w:val="32"/>
          <w:szCs w:val="32"/>
          <w:highlight w:val="none"/>
          <w:shd w:val="clear" w:color="auto" w:fill="FFFFFF"/>
          <w:lang w:val="en-US" w:eastAsia="zh-CN"/>
        </w:rPr>
        <w:t>扣2分，得分</w:t>
      </w:r>
      <w:r>
        <w:rPr>
          <w:rFonts w:hint="eastAsia" w:ascii="仿宋" w:hAnsi="仿宋" w:eastAsia="仿宋" w:cs="仿宋"/>
          <w:color w:val="auto"/>
          <w:kern w:val="0"/>
          <w:sz w:val="32"/>
          <w:szCs w:val="32"/>
          <w:highlight w:val="none"/>
          <w:shd w:val="clear" w:color="auto" w:fill="FFFFFF"/>
          <w:lang w:val="en-US" w:eastAsia="zh-Hans"/>
        </w:rPr>
        <w:t>0分。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（3）结转结余</w:t>
      </w:r>
      <w:r>
        <w:rPr>
          <w:rFonts w:hint="eastAsia" w:ascii="仿宋" w:hAnsi="仿宋" w:eastAsia="仿宋" w:cs="仿宋"/>
          <w:color w:val="auto"/>
          <w:kern w:val="0"/>
          <w:sz w:val="32"/>
          <w:szCs w:val="32"/>
          <w:highlight w:val="none"/>
          <w:shd w:val="clear" w:color="auto" w:fill="FFFFFF"/>
          <w:lang w:val="en-US" w:eastAsia="zh-Hans"/>
        </w:rPr>
        <w:t>率</w:t>
      </w:r>
      <w:r>
        <w:rPr>
          <w:rFonts w:hint="eastAsia" w:ascii="仿宋" w:hAnsi="仿宋" w:eastAsia="仿宋" w:cs="仿宋"/>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根据部门收入支出决算总表，新区商务局</w:t>
      </w:r>
      <w:r>
        <w:rPr>
          <w:rFonts w:hint="eastAsia" w:ascii="仿宋" w:hAnsi="仿宋" w:eastAsia="仿宋" w:cs="仿宋"/>
          <w:color w:val="auto"/>
          <w:kern w:val="0"/>
          <w:sz w:val="32"/>
          <w:szCs w:val="32"/>
          <w:highlight w:val="none"/>
          <w:shd w:val="clear" w:color="auto" w:fill="FFFFFF"/>
          <w:lang w:val="en-US" w:eastAsia="zh-Hans"/>
        </w:rPr>
        <w:t>2020年度</w:t>
      </w:r>
      <w:r>
        <w:rPr>
          <w:rFonts w:hint="eastAsia" w:ascii="仿宋" w:hAnsi="仿宋" w:eastAsia="仿宋" w:cs="仿宋"/>
          <w:color w:val="auto"/>
          <w:kern w:val="0"/>
          <w:sz w:val="32"/>
          <w:szCs w:val="32"/>
          <w:highlight w:val="none"/>
          <w:shd w:val="clear" w:color="auto" w:fill="FFFFFF"/>
          <w:lang w:val="en-US" w:eastAsia="zh-CN"/>
        </w:rPr>
        <w:t>调整后</w:t>
      </w:r>
      <w:r>
        <w:rPr>
          <w:rFonts w:hint="eastAsia" w:ascii="仿宋" w:hAnsi="仿宋" w:eastAsia="仿宋" w:cs="仿宋"/>
          <w:color w:val="auto"/>
          <w:kern w:val="0"/>
          <w:sz w:val="32"/>
          <w:szCs w:val="32"/>
          <w:highlight w:val="none"/>
          <w:shd w:val="clear" w:color="auto" w:fill="FFFFFF"/>
          <w:lang w:val="en-US" w:eastAsia="zh-Hans"/>
        </w:rPr>
        <w:t>财政</w:t>
      </w:r>
      <w:r>
        <w:rPr>
          <w:rFonts w:hint="eastAsia" w:ascii="仿宋" w:hAnsi="仿宋" w:eastAsia="仿宋" w:cs="仿宋"/>
          <w:color w:val="auto"/>
          <w:kern w:val="0"/>
          <w:sz w:val="32"/>
          <w:szCs w:val="32"/>
          <w:highlight w:val="none"/>
          <w:shd w:val="clear" w:color="auto" w:fill="FFFFFF"/>
          <w:lang w:val="en-US" w:eastAsia="zh-CN"/>
        </w:rPr>
        <w:t>支出</w:t>
      </w:r>
      <w:r>
        <w:rPr>
          <w:rFonts w:hint="eastAsia" w:ascii="仿宋" w:hAnsi="仿宋" w:eastAsia="仿宋" w:cs="仿宋"/>
          <w:color w:val="auto"/>
          <w:kern w:val="0"/>
          <w:sz w:val="32"/>
          <w:szCs w:val="32"/>
          <w:highlight w:val="none"/>
          <w:shd w:val="clear" w:color="auto" w:fill="FFFFFF"/>
          <w:lang w:val="en-US" w:eastAsia="zh-Hans"/>
        </w:rPr>
        <w:t>总预算为</w:t>
      </w:r>
      <w:r>
        <w:rPr>
          <w:rFonts w:hint="eastAsia" w:ascii="仿宋" w:hAnsi="仿宋" w:eastAsia="仿宋" w:cs="仿宋"/>
          <w:color w:val="auto"/>
          <w:kern w:val="0"/>
          <w:sz w:val="32"/>
          <w:szCs w:val="32"/>
          <w:highlight w:val="none"/>
          <w:shd w:val="clear" w:color="auto" w:fill="FFFFFF"/>
          <w:lang w:val="en-US" w:eastAsia="zh-CN"/>
        </w:rPr>
        <w:t>866.52</w:t>
      </w:r>
      <w:r>
        <w:rPr>
          <w:rFonts w:hint="eastAsia" w:ascii="仿宋" w:hAnsi="仿宋" w:eastAsia="仿宋" w:cs="仿宋"/>
          <w:color w:val="auto"/>
          <w:kern w:val="0"/>
          <w:sz w:val="32"/>
          <w:szCs w:val="32"/>
          <w:highlight w:val="none"/>
          <w:shd w:val="clear" w:color="auto" w:fill="FFFFFF"/>
          <w:lang w:val="en-US" w:eastAsia="zh-Hans"/>
        </w:rPr>
        <w:t>万元，</w:t>
      </w:r>
      <w:r>
        <w:rPr>
          <w:rFonts w:hint="eastAsia" w:ascii="仿宋" w:hAnsi="仿宋" w:eastAsia="仿宋" w:cs="仿宋"/>
          <w:color w:val="auto"/>
          <w:kern w:val="0"/>
          <w:sz w:val="32"/>
          <w:szCs w:val="32"/>
          <w:highlight w:val="none"/>
          <w:shd w:val="clear" w:color="auto" w:fill="FFFFFF"/>
          <w:lang w:val="en-US" w:eastAsia="zh-CN"/>
        </w:rPr>
        <w:t>2020年度支出决算数为433.37万元</w:t>
      </w:r>
      <w:r>
        <w:rPr>
          <w:rFonts w:hint="eastAsia" w:ascii="仿宋" w:hAnsi="仿宋" w:eastAsia="仿宋" w:cs="仿宋"/>
          <w:color w:val="auto"/>
          <w:kern w:val="0"/>
          <w:sz w:val="32"/>
          <w:szCs w:val="32"/>
          <w:highlight w:val="none"/>
          <w:shd w:val="clear" w:color="auto" w:fill="FFFFFF"/>
          <w:lang w:val="en-US" w:eastAsia="zh-Hans"/>
        </w:rPr>
        <w:t>，</w:t>
      </w:r>
      <w:r>
        <w:rPr>
          <w:rFonts w:hint="eastAsia" w:ascii="仿宋" w:hAnsi="仿宋" w:eastAsia="仿宋" w:cs="仿宋"/>
          <w:color w:val="auto"/>
          <w:kern w:val="0"/>
          <w:sz w:val="32"/>
          <w:szCs w:val="32"/>
          <w:highlight w:val="none"/>
          <w:shd w:val="clear" w:color="auto" w:fill="FFFFFF"/>
          <w:lang w:val="en-US" w:eastAsia="zh-CN"/>
        </w:rPr>
        <w:t>结转结余433.15万元，结转结余率49.99%。</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该指标满分</w:t>
      </w:r>
      <w:r>
        <w:rPr>
          <w:rFonts w:hint="eastAsia" w:ascii="仿宋" w:hAnsi="仿宋" w:eastAsia="仿宋" w:cs="仿宋"/>
          <w:color w:val="auto"/>
          <w:kern w:val="0"/>
          <w:sz w:val="32"/>
          <w:szCs w:val="32"/>
          <w:highlight w:val="none"/>
          <w:shd w:val="clear" w:color="auto" w:fill="FFFFFF"/>
          <w:lang w:val="en-US" w:eastAsia="zh-CN"/>
        </w:rPr>
        <w:t>3</w:t>
      </w:r>
      <w:r>
        <w:rPr>
          <w:rFonts w:hint="eastAsia" w:ascii="仿宋" w:hAnsi="仿宋" w:eastAsia="仿宋" w:cs="仿宋"/>
          <w:color w:val="auto"/>
          <w:kern w:val="0"/>
          <w:sz w:val="32"/>
          <w:szCs w:val="32"/>
          <w:highlight w:val="none"/>
          <w:shd w:val="clear" w:color="auto" w:fill="FFFFFF"/>
          <w:lang w:val="en-US" w:eastAsia="zh-Hans"/>
        </w:rPr>
        <w:t>分，</w:t>
      </w:r>
      <w:r>
        <w:rPr>
          <w:rFonts w:hint="eastAsia" w:ascii="仿宋" w:hAnsi="仿宋" w:eastAsia="仿宋" w:cs="仿宋"/>
          <w:color w:val="auto"/>
          <w:kern w:val="0"/>
          <w:sz w:val="32"/>
          <w:szCs w:val="32"/>
          <w:highlight w:val="none"/>
          <w:shd w:val="clear" w:color="auto" w:fill="FFFFFF"/>
          <w:lang w:val="en-US" w:eastAsia="zh-CN"/>
        </w:rPr>
        <w:t>得分0分。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Hans"/>
        </w:rPr>
        <w:t>（4）结转结余</w:t>
      </w:r>
      <w:r>
        <w:rPr>
          <w:rFonts w:hint="eastAsia" w:ascii="仿宋" w:hAnsi="仿宋" w:eastAsia="仿宋" w:cs="仿宋"/>
          <w:color w:val="auto"/>
          <w:kern w:val="0"/>
          <w:sz w:val="32"/>
          <w:szCs w:val="32"/>
          <w:highlight w:val="none"/>
          <w:shd w:val="clear" w:color="auto" w:fill="FFFFFF"/>
          <w:lang w:val="en-US" w:eastAsia="zh-CN"/>
        </w:rPr>
        <w:t>变动</w:t>
      </w:r>
      <w:r>
        <w:rPr>
          <w:rFonts w:hint="eastAsia" w:ascii="仿宋" w:hAnsi="仿宋" w:eastAsia="仿宋" w:cs="仿宋"/>
          <w:color w:val="auto"/>
          <w:kern w:val="0"/>
          <w:sz w:val="32"/>
          <w:szCs w:val="32"/>
          <w:highlight w:val="none"/>
          <w:shd w:val="clear" w:color="auto" w:fill="FFFFFF"/>
          <w:lang w:val="en-US" w:eastAsia="zh-Hans"/>
        </w:rPr>
        <w:t>率</w:t>
      </w:r>
      <w:r>
        <w:rPr>
          <w:rFonts w:hint="eastAsia" w:ascii="仿宋" w:hAnsi="仿宋" w:eastAsia="仿宋" w:cs="仿宋"/>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CN"/>
        </w:rPr>
        <w:t>根据新区商务局2019年和2020年部门收入支出决算总表，</w:t>
      </w:r>
      <w:r>
        <w:rPr>
          <w:rFonts w:hint="eastAsia" w:ascii="仿宋" w:hAnsi="仿宋" w:eastAsia="仿宋" w:cs="仿宋"/>
          <w:color w:val="auto"/>
          <w:kern w:val="0"/>
          <w:sz w:val="32"/>
          <w:szCs w:val="32"/>
          <w:highlight w:val="none"/>
          <w:shd w:val="clear" w:color="auto" w:fill="FFFFFF"/>
          <w:lang w:val="en-US" w:eastAsia="zh-Hans"/>
        </w:rPr>
        <w:t>20</w:t>
      </w:r>
      <w:r>
        <w:rPr>
          <w:rFonts w:hint="eastAsia" w:ascii="仿宋" w:hAnsi="仿宋" w:eastAsia="仿宋" w:cs="仿宋"/>
          <w:color w:val="auto"/>
          <w:kern w:val="0"/>
          <w:sz w:val="32"/>
          <w:szCs w:val="32"/>
          <w:highlight w:val="none"/>
          <w:shd w:val="clear" w:color="auto" w:fill="FFFFFF"/>
          <w:lang w:val="en-US" w:eastAsia="zh-CN"/>
        </w:rPr>
        <w:t>19</w:t>
      </w:r>
      <w:r>
        <w:rPr>
          <w:rFonts w:hint="eastAsia" w:ascii="仿宋" w:hAnsi="仿宋" w:eastAsia="仿宋" w:cs="仿宋"/>
          <w:color w:val="auto"/>
          <w:kern w:val="0"/>
          <w:sz w:val="32"/>
          <w:szCs w:val="32"/>
          <w:highlight w:val="none"/>
          <w:shd w:val="clear" w:color="auto" w:fill="FFFFFF"/>
          <w:lang w:val="en-US" w:eastAsia="zh-Hans"/>
        </w:rPr>
        <w:t>年该部门结转结余总额为</w:t>
      </w:r>
      <w:r>
        <w:rPr>
          <w:rFonts w:hint="eastAsia" w:ascii="仿宋" w:hAnsi="仿宋" w:eastAsia="仿宋" w:cs="仿宋"/>
          <w:color w:val="auto"/>
          <w:kern w:val="0"/>
          <w:sz w:val="32"/>
          <w:szCs w:val="32"/>
          <w:highlight w:val="none"/>
          <w:shd w:val="clear" w:color="auto" w:fill="FFFFFF"/>
          <w:lang w:val="en-US" w:eastAsia="zh-CN"/>
        </w:rPr>
        <w:t>14.69</w:t>
      </w:r>
      <w:r>
        <w:rPr>
          <w:rFonts w:hint="eastAsia" w:ascii="仿宋" w:hAnsi="仿宋" w:eastAsia="仿宋" w:cs="仿宋"/>
          <w:color w:val="auto"/>
          <w:kern w:val="0"/>
          <w:sz w:val="32"/>
          <w:szCs w:val="32"/>
          <w:highlight w:val="none"/>
          <w:shd w:val="clear" w:color="auto" w:fill="FFFFFF"/>
          <w:lang w:val="en-US" w:eastAsia="zh-Hans"/>
        </w:rPr>
        <w:t>万元，20</w:t>
      </w:r>
      <w:r>
        <w:rPr>
          <w:rFonts w:hint="eastAsia" w:ascii="仿宋" w:hAnsi="仿宋" w:eastAsia="仿宋" w:cs="仿宋"/>
          <w:color w:val="auto"/>
          <w:kern w:val="0"/>
          <w:sz w:val="32"/>
          <w:szCs w:val="32"/>
          <w:highlight w:val="none"/>
          <w:shd w:val="clear" w:color="auto" w:fill="FFFFFF"/>
          <w:lang w:val="en-US" w:eastAsia="zh-CN"/>
        </w:rPr>
        <w:t>20</w:t>
      </w:r>
      <w:r>
        <w:rPr>
          <w:rFonts w:hint="eastAsia" w:ascii="仿宋" w:hAnsi="仿宋" w:eastAsia="仿宋" w:cs="仿宋"/>
          <w:color w:val="auto"/>
          <w:kern w:val="0"/>
          <w:sz w:val="32"/>
          <w:szCs w:val="32"/>
          <w:highlight w:val="none"/>
          <w:shd w:val="clear" w:color="auto" w:fill="FFFFFF"/>
          <w:lang w:val="en-US" w:eastAsia="zh-Hans"/>
        </w:rPr>
        <w:t>年该部门结转结余总额为</w:t>
      </w:r>
      <w:r>
        <w:rPr>
          <w:rFonts w:hint="eastAsia" w:ascii="仿宋" w:hAnsi="仿宋" w:eastAsia="仿宋" w:cs="仿宋"/>
          <w:color w:val="auto"/>
          <w:kern w:val="0"/>
          <w:sz w:val="32"/>
          <w:szCs w:val="32"/>
          <w:highlight w:val="none"/>
          <w:shd w:val="clear" w:color="auto" w:fill="FFFFFF"/>
          <w:lang w:val="en-US" w:eastAsia="zh-CN"/>
        </w:rPr>
        <w:t>433.15</w:t>
      </w:r>
      <w:r>
        <w:rPr>
          <w:rFonts w:hint="eastAsia" w:ascii="仿宋" w:hAnsi="仿宋" w:eastAsia="仿宋" w:cs="仿宋"/>
          <w:color w:val="auto"/>
          <w:kern w:val="0"/>
          <w:sz w:val="32"/>
          <w:szCs w:val="32"/>
          <w:highlight w:val="none"/>
          <w:shd w:val="clear" w:color="auto" w:fill="FFFFFF"/>
          <w:lang w:val="en-US" w:eastAsia="zh-Hans"/>
        </w:rPr>
        <w:t>万元</w:t>
      </w:r>
      <w:r>
        <w:rPr>
          <w:rFonts w:hint="eastAsia" w:ascii="仿宋" w:hAnsi="仿宋" w:eastAsia="仿宋" w:cs="仿宋"/>
          <w:color w:val="auto"/>
          <w:kern w:val="0"/>
          <w:sz w:val="32"/>
          <w:szCs w:val="32"/>
          <w:highlight w:val="none"/>
          <w:shd w:val="clear" w:color="auto" w:fill="FFFFFF"/>
          <w:lang w:val="en-US" w:eastAsia="zh-CN"/>
        </w:rPr>
        <w:t>，</w:t>
      </w:r>
      <w:r>
        <w:rPr>
          <w:rFonts w:hint="eastAsia" w:ascii="仿宋" w:hAnsi="仿宋" w:eastAsia="仿宋" w:cs="仿宋"/>
          <w:color w:val="auto"/>
          <w:kern w:val="0"/>
          <w:sz w:val="32"/>
          <w:szCs w:val="32"/>
          <w:highlight w:val="none"/>
          <w:shd w:val="clear" w:color="auto" w:fill="FFFFFF"/>
          <w:lang w:val="en-US" w:eastAsia="zh-Hans"/>
        </w:rPr>
        <w:t>结转结余</w:t>
      </w:r>
      <w:r>
        <w:rPr>
          <w:rFonts w:hint="eastAsia" w:ascii="仿宋" w:hAnsi="仿宋" w:eastAsia="仿宋" w:cs="仿宋"/>
          <w:color w:val="auto"/>
          <w:kern w:val="0"/>
          <w:sz w:val="32"/>
          <w:szCs w:val="32"/>
          <w:highlight w:val="none"/>
          <w:shd w:val="clear" w:color="auto" w:fill="FFFFFF"/>
          <w:lang w:val="en-US" w:eastAsia="zh-CN"/>
        </w:rPr>
        <w:t>变动</w:t>
      </w:r>
      <w:r>
        <w:rPr>
          <w:rFonts w:hint="eastAsia" w:ascii="仿宋" w:hAnsi="仿宋" w:eastAsia="仿宋" w:cs="仿宋"/>
          <w:color w:val="auto"/>
          <w:kern w:val="0"/>
          <w:sz w:val="32"/>
          <w:szCs w:val="32"/>
          <w:highlight w:val="none"/>
          <w:shd w:val="clear" w:color="auto" w:fill="FFFFFF"/>
          <w:lang w:val="en-US" w:eastAsia="zh-Hans"/>
        </w:rPr>
        <w:t>率为</w:t>
      </w:r>
      <w:r>
        <w:rPr>
          <w:rFonts w:hint="eastAsia" w:ascii="仿宋" w:hAnsi="仿宋" w:eastAsia="仿宋" w:cs="仿宋"/>
          <w:color w:val="auto"/>
          <w:kern w:val="0"/>
          <w:sz w:val="32"/>
          <w:szCs w:val="32"/>
          <w:highlight w:val="none"/>
          <w:shd w:val="clear" w:color="auto" w:fill="FFFFFF"/>
          <w:lang w:val="en-US" w:eastAsia="zh-CN"/>
        </w:rPr>
        <w:t>96.6</w:t>
      </w:r>
      <w:r>
        <w:rPr>
          <w:rFonts w:hint="eastAsia" w:ascii="仿宋" w:hAnsi="仿宋" w:eastAsia="仿宋" w:cs="仿宋"/>
          <w:color w:val="auto"/>
          <w:kern w:val="0"/>
          <w:sz w:val="32"/>
          <w:szCs w:val="32"/>
          <w:highlight w:val="none"/>
          <w:shd w:val="clear" w:color="auto" w:fill="FFFFFF"/>
          <w:lang w:val="en-US" w:eastAsia="zh-Hans"/>
        </w:rPr>
        <w:t>%，</w:t>
      </w:r>
      <w:r>
        <w:rPr>
          <w:rFonts w:hint="eastAsia" w:ascii="仿宋" w:hAnsi="仿宋" w:eastAsia="仿宋" w:cs="仿宋"/>
          <w:color w:val="auto"/>
          <w:kern w:val="0"/>
          <w:sz w:val="32"/>
          <w:szCs w:val="32"/>
          <w:highlight w:val="none"/>
          <w:shd w:val="clear" w:color="auto" w:fill="FFFFFF"/>
          <w:lang w:val="en-US" w:eastAsia="zh-CN"/>
        </w:rPr>
        <w:t>大于20%，根据评分标准不得分</w:t>
      </w:r>
      <w:r>
        <w:rPr>
          <w:rFonts w:hint="eastAsia" w:ascii="仿宋" w:hAnsi="仿宋" w:eastAsia="仿宋" w:cs="仿宋"/>
          <w:color w:val="auto"/>
          <w:kern w:val="0"/>
          <w:sz w:val="32"/>
          <w:szCs w:val="32"/>
          <w:highlight w:val="none"/>
          <w:shd w:val="clear" w:color="auto" w:fill="FFFFFF"/>
          <w:lang w:val="en-US" w:eastAsia="zh-Hans"/>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该指标满分</w:t>
      </w:r>
      <w:r>
        <w:rPr>
          <w:rFonts w:hint="eastAsia" w:ascii="仿宋" w:hAnsi="仿宋" w:eastAsia="仿宋" w:cs="仿宋"/>
          <w:color w:val="auto"/>
          <w:kern w:val="0"/>
          <w:sz w:val="32"/>
          <w:szCs w:val="32"/>
          <w:highlight w:val="none"/>
          <w:shd w:val="clear" w:color="auto" w:fill="FFFFFF"/>
          <w:lang w:val="en-US" w:eastAsia="zh-CN"/>
        </w:rPr>
        <w:t>2</w:t>
      </w:r>
      <w:r>
        <w:rPr>
          <w:rFonts w:hint="eastAsia" w:ascii="仿宋" w:hAnsi="仿宋" w:eastAsia="仿宋" w:cs="仿宋"/>
          <w:color w:val="auto"/>
          <w:kern w:val="0"/>
          <w:sz w:val="32"/>
          <w:szCs w:val="32"/>
          <w:highlight w:val="none"/>
          <w:shd w:val="clear" w:color="auto" w:fill="FFFFFF"/>
          <w:lang w:val="en-US" w:eastAsia="zh-Hans"/>
        </w:rPr>
        <w:t>分，</w:t>
      </w:r>
      <w:r>
        <w:rPr>
          <w:rFonts w:hint="eastAsia" w:ascii="仿宋" w:hAnsi="仿宋" w:eastAsia="仿宋" w:cs="仿宋"/>
          <w:color w:val="auto"/>
          <w:kern w:val="0"/>
          <w:sz w:val="32"/>
          <w:szCs w:val="32"/>
          <w:highlight w:val="none"/>
          <w:shd w:val="clear" w:color="auto" w:fill="FFFFFF"/>
          <w:lang w:val="en-US" w:eastAsia="zh-CN"/>
        </w:rPr>
        <w:t>得分0分。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Hans"/>
        </w:rPr>
        <w:t>（</w:t>
      </w:r>
      <w:r>
        <w:rPr>
          <w:rFonts w:hint="eastAsia" w:ascii="仿宋" w:hAnsi="仿宋" w:eastAsia="仿宋" w:cs="仿宋"/>
          <w:color w:val="auto"/>
          <w:kern w:val="0"/>
          <w:sz w:val="32"/>
          <w:szCs w:val="32"/>
          <w:highlight w:val="none"/>
          <w:shd w:val="clear" w:color="auto" w:fill="FFFFFF"/>
          <w:lang w:val="en-US" w:eastAsia="zh-CN"/>
        </w:rPr>
        <w:t>5</w:t>
      </w:r>
      <w:r>
        <w:rPr>
          <w:rFonts w:hint="eastAsia" w:ascii="仿宋" w:hAnsi="仿宋" w:eastAsia="仿宋" w:cs="仿宋"/>
          <w:color w:val="auto"/>
          <w:kern w:val="0"/>
          <w:sz w:val="32"/>
          <w:szCs w:val="32"/>
          <w:highlight w:val="none"/>
          <w:shd w:val="clear" w:color="auto" w:fill="FFFFFF"/>
          <w:lang w:val="en-US" w:eastAsia="zh-Hans"/>
        </w:rPr>
        <w:t>）公用经费控制率</w:t>
      </w:r>
      <w:r>
        <w:rPr>
          <w:rFonts w:hint="eastAsia" w:ascii="仿宋" w:hAnsi="仿宋" w:eastAsia="仿宋" w:cs="仿宋"/>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CN"/>
        </w:rPr>
        <w:t>根据新区商务局2020年部门综合预算文件和部门支出收入决算总表，</w:t>
      </w:r>
      <w:r>
        <w:rPr>
          <w:rFonts w:hint="eastAsia" w:ascii="仿宋" w:hAnsi="仿宋" w:eastAsia="仿宋" w:cs="仿宋"/>
          <w:color w:val="auto"/>
          <w:kern w:val="0"/>
          <w:sz w:val="32"/>
          <w:szCs w:val="32"/>
          <w:highlight w:val="none"/>
          <w:shd w:val="clear" w:color="auto" w:fill="FFFFFF"/>
          <w:lang w:val="en-US" w:eastAsia="zh-Hans"/>
        </w:rPr>
        <w:t>2020年</w:t>
      </w:r>
      <w:r>
        <w:rPr>
          <w:rFonts w:hint="eastAsia" w:ascii="仿宋" w:hAnsi="仿宋" w:eastAsia="仿宋" w:cs="仿宋"/>
          <w:color w:val="auto"/>
          <w:kern w:val="0"/>
          <w:sz w:val="32"/>
          <w:szCs w:val="32"/>
          <w:highlight w:val="none"/>
          <w:shd w:val="clear" w:color="auto" w:fill="FFFFFF"/>
          <w:lang w:val="en-US" w:eastAsia="zh-CN"/>
        </w:rPr>
        <w:t>新区商务局</w:t>
      </w:r>
      <w:r>
        <w:rPr>
          <w:rFonts w:hint="eastAsia" w:ascii="仿宋" w:hAnsi="仿宋" w:eastAsia="仿宋" w:cs="仿宋"/>
          <w:color w:val="auto"/>
          <w:kern w:val="0"/>
          <w:sz w:val="32"/>
          <w:szCs w:val="32"/>
          <w:highlight w:val="none"/>
          <w:shd w:val="clear" w:color="auto" w:fill="FFFFFF"/>
          <w:lang w:val="en-US" w:eastAsia="zh-Hans"/>
        </w:rPr>
        <w:t>实际公用经费</w:t>
      </w:r>
      <w:r>
        <w:rPr>
          <w:rFonts w:hint="eastAsia" w:ascii="仿宋" w:hAnsi="仿宋" w:eastAsia="仿宋" w:cs="仿宋"/>
          <w:color w:val="auto"/>
          <w:kern w:val="0"/>
          <w:sz w:val="32"/>
          <w:szCs w:val="32"/>
          <w:highlight w:val="none"/>
          <w:shd w:val="clear" w:color="auto" w:fill="FFFFFF"/>
          <w:lang w:val="en-US" w:eastAsia="zh-CN"/>
        </w:rPr>
        <w:t>3.99</w:t>
      </w:r>
      <w:r>
        <w:rPr>
          <w:rFonts w:hint="eastAsia" w:ascii="仿宋" w:hAnsi="仿宋" w:eastAsia="仿宋" w:cs="仿宋"/>
          <w:color w:val="auto"/>
          <w:kern w:val="0"/>
          <w:sz w:val="32"/>
          <w:szCs w:val="32"/>
          <w:highlight w:val="none"/>
          <w:shd w:val="clear" w:color="auto" w:fill="FFFFFF"/>
          <w:lang w:val="en-US" w:eastAsia="zh-Hans"/>
        </w:rPr>
        <w:t>万元，预算安排公用经费为</w:t>
      </w:r>
      <w:r>
        <w:rPr>
          <w:rFonts w:hint="eastAsia" w:ascii="仿宋" w:hAnsi="仿宋" w:eastAsia="仿宋" w:cs="仿宋"/>
          <w:color w:val="auto"/>
          <w:kern w:val="0"/>
          <w:sz w:val="32"/>
          <w:szCs w:val="32"/>
          <w:highlight w:val="none"/>
          <w:shd w:val="clear" w:color="auto" w:fill="FFFFFF"/>
          <w:lang w:val="en-US" w:eastAsia="zh-CN"/>
        </w:rPr>
        <w:t>7.56</w:t>
      </w:r>
      <w:r>
        <w:rPr>
          <w:rFonts w:hint="eastAsia" w:ascii="仿宋" w:hAnsi="仿宋" w:eastAsia="仿宋" w:cs="仿宋"/>
          <w:color w:val="auto"/>
          <w:kern w:val="0"/>
          <w:sz w:val="32"/>
          <w:szCs w:val="32"/>
          <w:highlight w:val="none"/>
          <w:shd w:val="clear" w:color="auto" w:fill="FFFFFF"/>
          <w:lang w:val="en-US" w:eastAsia="zh-Hans"/>
        </w:rPr>
        <w:t>万元，公用经费控制率为</w:t>
      </w:r>
      <w:r>
        <w:rPr>
          <w:rFonts w:hint="eastAsia" w:ascii="仿宋" w:hAnsi="仿宋" w:eastAsia="仿宋" w:cs="仿宋"/>
          <w:color w:val="auto"/>
          <w:kern w:val="0"/>
          <w:sz w:val="32"/>
          <w:szCs w:val="32"/>
          <w:highlight w:val="none"/>
          <w:shd w:val="clear" w:color="auto" w:fill="FFFFFF"/>
          <w:lang w:val="en-US" w:eastAsia="zh-CN"/>
        </w:rPr>
        <w:t>52.78</w:t>
      </w:r>
      <w:r>
        <w:rPr>
          <w:rFonts w:hint="eastAsia" w:ascii="仿宋" w:hAnsi="仿宋" w:eastAsia="仿宋" w:cs="仿宋"/>
          <w:color w:val="auto"/>
          <w:kern w:val="0"/>
          <w:sz w:val="32"/>
          <w:szCs w:val="32"/>
          <w:highlight w:val="none"/>
          <w:shd w:val="clear" w:color="auto" w:fill="FFFFFF"/>
          <w:lang w:val="en-US" w:eastAsia="zh-Hans"/>
        </w:rPr>
        <w:t>%，</w:t>
      </w:r>
      <w:r>
        <w:rPr>
          <w:rFonts w:hint="eastAsia" w:ascii="仿宋" w:hAnsi="仿宋" w:eastAsia="仿宋" w:cs="仿宋"/>
          <w:color w:val="auto"/>
          <w:kern w:val="0"/>
          <w:sz w:val="32"/>
          <w:szCs w:val="32"/>
          <w:highlight w:val="none"/>
          <w:shd w:val="clear" w:color="auto" w:fill="FFFFFF"/>
          <w:lang w:val="en-US" w:eastAsia="zh-CN"/>
        </w:rPr>
        <w:t>小于100%，不扣分</w:t>
      </w:r>
      <w:r>
        <w:rPr>
          <w:rFonts w:hint="eastAsia" w:ascii="仿宋" w:hAnsi="仿宋" w:eastAsia="仿宋" w:cs="仿宋"/>
          <w:color w:val="auto"/>
          <w:kern w:val="0"/>
          <w:sz w:val="32"/>
          <w:szCs w:val="32"/>
          <w:highlight w:val="none"/>
          <w:shd w:val="clear" w:color="auto" w:fill="FFFFFF"/>
          <w:lang w:val="en-US" w:eastAsia="zh-Hans"/>
        </w:rPr>
        <w:t>。</w:t>
      </w:r>
    </w:p>
    <w:p>
      <w:pPr>
        <w:pStyle w:val="2"/>
        <w:ind w:left="0" w:leftChars="0" w:firstLine="640" w:firstLineChars="200"/>
        <w:rPr>
          <w:rFonts w:hint="default" w:eastAsia="仿宋"/>
          <w:lang w:val="en-US" w:eastAsia="zh-CN"/>
        </w:rPr>
      </w:pPr>
      <w:r>
        <w:rPr>
          <w:rFonts w:hint="eastAsia" w:ascii="仿宋" w:hAnsi="仿宋" w:eastAsia="仿宋" w:cs="仿宋"/>
          <w:color w:val="auto"/>
          <w:kern w:val="0"/>
          <w:sz w:val="32"/>
          <w:szCs w:val="32"/>
          <w:highlight w:val="none"/>
          <w:shd w:val="clear" w:color="auto" w:fill="FFFFFF"/>
          <w:lang w:val="en-US" w:eastAsia="zh-CN"/>
        </w:rPr>
        <w:t>该指标满分4分，得分4分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Hans"/>
        </w:rPr>
        <w:t>（</w:t>
      </w:r>
      <w:r>
        <w:rPr>
          <w:rFonts w:hint="eastAsia" w:ascii="仿宋" w:hAnsi="仿宋" w:eastAsia="仿宋" w:cs="仿宋"/>
          <w:color w:val="auto"/>
          <w:kern w:val="0"/>
          <w:sz w:val="32"/>
          <w:szCs w:val="32"/>
          <w:highlight w:val="none"/>
          <w:shd w:val="clear" w:color="auto" w:fill="FFFFFF"/>
          <w:lang w:val="en-US" w:eastAsia="zh-CN"/>
        </w:rPr>
        <w:t>6</w:t>
      </w:r>
      <w:r>
        <w:rPr>
          <w:rFonts w:hint="eastAsia" w:ascii="仿宋" w:hAnsi="仿宋" w:eastAsia="仿宋" w:cs="仿宋"/>
          <w:color w:val="auto"/>
          <w:kern w:val="0"/>
          <w:sz w:val="32"/>
          <w:szCs w:val="32"/>
          <w:highlight w:val="none"/>
          <w:shd w:val="clear" w:color="auto" w:fill="FFFFFF"/>
          <w:lang w:val="en-US" w:eastAsia="zh-Hans"/>
        </w:rPr>
        <w:t>）“三公经费”控制率</w:t>
      </w:r>
      <w:r>
        <w:rPr>
          <w:rFonts w:hint="eastAsia" w:ascii="仿宋" w:hAnsi="仿宋" w:eastAsia="仿宋" w:cs="仿宋"/>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CN"/>
        </w:rPr>
        <w:t>根据新区商务局2020年部门综合预算文件和部门支出收入决算总表，</w:t>
      </w:r>
      <w:r>
        <w:rPr>
          <w:rFonts w:hint="eastAsia" w:ascii="仿宋" w:hAnsi="仿宋" w:eastAsia="仿宋" w:cs="仿宋"/>
          <w:color w:val="auto"/>
          <w:kern w:val="0"/>
          <w:sz w:val="32"/>
          <w:szCs w:val="32"/>
          <w:highlight w:val="none"/>
          <w:shd w:val="clear" w:color="auto" w:fill="FFFFFF"/>
          <w:lang w:val="en-US" w:eastAsia="zh-Hans"/>
        </w:rPr>
        <w:t>2020年</w:t>
      </w:r>
      <w:r>
        <w:rPr>
          <w:rFonts w:hint="eastAsia" w:ascii="仿宋" w:hAnsi="仿宋" w:eastAsia="仿宋" w:cs="仿宋"/>
          <w:color w:val="auto"/>
          <w:kern w:val="0"/>
          <w:sz w:val="32"/>
          <w:szCs w:val="32"/>
          <w:highlight w:val="none"/>
          <w:shd w:val="clear" w:color="auto" w:fill="FFFFFF"/>
          <w:lang w:val="en-US" w:eastAsia="zh-CN"/>
        </w:rPr>
        <w:t>新区商务局</w:t>
      </w:r>
      <w:r>
        <w:rPr>
          <w:rFonts w:hint="eastAsia" w:ascii="仿宋" w:hAnsi="仿宋" w:eastAsia="仿宋" w:cs="仿宋"/>
          <w:color w:val="auto"/>
          <w:kern w:val="0"/>
          <w:sz w:val="32"/>
          <w:szCs w:val="32"/>
          <w:highlight w:val="none"/>
          <w:shd w:val="clear" w:color="auto" w:fill="FFFFFF"/>
          <w:lang w:val="en-US" w:eastAsia="zh-Hans"/>
        </w:rPr>
        <w:t>“三公经费”实际支出为0万元，预算安排为</w:t>
      </w:r>
      <w:r>
        <w:rPr>
          <w:rFonts w:hint="eastAsia" w:ascii="仿宋" w:hAnsi="仿宋" w:eastAsia="仿宋" w:cs="仿宋"/>
          <w:color w:val="auto"/>
          <w:kern w:val="0"/>
          <w:sz w:val="32"/>
          <w:szCs w:val="32"/>
          <w:highlight w:val="none"/>
          <w:shd w:val="clear" w:color="auto" w:fill="FFFFFF"/>
          <w:lang w:val="en-US" w:eastAsia="zh-CN"/>
        </w:rPr>
        <w:t>0.1</w:t>
      </w:r>
      <w:r>
        <w:rPr>
          <w:rFonts w:hint="eastAsia" w:ascii="仿宋" w:hAnsi="仿宋" w:eastAsia="仿宋" w:cs="仿宋"/>
          <w:color w:val="auto"/>
          <w:kern w:val="0"/>
          <w:sz w:val="32"/>
          <w:szCs w:val="32"/>
          <w:highlight w:val="none"/>
          <w:shd w:val="clear" w:color="auto" w:fill="FFFFFF"/>
          <w:lang w:val="en-US" w:eastAsia="zh-Hans"/>
        </w:rPr>
        <w:t>万元，三公经费控制率为</w:t>
      </w:r>
      <w:r>
        <w:rPr>
          <w:rFonts w:hint="eastAsia" w:ascii="仿宋" w:hAnsi="仿宋" w:eastAsia="仿宋" w:cs="仿宋"/>
          <w:color w:val="auto"/>
          <w:kern w:val="0"/>
          <w:sz w:val="32"/>
          <w:szCs w:val="32"/>
          <w:highlight w:val="none"/>
          <w:shd w:val="clear" w:color="auto" w:fill="FFFFFF"/>
          <w:lang w:val="en-US" w:eastAsia="zh-CN"/>
        </w:rPr>
        <w:t>0</w:t>
      </w:r>
      <w:r>
        <w:rPr>
          <w:rFonts w:hint="eastAsia" w:ascii="仿宋" w:hAnsi="仿宋" w:eastAsia="仿宋" w:cs="仿宋"/>
          <w:color w:val="auto"/>
          <w:kern w:val="0"/>
          <w:sz w:val="32"/>
          <w:szCs w:val="32"/>
          <w:highlight w:val="none"/>
          <w:shd w:val="clear" w:color="auto" w:fill="FFFFFF"/>
          <w:lang w:val="en-US" w:eastAsia="zh-Hans"/>
        </w:rPr>
        <w:t>%，</w:t>
      </w:r>
      <w:r>
        <w:rPr>
          <w:rFonts w:hint="eastAsia" w:ascii="仿宋" w:hAnsi="仿宋" w:eastAsia="仿宋" w:cs="仿宋"/>
          <w:color w:val="auto"/>
          <w:kern w:val="0"/>
          <w:sz w:val="32"/>
          <w:szCs w:val="32"/>
          <w:highlight w:val="none"/>
          <w:shd w:val="clear" w:color="auto" w:fill="FFFFFF"/>
          <w:lang w:val="en-US" w:eastAsia="zh-CN"/>
        </w:rPr>
        <w:t>小于100%，不扣分</w:t>
      </w:r>
      <w:r>
        <w:rPr>
          <w:rFonts w:hint="eastAsia" w:ascii="仿宋" w:hAnsi="仿宋" w:eastAsia="仿宋" w:cs="仿宋"/>
          <w:color w:val="auto"/>
          <w:kern w:val="0"/>
          <w:sz w:val="32"/>
          <w:szCs w:val="32"/>
          <w:highlight w:val="none"/>
          <w:shd w:val="clear" w:color="auto" w:fill="FFFFFF"/>
          <w:lang w:val="en-US" w:eastAsia="zh-Hans"/>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该指标满分</w:t>
      </w:r>
      <w:r>
        <w:rPr>
          <w:rFonts w:hint="eastAsia" w:ascii="仿宋" w:hAnsi="仿宋" w:eastAsia="仿宋" w:cs="仿宋"/>
          <w:color w:val="auto"/>
          <w:kern w:val="0"/>
          <w:sz w:val="32"/>
          <w:szCs w:val="32"/>
          <w:highlight w:val="none"/>
          <w:shd w:val="clear" w:color="auto" w:fill="FFFFFF"/>
          <w:lang w:val="en-US" w:eastAsia="zh-CN"/>
        </w:rPr>
        <w:t>4</w:t>
      </w:r>
      <w:r>
        <w:rPr>
          <w:rFonts w:hint="eastAsia" w:ascii="仿宋" w:hAnsi="仿宋" w:eastAsia="仿宋" w:cs="仿宋"/>
          <w:color w:val="auto"/>
          <w:kern w:val="0"/>
          <w:sz w:val="32"/>
          <w:szCs w:val="32"/>
          <w:highlight w:val="none"/>
          <w:shd w:val="clear" w:color="auto" w:fill="FFFFFF"/>
          <w:lang w:val="en-US" w:eastAsia="zh-Hans"/>
        </w:rPr>
        <w:t>分，</w:t>
      </w:r>
      <w:r>
        <w:rPr>
          <w:rFonts w:hint="eastAsia" w:ascii="仿宋" w:hAnsi="仿宋" w:eastAsia="仿宋" w:cs="仿宋"/>
          <w:color w:val="auto"/>
          <w:kern w:val="0"/>
          <w:sz w:val="32"/>
          <w:szCs w:val="32"/>
          <w:highlight w:val="none"/>
          <w:shd w:val="clear" w:color="auto" w:fill="FFFFFF"/>
          <w:lang w:val="en-US" w:eastAsia="zh-CN"/>
        </w:rPr>
        <w:t>得分4分。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（7）</w:t>
      </w:r>
      <w:r>
        <w:rPr>
          <w:rFonts w:hint="eastAsia" w:ascii="仿宋" w:hAnsi="仿宋" w:eastAsia="仿宋" w:cs="仿宋"/>
          <w:color w:val="auto"/>
          <w:kern w:val="0"/>
          <w:sz w:val="32"/>
          <w:szCs w:val="32"/>
          <w:highlight w:val="none"/>
          <w:shd w:val="clear" w:color="auto" w:fill="FFFFFF"/>
          <w:lang w:val="en-US" w:eastAsia="zh-Hans"/>
        </w:rPr>
        <w:t>政府采购执行率</w:t>
      </w:r>
      <w:r>
        <w:rPr>
          <w:rFonts w:hint="eastAsia" w:ascii="仿宋" w:hAnsi="仿宋" w:eastAsia="仿宋" w:cs="仿宋"/>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CN"/>
        </w:rPr>
        <w:t>根据新区商务局2020年部门综合预算和决算文件，新区商务局在2</w:t>
      </w:r>
      <w:r>
        <w:rPr>
          <w:rFonts w:hint="eastAsia" w:ascii="仿宋" w:hAnsi="仿宋" w:eastAsia="仿宋" w:cs="仿宋"/>
          <w:color w:val="auto"/>
          <w:kern w:val="0"/>
          <w:sz w:val="32"/>
          <w:szCs w:val="32"/>
          <w:highlight w:val="none"/>
          <w:shd w:val="clear" w:color="auto" w:fill="FFFFFF"/>
          <w:lang w:val="en-US" w:eastAsia="zh-Hans"/>
        </w:rPr>
        <w:t>020年</w:t>
      </w:r>
      <w:r>
        <w:rPr>
          <w:rFonts w:hint="eastAsia" w:ascii="仿宋" w:hAnsi="仿宋" w:eastAsia="仿宋" w:cs="仿宋"/>
          <w:color w:val="auto"/>
          <w:kern w:val="0"/>
          <w:sz w:val="32"/>
          <w:szCs w:val="32"/>
          <w:highlight w:val="none"/>
          <w:shd w:val="clear" w:color="auto" w:fill="FFFFFF"/>
          <w:lang w:val="en-US" w:eastAsia="zh-CN"/>
        </w:rPr>
        <w:t>没有</w:t>
      </w:r>
      <w:r>
        <w:rPr>
          <w:rFonts w:hint="eastAsia" w:ascii="仿宋" w:hAnsi="仿宋" w:eastAsia="仿宋" w:cs="仿宋"/>
          <w:color w:val="auto"/>
          <w:kern w:val="0"/>
          <w:sz w:val="32"/>
          <w:szCs w:val="32"/>
          <w:highlight w:val="none"/>
          <w:shd w:val="clear" w:color="auto" w:fill="FFFFFF"/>
          <w:lang w:val="en-US" w:eastAsia="zh-Hans"/>
        </w:rPr>
        <w:t>政府采购预算，并已公开空表，</w:t>
      </w:r>
      <w:r>
        <w:rPr>
          <w:rFonts w:hint="eastAsia" w:ascii="仿宋" w:hAnsi="仿宋" w:eastAsia="仿宋" w:cs="仿宋"/>
          <w:color w:val="auto"/>
          <w:kern w:val="0"/>
          <w:sz w:val="32"/>
          <w:szCs w:val="32"/>
          <w:highlight w:val="none"/>
          <w:shd w:val="clear" w:color="auto" w:fill="FFFFFF"/>
          <w:lang w:val="en-US" w:eastAsia="zh-CN"/>
        </w:rPr>
        <w:t>新区商务局</w:t>
      </w:r>
      <w:r>
        <w:rPr>
          <w:rFonts w:hint="eastAsia" w:ascii="仿宋" w:hAnsi="仿宋" w:eastAsia="仿宋" w:cs="仿宋"/>
          <w:color w:val="auto"/>
          <w:kern w:val="0"/>
          <w:sz w:val="32"/>
          <w:szCs w:val="32"/>
          <w:highlight w:val="none"/>
          <w:shd w:val="clear" w:color="auto" w:fill="FFFFFF"/>
          <w:lang w:val="en-US" w:eastAsia="zh-Hans"/>
        </w:rPr>
        <w:t>2020 年无政府采购支出，基于上述情况，此项指标不</w:t>
      </w:r>
      <w:r>
        <w:rPr>
          <w:rFonts w:hint="eastAsia" w:ascii="仿宋" w:hAnsi="仿宋" w:eastAsia="仿宋" w:cs="仿宋"/>
          <w:color w:val="auto"/>
          <w:kern w:val="0"/>
          <w:sz w:val="32"/>
          <w:szCs w:val="32"/>
          <w:highlight w:val="none"/>
          <w:shd w:val="clear" w:color="auto" w:fill="FFFFFF"/>
          <w:lang w:val="en-US" w:eastAsia="zh-CN"/>
        </w:rPr>
        <w:t>扣</w:t>
      </w:r>
      <w:r>
        <w:rPr>
          <w:rFonts w:hint="eastAsia" w:ascii="仿宋" w:hAnsi="仿宋" w:eastAsia="仿宋" w:cs="仿宋"/>
          <w:color w:val="auto"/>
          <w:kern w:val="0"/>
          <w:sz w:val="32"/>
          <w:szCs w:val="32"/>
          <w:highlight w:val="none"/>
          <w:shd w:val="clear" w:color="auto" w:fill="FFFFFF"/>
          <w:lang w:val="en-US" w:eastAsia="zh-Hans"/>
        </w:rPr>
        <w:t>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该指标满分</w:t>
      </w:r>
      <w:r>
        <w:rPr>
          <w:rFonts w:hint="eastAsia" w:ascii="仿宋" w:hAnsi="仿宋" w:eastAsia="仿宋" w:cs="仿宋"/>
          <w:color w:val="auto"/>
          <w:kern w:val="0"/>
          <w:sz w:val="32"/>
          <w:szCs w:val="32"/>
          <w:highlight w:val="none"/>
          <w:shd w:val="clear" w:color="auto" w:fill="FFFFFF"/>
          <w:lang w:val="en-US" w:eastAsia="zh-CN"/>
        </w:rPr>
        <w:t>3</w:t>
      </w:r>
      <w:r>
        <w:rPr>
          <w:rFonts w:hint="eastAsia" w:ascii="仿宋" w:hAnsi="仿宋" w:eastAsia="仿宋" w:cs="仿宋"/>
          <w:color w:val="auto"/>
          <w:kern w:val="0"/>
          <w:sz w:val="32"/>
          <w:szCs w:val="32"/>
          <w:highlight w:val="none"/>
          <w:shd w:val="clear" w:color="auto" w:fill="FFFFFF"/>
          <w:lang w:val="en-US" w:eastAsia="zh-Hans"/>
        </w:rPr>
        <w:t>分，</w:t>
      </w:r>
      <w:r>
        <w:rPr>
          <w:rFonts w:hint="eastAsia" w:ascii="仿宋" w:hAnsi="仿宋" w:eastAsia="仿宋" w:cs="仿宋"/>
          <w:color w:val="auto"/>
          <w:kern w:val="0"/>
          <w:sz w:val="32"/>
          <w:szCs w:val="32"/>
          <w:highlight w:val="none"/>
          <w:shd w:val="clear" w:color="auto" w:fill="FFFFFF"/>
          <w:lang w:val="en-US" w:eastAsia="zh-CN"/>
        </w:rPr>
        <w:t>得分3分</w:t>
      </w:r>
      <w:r>
        <w:rPr>
          <w:rFonts w:hint="eastAsia" w:ascii="仿宋" w:hAnsi="仿宋" w:eastAsia="仿宋" w:cs="仿宋"/>
          <w:color w:val="auto"/>
          <w:kern w:val="0"/>
          <w:sz w:val="32"/>
          <w:szCs w:val="32"/>
          <w:highlight w:val="none"/>
          <w:shd w:val="clear" w:color="auto" w:fill="FFFFFF"/>
          <w:lang w:val="en-US" w:eastAsia="zh-Hans"/>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Hans"/>
        </w:rPr>
        <w:t>2.预算管理</w:t>
      </w:r>
      <w:r>
        <w:rPr>
          <w:rFonts w:hint="eastAsia" w:ascii="仿宋" w:hAnsi="仿宋" w:eastAsia="仿宋" w:cs="仿宋"/>
          <w:b/>
          <w:bCs/>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Hans"/>
        </w:rPr>
        <w:t>（1）管理制度健全性</w:t>
      </w:r>
      <w:r>
        <w:rPr>
          <w:rFonts w:hint="eastAsia" w:ascii="仿宋" w:hAnsi="仿宋" w:eastAsia="仿宋" w:cs="仿宋"/>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CN"/>
        </w:rPr>
        <w:t>新区商务局没有制定部门自身预算绩效管理制度、预算资金管理办法、内部财务管理制度、会计核算制度等管理制度，只是沿用上级部门制定的相关制度，</w:t>
      </w:r>
      <w:r>
        <w:rPr>
          <w:rFonts w:hint="eastAsia" w:ascii="仿宋" w:hAnsi="仿宋" w:eastAsia="仿宋" w:cs="仿宋"/>
          <w:color w:val="auto"/>
          <w:kern w:val="0"/>
          <w:sz w:val="32"/>
          <w:szCs w:val="32"/>
          <w:highlight w:val="none"/>
          <w:shd w:val="clear" w:color="auto" w:fill="FFFFFF"/>
          <w:lang w:val="en-US" w:eastAsia="zh-Hans"/>
        </w:rPr>
        <w:t>该指标满分2分，得</w:t>
      </w:r>
      <w:r>
        <w:rPr>
          <w:rFonts w:hint="eastAsia" w:ascii="仿宋" w:hAnsi="仿宋" w:eastAsia="仿宋" w:cs="仿宋"/>
          <w:color w:val="auto"/>
          <w:kern w:val="0"/>
          <w:sz w:val="32"/>
          <w:szCs w:val="32"/>
          <w:highlight w:val="none"/>
          <w:shd w:val="clear" w:color="auto" w:fill="FFFFFF"/>
          <w:lang w:val="en-US" w:eastAsia="zh-CN"/>
        </w:rPr>
        <w:t>分1</w:t>
      </w:r>
      <w:r>
        <w:rPr>
          <w:rFonts w:hint="eastAsia" w:ascii="仿宋" w:hAnsi="仿宋" w:eastAsia="仿宋" w:cs="仿宋"/>
          <w:color w:val="auto"/>
          <w:kern w:val="0"/>
          <w:sz w:val="32"/>
          <w:szCs w:val="32"/>
          <w:highlight w:val="none"/>
          <w:shd w:val="clear" w:color="auto" w:fill="FFFFFF"/>
          <w:lang w:val="en-US" w:eastAsia="zh-Hans"/>
        </w:rPr>
        <w:t>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（2）</w:t>
      </w:r>
      <w:r>
        <w:rPr>
          <w:rFonts w:hint="eastAsia" w:ascii="仿宋" w:hAnsi="仿宋" w:eastAsia="仿宋" w:cs="仿宋"/>
          <w:color w:val="auto"/>
          <w:kern w:val="0"/>
          <w:sz w:val="32"/>
          <w:szCs w:val="32"/>
          <w:highlight w:val="none"/>
          <w:shd w:val="clear" w:color="auto" w:fill="FFFFFF"/>
          <w:lang w:val="en-US" w:eastAsia="zh-Hans"/>
        </w:rPr>
        <w:t>资金使用合规性</w:t>
      </w:r>
      <w:r>
        <w:rPr>
          <w:rFonts w:hint="eastAsia" w:ascii="仿宋" w:hAnsi="仿宋" w:eastAsia="仿宋" w:cs="仿宋"/>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CN"/>
        </w:rPr>
        <w:t>新区商务局部门整体</w:t>
      </w:r>
      <w:r>
        <w:rPr>
          <w:rFonts w:hint="eastAsia" w:ascii="仿宋" w:hAnsi="仿宋" w:eastAsia="仿宋" w:cs="仿宋"/>
          <w:color w:val="auto"/>
          <w:kern w:val="0"/>
          <w:sz w:val="32"/>
          <w:szCs w:val="32"/>
          <w:highlight w:val="none"/>
          <w:shd w:val="clear" w:color="auto" w:fill="FFFFFF"/>
          <w:lang w:val="en-US" w:eastAsia="zh-Hans"/>
        </w:rPr>
        <w:t>支出符合国家相关法规及财务管理制度、会计核算制度以及项目资金管理办法规定，均按照财务管理制度、审批程序执行，实际支出与预算用途一致，未超范围超标准开支，决算与预算调整、账面一致，未发现截留、挪用、挤占、虚列支出等情况；项目的重大开支经过评估论证；资金核算符合部门预算批复的用途，资金的拨付有完整的审批程序和手续，符合财务管理制度关于专项资金管理的要求。</w:t>
      </w:r>
      <w:r>
        <w:rPr>
          <w:rFonts w:hint="eastAsia" w:ascii="仿宋" w:hAnsi="仿宋" w:eastAsia="仿宋" w:cs="仿宋"/>
          <w:color w:val="auto"/>
          <w:kern w:val="0"/>
          <w:sz w:val="32"/>
          <w:szCs w:val="32"/>
          <w:highlight w:val="none"/>
          <w:shd w:val="clear" w:color="auto" w:fill="FFFFFF"/>
          <w:lang w:val="en-US" w:eastAsia="zh-CN"/>
        </w:rPr>
        <w:t>此项不扣分。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该指标满分</w:t>
      </w:r>
      <w:r>
        <w:rPr>
          <w:rFonts w:hint="eastAsia" w:ascii="仿宋" w:hAnsi="仿宋" w:eastAsia="仿宋" w:cs="仿宋"/>
          <w:color w:val="auto"/>
          <w:kern w:val="0"/>
          <w:sz w:val="32"/>
          <w:szCs w:val="32"/>
          <w:highlight w:val="none"/>
          <w:shd w:val="clear" w:color="auto" w:fill="FFFFFF"/>
          <w:lang w:val="en-US" w:eastAsia="zh-CN"/>
        </w:rPr>
        <w:t>5</w:t>
      </w:r>
      <w:r>
        <w:rPr>
          <w:rFonts w:hint="eastAsia" w:ascii="仿宋" w:hAnsi="仿宋" w:eastAsia="仿宋" w:cs="仿宋"/>
          <w:color w:val="auto"/>
          <w:kern w:val="0"/>
          <w:sz w:val="32"/>
          <w:szCs w:val="32"/>
          <w:highlight w:val="none"/>
          <w:shd w:val="clear" w:color="auto" w:fill="FFFFFF"/>
          <w:lang w:val="en-US" w:eastAsia="zh-Hans"/>
        </w:rPr>
        <w:t>分，得</w:t>
      </w:r>
      <w:r>
        <w:rPr>
          <w:rFonts w:hint="eastAsia" w:ascii="仿宋" w:hAnsi="仿宋" w:eastAsia="仿宋" w:cs="仿宋"/>
          <w:color w:val="auto"/>
          <w:kern w:val="0"/>
          <w:sz w:val="32"/>
          <w:szCs w:val="32"/>
          <w:highlight w:val="none"/>
          <w:shd w:val="clear" w:color="auto" w:fill="FFFFFF"/>
          <w:lang w:val="en-US" w:eastAsia="zh-CN"/>
        </w:rPr>
        <w:t>分5</w:t>
      </w:r>
      <w:r>
        <w:rPr>
          <w:rFonts w:hint="eastAsia" w:ascii="仿宋" w:hAnsi="仿宋" w:eastAsia="仿宋" w:cs="仿宋"/>
          <w:color w:val="auto"/>
          <w:kern w:val="0"/>
          <w:sz w:val="32"/>
          <w:szCs w:val="32"/>
          <w:highlight w:val="none"/>
          <w:shd w:val="clear" w:color="auto" w:fill="FFFFFF"/>
          <w:lang w:val="en-US" w:eastAsia="zh-Hans"/>
        </w:rPr>
        <w:t>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（3）预算执行监控</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新区商务局2020年未开展预算执行监控，满分2分，得0分。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（4）</w:t>
      </w:r>
      <w:r>
        <w:rPr>
          <w:rFonts w:hint="eastAsia" w:ascii="仿宋" w:hAnsi="仿宋" w:eastAsia="仿宋" w:cs="仿宋"/>
          <w:color w:val="auto"/>
          <w:kern w:val="0"/>
          <w:sz w:val="32"/>
          <w:szCs w:val="32"/>
          <w:highlight w:val="none"/>
          <w:shd w:val="clear" w:color="auto" w:fill="FFFFFF"/>
          <w:lang w:val="en-US" w:eastAsia="zh-Hans"/>
        </w:rPr>
        <w:t>预决算信息公开性</w:t>
      </w:r>
      <w:r>
        <w:rPr>
          <w:rFonts w:hint="eastAsia" w:ascii="仿宋" w:hAnsi="仿宋" w:eastAsia="仿宋" w:cs="仿宋"/>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CN"/>
        </w:rPr>
        <w:t>根据铜川市新区管委会官网信息公开显示，新区商务局</w:t>
      </w:r>
      <w:r>
        <w:rPr>
          <w:rFonts w:hint="eastAsia" w:ascii="仿宋" w:hAnsi="仿宋" w:eastAsia="仿宋" w:cs="仿宋"/>
          <w:color w:val="auto"/>
          <w:kern w:val="0"/>
          <w:sz w:val="32"/>
          <w:szCs w:val="32"/>
          <w:highlight w:val="none"/>
          <w:shd w:val="clear" w:color="auto" w:fill="FFFFFF"/>
          <w:lang w:val="en-US" w:eastAsia="zh-Hans"/>
        </w:rPr>
        <w:t>严格按照市政府、财政局相关文件要求，对相关预算决策、监督、执行、绩效、预算等相关信息进行公开。</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该指标满分</w:t>
      </w:r>
      <w:r>
        <w:rPr>
          <w:rFonts w:hint="eastAsia" w:ascii="仿宋" w:hAnsi="仿宋" w:eastAsia="仿宋" w:cs="仿宋"/>
          <w:color w:val="auto"/>
          <w:kern w:val="0"/>
          <w:sz w:val="32"/>
          <w:szCs w:val="32"/>
          <w:highlight w:val="none"/>
          <w:shd w:val="clear" w:color="auto" w:fill="FFFFFF"/>
          <w:lang w:val="en-US" w:eastAsia="zh-CN"/>
        </w:rPr>
        <w:t>2</w:t>
      </w:r>
      <w:r>
        <w:rPr>
          <w:rFonts w:hint="eastAsia" w:ascii="仿宋" w:hAnsi="仿宋" w:eastAsia="仿宋" w:cs="仿宋"/>
          <w:color w:val="auto"/>
          <w:kern w:val="0"/>
          <w:sz w:val="32"/>
          <w:szCs w:val="32"/>
          <w:highlight w:val="none"/>
          <w:shd w:val="clear" w:color="auto" w:fill="FFFFFF"/>
          <w:lang w:val="en-US" w:eastAsia="zh-Hans"/>
        </w:rPr>
        <w:t>分，</w:t>
      </w:r>
      <w:r>
        <w:rPr>
          <w:rFonts w:hint="eastAsia" w:ascii="仿宋" w:hAnsi="仿宋" w:eastAsia="仿宋" w:cs="仿宋"/>
          <w:color w:val="auto"/>
          <w:kern w:val="0"/>
          <w:sz w:val="32"/>
          <w:szCs w:val="32"/>
          <w:highlight w:val="none"/>
          <w:shd w:val="clear" w:color="auto" w:fill="FFFFFF"/>
          <w:lang w:val="en-US" w:eastAsia="zh-CN"/>
        </w:rPr>
        <w:t>得分2分。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Hans"/>
        </w:rPr>
        <w:t>3.资产管理</w:t>
      </w:r>
      <w:r>
        <w:rPr>
          <w:rFonts w:hint="eastAsia" w:ascii="仿宋" w:hAnsi="仿宋" w:eastAsia="仿宋" w:cs="仿宋"/>
          <w:b/>
          <w:bCs/>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Hans"/>
        </w:rPr>
        <w:t>（1）管理制度健全性</w:t>
      </w:r>
      <w:r>
        <w:rPr>
          <w:rFonts w:hint="eastAsia" w:ascii="仿宋" w:hAnsi="仿宋" w:eastAsia="仿宋" w:cs="仿宋"/>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新区商务局未制定部门自身的资产管理制度。</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该指标满分</w:t>
      </w:r>
      <w:r>
        <w:rPr>
          <w:rFonts w:hint="eastAsia" w:ascii="仿宋" w:hAnsi="仿宋" w:eastAsia="仿宋" w:cs="仿宋"/>
          <w:color w:val="auto"/>
          <w:kern w:val="0"/>
          <w:sz w:val="32"/>
          <w:szCs w:val="32"/>
          <w:highlight w:val="none"/>
          <w:shd w:val="clear" w:color="auto" w:fill="FFFFFF"/>
          <w:lang w:val="en-US" w:eastAsia="zh-CN"/>
        </w:rPr>
        <w:t>1.5</w:t>
      </w:r>
      <w:r>
        <w:rPr>
          <w:rFonts w:hint="eastAsia" w:ascii="仿宋" w:hAnsi="仿宋" w:eastAsia="仿宋" w:cs="仿宋"/>
          <w:color w:val="auto"/>
          <w:kern w:val="0"/>
          <w:sz w:val="32"/>
          <w:szCs w:val="32"/>
          <w:highlight w:val="none"/>
          <w:shd w:val="clear" w:color="auto" w:fill="FFFFFF"/>
          <w:lang w:val="en-US" w:eastAsia="zh-Hans"/>
        </w:rPr>
        <w:t>分，得</w:t>
      </w:r>
      <w:r>
        <w:rPr>
          <w:rFonts w:hint="eastAsia" w:ascii="仿宋" w:hAnsi="仿宋" w:eastAsia="仿宋" w:cs="仿宋"/>
          <w:color w:val="auto"/>
          <w:kern w:val="0"/>
          <w:sz w:val="32"/>
          <w:szCs w:val="32"/>
          <w:highlight w:val="none"/>
          <w:shd w:val="clear" w:color="auto" w:fill="FFFFFF"/>
          <w:lang w:val="en-US" w:eastAsia="zh-CN"/>
        </w:rPr>
        <w:t>分0</w:t>
      </w:r>
      <w:r>
        <w:rPr>
          <w:rFonts w:hint="eastAsia" w:ascii="仿宋" w:hAnsi="仿宋" w:eastAsia="仿宋" w:cs="仿宋"/>
          <w:color w:val="auto"/>
          <w:kern w:val="0"/>
          <w:sz w:val="32"/>
          <w:szCs w:val="32"/>
          <w:highlight w:val="none"/>
          <w:shd w:val="clear" w:color="auto" w:fill="FFFFFF"/>
          <w:lang w:val="en-US" w:eastAsia="zh-Hans"/>
        </w:rPr>
        <w:t>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（2）</w:t>
      </w:r>
      <w:r>
        <w:rPr>
          <w:rFonts w:hint="eastAsia" w:ascii="仿宋" w:hAnsi="仿宋" w:eastAsia="仿宋" w:cs="仿宋"/>
          <w:color w:val="auto"/>
          <w:kern w:val="0"/>
          <w:sz w:val="32"/>
          <w:szCs w:val="32"/>
          <w:highlight w:val="none"/>
          <w:shd w:val="clear" w:color="auto" w:fill="FFFFFF"/>
          <w:lang w:val="en-US" w:eastAsia="zh-Hans"/>
        </w:rPr>
        <w:t>资产管理完整性</w:t>
      </w:r>
      <w:r>
        <w:rPr>
          <w:rFonts w:hint="eastAsia" w:ascii="仿宋" w:hAnsi="仿宋" w:eastAsia="仿宋" w:cs="仿宋"/>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CN"/>
        </w:rPr>
        <w:t>新区商务局</w:t>
      </w:r>
      <w:r>
        <w:rPr>
          <w:rFonts w:hint="eastAsia" w:ascii="仿宋" w:hAnsi="仿宋" w:eastAsia="仿宋" w:cs="仿宋"/>
          <w:color w:val="auto"/>
          <w:kern w:val="0"/>
          <w:sz w:val="32"/>
          <w:szCs w:val="32"/>
          <w:highlight w:val="none"/>
          <w:shd w:val="clear" w:color="auto" w:fill="FFFFFF"/>
          <w:lang w:val="en-US" w:eastAsia="zh-Hans"/>
        </w:rPr>
        <w:t>定期进行相关资产盘点，固定资产保存完整，配置合理，处置规范；资产账务实物管理合规，账实相符。根据现场查阅及</w:t>
      </w:r>
      <w:r>
        <w:rPr>
          <w:rFonts w:hint="eastAsia" w:ascii="仿宋" w:hAnsi="仿宋" w:eastAsia="仿宋" w:cs="仿宋"/>
          <w:color w:val="auto"/>
          <w:kern w:val="0"/>
          <w:sz w:val="32"/>
          <w:szCs w:val="32"/>
          <w:highlight w:val="none"/>
          <w:shd w:val="clear" w:color="auto" w:fill="FFFFFF"/>
          <w:lang w:val="en-US" w:eastAsia="zh-CN"/>
        </w:rPr>
        <w:t>固定资产管理系统数据</w:t>
      </w:r>
      <w:r>
        <w:rPr>
          <w:rFonts w:hint="eastAsia" w:ascii="仿宋" w:hAnsi="仿宋" w:eastAsia="仿宋" w:cs="仿宋"/>
          <w:color w:val="auto"/>
          <w:kern w:val="0"/>
          <w:sz w:val="32"/>
          <w:szCs w:val="32"/>
          <w:highlight w:val="none"/>
          <w:shd w:val="clear" w:color="auto" w:fill="FFFFFF"/>
          <w:lang w:val="en-US" w:eastAsia="zh-Hans"/>
        </w:rPr>
        <w:t>，资产配置合理，相关处置规范，不存在废弃、私用、浪费现象。</w:t>
      </w:r>
      <w:r>
        <w:rPr>
          <w:rFonts w:hint="eastAsia" w:ascii="仿宋" w:hAnsi="仿宋" w:eastAsia="仿宋" w:cs="仿宋"/>
          <w:color w:val="auto"/>
          <w:kern w:val="0"/>
          <w:sz w:val="32"/>
          <w:szCs w:val="32"/>
          <w:highlight w:val="none"/>
          <w:shd w:val="clear" w:color="auto" w:fill="FFFFFF"/>
          <w:lang w:val="en-US" w:eastAsia="zh-CN"/>
        </w:rPr>
        <w:t>该项不扣分。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该指标满分</w:t>
      </w:r>
      <w:r>
        <w:rPr>
          <w:rFonts w:hint="eastAsia" w:ascii="仿宋" w:hAnsi="仿宋" w:eastAsia="仿宋" w:cs="仿宋"/>
          <w:color w:val="auto"/>
          <w:kern w:val="0"/>
          <w:sz w:val="32"/>
          <w:szCs w:val="32"/>
          <w:highlight w:val="none"/>
          <w:shd w:val="clear" w:color="auto" w:fill="FFFFFF"/>
          <w:lang w:val="en-US" w:eastAsia="zh-CN"/>
        </w:rPr>
        <w:t>2.5</w:t>
      </w:r>
      <w:r>
        <w:rPr>
          <w:rFonts w:hint="eastAsia" w:ascii="仿宋" w:hAnsi="仿宋" w:eastAsia="仿宋" w:cs="仿宋"/>
          <w:color w:val="auto"/>
          <w:kern w:val="0"/>
          <w:sz w:val="32"/>
          <w:szCs w:val="32"/>
          <w:highlight w:val="none"/>
          <w:shd w:val="clear" w:color="auto" w:fill="FFFFFF"/>
          <w:lang w:val="en-US" w:eastAsia="zh-Hans"/>
        </w:rPr>
        <w:t>分，得</w:t>
      </w:r>
      <w:r>
        <w:rPr>
          <w:rFonts w:hint="eastAsia" w:ascii="仿宋" w:hAnsi="仿宋" w:eastAsia="仿宋" w:cs="仿宋"/>
          <w:color w:val="auto"/>
          <w:kern w:val="0"/>
          <w:sz w:val="32"/>
          <w:szCs w:val="32"/>
          <w:highlight w:val="none"/>
          <w:shd w:val="clear" w:color="auto" w:fill="FFFFFF"/>
          <w:lang w:val="en-US" w:eastAsia="zh-CN"/>
        </w:rPr>
        <w:t>分2.5</w:t>
      </w:r>
      <w:r>
        <w:rPr>
          <w:rFonts w:hint="eastAsia" w:ascii="仿宋" w:hAnsi="仿宋" w:eastAsia="仿宋" w:cs="仿宋"/>
          <w:color w:val="auto"/>
          <w:kern w:val="0"/>
          <w:sz w:val="32"/>
          <w:szCs w:val="32"/>
          <w:highlight w:val="none"/>
          <w:shd w:val="clear" w:color="auto" w:fill="FFFFFF"/>
          <w:lang w:val="en-US" w:eastAsia="zh-Hans"/>
        </w:rPr>
        <w:t>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（3）</w:t>
      </w:r>
      <w:r>
        <w:rPr>
          <w:rFonts w:hint="eastAsia" w:ascii="仿宋" w:hAnsi="仿宋" w:eastAsia="仿宋" w:cs="仿宋"/>
          <w:color w:val="auto"/>
          <w:kern w:val="0"/>
          <w:sz w:val="32"/>
          <w:szCs w:val="32"/>
          <w:highlight w:val="none"/>
          <w:shd w:val="clear" w:color="auto" w:fill="FFFFFF"/>
          <w:lang w:val="en-US" w:eastAsia="zh-Hans"/>
        </w:rPr>
        <w:t>固定资产利用率</w:t>
      </w:r>
      <w:r>
        <w:rPr>
          <w:rFonts w:hint="eastAsia" w:ascii="仿宋" w:hAnsi="仿宋" w:eastAsia="仿宋" w:cs="仿宋"/>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截至2020年12月31日，</w:t>
      </w:r>
      <w:r>
        <w:rPr>
          <w:rFonts w:hint="eastAsia" w:ascii="仿宋" w:hAnsi="仿宋" w:eastAsia="仿宋" w:cs="仿宋"/>
          <w:color w:val="auto"/>
          <w:kern w:val="0"/>
          <w:sz w:val="32"/>
          <w:szCs w:val="32"/>
          <w:highlight w:val="none"/>
          <w:shd w:val="clear" w:color="auto" w:fill="FFFFFF"/>
          <w:lang w:val="en-US" w:eastAsia="zh-CN"/>
        </w:rPr>
        <w:t>新区商务局</w:t>
      </w:r>
      <w:r>
        <w:rPr>
          <w:rFonts w:hint="eastAsia" w:ascii="仿宋" w:hAnsi="仿宋" w:eastAsia="仿宋" w:cs="仿宋"/>
          <w:color w:val="auto"/>
          <w:kern w:val="0"/>
          <w:sz w:val="32"/>
          <w:szCs w:val="32"/>
          <w:highlight w:val="none"/>
          <w:shd w:val="clear" w:color="auto" w:fill="FFFFFF"/>
          <w:lang w:val="en-US" w:eastAsia="zh-Hans"/>
        </w:rPr>
        <w:t>自用固定资产总额为</w:t>
      </w:r>
      <w:r>
        <w:rPr>
          <w:rFonts w:hint="eastAsia" w:ascii="仿宋" w:hAnsi="仿宋" w:eastAsia="仿宋" w:cs="仿宋"/>
          <w:color w:val="auto"/>
          <w:kern w:val="0"/>
          <w:sz w:val="32"/>
          <w:szCs w:val="32"/>
          <w:highlight w:val="none"/>
          <w:shd w:val="clear" w:color="auto" w:fill="FFFFFF"/>
          <w:lang w:val="en-US" w:eastAsia="zh-CN"/>
        </w:rPr>
        <w:t>133290.62</w:t>
      </w:r>
      <w:r>
        <w:rPr>
          <w:rFonts w:hint="eastAsia" w:ascii="仿宋" w:hAnsi="仿宋" w:eastAsia="仿宋" w:cs="仿宋"/>
          <w:color w:val="auto"/>
          <w:kern w:val="0"/>
          <w:sz w:val="32"/>
          <w:szCs w:val="32"/>
          <w:highlight w:val="none"/>
          <w:shd w:val="clear" w:color="auto" w:fill="FFFFFF"/>
          <w:lang w:val="en-US" w:eastAsia="zh-Hans"/>
        </w:rPr>
        <w:t>元，占账面固定资产总额的100%，其中，在用</w:t>
      </w:r>
      <w:r>
        <w:rPr>
          <w:rFonts w:hint="eastAsia" w:ascii="仿宋" w:hAnsi="仿宋" w:eastAsia="仿宋" w:cs="仿宋"/>
          <w:color w:val="auto"/>
          <w:kern w:val="0"/>
          <w:sz w:val="32"/>
          <w:szCs w:val="32"/>
          <w:highlight w:val="none"/>
          <w:shd w:val="clear" w:color="auto" w:fill="FFFFFF"/>
          <w:lang w:val="en-US" w:eastAsia="zh-CN"/>
        </w:rPr>
        <w:t>133290.62</w:t>
      </w:r>
      <w:r>
        <w:rPr>
          <w:rFonts w:hint="eastAsia" w:ascii="仿宋" w:hAnsi="仿宋" w:eastAsia="仿宋" w:cs="仿宋"/>
          <w:color w:val="auto"/>
          <w:kern w:val="0"/>
          <w:sz w:val="32"/>
          <w:szCs w:val="32"/>
          <w:highlight w:val="none"/>
          <w:shd w:val="clear" w:color="auto" w:fill="FFFFFF"/>
          <w:lang w:val="en-US" w:eastAsia="zh-Hans"/>
        </w:rPr>
        <w:t>元，占账面固定资产总额的</w:t>
      </w:r>
      <w:r>
        <w:rPr>
          <w:rFonts w:hint="eastAsia" w:ascii="仿宋" w:hAnsi="仿宋" w:eastAsia="仿宋" w:cs="仿宋"/>
          <w:color w:val="auto"/>
          <w:kern w:val="0"/>
          <w:sz w:val="32"/>
          <w:szCs w:val="32"/>
          <w:highlight w:val="none"/>
          <w:shd w:val="clear" w:color="auto" w:fill="FFFFFF"/>
          <w:lang w:val="en-US" w:eastAsia="zh-CN"/>
        </w:rPr>
        <w:t>100</w:t>
      </w:r>
      <w:r>
        <w:rPr>
          <w:rFonts w:hint="eastAsia" w:ascii="仿宋" w:hAnsi="仿宋" w:eastAsia="仿宋" w:cs="仿宋"/>
          <w:color w:val="auto"/>
          <w:kern w:val="0"/>
          <w:sz w:val="32"/>
          <w:szCs w:val="32"/>
          <w:highlight w:val="none"/>
          <w:shd w:val="clear" w:color="auto" w:fill="FFFFFF"/>
          <w:lang w:val="en-US" w:eastAsia="zh-Hans"/>
        </w:rPr>
        <w:t>%；闲置</w:t>
      </w:r>
      <w:r>
        <w:rPr>
          <w:rFonts w:hint="eastAsia" w:ascii="仿宋" w:hAnsi="仿宋" w:eastAsia="仿宋" w:cs="仿宋"/>
          <w:color w:val="auto"/>
          <w:kern w:val="0"/>
          <w:sz w:val="32"/>
          <w:szCs w:val="32"/>
          <w:highlight w:val="none"/>
          <w:shd w:val="clear" w:color="auto" w:fill="FFFFFF"/>
          <w:lang w:val="en-US" w:eastAsia="zh-CN"/>
        </w:rPr>
        <w:t>0</w:t>
      </w:r>
      <w:r>
        <w:rPr>
          <w:rFonts w:hint="eastAsia" w:ascii="仿宋" w:hAnsi="仿宋" w:eastAsia="仿宋" w:cs="仿宋"/>
          <w:color w:val="auto"/>
          <w:kern w:val="0"/>
          <w:sz w:val="32"/>
          <w:szCs w:val="32"/>
          <w:highlight w:val="none"/>
          <w:shd w:val="clear" w:color="auto" w:fill="FFFFFF"/>
          <w:lang w:val="en-US" w:eastAsia="zh-Hans"/>
        </w:rPr>
        <w:t>万元，占账面固定资产总额的0%，固定资产利用率为1</w:t>
      </w:r>
      <w:r>
        <w:rPr>
          <w:rFonts w:hint="eastAsia" w:ascii="仿宋" w:hAnsi="仿宋" w:eastAsia="仿宋" w:cs="仿宋"/>
          <w:color w:val="auto"/>
          <w:kern w:val="0"/>
          <w:sz w:val="32"/>
          <w:szCs w:val="32"/>
          <w:highlight w:val="none"/>
          <w:shd w:val="clear" w:color="auto" w:fill="FFFFFF"/>
          <w:lang w:val="en-US" w:eastAsia="zh-CN"/>
        </w:rPr>
        <w:t>00</w:t>
      </w:r>
      <w:r>
        <w:rPr>
          <w:rFonts w:hint="eastAsia" w:ascii="仿宋" w:hAnsi="仿宋" w:eastAsia="仿宋" w:cs="仿宋"/>
          <w:color w:val="auto"/>
          <w:kern w:val="0"/>
          <w:sz w:val="32"/>
          <w:szCs w:val="32"/>
          <w:highlight w:val="none"/>
          <w:shd w:val="clear" w:color="auto" w:fill="FFFFFF"/>
          <w:lang w:val="en-US" w:eastAsia="zh-Hans"/>
        </w:rPr>
        <w:t>%。</w:t>
      </w:r>
      <w:r>
        <w:rPr>
          <w:rFonts w:hint="eastAsia" w:ascii="仿宋" w:hAnsi="仿宋" w:eastAsia="仿宋" w:cs="仿宋"/>
          <w:color w:val="auto"/>
          <w:kern w:val="0"/>
          <w:sz w:val="32"/>
          <w:szCs w:val="32"/>
          <w:highlight w:val="none"/>
          <w:shd w:val="clear" w:color="auto" w:fill="FFFFFF"/>
          <w:lang w:val="en-US" w:eastAsia="zh-CN"/>
        </w:rPr>
        <w:t>该项不扣分。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该指标满分</w:t>
      </w:r>
      <w:r>
        <w:rPr>
          <w:rFonts w:hint="eastAsia" w:ascii="仿宋" w:hAnsi="仿宋" w:eastAsia="仿宋" w:cs="仿宋"/>
          <w:color w:val="auto"/>
          <w:kern w:val="0"/>
          <w:sz w:val="32"/>
          <w:szCs w:val="32"/>
          <w:highlight w:val="none"/>
          <w:shd w:val="clear" w:color="auto" w:fill="FFFFFF"/>
          <w:lang w:val="en-US" w:eastAsia="zh-CN"/>
        </w:rPr>
        <w:t>3</w:t>
      </w:r>
      <w:r>
        <w:rPr>
          <w:rFonts w:hint="eastAsia" w:ascii="仿宋" w:hAnsi="仿宋" w:eastAsia="仿宋" w:cs="仿宋"/>
          <w:color w:val="auto"/>
          <w:kern w:val="0"/>
          <w:sz w:val="32"/>
          <w:szCs w:val="32"/>
          <w:highlight w:val="none"/>
          <w:shd w:val="clear" w:color="auto" w:fill="FFFFFF"/>
          <w:lang w:val="en-US" w:eastAsia="zh-Hans"/>
        </w:rPr>
        <w:t>分，得</w:t>
      </w:r>
      <w:r>
        <w:rPr>
          <w:rFonts w:hint="eastAsia" w:ascii="仿宋" w:hAnsi="仿宋" w:eastAsia="仿宋" w:cs="仿宋"/>
          <w:color w:val="auto"/>
          <w:kern w:val="0"/>
          <w:sz w:val="32"/>
          <w:szCs w:val="32"/>
          <w:highlight w:val="none"/>
          <w:shd w:val="clear" w:color="auto" w:fill="FFFFFF"/>
          <w:lang w:val="en-US" w:eastAsia="zh-CN"/>
        </w:rPr>
        <w:t>分3</w:t>
      </w:r>
      <w:r>
        <w:rPr>
          <w:rFonts w:hint="eastAsia" w:ascii="仿宋" w:hAnsi="仿宋" w:eastAsia="仿宋" w:cs="仿宋"/>
          <w:color w:val="auto"/>
          <w:kern w:val="0"/>
          <w:sz w:val="32"/>
          <w:szCs w:val="32"/>
          <w:highlight w:val="none"/>
          <w:shd w:val="clear" w:color="auto" w:fill="FFFFFF"/>
          <w:lang w:val="en-US" w:eastAsia="zh-Hans"/>
        </w:rPr>
        <w:t>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1"/>
        <w:rPr>
          <w:rFonts w:hint="eastAsia" w:ascii="楷体" w:hAnsi="楷体" w:eastAsia="楷体" w:cs="楷体"/>
          <w:b/>
          <w:bCs/>
          <w:color w:val="auto"/>
          <w:kern w:val="0"/>
          <w:sz w:val="32"/>
          <w:szCs w:val="32"/>
          <w:highlight w:val="none"/>
          <w:shd w:val="clear" w:color="auto" w:fill="FFFFFF"/>
          <w:lang w:val="en-US" w:eastAsia="zh-CN"/>
        </w:rPr>
      </w:pPr>
      <w:bookmarkStart w:id="17" w:name="_Toc12035"/>
      <w:r>
        <w:rPr>
          <w:rFonts w:hint="eastAsia" w:ascii="楷体" w:hAnsi="楷体" w:eastAsia="楷体" w:cs="楷体"/>
          <w:b/>
          <w:bCs/>
          <w:color w:val="auto"/>
          <w:kern w:val="0"/>
          <w:sz w:val="32"/>
          <w:szCs w:val="32"/>
          <w:highlight w:val="none"/>
          <w:shd w:val="clear" w:color="auto" w:fill="FFFFFF"/>
          <w:lang w:val="en-US" w:eastAsia="zh-CN"/>
        </w:rPr>
        <w:t>（三）产出方面</w:t>
      </w:r>
      <w:bookmarkEnd w:id="17"/>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该指标主要考核部门新区商务局职责履行的内容，包括实际完成率、完成及时率、质量达标率、重点工作办结率等4个三级指标，指标权重21分，评价得分21分，得分率为100%。</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Hans"/>
        </w:rPr>
        <w:t>1.职责履行</w:t>
      </w:r>
      <w:r>
        <w:rPr>
          <w:rFonts w:hint="eastAsia" w:ascii="仿宋" w:hAnsi="仿宋" w:eastAsia="仿宋" w:cs="仿宋"/>
          <w:b/>
          <w:bCs/>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Hans"/>
        </w:rPr>
        <w:t>（1）实际完成率</w:t>
      </w:r>
      <w:r>
        <w:rPr>
          <w:rFonts w:hint="eastAsia" w:ascii="仿宋" w:hAnsi="仿宋" w:eastAsia="仿宋" w:cs="仿宋"/>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根据</w:t>
      </w:r>
      <w:r>
        <w:rPr>
          <w:rFonts w:hint="eastAsia" w:ascii="仿宋" w:hAnsi="仿宋" w:eastAsia="仿宋" w:cs="仿宋"/>
          <w:color w:val="auto"/>
          <w:kern w:val="0"/>
          <w:sz w:val="32"/>
          <w:szCs w:val="32"/>
          <w:highlight w:val="none"/>
          <w:shd w:val="clear" w:color="auto" w:fill="FFFFFF"/>
          <w:lang w:val="en-US" w:eastAsia="zh-CN"/>
        </w:rPr>
        <w:t>新区商务局</w:t>
      </w:r>
      <w:r>
        <w:rPr>
          <w:rFonts w:hint="eastAsia" w:ascii="仿宋" w:hAnsi="仿宋" w:eastAsia="仿宋" w:cs="仿宋"/>
          <w:color w:val="auto"/>
          <w:kern w:val="0"/>
          <w:sz w:val="32"/>
          <w:szCs w:val="32"/>
          <w:highlight w:val="none"/>
          <w:shd w:val="clear" w:color="auto" w:fill="FFFFFF"/>
          <w:lang w:val="en-US" w:eastAsia="zh-Hans"/>
        </w:rPr>
        <w:t>《2020年度部门整体支出绩效目标表》及《</w:t>
      </w:r>
      <w:r>
        <w:rPr>
          <w:rFonts w:hint="eastAsia" w:ascii="仿宋" w:hAnsi="仿宋" w:eastAsia="仿宋" w:cs="仿宋"/>
          <w:color w:val="auto"/>
          <w:kern w:val="0"/>
          <w:sz w:val="32"/>
          <w:szCs w:val="32"/>
          <w:highlight w:val="none"/>
          <w:shd w:val="clear" w:color="auto" w:fill="FFFFFF"/>
          <w:lang w:val="en-US" w:eastAsia="zh-CN"/>
        </w:rPr>
        <w:t>2020年工作总结和2021年工作打算</w:t>
      </w:r>
      <w:r>
        <w:rPr>
          <w:rFonts w:hint="eastAsia" w:ascii="仿宋" w:hAnsi="仿宋" w:eastAsia="仿宋" w:cs="仿宋"/>
          <w:color w:val="auto"/>
          <w:kern w:val="0"/>
          <w:sz w:val="32"/>
          <w:szCs w:val="32"/>
          <w:highlight w:val="none"/>
          <w:shd w:val="clear" w:color="auto" w:fill="FFFFFF"/>
          <w:lang w:val="en-US" w:eastAsia="zh-Hans"/>
        </w:rPr>
        <w:t>》，</w:t>
      </w:r>
      <w:r>
        <w:rPr>
          <w:rFonts w:hint="eastAsia" w:ascii="仿宋" w:hAnsi="仿宋" w:eastAsia="仿宋" w:cs="仿宋"/>
          <w:color w:val="auto"/>
          <w:kern w:val="0"/>
          <w:sz w:val="32"/>
          <w:szCs w:val="32"/>
          <w:highlight w:val="none"/>
          <w:shd w:val="clear" w:color="auto" w:fill="FFFFFF"/>
          <w:lang w:val="en-US" w:eastAsia="zh-CN"/>
        </w:rPr>
        <w:t>新区商务局</w:t>
      </w:r>
      <w:r>
        <w:rPr>
          <w:rFonts w:hint="eastAsia" w:ascii="仿宋" w:hAnsi="仿宋" w:eastAsia="仿宋" w:cs="仿宋"/>
          <w:color w:val="auto"/>
          <w:kern w:val="0"/>
          <w:sz w:val="32"/>
          <w:szCs w:val="32"/>
          <w:highlight w:val="none"/>
          <w:shd w:val="clear" w:color="auto" w:fill="FFFFFF"/>
          <w:lang w:val="en-US" w:eastAsia="zh-Hans"/>
        </w:rPr>
        <w:t>2020年度工作计划均已完成，实际完成率为100%。</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该指标满分</w:t>
      </w:r>
      <w:r>
        <w:rPr>
          <w:rFonts w:hint="eastAsia" w:ascii="仿宋" w:hAnsi="仿宋" w:eastAsia="仿宋" w:cs="仿宋"/>
          <w:color w:val="auto"/>
          <w:kern w:val="0"/>
          <w:sz w:val="32"/>
          <w:szCs w:val="32"/>
          <w:highlight w:val="none"/>
          <w:shd w:val="clear" w:color="auto" w:fill="FFFFFF"/>
          <w:lang w:val="en-US" w:eastAsia="zh-CN"/>
        </w:rPr>
        <w:t>5</w:t>
      </w:r>
      <w:r>
        <w:rPr>
          <w:rFonts w:hint="eastAsia" w:ascii="仿宋" w:hAnsi="仿宋" w:eastAsia="仿宋" w:cs="仿宋"/>
          <w:color w:val="auto"/>
          <w:kern w:val="0"/>
          <w:sz w:val="32"/>
          <w:szCs w:val="32"/>
          <w:highlight w:val="none"/>
          <w:shd w:val="clear" w:color="auto" w:fill="FFFFFF"/>
          <w:lang w:val="en-US" w:eastAsia="zh-Hans"/>
        </w:rPr>
        <w:t>分，</w:t>
      </w:r>
      <w:r>
        <w:rPr>
          <w:rFonts w:hint="eastAsia" w:ascii="仿宋" w:hAnsi="仿宋" w:eastAsia="仿宋" w:cs="仿宋"/>
          <w:color w:val="auto"/>
          <w:kern w:val="0"/>
          <w:sz w:val="32"/>
          <w:szCs w:val="32"/>
          <w:highlight w:val="none"/>
          <w:shd w:val="clear" w:color="auto" w:fill="FFFFFF"/>
          <w:lang w:val="en-US" w:eastAsia="zh-CN"/>
        </w:rPr>
        <w:t>得分5</w:t>
      </w:r>
      <w:r>
        <w:rPr>
          <w:rFonts w:hint="eastAsia" w:ascii="仿宋" w:hAnsi="仿宋" w:eastAsia="仿宋" w:cs="仿宋"/>
          <w:color w:val="auto"/>
          <w:kern w:val="0"/>
          <w:sz w:val="32"/>
          <w:szCs w:val="32"/>
          <w:highlight w:val="none"/>
          <w:shd w:val="clear" w:color="auto" w:fill="FFFFFF"/>
          <w:lang w:val="en-US" w:eastAsia="zh-Hans"/>
        </w:rPr>
        <w:t>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bookmarkStart w:id="18" w:name="_Toc1802972864_WPSOffice_Level2"/>
      <w:bookmarkStart w:id="19" w:name="_Toc1854215658_WPSOffice_Level2"/>
      <w:r>
        <w:rPr>
          <w:rFonts w:hint="eastAsia" w:ascii="仿宋" w:hAnsi="仿宋" w:eastAsia="仿宋" w:cs="仿宋"/>
          <w:color w:val="auto"/>
          <w:kern w:val="0"/>
          <w:sz w:val="32"/>
          <w:szCs w:val="32"/>
          <w:highlight w:val="none"/>
          <w:shd w:val="clear" w:color="auto" w:fill="FFFFFF"/>
          <w:lang w:val="en-US" w:eastAsia="zh-CN"/>
        </w:rPr>
        <w:t>（2）</w:t>
      </w:r>
      <w:r>
        <w:rPr>
          <w:rFonts w:hint="eastAsia" w:ascii="仿宋" w:hAnsi="仿宋" w:eastAsia="仿宋" w:cs="仿宋"/>
          <w:color w:val="auto"/>
          <w:kern w:val="0"/>
          <w:sz w:val="32"/>
          <w:szCs w:val="32"/>
          <w:highlight w:val="none"/>
          <w:shd w:val="clear" w:color="auto" w:fill="FFFFFF"/>
          <w:lang w:val="en-US" w:eastAsia="zh-Hans"/>
        </w:rPr>
        <w:t>完成及时率</w:t>
      </w:r>
      <w:bookmarkEnd w:id="18"/>
      <w:bookmarkEnd w:id="19"/>
      <w:r>
        <w:rPr>
          <w:rFonts w:hint="eastAsia" w:ascii="仿宋" w:hAnsi="仿宋" w:eastAsia="仿宋" w:cs="仿宋"/>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根据</w:t>
      </w:r>
      <w:r>
        <w:rPr>
          <w:rFonts w:hint="eastAsia" w:ascii="仿宋" w:hAnsi="仿宋" w:eastAsia="仿宋" w:cs="仿宋"/>
          <w:color w:val="auto"/>
          <w:kern w:val="0"/>
          <w:sz w:val="32"/>
          <w:szCs w:val="32"/>
          <w:highlight w:val="none"/>
          <w:shd w:val="clear" w:color="auto" w:fill="FFFFFF"/>
          <w:lang w:val="en-US" w:eastAsia="zh-CN"/>
        </w:rPr>
        <w:t>新区商务局</w:t>
      </w:r>
      <w:r>
        <w:rPr>
          <w:rFonts w:hint="eastAsia" w:ascii="仿宋" w:hAnsi="仿宋" w:eastAsia="仿宋" w:cs="仿宋"/>
          <w:color w:val="auto"/>
          <w:kern w:val="0"/>
          <w:sz w:val="32"/>
          <w:szCs w:val="32"/>
          <w:highlight w:val="none"/>
          <w:shd w:val="clear" w:color="auto" w:fill="FFFFFF"/>
          <w:lang w:val="en-US" w:eastAsia="zh-Hans"/>
        </w:rPr>
        <w:t>《2020年度部门整体支出绩效目标表》及《</w:t>
      </w:r>
      <w:r>
        <w:rPr>
          <w:rFonts w:hint="eastAsia" w:ascii="仿宋" w:hAnsi="仿宋" w:eastAsia="仿宋" w:cs="仿宋"/>
          <w:color w:val="auto"/>
          <w:kern w:val="0"/>
          <w:sz w:val="32"/>
          <w:szCs w:val="32"/>
          <w:highlight w:val="none"/>
          <w:shd w:val="clear" w:color="auto" w:fill="FFFFFF"/>
          <w:lang w:val="en-US" w:eastAsia="zh-CN"/>
        </w:rPr>
        <w:t>2020年工作总结和2021年工作打算</w:t>
      </w:r>
      <w:r>
        <w:rPr>
          <w:rFonts w:hint="eastAsia" w:ascii="仿宋" w:hAnsi="仿宋" w:eastAsia="仿宋" w:cs="仿宋"/>
          <w:color w:val="auto"/>
          <w:kern w:val="0"/>
          <w:sz w:val="32"/>
          <w:szCs w:val="32"/>
          <w:highlight w:val="none"/>
          <w:shd w:val="clear" w:color="auto" w:fill="FFFFFF"/>
          <w:lang w:val="en-US" w:eastAsia="zh-Hans"/>
        </w:rPr>
        <w:t>》</w:t>
      </w:r>
      <w:r>
        <w:rPr>
          <w:rFonts w:hint="eastAsia" w:ascii="仿宋" w:hAnsi="仿宋" w:eastAsia="仿宋" w:cs="仿宋"/>
          <w:color w:val="auto"/>
          <w:kern w:val="0"/>
          <w:sz w:val="32"/>
          <w:szCs w:val="32"/>
          <w:highlight w:val="none"/>
          <w:shd w:val="clear" w:color="auto" w:fill="FFFFFF"/>
          <w:lang w:val="en-US" w:eastAsia="zh-CN"/>
        </w:rPr>
        <w:t>，</w:t>
      </w:r>
      <w:r>
        <w:rPr>
          <w:rFonts w:hint="eastAsia" w:ascii="仿宋" w:hAnsi="仿宋" w:eastAsia="仿宋" w:cs="仿宋"/>
          <w:color w:val="auto"/>
          <w:kern w:val="0"/>
          <w:sz w:val="32"/>
          <w:szCs w:val="32"/>
          <w:highlight w:val="none"/>
          <w:shd w:val="clear" w:color="auto" w:fill="FFFFFF"/>
          <w:lang w:val="en-US" w:eastAsia="zh-Hans"/>
        </w:rPr>
        <w:t>截至2020年12月31日，该部门年度工作计划均已完成，完成及时率为100%。</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该指标满分</w:t>
      </w:r>
      <w:r>
        <w:rPr>
          <w:rFonts w:hint="eastAsia" w:ascii="仿宋" w:hAnsi="仿宋" w:eastAsia="仿宋" w:cs="仿宋"/>
          <w:color w:val="auto"/>
          <w:kern w:val="0"/>
          <w:sz w:val="32"/>
          <w:szCs w:val="32"/>
          <w:highlight w:val="none"/>
          <w:shd w:val="clear" w:color="auto" w:fill="FFFFFF"/>
          <w:lang w:val="en-US" w:eastAsia="zh-CN"/>
        </w:rPr>
        <w:t>5</w:t>
      </w:r>
      <w:r>
        <w:rPr>
          <w:rFonts w:hint="eastAsia" w:ascii="仿宋" w:hAnsi="仿宋" w:eastAsia="仿宋" w:cs="仿宋"/>
          <w:color w:val="auto"/>
          <w:kern w:val="0"/>
          <w:sz w:val="32"/>
          <w:szCs w:val="32"/>
          <w:highlight w:val="none"/>
          <w:shd w:val="clear" w:color="auto" w:fill="FFFFFF"/>
          <w:lang w:val="en-US" w:eastAsia="zh-Hans"/>
        </w:rPr>
        <w:t>分，</w:t>
      </w:r>
      <w:r>
        <w:rPr>
          <w:rFonts w:hint="eastAsia" w:ascii="仿宋" w:hAnsi="仿宋" w:eastAsia="仿宋" w:cs="仿宋"/>
          <w:color w:val="auto"/>
          <w:kern w:val="0"/>
          <w:sz w:val="32"/>
          <w:szCs w:val="32"/>
          <w:highlight w:val="none"/>
          <w:shd w:val="clear" w:color="auto" w:fill="FFFFFF"/>
          <w:lang w:val="en-US" w:eastAsia="zh-CN"/>
        </w:rPr>
        <w:t>得分5</w:t>
      </w:r>
      <w:r>
        <w:rPr>
          <w:rFonts w:hint="eastAsia" w:ascii="仿宋" w:hAnsi="仿宋" w:eastAsia="仿宋" w:cs="仿宋"/>
          <w:color w:val="auto"/>
          <w:kern w:val="0"/>
          <w:sz w:val="32"/>
          <w:szCs w:val="32"/>
          <w:highlight w:val="none"/>
          <w:shd w:val="clear" w:color="auto" w:fill="FFFFFF"/>
          <w:lang w:val="en-US" w:eastAsia="zh-Hans"/>
        </w:rPr>
        <w:t>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bookmarkStart w:id="20" w:name="_Toc1667362389_WPSOffice_Level2"/>
      <w:bookmarkStart w:id="21" w:name="_Toc1570666078_WPSOffice_Level2"/>
      <w:r>
        <w:rPr>
          <w:rFonts w:hint="eastAsia" w:ascii="仿宋" w:hAnsi="仿宋" w:eastAsia="仿宋" w:cs="仿宋"/>
          <w:color w:val="auto"/>
          <w:kern w:val="0"/>
          <w:sz w:val="32"/>
          <w:szCs w:val="32"/>
          <w:highlight w:val="none"/>
          <w:shd w:val="clear" w:color="auto" w:fill="FFFFFF"/>
          <w:lang w:val="en-US" w:eastAsia="zh-CN"/>
        </w:rPr>
        <w:t>（3）</w:t>
      </w:r>
      <w:r>
        <w:rPr>
          <w:rFonts w:hint="eastAsia" w:ascii="仿宋" w:hAnsi="仿宋" w:eastAsia="仿宋" w:cs="仿宋"/>
          <w:color w:val="auto"/>
          <w:kern w:val="0"/>
          <w:sz w:val="32"/>
          <w:szCs w:val="32"/>
          <w:highlight w:val="none"/>
          <w:shd w:val="clear" w:color="auto" w:fill="FFFFFF"/>
          <w:lang w:val="en-US" w:eastAsia="zh-Hans"/>
        </w:rPr>
        <w:t>质量达标率</w:t>
      </w:r>
      <w:bookmarkEnd w:id="20"/>
      <w:bookmarkEnd w:id="21"/>
      <w:r>
        <w:rPr>
          <w:rFonts w:hint="eastAsia" w:ascii="仿宋" w:hAnsi="仿宋" w:eastAsia="仿宋" w:cs="仿宋"/>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根据</w:t>
      </w:r>
      <w:r>
        <w:rPr>
          <w:rFonts w:hint="eastAsia" w:ascii="仿宋" w:hAnsi="仿宋" w:eastAsia="仿宋" w:cs="仿宋"/>
          <w:color w:val="auto"/>
          <w:kern w:val="0"/>
          <w:sz w:val="32"/>
          <w:szCs w:val="32"/>
          <w:highlight w:val="none"/>
          <w:shd w:val="clear" w:color="auto" w:fill="FFFFFF"/>
          <w:lang w:val="en-US" w:eastAsia="zh-CN"/>
        </w:rPr>
        <w:t>新区商务局</w:t>
      </w:r>
      <w:r>
        <w:rPr>
          <w:rFonts w:hint="eastAsia" w:ascii="仿宋" w:hAnsi="仿宋" w:eastAsia="仿宋" w:cs="仿宋"/>
          <w:color w:val="auto"/>
          <w:kern w:val="0"/>
          <w:sz w:val="32"/>
          <w:szCs w:val="32"/>
          <w:highlight w:val="none"/>
          <w:shd w:val="clear" w:color="auto" w:fill="FFFFFF"/>
          <w:lang w:val="en-US" w:eastAsia="zh-Hans"/>
        </w:rPr>
        <w:t>《2020年度部门整体支出绩效目标表》及《</w:t>
      </w:r>
      <w:r>
        <w:rPr>
          <w:rFonts w:hint="eastAsia" w:ascii="仿宋" w:hAnsi="仿宋" w:eastAsia="仿宋" w:cs="仿宋"/>
          <w:color w:val="auto"/>
          <w:kern w:val="0"/>
          <w:sz w:val="32"/>
          <w:szCs w:val="32"/>
          <w:highlight w:val="none"/>
          <w:shd w:val="clear" w:color="auto" w:fill="FFFFFF"/>
          <w:lang w:val="en-US" w:eastAsia="zh-CN"/>
        </w:rPr>
        <w:t>2020年工作总结和2021年工作打算</w:t>
      </w:r>
      <w:r>
        <w:rPr>
          <w:rFonts w:hint="eastAsia" w:ascii="仿宋" w:hAnsi="仿宋" w:eastAsia="仿宋" w:cs="仿宋"/>
          <w:color w:val="auto"/>
          <w:kern w:val="0"/>
          <w:sz w:val="32"/>
          <w:szCs w:val="32"/>
          <w:highlight w:val="none"/>
          <w:shd w:val="clear" w:color="auto" w:fill="FFFFFF"/>
          <w:lang w:val="en-US" w:eastAsia="zh-Hans"/>
        </w:rPr>
        <w:t>》</w:t>
      </w:r>
      <w:r>
        <w:rPr>
          <w:rFonts w:hint="eastAsia" w:ascii="仿宋" w:hAnsi="仿宋" w:eastAsia="仿宋" w:cs="仿宋"/>
          <w:color w:val="auto"/>
          <w:kern w:val="0"/>
          <w:sz w:val="32"/>
          <w:szCs w:val="32"/>
          <w:highlight w:val="none"/>
          <w:shd w:val="clear" w:color="auto" w:fill="FFFFFF"/>
          <w:lang w:val="en-US" w:eastAsia="zh-CN"/>
        </w:rPr>
        <w:t>，</w:t>
      </w:r>
      <w:r>
        <w:rPr>
          <w:rFonts w:hint="eastAsia" w:ascii="仿宋" w:hAnsi="仿宋" w:eastAsia="仿宋" w:cs="仿宋"/>
          <w:color w:val="auto"/>
          <w:kern w:val="0"/>
          <w:sz w:val="32"/>
          <w:szCs w:val="32"/>
          <w:highlight w:val="none"/>
          <w:shd w:val="clear" w:color="auto" w:fill="FFFFFF"/>
          <w:lang w:val="en-US" w:eastAsia="zh-Hans"/>
        </w:rPr>
        <w:t>截至2020年12月31日，该部门年度工作计划均已完成且质量达标，重点支出质量达标率为100%。</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该指标满分</w:t>
      </w:r>
      <w:r>
        <w:rPr>
          <w:rFonts w:hint="eastAsia" w:ascii="仿宋" w:hAnsi="仿宋" w:eastAsia="仿宋" w:cs="仿宋"/>
          <w:color w:val="auto"/>
          <w:kern w:val="0"/>
          <w:sz w:val="32"/>
          <w:szCs w:val="32"/>
          <w:highlight w:val="none"/>
          <w:shd w:val="clear" w:color="auto" w:fill="FFFFFF"/>
          <w:lang w:val="en-US" w:eastAsia="zh-CN"/>
        </w:rPr>
        <w:t>5</w:t>
      </w:r>
      <w:r>
        <w:rPr>
          <w:rFonts w:hint="eastAsia" w:ascii="仿宋" w:hAnsi="仿宋" w:eastAsia="仿宋" w:cs="仿宋"/>
          <w:color w:val="auto"/>
          <w:kern w:val="0"/>
          <w:sz w:val="32"/>
          <w:szCs w:val="32"/>
          <w:highlight w:val="none"/>
          <w:shd w:val="clear" w:color="auto" w:fill="FFFFFF"/>
          <w:lang w:val="en-US" w:eastAsia="zh-Hans"/>
        </w:rPr>
        <w:t>分，得</w:t>
      </w:r>
      <w:r>
        <w:rPr>
          <w:rFonts w:hint="eastAsia" w:ascii="仿宋" w:hAnsi="仿宋" w:eastAsia="仿宋" w:cs="仿宋"/>
          <w:color w:val="auto"/>
          <w:kern w:val="0"/>
          <w:sz w:val="32"/>
          <w:szCs w:val="32"/>
          <w:highlight w:val="none"/>
          <w:shd w:val="clear" w:color="auto" w:fill="FFFFFF"/>
          <w:lang w:val="en-US" w:eastAsia="zh-CN"/>
        </w:rPr>
        <w:t>分5</w:t>
      </w:r>
      <w:r>
        <w:rPr>
          <w:rFonts w:hint="eastAsia" w:ascii="仿宋" w:hAnsi="仿宋" w:eastAsia="仿宋" w:cs="仿宋"/>
          <w:color w:val="auto"/>
          <w:kern w:val="0"/>
          <w:sz w:val="32"/>
          <w:szCs w:val="32"/>
          <w:highlight w:val="none"/>
          <w:shd w:val="clear" w:color="auto" w:fill="FFFFFF"/>
          <w:lang w:val="en-US" w:eastAsia="zh-Hans"/>
        </w:rPr>
        <w:t>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bookmarkStart w:id="22" w:name="_Toc1464939341_WPSOffice_Level2"/>
      <w:bookmarkStart w:id="23" w:name="_Toc1742944595_WPSOffice_Level2"/>
      <w:r>
        <w:rPr>
          <w:rFonts w:hint="eastAsia" w:ascii="仿宋" w:hAnsi="仿宋" w:eastAsia="仿宋" w:cs="仿宋"/>
          <w:color w:val="auto"/>
          <w:kern w:val="0"/>
          <w:sz w:val="32"/>
          <w:szCs w:val="32"/>
          <w:highlight w:val="none"/>
          <w:shd w:val="clear" w:color="auto" w:fill="FFFFFF"/>
          <w:lang w:val="en-US" w:eastAsia="zh-CN"/>
        </w:rPr>
        <w:t>（4）</w:t>
      </w:r>
      <w:r>
        <w:rPr>
          <w:rFonts w:hint="eastAsia" w:ascii="仿宋" w:hAnsi="仿宋" w:eastAsia="仿宋" w:cs="仿宋"/>
          <w:color w:val="auto"/>
          <w:kern w:val="0"/>
          <w:sz w:val="32"/>
          <w:szCs w:val="32"/>
          <w:highlight w:val="none"/>
          <w:shd w:val="clear" w:color="auto" w:fill="FFFFFF"/>
          <w:lang w:val="en-US" w:eastAsia="zh-Hans"/>
        </w:rPr>
        <w:t>重点工作办结率</w:t>
      </w:r>
      <w:bookmarkEnd w:id="22"/>
      <w:bookmarkEnd w:id="23"/>
      <w:r>
        <w:rPr>
          <w:rFonts w:hint="eastAsia" w:ascii="仿宋" w:hAnsi="仿宋" w:eastAsia="仿宋" w:cs="仿宋"/>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2020年</w:t>
      </w:r>
      <w:r>
        <w:rPr>
          <w:rFonts w:hint="eastAsia" w:ascii="仿宋" w:hAnsi="仿宋" w:eastAsia="仿宋" w:cs="仿宋"/>
          <w:color w:val="auto"/>
          <w:kern w:val="0"/>
          <w:sz w:val="32"/>
          <w:szCs w:val="32"/>
          <w:highlight w:val="none"/>
          <w:shd w:val="clear" w:color="auto" w:fill="FFFFFF"/>
          <w:lang w:val="en-US" w:eastAsia="zh-CN"/>
        </w:rPr>
        <w:t>新区商务局</w:t>
      </w:r>
      <w:r>
        <w:rPr>
          <w:rFonts w:hint="eastAsia" w:ascii="仿宋" w:hAnsi="仿宋" w:eastAsia="仿宋" w:cs="仿宋"/>
          <w:color w:val="auto"/>
          <w:kern w:val="0"/>
          <w:sz w:val="32"/>
          <w:szCs w:val="32"/>
          <w:highlight w:val="none"/>
          <w:shd w:val="clear" w:color="auto" w:fill="FFFFFF"/>
          <w:lang w:val="en-US" w:eastAsia="zh-Hans"/>
        </w:rPr>
        <w:t>的重点工作有：</w:t>
      </w:r>
      <w:r>
        <w:rPr>
          <w:rFonts w:hint="eastAsia" w:ascii="仿宋" w:hAnsi="仿宋" w:eastAsia="仿宋" w:cs="仿宋"/>
          <w:color w:val="auto"/>
          <w:kern w:val="0"/>
          <w:sz w:val="32"/>
          <w:szCs w:val="32"/>
          <w:highlight w:val="none"/>
          <w:shd w:val="clear" w:color="auto" w:fill="FFFFFF"/>
          <w:lang w:val="en-US" w:eastAsia="zh-CN"/>
        </w:rPr>
        <w:t>组织参加“进博会”工作经费支出、全面招商工作经费支出和疫情防治专项工作经费支出，完成情况良好。</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该指标满分</w:t>
      </w:r>
      <w:r>
        <w:rPr>
          <w:rFonts w:hint="eastAsia" w:ascii="仿宋" w:hAnsi="仿宋" w:eastAsia="仿宋" w:cs="仿宋"/>
          <w:color w:val="auto"/>
          <w:kern w:val="0"/>
          <w:sz w:val="32"/>
          <w:szCs w:val="32"/>
          <w:highlight w:val="none"/>
          <w:shd w:val="clear" w:color="auto" w:fill="FFFFFF"/>
          <w:lang w:val="en-US" w:eastAsia="zh-CN"/>
        </w:rPr>
        <w:t>6</w:t>
      </w:r>
      <w:r>
        <w:rPr>
          <w:rFonts w:hint="eastAsia" w:ascii="仿宋" w:hAnsi="仿宋" w:eastAsia="仿宋" w:cs="仿宋"/>
          <w:color w:val="auto"/>
          <w:kern w:val="0"/>
          <w:sz w:val="32"/>
          <w:szCs w:val="32"/>
          <w:highlight w:val="none"/>
          <w:shd w:val="clear" w:color="auto" w:fill="FFFFFF"/>
          <w:lang w:val="en-US" w:eastAsia="zh-Hans"/>
        </w:rPr>
        <w:t>分，</w:t>
      </w:r>
      <w:r>
        <w:rPr>
          <w:rFonts w:hint="eastAsia" w:ascii="仿宋" w:hAnsi="仿宋" w:eastAsia="仿宋" w:cs="仿宋"/>
          <w:color w:val="auto"/>
          <w:kern w:val="0"/>
          <w:sz w:val="32"/>
          <w:szCs w:val="32"/>
          <w:highlight w:val="none"/>
          <w:shd w:val="clear" w:color="auto" w:fill="FFFFFF"/>
          <w:lang w:val="en-US" w:eastAsia="zh-CN"/>
        </w:rPr>
        <w:t>得分6</w:t>
      </w:r>
      <w:r>
        <w:rPr>
          <w:rFonts w:hint="eastAsia" w:ascii="仿宋" w:hAnsi="仿宋" w:eastAsia="仿宋" w:cs="仿宋"/>
          <w:color w:val="auto"/>
          <w:kern w:val="0"/>
          <w:sz w:val="32"/>
          <w:szCs w:val="32"/>
          <w:highlight w:val="none"/>
          <w:shd w:val="clear" w:color="auto" w:fill="FFFFFF"/>
          <w:lang w:val="en-US" w:eastAsia="zh-Hans"/>
        </w:rPr>
        <w:t>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1"/>
        <w:rPr>
          <w:rFonts w:hint="eastAsia" w:ascii="楷体" w:hAnsi="楷体" w:eastAsia="楷体" w:cs="楷体"/>
          <w:b/>
          <w:bCs/>
          <w:color w:val="auto"/>
          <w:kern w:val="0"/>
          <w:sz w:val="32"/>
          <w:szCs w:val="32"/>
          <w:highlight w:val="none"/>
          <w:shd w:val="clear" w:color="auto" w:fill="FFFFFF"/>
          <w:lang w:val="en-US" w:eastAsia="zh-CN"/>
        </w:rPr>
      </w:pPr>
      <w:bookmarkStart w:id="24" w:name="_Toc30456"/>
      <w:r>
        <w:rPr>
          <w:rFonts w:hint="eastAsia" w:ascii="楷体" w:hAnsi="楷体" w:eastAsia="楷体" w:cs="楷体"/>
          <w:b/>
          <w:bCs/>
          <w:color w:val="auto"/>
          <w:kern w:val="0"/>
          <w:sz w:val="32"/>
          <w:szCs w:val="32"/>
          <w:highlight w:val="none"/>
          <w:shd w:val="clear" w:color="auto" w:fill="FFFFFF"/>
          <w:lang w:val="en-US" w:eastAsia="zh-CN"/>
        </w:rPr>
        <w:t>（四）效果方面</w:t>
      </w:r>
      <w:bookmarkEnd w:id="24"/>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该指标主要考核部门新区商务局履行效益的内容，包括</w:t>
      </w:r>
      <w:r>
        <w:rPr>
          <w:rFonts w:hint="eastAsia" w:ascii="仿宋" w:hAnsi="仿宋" w:eastAsia="仿宋" w:cs="仿宋"/>
          <w:color w:val="auto"/>
          <w:kern w:val="0"/>
          <w:sz w:val="32"/>
          <w:szCs w:val="32"/>
          <w:highlight w:val="none"/>
          <w:shd w:val="clear" w:color="auto" w:fill="FFFFFF"/>
          <w:lang w:val="en-US" w:eastAsia="zh-Hans"/>
        </w:rPr>
        <w:t>经济效益、社会效益、和</w:t>
      </w:r>
      <w:r>
        <w:rPr>
          <w:rFonts w:hint="eastAsia" w:ascii="仿宋" w:hAnsi="仿宋" w:eastAsia="仿宋" w:cs="仿宋"/>
          <w:color w:val="auto"/>
          <w:kern w:val="0"/>
          <w:sz w:val="32"/>
          <w:szCs w:val="32"/>
          <w:highlight w:val="none"/>
          <w:shd w:val="clear" w:color="auto" w:fill="FFFFFF"/>
          <w:lang w:val="en-US" w:eastAsia="zh-CN"/>
        </w:rPr>
        <w:t>服务对象</w:t>
      </w:r>
      <w:r>
        <w:rPr>
          <w:rFonts w:hint="eastAsia" w:ascii="仿宋" w:hAnsi="仿宋" w:eastAsia="仿宋" w:cs="仿宋"/>
          <w:color w:val="auto"/>
          <w:kern w:val="0"/>
          <w:sz w:val="32"/>
          <w:szCs w:val="32"/>
          <w:highlight w:val="none"/>
          <w:shd w:val="clear" w:color="auto" w:fill="FFFFFF"/>
          <w:lang w:val="en-US" w:eastAsia="zh-Hans"/>
        </w:rPr>
        <w:t>满意度</w:t>
      </w:r>
      <w:r>
        <w:rPr>
          <w:rFonts w:hint="eastAsia" w:ascii="仿宋" w:hAnsi="仿宋" w:eastAsia="仿宋" w:cs="仿宋"/>
          <w:color w:val="auto"/>
          <w:kern w:val="0"/>
          <w:sz w:val="32"/>
          <w:szCs w:val="32"/>
          <w:highlight w:val="none"/>
          <w:shd w:val="clear" w:color="auto" w:fill="FFFFFF"/>
          <w:lang w:val="en-US" w:eastAsia="zh-CN"/>
        </w:rPr>
        <w:t>3个三级指标，指标权重24分，评价得分23分，得分率为95.8%。</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Hans"/>
        </w:rPr>
        <w:t>1.履职效益</w:t>
      </w:r>
      <w:r>
        <w:rPr>
          <w:rFonts w:hint="eastAsia" w:ascii="仿宋" w:hAnsi="仿宋" w:eastAsia="仿宋" w:cs="仿宋"/>
          <w:b/>
          <w:bCs/>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（1）</w:t>
      </w:r>
      <w:r>
        <w:rPr>
          <w:rFonts w:hint="eastAsia" w:ascii="仿宋" w:hAnsi="仿宋" w:eastAsia="仿宋" w:cs="仿宋"/>
          <w:color w:val="auto"/>
          <w:kern w:val="0"/>
          <w:sz w:val="32"/>
          <w:szCs w:val="32"/>
          <w:highlight w:val="none"/>
          <w:shd w:val="clear" w:color="auto" w:fill="FFFFFF"/>
          <w:lang w:val="en-US" w:eastAsia="zh-Hans"/>
        </w:rPr>
        <w:t>经济效益</w:t>
      </w:r>
      <w:r>
        <w:rPr>
          <w:rFonts w:hint="eastAsia" w:ascii="仿宋" w:hAnsi="仿宋" w:eastAsia="仿宋" w:cs="仿宋"/>
          <w:color w:val="auto"/>
          <w:kern w:val="0"/>
          <w:sz w:val="32"/>
          <w:szCs w:val="32"/>
          <w:highlight w:val="none"/>
          <w:shd w:val="clear" w:color="auto" w:fill="FFFFFF"/>
          <w:lang w:val="en-US" w:eastAsia="zh-CN"/>
        </w:rPr>
        <w:t>。</w:t>
      </w:r>
    </w:p>
    <w:p>
      <w:pPr>
        <w:pStyle w:val="2"/>
        <w:keepNext w:val="0"/>
        <w:keepLines w:val="0"/>
        <w:pageBreakBefore w:val="0"/>
        <w:widowControl w:val="0"/>
        <w:kinsoku/>
        <w:wordWrap/>
        <w:overflowPunct/>
        <w:topLinePunct w:val="0"/>
        <w:autoSpaceDE w:val="0"/>
        <w:autoSpaceDN w:val="0"/>
        <w:bidi w:val="0"/>
        <w:adjustRightInd/>
        <w:snapToGrid/>
        <w:spacing w:before="0" w:line="600" w:lineRule="exact"/>
        <w:ind w:left="0" w:leftChars="0" w:firstLine="640" w:firstLineChars="200"/>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Hans"/>
        </w:rPr>
        <w:t>消费促进月活动共计销售额2724.8万元</w:t>
      </w:r>
      <w:r>
        <w:rPr>
          <w:rFonts w:hint="eastAsia" w:ascii="仿宋" w:hAnsi="仿宋" w:eastAsia="仿宋" w:cs="仿宋"/>
          <w:color w:val="auto"/>
          <w:kern w:val="0"/>
          <w:sz w:val="32"/>
          <w:szCs w:val="32"/>
          <w:highlight w:val="none"/>
          <w:shd w:val="clear" w:color="auto" w:fill="FFFFFF"/>
          <w:lang w:val="en-US" w:eastAsia="zh-CN"/>
        </w:rPr>
        <w:t>，得5分。</w:t>
      </w:r>
    </w:p>
    <w:p>
      <w:pPr>
        <w:pStyle w:val="2"/>
        <w:keepNext w:val="0"/>
        <w:keepLines w:val="0"/>
        <w:pageBreakBefore w:val="0"/>
        <w:widowControl w:val="0"/>
        <w:kinsoku/>
        <w:wordWrap/>
        <w:overflowPunct/>
        <w:topLinePunct w:val="0"/>
        <w:autoSpaceDE w:val="0"/>
        <w:autoSpaceDN w:val="0"/>
        <w:bidi w:val="0"/>
        <w:adjustRightInd/>
        <w:snapToGrid/>
        <w:spacing w:before="0" w:line="600" w:lineRule="exact"/>
        <w:ind w:left="0" w:leftChars="0" w:firstLine="640" w:firstLineChars="200"/>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根据新区商务局《2020年工作总结和2021年工作打算》，2020年新区商务局组织企业申报2020年商贸服务业项目，初审通过并上报市局各类项目18个，申请项目资金共计695万元，得6分</w:t>
      </w:r>
    </w:p>
    <w:p>
      <w:pPr>
        <w:pStyle w:val="2"/>
        <w:keepNext w:val="0"/>
        <w:keepLines w:val="0"/>
        <w:pageBreakBefore w:val="0"/>
        <w:widowControl w:val="0"/>
        <w:kinsoku/>
        <w:wordWrap/>
        <w:overflowPunct/>
        <w:topLinePunct w:val="0"/>
        <w:autoSpaceDE w:val="0"/>
        <w:autoSpaceDN w:val="0"/>
        <w:bidi w:val="0"/>
        <w:adjustRightInd/>
        <w:snapToGrid/>
        <w:spacing w:before="0" w:line="600" w:lineRule="exact"/>
        <w:ind w:left="0" w:leftChars="0" w:firstLine="640" w:firstLineChars="200"/>
        <w:textAlignment w:val="auto"/>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所以，经济效益指标得11分。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atLeas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（2）</w:t>
      </w:r>
      <w:r>
        <w:rPr>
          <w:rFonts w:hint="eastAsia" w:ascii="仿宋" w:hAnsi="仿宋" w:eastAsia="仿宋" w:cs="仿宋"/>
          <w:color w:val="auto"/>
          <w:kern w:val="0"/>
          <w:sz w:val="32"/>
          <w:szCs w:val="32"/>
          <w:highlight w:val="none"/>
          <w:shd w:val="clear" w:color="auto" w:fill="FFFFFF"/>
          <w:lang w:val="en-US" w:eastAsia="zh-Hans"/>
        </w:rPr>
        <w:t>社会效益</w:t>
      </w:r>
      <w:r>
        <w:rPr>
          <w:rFonts w:hint="eastAsia" w:ascii="仿宋" w:hAnsi="仿宋" w:eastAsia="仿宋" w:cs="仿宋"/>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根据《2020年工作总结和2021年工作打算》，新区商务局经过前期摸排和动员引导，今年共提交新区统计局10户拟入统计库企业资料，培育新增“四上”企业超过3所。根据新区运行监测的相关数据，社零、外贸进出口、R&amp;D、技术市场交易额等指标完成情况良好。</w:t>
      </w:r>
    </w:p>
    <w:p>
      <w:pPr>
        <w:pStyle w:val="2"/>
        <w:ind w:left="0" w:leftChars="0" w:firstLine="640" w:firstLineChars="200"/>
        <w:rPr>
          <w:rFonts w:hint="default"/>
          <w:lang w:val="en-US" w:eastAsia="zh-CN"/>
        </w:rPr>
      </w:pPr>
      <w:r>
        <w:rPr>
          <w:rFonts w:hint="eastAsia" w:ascii="仿宋" w:hAnsi="仿宋" w:eastAsia="仿宋" w:cs="仿宋"/>
          <w:color w:val="auto"/>
          <w:kern w:val="0"/>
          <w:sz w:val="32"/>
          <w:szCs w:val="32"/>
          <w:highlight w:val="none"/>
          <w:shd w:val="clear" w:color="auto" w:fill="FFFFFF"/>
          <w:lang w:val="en-US" w:eastAsia="zh-CN"/>
        </w:rPr>
        <w:t>该指标满分9分，得9分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（3）服务对象</w:t>
      </w:r>
      <w:r>
        <w:rPr>
          <w:rFonts w:hint="eastAsia" w:ascii="仿宋" w:hAnsi="仿宋" w:eastAsia="仿宋" w:cs="仿宋"/>
          <w:color w:val="auto"/>
          <w:kern w:val="0"/>
          <w:sz w:val="32"/>
          <w:szCs w:val="32"/>
          <w:highlight w:val="none"/>
          <w:shd w:val="clear" w:color="auto" w:fill="FFFFFF"/>
          <w:lang w:val="en-US" w:eastAsia="zh-Hans"/>
        </w:rPr>
        <w:t>满意度</w:t>
      </w:r>
      <w:r>
        <w:rPr>
          <w:rFonts w:hint="eastAsia" w:ascii="仿宋" w:hAnsi="仿宋" w:eastAsia="仿宋" w:cs="仿宋"/>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对于服务对象满意度的评价，主要评价新区商务局服务企业的满意度情况。针对被服务企业发放10分调查问卷，回收10分，调查问卷有效率为100%，针对司乘人员发放10分调查问卷，回收10分，调查问卷有效率为100%调查问卷经汇总统计后，按照如下方式计算分值：</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① Ai=3*p1+2*p2+1*p3+0*p4</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960" w:firstLineChars="3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Ai（i=1、2、3、4、5）:调查问卷中的第i个问题分值。</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960" w:firstLineChars="3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P1:同一对象问卷调查中的对应问题的满意情况占比。</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960" w:firstLineChars="3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P2:同一对象问卷调查中的对应问题的较满意情况占比。</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960" w:firstLineChars="3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P3:同一对象问卷调查中的对应问题的一般情况占比。</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960" w:firstLineChars="3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P4:同一对象问卷调查中的对应问题的不满意情况占比。</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960" w:firstLineChars="300"/>
        <w:jc w:val="both"/>
        <w:textAlignment w:val="auto"/>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② M=(A1+A2+A3+A4+A5)/5(i=1、2</w:t>
      </w:r>
      <w:r>
        <w:rPr>
          <w:rFonts w:hint="default" w:ascii="仿宋" w:hAnsi="仿宋" w:eastAsia="仿宋" w:cs="仿宋"/>
          <w:color w:val="auto"/>
          <w:kern w:val="0"/>
          <w:sz w:val="32"/>
          <w:szCs w:val="32"/>
          <w:highlight w:val="none"/>
          <w:shd w:val="clear" w:color="auto" w:fill="FFFFFF"/>
          <w:lang w:val="en-US" w:eastAsia="zh-CN"/>
        </w:rPr>
        <w:t>…</w:t>
      </w:r>
      <w:r>
        <w:rPr>
          <w:rFonts w:hint="eastAsia" w:ascii="仿宋" w:hAnsi="仿宋" w:eastAsia="仿宋" w:cs="仿宋"/>
          <w:color w:val="auto"/>
          <w:kern w:val="0"/>
          <w:sz w:val="32"/>
          <w:szCs w:val="32"/>
          <w:highlight w:val="none"/>
          <w:shd w:val="clear" w:color="auto" w:fill="FFFFFF"/>
          <w:lang w:val="en-US" w:eastAsia="zh-CN"/>
        </w:rPr>
        <w:t>5)</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960" w:firstLineChars="3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M:服务对象满意度调查分值。</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根据调查问卷收集情况相关数据和满意度调查分值计算公式统计如下：</w:t>
      </w: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firstLine="562" w:firstLineChars="200"/>
        <w:jc w:val="center"/>
        <w:textAlignment w:val="auto"/>
        <w:rPr>
          <w:rFonts w:hint="eastAsia" w:ascii="仿宋" w:hAnsi="仿宋" w:eastAsia="仿宋" w:cs="仿宋"/>
          <w:b/>
          <w:bCs/>
          <w:color w:val="auto"/>
          <w:kern w:val="0"/>
          <w:sz w:val="28"/>
          <w:szCs w:val="28"/>
          <w:highlight w:val="none"/>
          <w:shd w:val="clear" w:color="auto" w:fill="FFFFFF"/>
          <w:lang w:val="en-US" w:eastAsia="zh-CN"/>
        </w:rPr>
      </w:pPr>
      <w:r>
        <w:rPr>
          <w:rFonts w:hint="eastAsia" w:ascii="仿宋" w:hAnsi="仿宋" w:eastAsia="仿宋" w:cs="仿宋"/>
          <w:b/>
          <w:bCs/>
          <w:color w:val="auto"/>
          <w:kern w:val="0"/>
          <w:sz w:val="28"/>
          <w:szCs w:val="28"/>
          <w:highlight w:val="none"/>
          <w:shd w:val="clear" w:color="auto" w:fill="FFFFFF"/>
          <w:lang w:val="en-US" w:eastAsia="zh-CN"/>
        </w:rPr>
        <w:t>表3-1  服务企业满意度调查问卷统计分析表</w:t>
      </w:r>
    </w:p>
    <w:tbl>
      <w:tblPr>
        <w:tblStyle w:val="15"/>
        <w:tblW w:w="4956" w:type="pct"/>
        <w:tblInd w:w="0" w:type="dxa"/>
        <w:tblLayout w:type="autofit"/>
        <w:tblCellMar>
          <w:top w:w="0" w:type="dxa"/>
          <w:left w:w="0" w:type="dxa"/>
          <w:bottom w:w="0" w:type="dxa"/>
          <w:right w:w="0" w:type="dxa"/>
        </w:tblCellMar>
      </w:tblPr>
      <w:tblGrid>
        <w:gridCol w:w="2900"/>
        <w:gridCol w:w="1163"/>
        <w:gridCol w:w="1168"/>
        <w:gridCol w:w="1168"/>
        <w:gridCol w:w="1168"/>
        <w:gridCol w:w="1185"/>
      </w:tblGrid>
      <w:tr>
        <w:tblPrEx>
          <w:tblCellMar>
            <w:top w:w="0" w:type="dxa"/>
            <w:left w:w="0" w:type="dxa"/>
            <w:bottom w:w="0" w:type="dxa"/>
            <w:right w:w="0" w:type="dxa"/>
          </w:tblCellMar>
        </w:tblPrEx>
        <w:trPr>
          <w:trHeight w:val="300" w:hRule="atLeast"/>
        </w:trPr>
        <w:tc>
          <w:tcPr>
            <w:tcW w:w="1656"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default" w:ascii="仿宋" w:hAnsi="仿宋" w:eastAsia="仿宋" w:cs="仿宋"/>
                <w:i w:val="0"/>
                <w:color w:val="000000"/>
                <w:sz w:val="24"/>
                <w:szCs w:val="24"/>
                <w:u w:val="none"/>
                <w:lang w:val="en-US" w:eastAsia="zh-CN"/>
              </w:rPr>
            </w:pPr>
            <w:r>
              <w:rPr>
                <w:rFonts w:hint="eastAsia" w:ascii="仿宋" w:hAnsi="仿宋" w:eastAsia="仿宋" w:cs="仿宋"/>
                <w:i w:val="0"/>
                <w:color w:val="000000"/>
                <w:sz w:val="24"/>
                <w:szCs w:val="24"/>
                <w:u w:val="none"/>
                <w:lang w:val="en-US" w:eastAsia="zh-CN"/>
              </w:rPr>
              <w:t>问卷题项</w:t>
            </w:r>
          </w:p>
        </w:tc>
        <w:tc>
          <w:tcPr>
            <w:tcW w:w="664"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分值</w:t>
            </w:r>
          </w:p>
        </w:tc>
        <w:tc>
          <w:tcPr>
            <w:tcW w:w="667"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满意</w:t>
            </w:r>
          </w:p>
        </w:tc>
        <w:tc>
          <w:tcPr>
            <w:tcW w:w="667"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比较满意</w:t>
            </w:r>
          </w:p>
        </w:tc>
        <w:tc>
          <w:tcPr>
            <w:tcW w:w="667"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一般</w:t>
            </w:r>
          </w:p>
        </w:tc>
        <w:tc>
          <w:tcPr>
            <w:tcW w:w="676"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不满意</w:t>
            </w:r>
          </w:p>
        </w:tc>
      </w:tr>
      <w:tr>
        <w:tblPrEx>
          <w:tblCellMar>
            <w:top w:w="0" w:type="dxa"/>
            <w:left w:w="0" w:type="dxa"/>
            <w:bottom w:w="0" w:type="dxa"/>
            <w:right w:w="0" w:type="dxa"/>
          </w:tblCellMar>
        </w:tblPrEx>
        <w:trPr>
          <w:trHeight w:val="600" w:hRule="atLeast"/>
        </w:trPr>
        <w:tc>
          <w:tcPr>
            <w:tcW w:w="1656"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ind w:firstLine="480" w:firstLineChars="20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您对商务局开展的安全生产检查活动满意吗？</w:t>
            </w:r>
          </w:p>
        </w:tc>
        <w:tc>
          <w:tcPr>
            <w:tcW w:w="664"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default" w:ascii="仿宋" w:hAnsi="仿宋" w:eastAsia="仿宋" w:cs="仿宋"/>
                <w:i w:val="0"/>
                <w:color w:val="000000"/>
                <w:sz w:val="24"/>
                <w:szCs w:val="24"/>
                <w:u w:val="none"/>
                <w:lang w:val="en-US" w:eastAsia="zh-CN"/>
              </w:rPr>
            </w:pPr>
            <w:r>
              <w:rPr>
                <w:rFonts w:hint="eastAsia" w:ascii="仿宋" w:hAnsi="仿宋" w:eastAsia="仿宋" w:cs="仿宋"/>
                <w:i w:val="0"/>
                <w:color w:val="000000"/>
                <w:sz w:val="24"/>
                <w:szCs w:val="24"/>
                <w:u w:val="none"/>
                <w:lang w:val="en-US" w:eastAsia="zh-CN"/>
              </w:rPr>
              <w:t>3</w:t>
            </w:r>
          </w:p>
        </w:tc>
        <w:tc>
          <w:tcPr>
            <w:tcW w:w="667"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default" w:ascii="仿宋" w:hAnsi="仿宋" w:eastAsia="仿宋" w:cs="仿宋"/>
                <w:i w:val="0"/>
                <w:color w:val="000000"/>
                <w:sz w:val="24"/>
                <w:szCs w:val="24"/>
                <w:u w:val="none"/>
                <w:lang w:val="en-US" w:eastAsia="zh-CN"/>
              </w:rPr>
            </w:pPr>
            <w:r>
              <w:rPr>
                <w:rFonts w:hint="eastAsia" w:ascii="仿宋" w:hAnsi="仿宋" w:eastAsia="仿宋" w:cs="仿宋"/>
                <w:i w:val="0"/>
                <w:color w:val="000000"/>
                <w:kern w:val="0"/>
                <w:sz w:val="24"/>
                <w:szCs w:val="24"/>
                <w:u w:val="none"/>
                <w:lang w:val="en-US" w:eastAsia="zh-CN" w:bidi="ar"/>
              </w:rPr>
              <w:t>1</w:t>
            </w:r>
          </w:p>
        </w:tc>
        <w:tc>
          <w:tcPr>
            <w:tcW w:w="667"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default" w:ascii="仿宋" w:hAnsi="仿宋" w:eastAsia="仿宋" w:cs="仿宋"/>
                <w:i w:val="0"/>
                <w:color w:val="000000"/>
                <w:sz w:val="24"/>
                <w:szCs w:val="24"/>
                <w:u w:val="none"/>
                <w:lang w:val="en-US"/>
              </w:rPr>
            </w:pPr>
            <w:r>
              <w:rPr>
                <w:rFonts w:hint="eastAsia" w:ascii="仿宋" w:hAnsi="仿宋" w:eastAsia="仿宋" w:cs="仿宋"/>
                <w:i w:val="0"/>
                <w:color w:val="000000"/>
                <w:kern w:val="0"/>
                <w:sz w:val="24"/>
                <w:szCs w:val="24"/>
                <w:u w:val="none"/>
                <w:lang w:val="en-US" w:eastAsia="zh-CN" w:bidi="ar"/>
              </w:rPr>
              <w:t>0</w:t>
            </w:r>
          </w:p>
        </w:tc>
        <w:tc>
          <w:tcPr>
            <w:tcW w:w="667"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default" w:ascii="仿宋" w:hAnsi="仿宋" w:eastAsia="仿宋" w:cs="仿宋"/>
                <w:i w:val="0"/>
                <w:color w:val="000000"/>
                <w:sz w:val="24"/>
                <w:szCs w:val="24"/>
                <w:u w:val="none"/>
                <w:lang w:val="en-US"/>
              </w:rPr>
            </w:pPr>
            <w:r>
              <w:rPr>
                <w:rFonts w:hint="eastAsia" w:ascii="仿宋" w:hAnsi="仿宋" w:eastAsia="仿宋" w:cs="仿宋"/>
                <w:i w:val="0"/>
                <w:color w:val="000000"/>
                <w:kern w:val="0"/>
                <w:sz w:val="24"/>
                <w:szCs w:val="24"/>
                <w:u w:val="none"/>
                <w:lang w:val="en-US" w:eastAsia="zh-CN" w:bidi="ar"/>
              </w:rPr>
              <w:t>0</w:t>
            </w:r>
          </w:p>
        </w:tc>
        <w:tc>
          <w:tcPr>
            <w:tcW w:w="676"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r>
      <w:tr>
        <w:tblPrEx>
          <w:tblCellMar>
            <w:top w:w="0" w:type="dxa"/>
            <w:left w:w="0" w:type="dxa"/>
            <w:bottom w:w="0" w:type="dxa"/>
            <w:right w:w="0" w:type="dxa"/>
          </w:tblCellMar>
        </w:tblPrEx>
        <w:trPr>
          <w:trHeight w:val="600" w:hRule="atLeast"/>
        </w:trPr>
        <w:tc>
          <w:tcPr>
            <w:tcW w:w="1656"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ind w:firstLine="480" w:firstLineChars="20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您对商务局提供的政策指导和宣传满意吗？</w:t>
            </w:r>
          </w:p>
        </w:tc>
        <w:tc>
          <w:tcPr>
            <w:tcW w:w="664"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sz w:val="24"/>
                <w:szCs w:val="24"/>
                <w:u w:val="none"/>
                <w:lang w:val="en-US" w:eastAsia="zh-CN"/>
              </w:rPr>
              <w:t>3</w:t>
            </w:r>
          </w:p>
        </w:tc>
        <w:tc>
          <w:tcPr>
            <w:tcW w:w="667"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default" w:ascii="仿宋" w:hAnsi="仿宋" w:eastAsia="仿宋" w:cs="仿宋"/>
                <w:i w:val="0"/>
                <w:color w:val="000000"/>
                <w:sz w:val="24"/>
                <w:szCs w:val="24"/>
                <w:u w:val="none"/>
                <w:lang w:val="en-US" w:eastAsia="zh-CN"/>
              </w:rPr>
            </w:pPr>
            <w:r>
              <w:rPr>
                <w:rFonts w:hint="eastAsia" w:ascii="仿宋" w:hAnsi="仿宋" w:eastAsia="仿宋" w:cs="仿宋"/>
                <w:i w:val="0"/>
                <w:color w:val="000000"/>
                <w:kern w:val="0"/>
                <w:sz w:val="24"/>
                <w:szCs w:val="24"/>
                <w:u w:val="none"/>
                <w:lang w:val="en-US" w:eastAsia="zh-CN" w:bidi="ar"/>
              </w:rPr>
              <w:t>1</w:t>
            </w:r>
          </w:p>
        </w:tc>
        <w:tc>
          <w:tcPr>
            <w:tcW w:w="667"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c>
          <w:tcPr>
            <w:tcW w:w="667"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c>
          <w:tcPr>
            <w:tcW w:w="676"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r>
      <w:tr>
        <w:tblPrEx>
          <w:tblCellMar>
            <w:top w:w="0" w:type="dxa"/>
            <w:left w:w="0" w:type="dxa"/>
            <w:bottom w:w="0" w:type="dxa"/>
            <w:right w:w="0" w:type="dxa"/>
          </w:tblCellMar>
        </w:tblPrEx>
        <w:trPr>
          <w:trHeight w:val="900" w:hRule="atLeast"/>
        </w:trPr>
        <w:tc>
          <w:tcPr>
            <w:tcW w:w="1656"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ind w:firstLine="480" w:firstLineChars="20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您觉得《铜川市新区促进产业发展优惠政策》怎么样？</w:t>
            </w:r>
          </w:p>
        </w:tc>
        <w:tc>
          <w:tcPr>
            <w:tcW w:w="664"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default" w:ascii="仿宋" w:hAnsi="仿宋" w:eastAsia="仿宋" w:cs="仿宋"/>
                <w:i w:val="0"/>
                <w:color w:val="000000"/>
                <w:sz w:val="24"/>
                <w:szCs w:val="24"/>
                <w:u w:val="none"/>
                <w:lang w:val="en-US" w:eastAsia="zh-CN"/>
              </w:rPr>
            </w:pPr>
            <w:r>
              <w:rPr>
                <w:rFonts w:hint="eastAsia" w:ascii="仿宋" w:hAnsi="仿宋" w:eastAsia="仿宋" w:cs="仿宋"/>
                <w:i w:val="0"/>
                <w:color w:val="000000"/>
                <w:sz w:val="24"/>
                <w:szCs w:val="24"/>
                <w:u w:val="none"/>
                <w:lang w:val="en-US" w:eastAsia="zh-CN"/>
              </w:rPr>
              <w:t>3</w:t>
            </w:r>
          </w:p>
        </w:tc>
        <w:tc>
          <w:tcPr>
            <w:tcW w:w="667"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default" w:ascii="仿宋" w:hAnsi="仿宋" w:eastAsia="仿宋" w:cs="仿宋"/>
                <w:i w:val="0"/>
                <w:color w:val="000000"/>
                <w:sz w:val="24"/>
                <w:szCs w:val="24"/>
                <w:u w:val="none"/>
                <w:lang w:val="en-US" w:eastAsia="zh-CN"/>
              </w:rPr>
            </w:pPr>
            <w:r>
              <w:rPr>
                <w:rFonts w:hint="eastAsia" w:ascii="仿宋" w:hAnsi="仿宋" w:eastAsia="仿宋" w:cs="仿宋"/>
                <w:i w:val="0"/>
                <w:color w:val="000000"/>
                <w:kern w:val="0"/>
                <w:sz w:val="24"/>
                <w:szCs w:val="24"/>
                <w:u w:val="none"/>
                <w:lang w:val="en-US" w:eastAsia="zh-CN" w:bidi="ar"/>
              </w:rPr>
              <w:t>1</w:t>
            </w:r>
          </w:p>
        </w:tc>
        <w:tc>
          <w:tcPr>
            <w:tcW w:w="667"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default" w:ascii="仿宋" w:hAnsi="仿宋" w:eastAsia="仿宋" w:cs="仿宋"/>
                <w:i w:val="0"/>
                <w:color w:val="000000"/>
                <w:sz w:val="24"/>
                <w:szCs w:val="24"/>
                <w:u w:val="none"/>
                <w:lang w:val="en-US"/>
              </w:rPr>
            </w:pPr>
            <w:r>
              <w:rPr>
                <w:rFonts w:hint="eastAsia" w:ascii="仿宋" w:hAnsi="仿宋" w:eastAsia="仿宋" w:cs="仿宋"/>
                <w:i w:val="0"/>
                <w:color w:val="000000"/>
                <w:kern w:val="0"/>
                <w:sz w:val="24"/>
                <w:szCs w:val="24"/>
                <w:u w:val="none"/>
                <w:lang w:val="en-US" w:eastAsia="zh-CN" w:bidi="ar"/>
              </w:rPr>
              <w:t>0</w:t>
            </w:r>
          </w:p>
        </w:tc>
        <w:tc>
          <w:tcPr>
            <w:tcW w:w="667"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c>
          <w:tcPr>
            <w:tcW w:w="676"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r>
      <w:tr>
        <w:tblPrEx>
          <w:tblCellMar>
            <w:top w:w="0" w:type="dxa"/>
            <w:left w:w="0" w:type="dxa"/>
            <w:bottom w:w="0" w:type="dxa"/>
            <w:right w:w="0" w:type="dxa"/>
          </w:tblCellMar>
        </w:tblPrEx>
        <w:trPr>
          <w:trHeight w:val="600" w:hRule="atLeast"/>
        </w:trPr>
        <w:tc>
          <w:tcPr>
            <w:tcW w:w="1656"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ind w:firstLine="480" w:firstLineChars="20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您对参加第二十六届杨凌农高会感觉怎么样？</w:t>
            </w:r>
          </w:p>
        </w:tc>
        <w:tc>
          <w:tcPr>
            <w:tcW w:w="664"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lang w:val="en-US" w:eastAsia="zh-CN"/>
              </w:rPr>
            </w:pPr>
            <w:r>
              <w:rPr>
                <w:rFonts w:hint="eastAsia" w:ascii="仿宋" w:hAnsi="仿宋" w:eastAsia="仿宋" w:cs="仿宋"/>
                <w:i w:val="0"/>
                <w:color w:val="000000"/>
                <w:sz w:val="24"/>
                <w:szCs w:val="24"/>
                <w:u w:val="none"/>
                <w:lang w:val="en-US" w:eastAsia="zh-CN"/>
              </w:rPr>
              <w:t>3</w:t>
            </w:r>
          </w:p>
        </w:tc>
        <w:tc>
          <w:tcPr>
            <w:tcW w:w="667"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lang w:val="en-US" w:eastAsia="zh-CN"/>
              </w:rPr>
            </w:pPr>
            <w:r>
              <w:rPr>
                <w:rFonts w:hint="eastAsia" w:ascii="仿宋" w:hAnsi="仿宋" w:eastAsia="仿宋" w:cs="仿宋"/>
                <w:i w:val="0"/>
                <w:color w:val="000000"/>
                <w:kern w:val="0"/>
                <w:sz w:val="24"/>
                <w:szCs w:val="24"/>
                <w:u w:val="none"/>
                <w:lang w:val="en-US" w:eastAsia="zh-CN" w:bidi="ar"/>
              </w:rPr>
              <w:t>1</w:t>
            </w:r>
          </w:p>
        </w:tc>
        <w:tc>
          <w:tcPr>
            <w:tcW w:w="667"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c>
          <w:tcPr>
            <w:tcW w:w="667"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c>
          <w:tcPr>
            <w:tcW w:w="676"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r>
      <w:tr>
        <w:tblPrEx>
          <w:tblCellMar>
            <w:top w:w="0" w:type="dxa"/>
            <w:left w:w="0" w:type="dxa"/>
            <w:bottom w:w="0" w:type="dxa"/>
            <w:right w:w="0" w:type="dxa"/>
          </w:tblCellMar>
        </w:tblPrEx>
        <w:trPr>
          <w:trHeight w:val="490" w:hRule="atLeast"/>
        </w:trPr>
        <w:tc>
          <w:tcPr>
            <w:tcW w:w="1656"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ind w:firstLine="480" w:firstLineChars="20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您对商务局开展的服务保障工作满意吗？</w:t>
            </w:r>
          </w:p>
        </w:tc>
        <w:tc>
          <w:tcPr>
            <w:tcW w:w="664"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default" w:ascii="仿宋" w:hAnsi="仿宋" w:eastAsia="仿宋" w:cs="仿宋"/>
                <w:i w:val="0"/>
                <w:color w:val="000000"/>
                <w:sz w:val="24"/>
                <w:szCs w:val="24"/>
                <w:u w:val="none"/>
                <w:lang w:val="en-US" w:eastAsia="zh-CN"/>
              </w:rPr>
            </w:pPr>
            <w:r>
              <w:rPr>
                <w:rFonts w:hint="eastAsia" w:ascii="仿宋" w:hAnsi="仿宋" w:eastAsia="仿宋" w:cs="仿宋"/>
                <w:i w:val="0"/>
                <w:color w:val="000000"/>
                <w:sz w:val="24"/>
                <w:szCs w:val="24"/>
                <w:u w:val="none"/>
                <w:lang w:val="en-US" w:eastAsia="zh-CN"/>
              </w:rPr>
              <w:t>3</w:t>
            </w:r>
          </w:p>
        </w:tc>
        <w:tc>
          <w:tcPr>
            <w:tcW w:w="667"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default" w:ascii="仿宋" w:hAnsi="仿宋" w:eastAsia="仿宋" w:cs="仿宋"/>
                <w:i w:val="0"/>
                <w:color w:val="000000"/>
                <w:sz w:val="24"/>
                <w:szCs w:val="24"/>
                <w:u w:val="none"/>
                <w:lang w:val="en-US" w:eastAsia="zh-CN"/>
              </w:rPr>
            </w:pPr>
            <w:r>
              <w:rPr>
                <w:rFonts w:hint="eastAsia" w:ascii="仿宋" w:hAnsi="仿宋" w:eastAsia="仿宋" w:cs="仿宋"/>
                <w:i w:val="0"/>
                <w:color w:val="000000"/>
                <w:kern w:val="0"/>
                <w:sz w:val="24"/>
                <w:szCs w:val="24"/>
                <w:u w:val="none"/>
                <w:lang w:val="en-US" w:eastAsia="zh-CN" w:bidi="ar"/>
              </w:rPr>
              <w:t>1</w:t>
            </w:r>
          </w:p>
        </w:tc>
        <w:tc>
          <w:tcPr>
            <w:tcW w:w="667"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default" w:ascii="仿宋" w:hAnsi="仿宋" w:eastAsia="仿宋" w:cs="仿宋"/>
                <w:i w:val="0"/>
                <w:color w:val="000000"/>
                <w:sz w:val="24"/>
                <w:szCs w:val="24"/>
                <w:u w:val="none"/>
                <w:lang w:val="en-US"/>
              </w:rPr>
            </w:pPr>
            <w:r>
              <w:rPr>
                <w:rFonts w:hint="eastAsia" w:ascii="仿宋" w:hAnsi="仿宋" w:eastAsia="仿宋" w:cs="仿宋"/>
                <w:i w:val="0"/>
                <w:color w:val="000000"/>
                <w:kern w:val="0"/>
                <w:sz w:val="24"/>
                <w:szCs w:val="24"/>
                <w:u w:val="none"/>
                <w:lang w:val="en-US" w:eastAsia="zh-CN" w:bidi="ar"/>
              </w:rPr>
              <w:t>0</w:t>
            </w:r>
          </w:p>
        </w:tc>
        <w:tc>
          <w:tcPr>
            <w:tcW w:w="667"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c>
          <w:tcPr>
            <w:tcW w:w="676"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r>
      <w:tr>
        <w:tblPrEx>
          <w:tblCellMar>
            <w:top w:w="0" w:type="dxa"/>
            <w:left w:w="0" w:type="dxa"/>
            <w:bottom w:w="0" w:type="dxa"/>
            <w:right w:w="0" w:type="dxa"/>
          </w:tblCellMar>
        </w:tblPrEx>
        <w:trPr>
          <w:trHeight w:val="501" w:hRule="atLeast"/>
        </w:trPr>
        <w:tc>
          <w:tcPr>
            <w:tcW w:w="1656"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得分</w:t>
            </w:r>
          </w:p>
        </w:tc>
        <w:tc>
          <w:tcPr>
            <w:tcW w:w="664"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default" w:ascii="仿宋" w:hAnsi="仿宋" w:eastAsia="仿宋" w:cs="仿宋"/>
                <w:i w:val="0"/>
                <w:color w:val="000000"/>
                <w:sz w:val="24"/>
                <w:szCs w:val="24"/>
                <w:u w:val="none"/>
                <w:lang w:val="en-US" w:eastAsia="zh-CN"/>
              </w:rPr>
            </w:pPr>
            <w:r>
              <w:rPr>
                <w:rFonts w:hint="eastAsia" w:ascii="仿宋" w:hAnsi="仿宋" w:eastAsia="仿宋" w:cs="仿宋"/>
                <w:i w:val="0"/>
                <w:color w:val="000000"/>
                <w:sz w:val="24"/>
                <w:szCs w:val="24"/>
                <w:u w:val="none"/>
                <w:lang w:val="en-US" w:eastAsia="zh-CN"/>
              </w:rPr>
              <w:t>3</w:t>
            </w:r>
          </w:p>
        </w:tc>
        <w:tc>
          <w:tcPr>
            <w:tcW w:w="667"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67"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67"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76"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r>
    </w:tbl>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服务对象满意度指标满分3分，得分3分。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0"/>
        <w:rPr>
          <w:rFonts w:hint="eastAsia" w:ascii="黑体" w:hAnsi="黑体" w:eastAsia="黑体" w:cs="黑体"/>
          <w:b w:val="0"/>
          <w:bCs w:val="0"/>
          <w:color w:val="auto"/>
          <w:kern w:val="0"/>
          <w:sz w:val="32"/>
          <w:szCs w:val="32"/>
          <w:highlight w:val="none"/>
          <w:shd w:val="clear" w:color="auto" w:fill="FFFFFF"/>
          <w:lang w:val="en-US" w:eastAsia="zh-CN"/>
        </w:rPr>
      </w:pPr>
      <w:bookmarkStart w:id="25" w:name="_Toc29789"/>
      <w:r>
        <w:rPr>
          <w:rFonts w:hint="eastAsia" w:ascii="黑体" w:hAnsi="黑体" w:eastAsia="黑体" w:cs="黑体"/>
          <w:b w:val="0"/>
          <w:bCs w:val="0"/>
          <w:color w:val="auto"/>
          <w:kern w:val="0"/>
          <w:sz w:val="32"/>
          <w:szCs w:val="32"/>
          <w:highlight w:val="none"/>
          <w:shd w:val="clear" w:color="auto" w:fill="FFFFFF"/>
          <w:lang w:val="en-US" w:eastAsia="zh-CN"/>
        </w:rPr>
        <w:t>五、主要绩效</w:t>
      </w:r>
      <w:bookmarkEnd w:id="25"/>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1"/>
        <w:rPr>
          <w:rFonts w:hint="eastAsia" w:ascii="楷体" w:hAnsi="楷体" w:eastAsia="楷体" w:cs="楷体"/>
          <w:b/>
          <w:bCs/>
          <w:color w:val="auto"/>
          <w:kern w:val="0"/>
          <w:sz w:val="32"/>
          <w:szCs w:val="32"/>
          <w:highlight w:val="none"/>
          <w:shd w:val="clear" w:color="auto" w:fill="FFFFFF"/>
          <w:lang w:val="en-US" w:eastAsia="zh-CN"/>
        </w:rPr>
      </w:pPr>
      <w:bookmarkStart w:id="26" w:name="_Toc19862"/>
      <w:r>
        <w:rPr>
          <w:rFonts w:hint="eastAsia" w:ascii="楷体" w:hAnsi="楷体" w:eastAsia="楷体" w:cs="楷体"/>
          <w:b/>
          <w:bCs/>
          <w:color w:val="auto"/>
          <w:kern w:val="0"/>
          <w:sz w:val="32"/>
          <w:szCs w:val="32"/>
          <w:highlight w:val="none"/>
          <w:shd w:val="clear" w:color="auto" w:fill="FFFFFF"/>
          <w:lang w:val="en-US" w:eastAsia="zh-CN"/>
        </w:rPr>
        <w:t>（一）完善制度和平台建设，推进科技创新</w:t>
      </w:r>
      <w:bookmarkEnd w:id="26"/>
    </w:p>
    <w:p>
      <w:pPr>
        <w:pStyle w:val="2"/>
        <w:keepNext w:val="0"/>
        <w:keepLines w:val="0"/>
        <w:pageBreakBefore w:val="0"/>
        <w:widowControl w:val="0"/>
        <w:kinsoku/>
        <w:wordWrap/>
        <w:overflowPunct/>
        <w:topLinePunct w:val="0"/>
        <w:autoSpaceDE w:val="0"/>
        <w:autoSpaceDN w:val="0"/>
        <w:bidi w:val="0"/>
        <w:adjustRightInd/>
        <w:snapToGrid/>
        <w:spacing w:before="0" w:line="600" w:lineRule="exact"/>
        <w:ind w:left="0" w:firstLine="640" w:firstLineChars="200"/>
        <w:textAlignment w:val="auto"/>
        <w:rPr>
          <w:rFonts w:hint="default" w:ascii="仿宋" w:hAnsi="仿宋" w:eastAsia="仿宋" w:cs="仿宋"/>
          <w:color w:val="auto"/>
          <w:kern w:val="0"/>
          <w:sz w:val="32"/>
          <w:szCs w:val="32"/>
          <w:highlight w:val="none"/>
          <w:shd w:val="clear" w:color="auto" w:fill="FFFFFF"/>
          <w:lang w:val="en-US" w:eastAsia="zh-CN" w:bidi="ar-SA"/>
        </w:rPr>
      </w:pPr>
      <w:r>
        <w:rPr>
          <w:rFonts w:hint="eastAsia" w:ascii="仿宋" w:hAnsi="仿宋" w:eastAsia="仿宋" w:cs="仿宋"/>
          <w:color w:val="auto"/>
          <w:kern w:val="0"/>
          <w:sz w:val="32"/>
          <w:szCs w:val="32"/>
          <w:highlight w:val="none"/>
          <w:shd w:val="clear" w:color="auto" w:fill="FFFFFF"/>
          <w:lang w:val="en-US" w:eastAsia="zh-CN" w:bidi="ar-SA"/>
        </w:rPr>
        <w:t>新区商务局牵头起草了《铜川市新区促进产业发展优惠政策》，在高新技术部分，主要从支持高企培育、企业研发、研发平台建设等方面，提出5条具体奖补办法，完善了科技创新制度建设，优化了科技创新环境。新区商务局还积极组织企业创建省级众创空间、市级孵化器，努力搭建科技服务平台，为大力发展高新技术产业，促进科技创新不断进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1"/>
        <w:rPr>
          <w:rFonts w:hint="default" w:ascii="楷体" w:hAnsi="楷体" w:eastAsia="楷体" w:cs="楷体"/>
          <w:b/>
          <w:bCs/>
          <w:color w:val="auto"/>
          <w:kern w:val="0"/>
          <w:sz w:val="32"/>
          <w:szCs w:val="32"/>
          <w:highlight w:val="none"/>
          <w:shd w:val="clear" w:color="auto" w:fill="FFFFFF"/>
          <w:lang w:val="en-US" w:eastAsia="zh-CN"/>
        </w:rPr>
      </w:pPr>
      <w:bookmarkStart w:id="27" w:name="_Toc6690"/>
      <w:r>
        <w:rPr>
          <w:rFonts w:hint="eastAsia" w:ascii="楷体" w:hAnsi="楷体" w:eastAsia="楷体" w:cs="楷体"/>
          <w:b/>
          <w:bCs/>
          <w:color w:val="auto"/>
          <w:kern w:val="0"/>
          <w:sz w:val="32"/>
          <w:szCs w:val="32"/>
          <w:highlight w:val="none"/>
          <w:shd w:val="clear" w:color="auto" w:fill="FFFFFF"/>
          <w:lang w:val="en-US" w:eastAsia="zh-Hans"/>
        </w:rPr>
        <w:t>（二）</w:t>
      </w:r>
      <w:r>
        <w:rPr>
          <w:rFonts w:hint="eastAsia" w:ascii="楷体" w:hAnsi="楷体" w:eastAsia="楷体" w:cs="楷体"/>
          <w:b/>
          <w:bCs/>
          <w:color w:val="auto"/>
          <w:kern w:val="0"/>
          <w:sz w:val="32"/>
          <w:szCs w:val="32"/>
          <w:highlight w:val="none"/>
          <w:shd w:val="clear" w:color="auto" w:fill="FFFFFF"/>
          <w:lang w:val="en-US" w:eastAsia="zh-CN"/>
        </w:rPr>
        <w:t>创新促进消费方式，带动消费回暖</w:t>
      </w:r>
      <w:bookmarkEnd w:id="27"/>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带动企业积极参加“</w:t>
      </w:r>
      <w:r>
        <w:rPr>
          <w:rFonts w:hint="eastAsia" w:ascii="仿宋" w:hAnsi="仿宋" w:eastAsia="仿宋" w:cs="仿宋"/>
          <w:color w:val="auto"/>
          <w:kern w:val="0"/>
          <w:sz w:val="32"/>
          <w:szCs w:val="32"/>
          <w:highlight w:val="none"/>
          <w:shd w:val="clear" w:color="auto" w:fill="FFFFFF"/>
          <w:lang w:val="en-US" w:eastAsia="zh-Hans"/>
        </w:rPr>
        <w:t>消费促进月</w:t>
      </w:r>
      <w:r>
        <w:rPr>
          <w:rFonts w:hint="eastAsia" w:ascii="仿宋" w:hAnsi="仿宋" w:eastAsia="仿宋" w:cs="仿宋"/>
          <w:color w:val="auto"/>
          <w:kern w:val="0"/>
          <w:sz w:val="32"/>
          <w:szCs w:val="32"/>
          <w:highlight w:val="none"/>
          <w:shd w:val="clear" w:color="auto" w:fill="FFFFFF"/>
          <w:lang w:val="en-US" w:eastAsia="zh-CN"/>
        </w:rPr>
        <w:t>”活动，通过创新车展、展销节和促销等促进消费方式，为购车提供保险支持和购置税支持，激发消费者消费热情，</w:t>
      </w:r>
      <w:r>
        <w:rPr>
          <w:rFonts w:hint="eastAsia" w:ascii="仿宋" w:hAnsi="仿宋" w:eastAsia="仿宋" w:cs="仿宋"/>
          <w:color w:val="auto"/>
          <w:kern w:val="0"/>
          <w:sz w:val="32"/>
          <w:szCs w:val="32"/>
          <w:highlight w:val="none"/>
          <w:shd w:val="clear" w:color="auto" w:fill="FFFFFF"/>
          <w:lang w:val="en-US" w:eastAsia="zh-Hans"/>
        </w:rPr>
        <w:t>消费促进月活动共计销售额2724.8万元，其中国美电器铜川店销售产品1725件，销售额为444.3万元、苏宁易购铜川分公司销售产品2700件，销售金额为200万元、麦谷鲜生铜川分公司销售金额为308万元、铜川市新区国伟汽车销售有限公司销售汽车107辆，销售额为1062.5万元、第五届铜川车展销售汽车66辆，销售额为710万元</w:t>
      </w:r>
      <w:r>
        <w:rPr>
          <w:rFonts w:hint="eastAsia" w:ascii="仿宋" w:hAnsi="仿宋" w:eastAsia="仿宋" w:cs="仿宋"/>
          <w:color w:val="auto"/>
          <w:kern w:val="0"/>
          <w:sz w:val="32"/>
          <w:szCs w:val="32"/>
          <w:highlight w:val="none"/>
          <w:shd w:val="clear" w:color="auto" w:fill="FFFFFF"/>
          <w:lang w:val="en-US" w:eastAsia="zh-CN"/>
        </w:rPr>
        <w:t>，有效促进铜川市新区消费回暖。</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1"/>
        <w:rPr>
          <w:rFonts w:hint="default" w:ascii="楷体" w:hAnsi="楷体" w:eastAsia="楷体" w:cs="楷体"/>
          <w:b/>
          <w:bCs/>
          <w:color w:val="auto"/>
          <w:kern w:val="0"/>
          <w:sz w:val="32"/>
          <w:szCs w:val="32"/>
          <w:highlight w:val="none"/>
          <w:shd w:val="clear" w:color="auto" w:fill="FFFFFF"/>
          <w:lang w:val="en-US" w:eastAsia="zh-CN"/>
        </w:rPr>
      </w:pPr>
      <w:bookmarkStart w:id="28" w:name="_Toc1673"/>
      <w:r>
        <w:rPr>
          <w:rFonts w:hint="eastAsia" w:ascii="楷体" w:hAnsi="楷体" w:eastAsia="楷体" w:cs="楷体"/>
          <w:b/>
          <w:bCs/>
          <w:color w:val="auto"/>
          <w:kern w:val="0"/>
          <w:sz w:val="32"/>
          <w:szCs w:val="32"/>
          <w:highlight w:val="none"/>
          <w:shd w:val="clear" w:color="auto" w:fill="FFFFFF"/>
          <w:lang w:val="en-US" w:eastAsia="zh-Hans"/>
        </w:rPr>
        <w:t>（三）</w:t>
      </w:r>
      <w:r>
        <w:rPr>
          <w:rFonts w:hint="eastAsia" w:ascii="楷体" w:hAnsi="楷体" w:eastAsia="楷体" w:cs="楷体"/>
          <w:b/>
          <w:bCs/>
          <w:color w:val="auto"/>
          <w:kern w:val="0"/>
          <w:sz w:val="32"/>
          <w:szCs w:val="32"/>
          <w:highlight w:val="none"/>
          <w:shd w:val="clear" w:color="auto" w:fill="FFFFFF"/>
          <w:lang w:val="en-US" w:eastAsia="zh-CN"/>
        </w:rPr>
        <w:t>推进疫情防控工作，助力打赢疫情防控战</w:t>
      </w:r>
      <w:bookmarkEnd w:id="28"/>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bookmarkStart w:id="29" w:name="_Toc315842793_WPSOffice_Level2"/>
      <w:bookmarkStart w:id="30" w:name="_Toc1742944595_WPSOffice_Level3"/>
      <w:bookmarkStart w:id="31" w:name="_Toc1464939341_WPSOffice_Level3"/>
      <w:r>
        <w:rPr>
          <w:rFonts w:hint="eastAsia" w:ascii="仿宋" w:hAnsi="仿宋" w:eastAsia="仿宋" w:cs="仿宋"/>
          <w:color w:val="auto"/>
          <w:kern w:val="0"/>
          <w:sz w:val="32"/>
          <w:szCs w:val="32"/>
          <w:highlight w:val="none"/>
          <w:shd w:val="clear" w:color="auto" w:fill="FFFFFF"/>
          <w:lang w:val="en-US" w:eastAsia="zh-CN"/>
        </w:rPr>
        <w:t>新冠肺炎疫情发生后,新区商务局在疫情防控最吃紧的关键阶段,多举措多渠道发挥协调沟通作用,协调处理急难问题,督促、指导、检查区内商贸流通企业抓好疫情防控，确保重点场所各项疫情防控措施落实到位。并指导陕西秦燕商贸有限公司(菜来果到)设立了21个社区便民蔬菜供应点,建立日报监测机制,组织全区10余家大中型超市启动重要商品供应日报制度,及时掌握生活必需品市场供应情况,确保全区粮油、肉类、禽蛋、蔬菜、方便食品等主要生活必需品供应充足,价格稳定,渠道畅通，为打赢疫情防控战提供后勤保障。疫情期间全区蔬菜储备200吨,共排查宾馆190家,排查入住人员14112人。</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0"/>
        <w:rPr>
          <w:rFonts w:hint="eastAsia" w:ascii="黑体" w:hAnsi="黑体" w:eastAsia="黑体" w:cs="黑体"/>
          <w:b w:val="0"/>
          <w:bCs w:val="0"/>
          <w:color w:val="auto"/>
          <w:kern w:val="0"/>
          <w:sz w:val="32"/>
          <w:szCs w:val="32"/>
          <w:highlight w:val="none"/>
          <w:shd w:val="clear" w:color="auto" w:fill="FFFFFF"/>
          <w:lang w:val="en-US" w:eastAsia="zh-Hans"/>
        </w:rPr>
      </w:pPr>
      <w:bookmarkStart w:id="32" w:name="_Toc31523"/>
      <w:r>
        <w:rPr>
          <w:rFonts w:hint="eastAsia" w:ascii="黑体" w:hAnsi="黑体" w:eastAsia="黑体" w:cs="黑体"/>
          <w:b w:val="0"/>
          <w:bCs w:val="0"/>
          <w:color w:val="auto"/>
          <w:kern w:val="0"/>
          <w:sz w:val="32"/>
          <w:szCs w:val="32"/>
          <w:highlight w:val="none"/>
          <w:shd w:val="clear" w:color="auto" w:fill="FFFFFF"/>
          <w:lang w:val="en-US" w:eastAsia="zh-CN"/>
        </w:rPr>
        <w:t>六、存在的问题</w:t>
      </w:r>
      <w:bookmarkEnd w:id="32"/>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楷体" w:hAnsi="楷体" w:eastAsia="楷体" w:cs="楷体"/>
          <w:b/>
          <w:bCs/>
          <w:color w:val="auto"/>
          <w:kern w:val="0"/>
          <w:sz w:val="32"/>
          <w:szCs w:val="32"/>
          <w:highlight w:val="none"/>
          <w:shd w:val="clear" w:color="auto" w:fill="FFFFFF"/>
          <w:lang w:val="en-US" w:eastAsia="zh-Hans"/>
        </w:rPr>
        <w:t>（</w:t>
      </w:r>
      <w:r>
        <w:rPr>
          <w:rFonts w:hint="eastAsia" w:ascii="楷体" w:hAnsi="楷体" w:eastAsia="楷体" w:cs="楷体"/>
          <w:b/>
          <w:bCs/>
          <w:color w:val="auto"/>
          <w:kern w:val="0"/>
          <w:sz w:val="32"/>
          <w:szCs w:val="32"/>
          <w:highlight w:val="none"/>
          <w:shd w:val="clear" w:color="auto" w:fill="FFFFFF"/>
          <w:lang w:val="en-US" w:eastAsia="zh-CN"/>
        </w:rPr>
        <w:t>一</w:t>
      </w:r>
      <w:r>
        <w:rPr>
          <w:rFonts w:hint="eastAsia" w:ascii="楷体" w:hAnsi="楷体" w:eastAsia="楷体" w:cs="楷体"/>
          <w:b/>
          <w:bCs/>
          <w:color w:val="auto"/>
          <w:kern w:val="0"/>
          <w:sz w:val="32"/>
          <w:szCs w:val="32"/>
          <w:highlight w:val="none"/>
          <w:shd w:val="clear" w:color="auto" w:fill="FFFFFF"/>
          <w:lang w:val="en-US" w:eastAsia="zh-Hans"/>
        </w:rPr>
        <w:t>）</w:t>
      </w:r>
      <w:r>
        <w:rPr>
          <w:rFonts w:hint="eastAsia" w:ascii="楷体" w:hAnsi="楷体" w:eastAsia="楷体" w:cs="楷体"/>
          <w:b/>
          <w:bCs/>
          <w:color w:val="auto"/>
          <w:kern w:val="0"/>
          <w:sz w:val="32"/>
          <w:szCs w:val="32"/>
          <w:highlight w:val="none"/>
          <w:shd w:val="clear" w:color="auto" w:fill="FFFFFF"/>
          <w:lang w:val="en-US" w:eastAsia="zh-CN"/>
        </w:rPr>
        <w:t>部门预算绩效管理工作需要加强</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新区商务局尚未建立全过程、全覆盖的预算绩效管理体系，部门预算绩效工作开展不够精细化。比如：尚未对部门重点项目开展绩效运行监控，缺少对绩效评价结果的应用。按照全面实施预算绩效管理工作的要求，部门应选取对部门履职的重点项目开展部门评价，而新区商务局此项工作尚未有序推进。部分绩效指标可衡量性不足，无法量化，设置的绩效指标未完全</w:t>
      </w:r>
      <w:r>
        <w:rPr>
          <w:rFonts w:hint="eastAsia" w:ascii="仿宋" w:hAnsi="仿宋" w:eastAsia="仿宋" w:cs="仿宋"/>
          <w:color w:val="auto"/>
          <w:kern w:val="0"/>
          <w:sz w:val="32"/>
          <w:szCs w:val="32"/>
          <w:highlight w:val="none"/>
          <w:shd w:val="clear" w:color="auto" w:fill="FFFFFF"/>
          <w:lang w:val="en-US" w:eastAsia="zh-Hans"/>
        </w:rPr>
        <w:t>反映</w:t>
      </w:r>
      <w:r>
        <w:rPr>
          <w:rFonts w:hint="eastAsia" w:ascii="仿宋" w:hAnsi="仿宋" w:eastAsia="仿宋" w:cs="仿宋"/>
          <w:color w:val="auto"/>
          <w:kern w:val="0"/>
          <w:sz w:val="32"/>
          <w:szCs w:val="32"/>
          <w:highlight w:val="none"/>
          <w:shd w:val="clear" w:color="auto" w:fill="FFFFFF"/>
          <w:lang w:val="en-US" w:eastAsia="zh-CN"/>
        </w:rPr>
        <w:t>部门重点任务的完成情况。</w:t>
      </w:r>
      <w:bookmarkEnd w:id="29"/>
      <w:bookmarkEnd w:id="30"/>
      <w:bookmarkEnd w:id="31"/>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default" w:ascii="仿宋" w:hAnsi="仿宋" w:eastAsia="楷体" w:cs="仿宋"/>
          <w:color w:val="auto"/>
          <w:kern w:val="0"/>
          <w:sz w:val="32"/>
          <w:szCs w:val="32"/>
          <w:highlight w:val="none"/>
          <w:shd w:val="clear" w:color="auto" w:fill="FFFFFF"/>
          <w:lang w:val="en-US" w:eastAsia="zh-CN"/>
        </w:rPr>
      </w:pPr>
      <w:r>
        <w:rPr>
          <w:rFonts w:hint="eastAsia" w:ascii="楷体" w:hAnsi="楷体" w:eastAsia="楷体" w:cs="楷体"/>
          <w:b/>
          <w:bCs/>
          <w:color w:val="auto"/>
          <w:kern w:val="0"/>
          <w:sz w:val="32"/>
          <w:szCs w:val="32"/>
          <w:highlight w:val="none"/>
          <w:shd w:val="clear" w:color="auto" w:fill="FFFFFF"/>
          <w:lang w:val="en-US" w:eastAsia="zh-Hans"/>
        </w:rPr>
        <w:t>（二）部门预算编制</w:t>
      </w:r>
      <w:r>
        <w:rPr>
          <w:rFonts w:hint="eastAsia" w:ascii="楷体" w:hAnsi="楷体" w:eastAsia="楷体" w:cs="楷体"/>
          <w:b/>
          <w:bCs/>
          <w:color w:val="auto"/>
          <w:kern w:val="0"/>
          <w:sz w:val="32"/>
          <w:szCs w:val="32"/>
          <w:highlight w:val="none"/>
          <w:shd w:val="clear" w:color="auto" w:fill="FFFFFF"/>
          <w:lang w:val="en-US" w:eastAsia="zh-CN"/>
        </w:rPr>
        <w:t>工作有待完善</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新区财政局2020年度</w:t>
      </w:r>
      <w:r>
        <w:rPr>
          <w:rFonts w:hint="eastAsia" w:ascii="仿宋" w:hAnsi="仿宋" w:eastAsia="仿宋" w:cs="仿宋"/>
          <w:color w:val="auto"/>
          <w:kern w:val="0"/>
          <w:sz w:val="32"/>
          <w:szCs w:val="32"/>
          <w:highlight w:val="none"/>
          <w:shd w:val="clear" w:color="auto" w:fill="FFFFFF"/>
          <w:lang w:val="en-US" w:eastAsia="zh-Hans"/>
        </w:rPr>
        <w:t>预算</w:t>
      </w:r>
      <w:r>
        <w:rPr>
          <w:rFonts w:hint="eastAsia" w:ascii="仿宋" w:hAnsi="仿宋" w:eastAsia="仿宋" w:cs="仿宋"/>
          <w:color w:val="auto"/>
          <w:kern w:val="0"/>
          <w:sz w:val="32"/>
          <w:szCs w:val="32"/>
          <w:highlight w:val="none"/>
          <w:shd w:val="clear" w:color="auto" w:fill="FFFFFF"/>
          <w:lang w:val="en-US" w:eastAsia="zh-CN"/>
        </w:rPr>
        <w:t>数为50.45</w:t>
      </w:r>
      <w:r>
        <w:rPr>
          <w:rFonts w:hint="eastAsia" w:ascii="仿宋" w:hAnsi="仿宋" w:eastAsia="仿宋" w:cs="仿宋"/>
          <w:color w:val="auto"/>
          <w:kern w:val="0"/>
          <w:sz w:val="32"/>
          <w:szCs w:val="32"/>
          <w:highlight w:val="none"/>
          <w:shd w:val="clear" w:color="auto" w:fill="FFFFFF"/>
          <w:lang w:val="en-US" w:eastAsia="zh-Hans"/>
        </w:rPr>
        <w:t>万元，调整支出预算数为</w:t>
      </w:r>
      <w:r>
        <w:rPr>
          <w:rFonts w:hint="eastAsia" w:ascii="仿宋" w:hAnsi="仿宋" w:eastAsia="仿宋" w:cs="仿宋"/>
          <w:color w:val="auto"/>
          <w:kern w:val="0"/>
          <w:sz w:val="32"/>
          <w:szCs w:val="32"/>
          <w:highlight w:val="none"/>
          <w:shd w:val="clear" w:color="auto" w:fill="FFFFFF"/>
          <w:lang w:val="en-US" w:eastAsia="zh-CN"/>
        </w:rPr>
        <w:t>866.52</w:t>
      </w:r>
      <w:r>
        <w:rPr>
          <w:rFonts w:hint="eastAsia" w:ascii="仿宋" w:hAnsi="仿宋" w:eastAsia="仿宋" w:cs="仿宋"/>
          <w:color w:val="auto"/>
          <w:kern w:val="0"/>
          <w:sz w:val="32"/>
          <w:szCs w:val="32"/>
          <w:highlight w:val="none"/>
          <w:shd w:val="clear" w:color="auto" w:fill="FFFFFF"/>
          <w:lang w:val="en-US" w:eastAsia="zh-Hans"/>
        </w:rPr>
        <w:t>万元</w:t>
      </w:r>
      <w:r>
        <w:rPr>
          <w:rFonts w:hint="eastAsia" w:ascii="仿宋" w:hAnsi="仿宋" w:eastAsia="仿宋" w:cs="仿宋"/>
          <w:color w:val="auto"/>
          <w:kern w:val="0"/>
          <w:sz w:val="32"/>
          <w:szCs w:val="32"/>
          <w:highlight w:val="none"/>
          <w:shd w:val="clear" w:color="auto" w:fill="FFFFFF"/>
          <w:lang w:val="en-US" w:eastAsia="zh-CN"/>
        </w:rPr>
        <w:t>，结转结余433.15万元，年初预算编制不够科学，没有根据部门实际情况进行编制，追加预算数与预算编制数差额巨大，导致预算调整率过高。新区商务局</w:t>
      </w:r>
      <w:r>
        <w:rPr>
          <w:rFonts w:hint="eastAsia" w:ascii="仿宋" w:hAnsi="仿宋" w:eastAsia="仿宋" w:cs="仿宋"/>
          <w:color w:val="auto"/>
          <w:kern w:val="0"/>
          <w:sz w:val="32"/>
          <w:szCs w:val="32"/>
          <w:highlight w:val="none"/>
          <w:shd w:val="clear" w:color="auto" w:fill="FFFFFF"/>
          <w:lang w:val="en-US" w:eastAsia="zh-Hans"/>
        </w:rPr>
        <w:t>2020年度</w:t>
      </w:r>
      <w:r>
        <w:rPr>
          <w:rFonts w:hint="eastAsia" w:ascii="仿宋" w:hAnsi="仿宋" w:eastAsia="仿宋" w:cs="仿宋"/>
          <w:color w:val="auto"/>
          <w:kern w:val="0"/>
          <w:sz w:val="32"/>
          <w:szCs w:val="32"/>
          <w:highlight w:val="none"/>
          <w:shd w:val="clear" w:color="auto" w:fill="FFFFFF"/>
          <w:lang w:val="en-US" w:eastAsia="zh-CN"/>
        </w:rPr>
        <w:t>调整后</w:t>
      </w:r>
      <w:r>
        <w:rPr>
          <w:rFonts w:hint="eastAsia" w:ascii="仿宋" w:hAnsi="仿宋" w:eastAsia="仿宋" w:cs="仿宋"/>
          <w:color w:val="auto"/>
          <w:kern w:val="0"/>
          <w:sz w:val="32"/>
          <w:szCs w:val="32"/>
          <w:highlight w:val="none"/>
          <w:shd w:val="clear" w:color="auto" w:fill="FFFFFF"/>
          <w:lang w:val="en-US" w:eastAsia="zh-Hans"/>
        </w:rPr>
        <w:t>财政</w:t>
      </w:r>
      <w:r>
        <w:rPr>
          <w:rFonts w:hint="eastAsia" w:ascii="仿宋" w:hAnsi="仿宋" w:eastAsia="仿宋" w:cs="仿宋"/>
          <w:color w:val="auto"/>
          <w:kern w:val="0"/>
          <w:sz w:val="32"/>
          <w:szCs w:val="32"/>
          <w:highlight w:val="none"/>
          <w:shd w:val="clear" w:color="auto" w:fill="FFFFFF"/>
          <w:lang w:val="en-US" w:eastAsia="zh-CN"/>
        </w:rPr>
        <w:t>支出</w:t>
      </w:r>
      <w:r>
        <w:rPr>
          <w:rFonts w:hint="eastAsia" w:ascii="仿宋" w:hAnsi="仿宋" w:eastAsia="仿宋" w:cs="仿宋"/>
          <w:color w:val="auto"/>
          <w:kern w:val="0"/>
          <w:sz w:val="32"/>
          <w:szCs w:val="32"/>
          <w:highlight w:val="none"/>
          <w:shd w:val="clear" w:color="auto" w:fill="FFFFFF"/>
          <w:lang w:val="en-US" w:eastAsia="zh-Hans"/>
        </w:rPr>
        <w:t>总预算为</w:t>
      </w:r>
      <w:r>
        <w:rPr>
          <w:rFonts w:hint="eastAsia" w:ascii="仿宋" w:hAnsi="仿宋" w:eastAsia="仿宋" w:cs="仿宋"/>
          <w:color w:val="auto"/>
          <w:kern w:val="0"/>
          <w:sz w:val="32"/>
          <w:szCs w:val="32"/>
          <w:highlight w:val="none"/>
          <w:shd w:val="clear" w:color="auto" w:fill="FFFFFF"/>
          <w:lang w:val="en-US" w:eastAsia="zh-CN"/>
        </w:rPr>
        <w:t>866.52</w:t>
      </w:r>
      <w:r>
        <w:rPr>
          <w:rFonts w:hint="eastAsia" w:ascii="仿宋" w:hAnsi="仿宋" w:eastAsia="仿宋" w:cs="仿宋"/>
          <w:color w:val="auto"/>
          <w:kern w:val="0"/>
          <w:sz w:val="32"/>
          <w:szCs w:val="32"/>
          <w:highlight w:val="none"/>
          <w:shd w:val="clear" w:color="auto" w:fill="FFFFFF"/>
          <w:lang w:val="en-US" w:eastAsia="zh-Hans"/>
        </w:rPr>
        <w:t>万元，</w:t>
      </w:r>
      <w:r>
        <w:rPr>
          <w:rFonts w:hint="eastAsia" w:ascii="仿宋" w:hAnsi="仿宋" w:eastAsia="仿宋" w:cs="仿宋"/>
          <w:color w:val="auto"/>
          <w:kern w:val="0"/>
          <w:sz w:val="32"/>
          <w:szCs w:val="32"/>
          <w:highlight w:val="none"/>
          <w:shd w:val="clear" w:color="auto" w:fill="FFFFFF"/>
          <w:lang w:val="en-US" w:eastAsia="zh-CN"/>
        </w:rPr>
        <w:t>2020年度支出决算数为433.37万元，调整预算对实际支出情况考虑欠妥，预算执行不够，实际支出资金与预算不匹配，结转结余率过高。</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default" w:ascii="楷体" w:hAnsi="楷体" w:eastAsia="楷体" w:cs="楷体"/>
          <w:b/>
          <w:bCs/>
          <w:color w:val="auto"/>
          <w:kern w:val="0"/>
          <w:sz w:val="32"/>
          <w:szCs w:val="32"/>
          <w:highlight w:val="none"/>
          <w:shd w:val="clear" w:color="auto" w:fill="FFFFFF"/>
          <w:lang w:val="en-US" w:eastAsia="zh-CN"/>
        </w:rPr>
      </w:pPr>
      <w:r>
        <w:rPr>
          <w:rFonts w:hint="eastAsia" w:ascii="楷体" w:hAnsi="楷体" w:eastAsia="楷体" w:cs="楷体"/>
          <w:b/>
          <w:bCs/>
          <w:color w:val="auto"/>
          <w:kern w:val="0"/>
          <w:sz w:val="32"/>
          <w:szCs w:val="32"/>
          <w:highlight w:val="none"/>
          <w:shd w:val="clear" w:color="auto" w:fill="FFFFFF"/>
          <w:lang w:val="en-US" w:eastAsia="zh-CN"/>
        </w:rPr>
        <w:t>（</w:t>
      </w:r>
      <w:r>
        <w:rPr>
          <w:rFonts w:hint="eastAsia" w:ascii="楷体" w:hAnsi="楷体" w:eastAsia="楷体" w:cs="楷体"/>
          <w:b/>
          <w:bCs/>
          <w:color w:val="auto"/>
          <w:kern w:val="0"/>
          <w:sz w:val="32"/>
          <w:szCs w:val="32"/>
          <w:highlight w:val="none"/>
          <w:shd w:val="clear" w:color="auto" w:fill="FFFFFF"/>
          <w:lang w:val="en-US" w:eastAsia="zh-Hans"/>
        </w:rPr>
        <w:t>三）</w:t>
      </w:r>
      <w:r>
        <w:rPr>
          <w:rFonts w:hint="eastAsia" w:ascii="楷体" w:hAnsi="楷体" w:eastAsia="楷体" w:cs="楷体"/>
          <w:b/>
          <w:bCs/>
          <w:color w:val="auto"/>
          <w:kern w:val="0"/>
          <w:sz w:val="32"/>
          <w:szCs w:val="32"/>
          <w:highlight w:val="none"/>
          <w:shd w:val="clear" w:color="auto" w:fill="FFFFFF"/>
          <w:lang w:val="en-US" w:eastAsia="zh-CN"/>
        </w:rPr>
        <w:t>部门预算和资产管理制度有待健全</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黑体" w:hAnsi="黑体" w:eastAsia="黑体" w:cs="黑体"/>
          <w:b w:val="0"/>
          <w:bCs w:val="0"/>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新区商务局缺乏部门自身预算绩效管理制度、预算资金管理办法、内部财务管理制度和会计核算制度，预算资金管理缺乏制度依据，容易导致资金使用混乱，不符合相关规定和程序，预算资金使用不到位，达不到预定绩效目标。没有根据部门自身的实际情况，制定相应的资产管理制度，资产管理缺乏制度建设和日常管理，容易导致部门固定资产损毁和流失。</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0"/>
        <w:rPr>
          <w:rFonts w:hint="eastAsia" w:ascii="黑体" w:hAnsi="黑体" w:eastAsia="黑体" w:cs="黑体"/>
          <w:b w:val="0"/>
          <w:bCs w:val="0"/>
          <w:color w:val="auto"/>
          <w:kern w:val="0"/>
          <w:sz w:val="32"/>
          <w:szCs w:val="32"/>
          <w:highlight w:val="none"/>
          <w:shd w:val="clear" w:color="auto" w:fill="FFFFFF"/>
          <w:lang w:val="en-US" w:eastAsia="zh-Hans"/>
        </w:rPr>
      </w:pPr>
      <w:bookmarkStart w:id="33" w:name="_Toc8217"/>
      <w:r>
        <w:rPr>
          <w:rFonts w:hint="eastAsia" w:ascii="黑体" w:hAnsi="黑体" w:eastAsia="黑体" w:cs="黑体"/>
          <w:b w:val="0"/>
          <w:bCs w:val="0"/>
          <w:color w:val="auto"/>
          <w:kern w:val="0"/>
          <w:sz w:val="32"/>
          <w:szCs w:val="32"/>
          <w:highlight w:val="none"/>
          <w:shd w:val="clear" w:color="auto" w:fill="FFFFFF"/>
          <w:lang w:val="en-US" w:eastAsia="zh-CN"/>
        </w:rPr>
        <w:t>七</w:t>
      </w:r>
      <w:r>
        <w:rPr>
          <w:rFonts w:hint="eastAsia" w:ascii="黑体" w:hAnsi="黑体" w:eastAsia="黑体" w:cs="黑体"/>
          <w:b w:val="0"/>
          <w:bCs w:val="0"/>
          <w:color w:val="auto"/>
          <w:kern w:val="0"/>
          <w:sz w:val="32"/>
          <w:szCs w:val="32"/>
          <w:highlight w:val="none"/>
          <w:shd w:val="clear" w:color="auto" w:fill="FFFFFF"/>
          <w:lang w:val="en-US" w:eastAsia="zh-Hans"/>
        </w:rPr>
        <w:t>、相关建议</w:t>
      </w:r>
      <w:bookmarkEnd w:id="33"/>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default" w:ascii="楷体" w:hAnsi="楷体" w:eastAsia="楷体" w:cs="楷体"/>
          <w:b/>
          <w:bCs/>
          <w:color w:val="auto"/>
          <w:kern w:val="0"/>
          <w:sz w:val="32"/>
          <w:szCs w:val="32"/>
          <w:highlight w:val="none"/>
          <w:shd w:val="clear" w:color="auto" w:fill="FFFFFF"/>
          <w:lang w:val="en-US" w:eastAsia="zh-CN"/>
        </w:rPr>
      </w:pPr>
      <w:bookmarkStart w:id="34" w:name="_Toc842199943_WPSOffice_Level2"/>
      <w:bookmarkStart w:id="35" w:name="_Toc994383943_WPSOffice_Level2"/>
      <w:bookmarkStart w:id="36" w:name="_Toc1462379935_WPSOffice_Level2"/>
      <w:r>
        <w:rPr>
          <w:rFonts w:hint="eastAsia" w:ascii="楷体" w:hAnsi="楷体" w:eastAsia="楷体" w:cs="楷体"/>
          <w:b/>
          <w:bCs/>
          <w:color w:val="auto"/>
          <w:kern w:val="0"/>
          <w:sz w:val="32"/>
          <w:szCs w:val="32"/>
          <w:highlight w:val="none"/>
          <w:shd w:val="clear" w:color="auto" w:fill="FFFFFF"/>
          <w:lang w:val="en-US" w:eastAsia="zh-Hans"/>
        </w:rPr>
        <w:t>（</w:t>
      </w:r>
      <w:r>
        <w:rPr>
          <w:rFonts w:hint="eastAsia" w:ascii="楷体" w:hAnsi="楷体" w:eastAsia="楷体" w:cs="楷体"/>
          <w:b/>
          <w:bCs/>
          <w:color w:val="auto"/>
          <w:kern w:val="0"/>
          <w:sz w:val="32"/>
          <w:szCs w:val="32"/>
          <w:highlight w:val="none"/>
          <w:shd w:val="clear" w:color="auto" w:fill="FFFFFF"/>
          <w:lang w:val="en-US" w:eastAsia="zh-CN"/>
        </w:rPr>
        <w:t>一</w:t>
      </w:r>
      <w:r>
        <w:rPr>
          <w:rFonts w:hint="eastAsia" w:ascii="楷体" w:hAnsi="楷体" w:eastAsia="楷体" w:cs="楷体"/>
          <w:b/>
          <w:bCs/>
          <w:color w:val="auto"/>
          <w:kern w:val="0"/>
          <w:sz w:val="32"/>
          <w:szCs w:val="32"/>
          <w:highlight w:val="none"/>
          <w:shd w:val="clear" w:color="auto" w:fill="FFFFFF"/>
          <w:lang w:val="en-US" w:eastAsia="zh-Hans"/>
        </w:rPr>
        <w:t>）</w:t>
      </w:r>
      <w:r>
        <w:rPr>
          <w:rFonts w:hint="eastAsia" w:ascii="楷体" w:hAnsi="楷体" w:eastAsia="楷体" w:cs="楷体"/>
          <w:b/>
          <w:bCs/>
          <w:color w:val="auto"/>
          <w:kern w:val="0"/>
          <w:sz w:val="32"/>
          <w:szCs w:val="32"/>
          <w:highlight w:val="none"/>
          <w:shd w:val="clear" w:color="auto" w:fill="FFFFFF"/>
          <w:lang w:val="en-US" w:eastAsia="zh-CN"/>
        </w:rPr>
        <w:t>明确预算绩效管理职责，提高预算绩效管理水平</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因为新区商务局自身人员不足的现实情况，不便组成预算绩效管理小组开展部门的预算绩效管理工作，预算绩效管理工作需要明确到个人，部门需结合自身的实际情况研究拟订相关政策、制度和办法，明晰个人在预算绩效管理工作过程中的具体职责，建立部门全方位、全过程、全覆盖预算绩效管理体系，并具体开展预算绩效评估、预算评审、绩效目标管理、绩效运行监控、绩效评价、绩效信息公开和预算绩效评价结果应用等工作。在部门自身预算绩效管理水平不足时，还可聘请第三方机构进行预算绩效管理全过程培训，提高相关人员对预算绩效管理的认知水平和预算绩效管理能力。</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default" w:ascii="楷体" w:hAnsi="楷体" w:eastAsia="楷体" w:cs="楷体"/>
          <w:b/>
          <w:bCs/>
          <w:color w:val="auto"/>
          <w:kern w:val="0"/>
          <w:sz w:val="32"/>
          <w:szCs w:val="32"/>
          <w:highlight w:val="none"/>
          <w:shd w:val="clear" w:color="auto" w:fill="FFFFFF"/>
          <w:lang w:val="en-US" w:eastAsia="zh-CN"/>
        </w:rPr>
      </w:pPr>
      <w:r>
        <w:rPr>
          <w:rFonts w:hint="eastAsia" w:ascii="楷体" w:hAnsi="楷体" w:eastAsia="楷体" w:cs="楷体"/>
          <w:b/>
          <w:bCs/>
          <w:color w:val="auto"/>
          <w:kern w:val="0"/>
          <w:sz w:val="32"/>
          <w:szCs w:val="32"/>
          <w:highlight w:val="none"/>
          <w:shd w:val="clear" w:color="auto" w:fill="FFFFFF"/>
          <w:lang w:val="en-US" w:eastAsia="zh-Hans"/>
        </w:rPr>
        <w:t>（二）</w:t>
      </w:r>
      <w:r>
        <w:rPr>
          <w:rFonts w:hint="eastAsia" w:ascii="楷体" w:hAnsi="楷体" w:eastAsia="楷体" w:cs="楷体"/>
          <w:b/>
          <w:bCs/>
          <w:color w:val="auto"/>
          <w:kern w:val="0"/>
          <w:sz w:val="32"/>
          <w:szCs w:val="32"/>
          <w:highlight w:val="none"/>
          <w:shd w:val="clear" w:color="auto" w:fill="FFFFFF"/>
          <w:lang w:val="en-US" w:eastAsia="zh-CN"/>
        </w:rPr>
        <w:t>科学合理编制预算，</w:t>
      </w:r>
      <w:r>
        <w:rPr>
          <w:rFonts w:hint="eastAsia" w:ascii="楷体" w:hAnsi="楷体" w:eastAsia="楷体" w:cs="楷体"/>
          <w:b/>
          <w:bCs/>
          <w:color w:val="auto"/>
          <w:kern w:val="0"/>
          <w:sz w:val="32"/>
          <w:szCs w:val="32"/>
          <w:highlight w:val="none"/>
          <w:shd w:val="clear" w:color="auto" w:fill="FFFFFF"/>
          <w:lang w:val="en-US" w:eastAsia="zh-Hans"/>
        </w:rPr>
        <w:t>落实预算执行监管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eastAsia="zh-CN"/>
        </w:rPr>
      </w:pPr>
      <w:r>
        <w:rPr>
          <w:rFonts w:hint="eastAsia" w:ascii="仿宋" w:hAnsi="仿宋" w:eastAsia="仿宋" w:cs="仿宋"/>
          <w:color w:val="auto"/>
          <w:kern w:val="0"/>
          <w:sz w:val="32"/>
          <w:szCs w:val="32"/>
          <w:highlight w:val="none"/>
          <w:shd w:val="clear" w:color="auto" w:fill="FFFFFF"/>
          <w:lang w:val="en-US" w:eastAsia="zh-CN"/>
        </w:rPr>
        <w:t>预算应当根据年度经济社会发展目标、国家宏观调控总体要求和跨年度预算平衡的需要，参考上一年预算执行情况、有关支出绩效评价结果和本年度收支预测进行编制，尤其是对本年度收支进行预测，而新区商务局对2020年的收支预测与实际收支差距过大。要细化预算编制，增强预算编制的科学性、精准性，坚持“无预算不支出”的原则；要减少部门预算执行中的调整。预算部门应督促和指导各预算单位建立健全、有效的预算执行监控制度，建立日常监控和重点监控相结合预算管理工作机制，由预算单位根据预算执行监控制度进行月度或季度监控，并将预算执行监控报表和监控报告上报预算管理部门</w:t>
      </w:r>
      <w:r>
        <w:rPr>
          <w:rFonts w:hint="eastAsia" w:ascii="仿宋" w:hAnsi="仿宋" w:eastAsia="仿宋" w:cs="仿宋"/>
          <w:color w:val="auto"/>
          <w:kern w:val="0"/>
          <w:sz w:val="32"/>
          <w:szCs w:val="32"/>
          <w:highlight w:val="none"/>
          <w:shd w:val="clear" w:color="auto" w:fill="FFFFFF"/>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default" w:ascii="楷体" w:hAnsi="楷体" w:eastAsia="楷体" w:cs="楷体"/>
          <w:b/>
          <w:bCs/>
          <w:color w:val="auto"/>
          <w:kern w:val="0"/>
          <w:sz w:val="32"/>
          <w:szCs w:val="32"/>
          <w:highlight w:val="none"/>
          <w:shd w:val="clear" w:color="auto" w:fill="FFFFFF"/>
          <w:lang w:val="en-US" w:eastAsia="zh-CN"/>
        </w:rPr>
      </w:pPr>
      <w:r>
        <w:rPr>
          <w:rFonts w:hint="eastAsia" w:ascii="楷体" w:hAnsi="楷体" w:eastAsia="楷体" w:cs="楷体"/>
          <w:b/>
          <w:bCs/>
          <w:color w:val="auto"/>
          <w:kern w:val="0"/>
          <w:sz w:val="32"/>
          <w:szCs w:val="32"/>
          <w:highlight w:val="none"/>
          <w:shd w:val="clear" w:color="auto" w:fill="FFFFFF"/>
          <w:lang w:val="en-US" w:eastAsia="zh-Hans"/>
        </w:rPr>
        <w:t>（三）</w:t>
      </w:r>
      <w:r>
        <w:rPr>
          <w:rFonts w:hint="eastAsia" w:ascii="楷体" w:hAnsi="楷体" w:eastAsia="楷体" w:cs="楷体"/>
          <w:b/>
          <w:bCs/>
          <w:color w:val="auto"/>
          <w:kern w:val="0"/>
          <w:sz w:val="32"/>
          <w:szCs w:val="32"/>
          <w:highlight w:val="none"/>
          <w:shd w:val="clear" w:color="auto" w:fill="FFFFFF"/>
          <w:lang w:val="en-US" w:eastAsia="zh-CN"/>
        </w:rPr>
        <w:t>加强管理制度建设，完善预算管理和资产管理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根据国家法律、法规和相关制度政策，以上级部门制定的相关制度为依据，结合上级部门或其他单位的成功经验，结合部门自身实际情况，制定科学完备预算绩效管理制度、预算资金管理办法、内部财务管理制度和会计核算制度和资产管理制度</w:t>
      </w:r>
      <w:bookmarkEnd w:id="34"/>
      <w:bookmarkEnd w:id="35"/>
      <w:bookmarkEnd w:id="36"/>
      <w:r>
        <w:rPr>
          <w:rFonts w:hint="eastAsia" w:ascii="仿宋" w:hAnsi="仿宋" w:eastAsia="仿宋" w:cs="仿宋"/>
          <w:color w:val="auto"/>
          <w:kern w:val="0"/>
          <w:sz w:val="32"/>
          <w:szCs w:val="32"/>
          <w:highlight w:val="none"/>
          <w:shd w:val="clear" w:color="auto" w:fill="FFFFFF"/>
          <w:lang w:val="en-US" w:eastAsia="zh-CN"/>
        </w:rPr>
        <w:t>，并在预算管理和资产管理的过程中严格遵守这些制度，注重强化制度约束，着力提升制度执行力。</w:t>
      </w:r>
    </w:p>
    <w:p>
      <w:pPr>
        <w:pStyle w:val="2"/>
        <w:rPr>
          <w:rFonts w:hint="eastAsia" w:ascii="仿宋" w:hAnsi="仿宋" w:eastAsia="仿宋" w:cs="仿宋"/>
          <w:color w:val="auto"/>
          <w:kern w:val="0"/>
          <w:sz w:val="32"/>
          <w:szCs w:val="32"/>
          <w:highlight w:val="none"/>
          <w:shd w:val="clear" w:color="auto" w:fill="FFFFFF"/>
          <w:lang w:val="en-US" w:eastAsia="zh-CN"/>
        </w:rPr>
      </w:pP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600" w:lineRule="exact"/>
        <w:ind w:firstLine="640" w:firstLineChars="200"/>
        <w:textAlignment w:val="auto"/>
        <w:rPr>
          <w:rFonts w:hint="eastAsia" w:ascii="仿宋" w:hAnsi="仿宋" w:eastAsia="仿宋" w:cs="仿宋"/>
          <w:color w:val="auto"/>
          <w:kern w:val="0"/>
          <w:sz w:val="32"/>
          <w:szCs w:val="32"/>
          <w:highlight w:val="none"/>
          <w:shd w:val="clear" w:color="auto" w:fill="FFFFFF"/>
          <w:lang w:val="en-US" w:eastAsia="zh-CN" w:bidi="ar-SA"/>
        </w:rPr>
      </w:pP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600" w:lineRule="exact"/>
        <w:ind w:firstLine="640" w:firstLineChars="200"/>
        <w:textAlignment w:val="auto"/>
        <w:rPr>
          <w:rFonts w:hint="eastAsia" w:ascii="仿宋" w:hAnsi="仿宋" w:eastAsia="仿宋" w:cs="仿宋"/>
          <w:color w:val="auto"/>
          <w:kern w:val="0"/>
          <w:sz w:val="32"/>
          <w:szCs w:val="32"/>
          <w:highlight w:val="none"/>
          <w:shd w:val="clear" w:color="auto" w:fill="FFFFFF"/>
          <w:lang w:val="en-US" w:eastAsia="zh-CN" w:bidi="ar-SA"/>
        </w:rPr>
      </w:pPr>
      <w:r>
        <w:rPr>
          <w:rFonts w:hint="eastAsia" w:ascii="仿宋" w:hAnsi="仿宋" w:eastAsia="仿宋" w:cs="仿宋"/>
          <w:color w:val="auto"/>
          <w:kern w:val="0"/>
          <w:sz w:val="32"/>
          <w:szCs w:val="32"/>
          <w:highlight w:val="none"/>
          <w:shd w:val="clear" w:color="auto" w:fill="FFFFFF"/>
          <w:lang w:val="en-US" w:eastAsia="zh-CN" w:bidi="ar-SA"/>
        </w:rPr>
        <w:t xml:space="preserve">                     深圳市万德公共咨询有限公司</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600" w:lineRule="exact"/>
        <w:ind w:firstLine="640" w:firstLineChars="200"/>
        <w:textAlignment w:val="auto"/>
        <w:rPr>
          <w:rFonts w:hint="eastAsia" w:ascii="仿宋" w:hAnsi="仿宋" w:eastAsia="仿宋" w:cs="仿宋"/>
          <w:color w:val="auto"/>
          <w:kern w:val="0"/>
          <w:sz w:val="32"/>
          <w:szCs w:val="32"/>
          <w:highlight w:val="none"/>
          <w:shd w:val="clear" w:color="auto" w:fill="FFFFFF"/>
          <w:lang w:val="en-US" w:eastAsia="zh-CN" w:bidi="ar-SA"/>
        </w:rPr>
      </w:pPr>
      <w:r>
        <w:rPr>
          <w:rFonts w:hint="eastAsia" w:ascii="仿宋" w:hAnsi="仿宋" w:eastAsia="仿宋" w:cs="仿宋"/>
          <w:color w:val="auto"/>
          <w:kern w:val="0"/>
          <w:sz w:val="32"/>
          <w:szCs w:val="32"/>
          <w:highlight w:val="none"/>
          <w:shd w:val="clear" w:color="auto" w:fill="FFFFFF"/>
          <w:lang w:val="en-US" w:eastAsia="zh-CN" w:bidi="ar-SA"/>
        </w:rPr>
        <w:t xml:space="preserve">                     主评人：</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600" w:lineRule="exact"/>
        <w:ind w:firstLine="640" w:firstLineChars="200"/>
        <w:textAlignment w:val="auto"/>
        <w:rPr>
          <w:rFonts w:hint="default" w:ascii="仿宋" w:hAnsi="仿宋" w:eastAsia="仿宋" w:cs="仿宋"/>
          <w:color w:val="auto"/>
          <w:kern w:val="0"/>
          <w:sz w:val="32"/>
          <w:szCs w:val="32"/>
          <w:highlight w:val="none"/>
          <w:shd w:val="clear" w:color="auto" w:fill="FFFFFF"/>
          <w:lang w:val="en-US" w:eastAsia="zh-CN" w:bidi="ar-SA"/>
        </w:rPr>
        <w:sectPr>
          <w:headerReference r:id="rId4" w:type="default"/>
          <w:footerReference r:id="rId5" w:type="default"/>
          <w:pgSz w:w="11910" w:h="16840"/>
          <w:pgMar w:top="2098" w:right="1474" w:bottom="1984" w:left="1587" w:header="1017" w:footer="1206" w:gutter="0"/>
          <w:pgNumType w:fmt="decimal"/>
          <w:cols w:equalWidth="0" w:num="1">
            <w:col w:w="8810"/>
          </w:cols>
          <w:docGrid w:linePitch="326" w:charSpace="0"/>
        </w:sectPr>
      </w:pPr>
      <w:r>
        <w:rPr>
          <w:rFonts w:hint="eastAsia" w:ascii="仿宋" w:hAnsi="仿宋" w:eastAsia="仿宋" w:cs="仿宋"/>
          <w:color w:val="auto"/>
          <w:kern w:val="0"/>
          <w:sz w:val="32"/>
          <w:szCs w:val="32"/>
          <w:highlight w:val="none"/>
          <w:shd w:val="clear" w:color="auto" w:fill="FFFFFF"/>
          <w:lang w:val="en-US" w:eastAsia="zh-CN" w:bidi="ar-SA"/>
        </w:rPr>
        <w:t xml:space="preserve">                     日期：2021年11月9日</w:t>
      </w:r>
    </w:p>
    <w:p>
      <w:pPr>
        <w:widowControl w:val="0"/>
        <w:numPr>
          <w:ilvl w:val="0"/>
          <w:numId w:val="0"/>
        </w:numPr>
        <w:jc w:val="both"/>
        <w:outlineLvl w:val="0"/>
        <w:rPr>
          <w:rFonts w:hint="eastAsia" w:ascii="黑体" w:hAnsi="黑体" w:eastAsia="黑体" w:cs="黑体"/>
          <w:color w:val="auto"/>
          <w:kern w:val="0"/>
          <w:sz w:val="32"/>
          <w:szCs w:val="32"/>
          <w:highlight w:val="none"/>
          <w:shd w:val="clear" w:color="auto" w:fill="FFFFFF"/>
          <w:lang w:val="en-US" w:eastAsia="zh-CN"/>
        </w:rPr>
      </w:pPr>
      <w:bookmarkStart w:id="37" w:name="_Toc22615"/>
      <w:r>
        <w:rPr>
          <w:rFonts w:hint="eastAsia" w:ascii="黑体" w:hAnsi="黑体" w:eastAsia="黑体" w:cs="黑体"/>
          <w:color w:val="auto"/>
          <w:kern w:val="0"/>
          <w:sz w:val="32"/>
          <w:szCs w:val="32"/>
          <w:highlight w:val="none"/>
          <w:shd w:val="clear" w:color="auto" w:fill="FFFFFF"/>
          <w:lang w:val="en-US" w:eastAsia="zh-CN"/>
        </w:rPr>
        <w:t>附件1评价工作底稿</w:t>
      </w:r>
      <w:bookmarkEnd w:id="37"/>
    </w:p>
    <w:p>
      <w:pPr>
        <w:pStyle w:val="2"/>
        <w:rPr>
          <w:rFonts w:hint="eastAsia"/>
          <w:lang w:val="en-US" w:eastAsia="zh-CN"/>
        </w:rPr>
      </w:pPr>
    </w:p>
    <w:p>
      <w:pPr>
        <w:numPr>
          <w:ilvl w:val="0"/>
          <w:numId w:val="0"/>
        </w:numPr>
        <w:jc w:val="center"/>
        <w:outlineLvl w:val="9"/>
        <w:rPr>
          <w:rFonts w:hint="eastAsia" w:asciiTheme="minorEastAsia" w:hAnsiTheme="minorEastAsia" w:eastAsiaTheme="minorEastAsia" w:cstheme="minorEastAsia"/>
          <w:b/>
          <w:bCs/>
          <w:color w:val="auto"/>
          <w:kern w:val="0"/>
          <w:sz w:val="36"/>
          <w:szCs w:val="36"/>
          <w:highlight w:val="none"/>
          <w:shd w:val="clear" w:color="auto" w:fill="FFFFFF"/>
          <w:lang w:val="en-US" w:eastAsia="zh-CN"/>
        </w:rPr>
      </w:pPr>
      <w:r>
        <w:rPr>
          <w:rFonts w:hint="eastAsia" w:asciiTheme="minorEastAsia" w:hAnsiTheme="minorEastAsia" w:eastAsiaTheme="minorEastAsia" w:cstheme="minorEastAsia"/>
          <w:b/>
          <w:bCs/>
          <w:color w:val="auto"/>
          <w:kern w:val="0"/>
          <w:sz w:val="36"/>
          <w:szCs w:val="36"/>
          <w:highlight w:val="none"/>
          <w:shd w:val="clear" w:color="auto" w:fill="FFFFFF"/>
          <w:lang w:val="en-US" w:eastAsia="zh-CN"/>
        </w:rPr>
        <w:t>铜川市新区财政局2020年新区商务局</w:t>
      </w:r>
      <w:r>
        <w:rPr>
          <w:rFonts w:hint="eastAsia" w:asciiTheme="minorEastAsia" w:hAnsiTheme="minorEastAsia" w:eastAsiaTheme="minorEastAsia" w:cstheme="minorEastAsia"/>
          <w:b/>
          <w:bCs/>
          <w:color w:val="auto"/>
          <w:kern w:val="0"/>
          <w:sz w:val="36"/>
          <w:szCs w:val="36"/>
          <w:highlight w:val="none"/>
          <w:shd w:val="clear" w:color="auto" w:fill="FFFFFF"/>
          <w:lang w:val="en-US" w:eastAsia="zh-Hans"/>
        </w:rPr>
        <w:t>部门</w:t>
      </w:r>
      <w:r>
        <w:rPr>
          <w:rFonts w:hint="eastAsia" w:asciiTheme="minorEastAsia" w:hAnsiTheme="minorEastAsia" w:eastAsiaTheme="minorEastAsia" w:cstheme="minorEastAsia"/>
          <w:b/>
          <w:bCs/>
          <w:color w:val="auto"/>
          <w:kern w:val="0"/>
          <w:sz w:val="36"/>
          <w:szCs w:val="36"/>
          <w:highlight w:val="none"/>
          <w:shd w:val="clear" w:color="auto" w:fill="FFFFFF"/>
          <w:lang w:val="en-US" w:eastAsia="zh-CN"/>
        </w:rPr>
        <w:t>整体支出</w:t>
      </w:r>
    </w:p>
    <w:p>
      <w:pPr>
        <w:numPr>
          <w:ilvl w:val="0"/>
          <w:numId w:val="0"/>
        </w:numPr>
        <w:jc w:val="center"/>
        <w:outlineLvl w:val="9"/>
        <w:rPr>
          <w:rFonts w:ascii="仿宋_GB2312" w:hAnsi="仿宋_GB2312" w:eastAsia="仿宋_GB2312" w:cs="仿宋_GB2312"/>
          <w:sz w:val="32"/>
          <w:szCs w:val="32"/>
        </w:rPr>
      </w:pPr>
      <w:r>
        <w:rPr>
          <w:rFonts w:hint="eastAsia" w:asciiTheme="minorEastAsia" w:hAnsiTheme="minorEastAsia" w:eastAsiaTheme="minorEastAsia" w:cstheme="minorEastAsia"/>
          <w:b/>
          <w:bCs/>
          <w:color w:val="auto"/>
          <w:kern w:val="0"/>
          <w:sz w:val="36"/>
          <w:szCs w:val="36"/>
          <w:highlight w:val="none"/>
          <w:shd w:val="clear" w:color="auto" w:fill="FFFFFF"/>
          <w:lang w:val="en-US" w:eastAsia="zh-CN"/>
        </w:rPr>
        <w:t>绩效评价指标体系打分表</w:t>
      </w:r>
    </w:p>
    <w:tbl>
      <w:tblPr>
        <w:tblStyle w:val="15"/>
        <w:tblW w:w="8811"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199"/>
        <w:gridCol w:w="1300"/>
        <w:gridCol w:w="1412"/>
        <w:gridCol w:w="3274"/>
        <w:gridCol w:w="864"/>
        <w:gridCol w:w="76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1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一级指标</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二级指标</w:t>
            </w:r>
          </w:p>
        </w:tc>
        <w:tc>
          <w:tcPr>
            <w:tcW w:w="14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三级指标</w:t>
            </w:r>
          </w:p>
        </w:tc>
        <w:tc>
          <w:tcPr>
            <w:tcW w:w="32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指标解释</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分值</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10" w:hRule="atLeast"/>
        </w:trPr>
        <w:tc>
          <w:tcPr>
            <w:tcW w:w="119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投入</w:t>
            </w:r>
          </w:p>
        </w:tc>
        <w:tc>
          <w:tcPr>
            <w:tcW w:w="13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目标设定</w:t>
            </w:r>
          </w:p>
        </w:tc>
        <w:tc>
          <w:tcPr>
            <w:tcW w:w="14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绩效目标合理性</w:t>
            </w:r>
          </w:p>
        </w:tc>
        <w:tc>
          <w:tcPr>
            <w:tcW w:w="32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部门所设立的整体绩效目标依据是否充分，是否符合客观实际，用以反映和考核部门整体绩效目标与部门履职、年度工作任务的相符性情况。</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4</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25" w:hRule="atLeast"/>
        </w:trPr>
        <w:tc>
          <w:tcPr>
            <w:tcW w:w="11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13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14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绩效指标明确性</w:t>
            </w:r>
          </w:p>
        </w:tc>
        <w:tc>
          <w:tcPr>
            <w:tcW w:w="32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部门依据整体绩效目标所设定的绩效指标是否清晰、细化、可衡量，用以反映和考核部门整体绩效目标的明细化情况。</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4</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3.5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40" w:hRule="atLeast"/>
        </w:trPr>
        <w:tc>
          <w:tcPr>
            <w:tcW w:w="11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13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预算配置</w:t>
            </w:r>
          </w:p>
        </w:tc>
        <w:tc>
          <w:tcPr>
            <w:tcW w:w="14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在职人员控制率</w:t>
            </w:r>
          </w:p>
        </w:tc>
        <w:tc>
          <w:tcPr>
            <w:tcW w:w="32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部门本年度实际在职人员数与编制数的比率，用以反映和考核部门对人员成本的控制程度。</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25" w:hRule="atLeast"/>
        </w:trPr>
        <w:tc>
          <w:tcPr>
            <w:tcW w:w="11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13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14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“三公经费”变动率</w:t>
            </w:r>
          </w:p>
        </w:tc>
        <w:tc>
          <w:tcPr>
            <w:tcW w:w="32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部门2020年度“三公经费”预算数与2019年度“三公经费”预算数的变动比率，用以反映和考核部门对控制重点行政成本的努力程度。</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3</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10" w:hRule="atLeast"/>
        </w:trPr>
        <w:tc>
          <w:tcPr>
            <w:tcW w:w="11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13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14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重点支出安排率</w:t>
            </w:r>
          </w:p>
        </w:tc>
        <w:tc>
          <w:tcPr>
            <w:tcW w:w="32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部门2020年度预算安排的重点项目支出与部门项目总支出的比率，用以反映和考核部门（单位）对履行主要职责或完 成重点任务的保障程度。</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3</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5" w:hRule="atLeast"/>
        </w:trPr>
        <w:tc>
          <w:tcPr>
            <w:tcW w:w="119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过程</w:t>
            </w:r>
          </w:p>
        </w:tc>
        <w:tc>
          <w:tcPr>
            <w:tcW w:w="13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预算执行</w:t>
            </w:r>
          </w:p>
        </w:tc>
        <w:tc>
          <w:tcPr>
            <w:tcW w:w="14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预算完成率</w:t>
            </w:r>
          </w:p>
        </w:tc>
        <w:tc>
          <w:tcPr>
            <w:tcW w:w="32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部门2020年度预算完成数与预算数的比率，用以反映和考核部门预算完成程度。</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3</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5" w:hRule="atLeast"/>
        </w:trPr>
        <w:tc>
          <w:tcPr>
            <w:tcW w:w="11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13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14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预算调整率</w:t>
            </w:r>
          </w:p>
        </w:tc>
        <w:tc>
          <w:tcPr>
            <w:tcW w:w="32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部门2020年度预算调整数与预算数的比率，用以反映和考核部门预算的调整程度</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40" w:hRule="atLeast"/>
        </w:trPr>
        <w:tc>
          <w:tcPr>
            <w:tcW w:w="11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13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14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结转结余率</w:t>
            </w:r>
          </w:p>
        </w:tc>
        <w:tc>
          <w:tcPr>
            <w:tcW w:w="32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部门2020年度结转结余总额与支出预算数的比率，用以反映和考核部门对本年度结转结余资金的实际控制程度</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3</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25" w:hRule="atLeast"/>
        </w:trPr>
        <w:tc>
          <w:tcPr>
            <w:tcW w:w="11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13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14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结转结余变动率</w:t>
            </w:r>
          </w:p>
        </w:tc>
        <w:tc>
          <w:tcPr>
            <w:tcW w:w="32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部门2020年度结转结余资金总额与上年度结转结余资金总额的变动比率，用以反映和考核部门对控制结转结余资金的努力程度</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25" w:hRule="atLeast"/>
        </w:trPr>
        <w:tc>
          <w:tcPr>
            <w:tcW w:w="11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13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14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公用经费控制率</w:t>
            </w:r>
          </w:p>
        </w:tc>
        <w:tc>
          <w:tcPr>
            <w:tcW w:w="32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部门2020年度实际支出的公用经费总额与预算安排的公用经费总额的比率，用以反映和考核部门对机构运转成本的实际控制程度</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4</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25" w:hRule="atLeast"/>
        </w:trPr>
        <w:tc>
          <w:tcPr>
            <w:tcW w:w="11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13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14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“三公”经费控制率</w:t>
            </w:r>
          </w:p>
        </w:tc>
        <w:tc>
          <w:tcPr>
            <w:tcW w:w="32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部门2020年度“三公经费”实际支出数与预算安排数的比率，用以反映和考核部门对“三公经费”的实际控制程度</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4</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1140" w:hRule="atLeast"/>
        </w:trPr>
        <w:tc>
          <w:tcPr>
            <w:tcW w:w="11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13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14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政府采购执行率</w:t>
            </w:r>
          </w:p>
        </w:tc>
        <w:tc>
          <w:tcPr>
            <w:tcW w:w="32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部门2020年度实际政府采购金额与年初政府采购预算的比率，用以反映和考核部门政府采购预算执行情况</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3</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10" w:hRule="atLeast"/>
        </w:trPr>
        <w:tc>
          <w:tcPr>
            <w:tcW w:w="11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13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预算管理</w:t>
            </w:r>
          </w:p>
        </w:tc>
        <w:tc>
          <w:tcPr>
            <w:tcW w:w="14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管理制度健全性</w:t>
            </w:r>
          </w:p>
        </w:tc>
        <w:tc>
          <w:tcPr>
            <w:tcW w:w="32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部门为加强预算管理、规范财务行为而制定的管理制度是否健全完整，用以反映和考核部门预算管理制度对完成主要职责或促进事业发展的保障情况</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40" w:hRule="atLeast"/>
        </w:trPr>
        <w:tc>
          <w:tcPr>
            <w:tcW w:w="11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13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14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资金使用合规性</w:t>
            </w:r>
          </w:p>
        </w:tc>
        <w:tc>
          <w:tcPr>
            <w:tcW w:w="32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部门使用预算资金是否符合相关的预算财务管理制度的规定，用以反映和考核部门预算资金的规范运行情况。</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5</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40" w:hRule="atLeast"/>
        </w:trPr>
        <w:tc>
          <w:tcPr>
            <w:tcW w:w="11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13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14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预算执行监控</w:t>
            </w:r>
          </w:p>
        </w:tc>
        <w:tc>
          <w:tcPr>
            <w:tcW w:w="32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部门是否开展年度预算执行监控体系，用以反映和考核部门预算绩效管理制度执行的有效性</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40" w:hRule="atLeast"/>
        </w:trPr>
        <w:tc>
          <w:tcPr>
            <w:tcW w:w="11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13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14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预决算信息公开性</w:t>
            </w:r>
          </w:p>
        </w:tc>
        <w:tc>
          <w:tcPr>
            <w:tcW w:w="32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部门是否按照政府信息公开有关规定公开相关预决算信息，用以反映和考核部门预决算管理的公开透明情况。</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10" w:hRule="atLeast"/>
        </w:trPr>
        <w:tc>
          <w:tcPr>
            <w:tcW w:w="11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13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资产管理</w:t>
            </w:r>
          </w:p>
        </w:tc>
        <w:tc>
          <w:tcPr>
            <w:tcW w:w="14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管理制度健全性</w:t>
            </w:r>
          </w:p>
        </w:tc>
        <w:tc>
          <w:tcPr>
            <w:tcW w:w="32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部门为加强资产管理、规范资产管理行为而制定的管理制度是否健全完整，用以反映和考核部门资产管理制度对完成主要职责或促进社会发展的保障情况</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1.5</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25" w:hRule="atLeast"/>
        </w:trPr>
        <w:tc>
          <w:tcPr>
            <w:tcW w:w="11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13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14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资产管理安全性</w:t>
            </w:r>
          </w:p>
        </w:tc>
        <w:tc>
          <w:tcPr>
            <w:tcW w:w="32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部门的资产是否保存完整、使用合规、配置合理、处置规范、收入及时足额上缴，用以反映和考核部门资产安全运行情况</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2.5</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25" w:hRule="atLeast"/>
        </w:trPr>
        <w:tc>
          <w:tcPr>
            <w:tcW w:w="11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13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14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固定资产利用率</w:t>
            </w:r>
          </w:p>
        </w:tc>
        <w:tc>
          <w:tcPr>
            <w:tcW w:w="32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部门（单位）实际在用固定资产总额与所有固定资产总额的比率，用以反映和考核部门（单位）固定资产使用效率程度。</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3</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25" w:hRule="atLeast"/>
        </w:trPr>
        <w:tc>
          <w:tcPr>
            <w:tcW w:w="119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产出</w:t>
            </w:r>
          </w:p>
        </w:tc>
        <w:tc>
          <w:tcPr>
            <w:tcW w:w="13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履行职责</w:t>
            </w:r>
          </w:p>
        </w:tc>
        <w:tc>
          <w:tcPr>
            <w:tcW w:w="14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实际完成率</w:t>
            </w:r>
          </w:p>
        </w:tc>
        <w:tc>
          <w:tcPr>
            <w:tcW w:w="32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部门（单位）履行职责而实际完成工作数与计划工作数的比率，用以反映和考核部门（单位）履职工作任务目标的实现程度。</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5</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25" w:hRule="atLeast"/>
        </w:trPr>
        <w:tc>
          <w:tcPr>
            <w:tcW w:w="11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13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14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完成及时率</w:t>
            </w:r>
          </w:p>
        </w:tc>
        <w:tc>
          <w:tcPr>
            <w:tcW w:w="32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部门（单位）在规定时限内及时完成的实际工作数与计划工作数的比率,用以反映和考核部门履职时效目标的实现程度。</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5</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25" w:hRule="atLeast"/>
        </w:trPr>
        <w:tc>
          <w:tcPr>
            <w:tcW w:w="11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13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14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质量达标率</w:t>
            </w:r>
          </w:p>
        </w:tc>
        <w:tc>
          <w:tcPr>
            <w:tcW w:w="32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达到质量标准（绩效标准值）的实际工作数与计划工作数的比率,用以反映和考核部门履职质量目标的实现程度。</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5</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25" w:hRule="atLeast"/>
        </w:trPr>
        <w:tc>
          <w:tcPr>
            <w:tcW w:w="11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13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14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重点工作办结率</w:t>
            </w:r>
          </w:p>
        </w:tc>
        <w:tc>
          <w:tcPr>
            <w:tcW w:w="32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部门（单位）年度重点工作实际完成数与交办或下达数的比率，用以反映部门（单位）对重点工作的办理落实程度。</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6</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5" w:hRule="atLeast"/>
        </w:trPr>
        <w:tc>
          <w:tcPr>
            <w:tcW w:w="119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效果</w:t>
            </w:r>
          </w:p>
        </w:tc>
        <w:tc>
          <w:tcPr>
            <w:tcW w:w="13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履职效益</w:t>
            </w:r>
          </w:p>
        </w:tc>
        <w:tc>
          <w:tcPr>
            <w:tcW w:w="14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经济效益</w:t>
            </w:r>
          </w:p>
        </w:tc>
        <w:tc>
          <w:tcPr>
            <w:tcW w:w="32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消费促进月活动销售额，用以反映部门（单位）开展工作的经济效益</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6</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5" w:hRule="atLeast"/>
        </w:trPr>
        <w:tc>
          <w:tcPr>
            <w:tcW w:w="11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13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32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商贸服务业项目申报情况，用以反映部门（单位）开展工作的经济效益</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6</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5" w:hRule="atLeast"/>
        </w:trPr>
        <w:tc>
          <w:tcPr>
            <w:tcW w:w="11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13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1412" w:type="dxa"/>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社会效益</w:t>
            </w:r>
          </w:p>
        </w:tc>
        <w:tc>
          <w:tcPr>
            <w:tcW w:w="32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培育新增“四上”企业情况，用以反映部门（单位）开展工作的社会效益</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3</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40" w:hRule="atLeast"/>
        </w:trPr>
        <w:tc>
          <w:tcPr>
            <w:tcW w:w="11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13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1412"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3274"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社零、外贸进出口、R&amp;D、技术市场交易额等指标完成情况，用以反映部门（单位）开展工作的社会效益</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6</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11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13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14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服务对象满意度</w:t>
            </w:r>
          </w:p>
        </w:tc>
        <w:tc>
          <w:tcPr>
            <w:tcW w:w="32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部门（单位）的服务企业对部门履职效果的满意程度。</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3</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3</w:t>
            </w:r>
          </w:p>
        </w:tc>
      </w:tr>
    </w:tbl>
    <w:p>
      <w:pPr>
        <w:pStyle w:val="2"/>
        <w:sectPr>
          <w:footerReference r:id="rId6" w:type="default"/>
          <w:pgSz w:w="11910" w:h="16840"/>
          <w:pgMar w:top="2098" w:right="1474" w:bottom="1984" w:left="1587" w:header="1017" w:footer="1206" w:gutter="0"/>
          <w:pgNumType w:fmt="decimal"/>
          <w:cols w:equalWidth="0" w:num="1">
            <w:col w:w="8810"/>
          </w:cols>
          <w:docGrid w:linePitch="326" w:charSpace="0"/>
        </w:sectPr>
      </w:pPr>
    </w:p>
    <w:p>
      <w:pPr>
        <w:widowControl w:val="0"/>
        <w:numPr>
          <w:ilvl w:val="0"/>
          <w:numId w:val="0"/>
        </w:numPr>
        <w:jc w:val="both"/>
        <w:outlineLvl w:val="0"/>
        <w:rPr>
          <w:rFonts w:hint="default" w:ascii="黑体" w:hAnsi="黑体" w:eastAsia="黑体" w:cs="黑体"/>
          <w:b/>
          <w:color w:val="000000"/>
          <w:sz w:val="32"/>
          <w:szCs w:val="32"/>
          <w:lang w:val="en-US" w:eastAsia="zh-Hans" w:bidi="ar"/>
        </w:rPr>
      </w:pPr>
      <w:bookmarkStart w:id="38" w:name="_Toc2079370722_WPSOffice_Level2"/>
      <w:bookmarkStart w:id="39" w:name="_Toc1721938646_WPSOffice_Level2"/>
      <w:bookmarkStart w:id="40" w:name="_Toc27626"/>
      <w:r>
        <w:rPr>
          <w:rFonts w:hint="eastAsia" w:ascii="黑体" w:hAnsi="黑体" w:eastAsia="黑体" w:cs="黑体"/>
          <w:color w:val="auto"/>
          <w:kern w:val="0"/>
          <w:sz w:val="32"/>
          <w:szCs w:val="32"/>
          <w:highlight w:val="none"/>
          <w:shd w:val="clear" w:color="auto" w:fill="FFFFFF"/>
          <w:lang w:val="en-US" w:eastAsia="zh-CN"/>
        </w:rPr>
        <w:t>附件2</w:t>
      </w:r>
      <w:bookmarkEnd w:id="38"/>
      <w:bookmarkEnd w:id="39"/>
      <w:r>
        <w:rPr>
          <w:rFonts w:hint="eastAsia" w:ascii="黑体" w:hAnsi="黑体" w:eastAsia="黑体" w:cs="黑体"/>
          <w:color w:val="auto"/>
          <w:kern w:val="0"/>
          <w:sz w:val="32"/>
          <w:szCs w:val="32"/>
          <w:highlight w:val="none"/>
          <w:shd w:val="clear" w:color="auto" w:fill="FFFFFF"/>
          <w:lang w:val="en-US" w:eastAsia="zh-CN"/>
        </w:rPr>
        <w:t>问题清单</w:t>
      </w:r>
      <w:bookmarkEnd w:id="40"/>
    </w:p>
    <w:p>
      <w:pPr>
        <w:numPr>
          <w:ilvl w:val="0"/>
          <w:numId w:val="0"/>
        </w:numPr>
        <w:jc w:val="center"/>
        <w:outlineLvl w:val="9"/>
        <w:rPr>
          <w:rFonts w:hint="eastAsia" w:asciiTheme="minorEastAsia" w:hAnsiTheme="minorEastAsia" w:eastAsiaTheme="minorEastAsia" w:cstheme="minorEastAsia"/>
          <w:b/>
          <w:bCs/>
          <w:color w:val="auto"/>
          <w:kern w:val="0"/>
          <w:sz w:val="36"/>
          <w:szCs w:val="36"/>
          <w:highlight w:val="none"/>
          <w:shd w:val="clear" w:color="auto" w:fill="FFFFFF"/>
          <w:lang w:val="en-US" w:eastAsia="zh-CN"/>
        </w:rPr>
      </w:pPr>
    </w:p>
    <w:p>
      <w:pPr>
        <w:numPr>
          <w:ilvl w:val="0"/>
          <w:numId w:val="0"/>
        </w:numPr>
        <w:jc w:val="center"/>
        <w:outlineLvl w:val="9"/>
        <w:rPr>
          <w:rFonts w:hint="eastAsia" w:asciiTheme="minorEastAsia" w:hAnsiTheme="minorEastAsia" w:eastAsiaTheme="minorEastAsia" w:cstheme="minorEastAsia"/>
          <w:b/>
          <w:bCs/>
          <w:color w:val="auto"/>
          <w:kern w:val="0"/>
          <w:sz w:val="36"/>
          <w:szCs w:val="36"/>
          <w:highlight w:val="none"/>
          <w:shd w:val="clear" w:color="auto" w:fill="FFFFFF"/>
          <w:lang w:val="en-US" w:eastAsia="zh-CN"/>
        </w:rPr>
      </w:pPr>
      <w:r>
        <w:rPr>
          <w:rFonts w:hint="eastAsia" w:asciiTheme="minorEastAsia" w:hAnsiTheme="minorEastAsia" w:eastAsiaTheme="minorEastAsia" w:cstheme="minorEastAsia"/>
          <w:b/>
          <w:bCs/>
          <w:color w:val="auto"/>
          <w:kern w:val="0"/>
          <w:sz w:val="36"/>
          <w:szCs w:val="36"/>
          <w:highlight w:val="none"/>
          <w:shd w:val="clear" w:color="auto" w:fill="FFFFFF"/>
          <w:lang w:val="en-US" w:eastAsia="zh-CN"/>
        </w:rPr>
        <w:t>铜川市新区财政局2020年新区商务局</w:t>
      </w:r>
      <w:r>
        <w:rPr>
          <w:rFonts w:hint="eastAsia" w:asciiTheme="minorEastAsia" w:hAnsiTheme="minorEastAsia" w:eastAsiaTheme="minorEastAsia" w:cstheme="minorEastAsia"/>
          <w:b/>
          <w:bCs/>
          <w:color w:val="auto"/>
          <w:kern w:val="0"/>
          <w:sz w:val="36"/>
          <w:szCs w:val="36"/>
          <w:highlight w:val="none"/>
          <w:shd w:val="clear" w:color="auto" w:fill="FFFFFF"/>
          <w:lang w:val="en-US" w:eastAsia="zh-Hans"/>
        </w:rPr>
        <w:t>部门</w:t>
      </w:r>
      <w:r>
        <w:rPr>
          <w:rFonts w:hint="eastAsia" w:asciiTheme="minorEastAsia" w:hAnsiTheme="minorEastAsia" w:eastAsiaTheme="minorEastAsia" w:cstheme="minorEastAsia"/>
          <w:b/>
          <w:bCs/>
          <w:color w:val="auto"/>
          <w:kern w:val="0"/>
          <w:sz w:val="36"/>
          <w:szCs w:val="36"/>
          <w:highlight w:val="none"/>
          <w:shd w:val="clear" w:color="auto" w:fill="FFFFFF"/>
          <w:lang w:val="en-US" w:eastAsia="zh-CN"/>
        </w:rPr>
        <w:t>整体支出</w:t>
      </w:r>
    </w:p>
    <w:p>
      <w:pPr>
        <w:numPr>
          <w:ilvl w:val="0"/>
          <w:numId w:val="0"/>
        </w:numPr>
        <w:jc w:val="center"/>
        <w:outlineLvl w:val="9"/>
        <w:rPr>
          <w:rFonts w:hint="eastAsia" w:ascii="宋体" w:hAnsi="宋体" w:eastAsia="宋体" w:cs="宋体"/>
          <w:b/>
          <w:bCs/>
          <w:color w:val="auto"/>
          <w:kern w:val="0"/>
          <w:sz w:val="36"/>
          <w:szCs w:val="36"/>
          <w:highlight w:val="none"/>
          <w:shd w:val="clear" w:color="auto" w:fill="FFFFFF"/>
          <w:lang w:val="en-US" w:eastAsia="zh-CN"/>
        </w:rPr>
      </w:pPr>
      <w:r>
        <w:rPr>
          <w:rFonts w:hint="eastAsia" w:ascii="宋体" w:hAnsi="宋体" w:eastAsia="宋体" w:cs="宋体"/>
          <w:b/>
          <w:bCs/>
          <w:color w:val="auto"/>
          <w:kern w:val="0"/>
          <w:sz w:val="36"/>
          <w:szCs w:val="36"/>
          <w:highlight w:val="none"/>
          <w:shd w:val="clear" w:color="auto" w:fill="FFFFFF"/>
          <w:lang w:val="en-US" w:eastAsia="zh-CN"/>
        </w:rPr>
        <w:t>问题清单</w:t>
      </w:r>
    </w:p>
    <w:tbl>
      <w:tblPr>
        <w:tblStyle w:val="15"/>
        <w:tblW w:w="4998" w:type="pct"/>
        <w:tblInd w:w="0" w:type="dxa"/>
        <w:tblLayout w:type="autofit"/>
        <w:tblCellMar>
          <w:top w:w="0" w:type="dxa"/>
          <w:left w:w="108" w:type="dxa"/>
          <w:bottom w:w="0" w:type="dxa"/>
          <w:right w:w="108" w:type="dxa"/>
        </w:tblCellMar>
      </w:tblPr>
      <w:tblGrid>
        <w:gridCol w:w="2694"/>
        <w:gridCol w:w="780"/>
        <w:gridCol w:w="5548"/>
      </w:tblGrid>
      <w:tr>
        <w:tblPrEx>
          <w:tblCellMar>
            <w:top w:w="0" w:type="dxa"/>
            <w:left w:w="108" w:type="dxa"/>
            <w:bottom w:w="0" w:type="dxa"/>
            <w:right w:w="108" w:type="dxa"/>
          </w:tblCellMar>
        </w:tblPrEx>
        <w:trPr>
          <w:trHeight w:val="520" w:hRule="atLeast"/>
        </w:trPr>
        <w:tc>
          <w:tcPr>
            <w:tcW w:w="149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问题分类</w:t>
            </w:r>
          </w:p>
        </w:tc>
        <w:tc>
          <w:tcPr>
            <w:tcW w:w="43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序号</w:t>
            </w:r>
          </w:p>
        </w:tc>
        <w:tc>
          <w:tcPr>
            <w:tcW w:w="307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问题描述</w:t>
            </w:r>
          </w:p>
        </w:tc>
      </w:tr>
      <w:tr>
        <w:tblPrEx>
          <w:tblCellMar>
            <w:top w:w="0" w:type="dxa"/>
            <w:left w:w="108" w:type="dxa"/>
            <w:bottom w:w="0" w:type="dxa"/>
            <w:right w:w="108" w:type="dxa"/>
          </w:tblCellMar>
        </w:tblPrEx>
        <w:trPr>
          <w:trHeight w:val="570" w:hRule="atLeast"/>
        </w:trPr>
        <w:tc>
          <w:tcPr>
            <w:tcW w:w="1493" w:type="pct"/>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过程存在的问题</w:t>
            </w:r>
          </w:p>
        </w:tc>
        <w:tc>
          <w:tcPr>
            <w:tcW w:w="43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w:t>
            </w:r>
          </w:p>
        </w:tc>
        <w:tc>
          <w:tcPr>
            <w:tcW w:w="307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kern w:val="0"/>
                <w:sz w:val="24"/>
                <w:szCs w:val="24"/>
                <w:highlight w:val="none"/>
                <w:u w:val="none"/>
                <w:lang w:val="en-US" w:eastAsia="zh-CN" w:bidi="ar"/>
              </w:rPr>
              <w:t>部门预算绩效管理工作需要加强。</w:t>
            </w:r>
          </w:p>
        </w:tc>
      </w:tr>
      <w:tr>
        <w:tblPrEx>
          <w:tblCellMar>
            <w:top w:w="0" w:type="dxa"/>
            <w:left w:w="108" w:type="dxa"/>
            <w:bottom w:w="0" w:type="dxa"/>
            <w:right w:w="108" w:type="dxa"/>
          </w:tblCellMar>
        </w:tblPrEx>
        <w:trPr>
          <w:trHeight w:val="570" w:hRule="atLeast"/>
        </w:trPr>
        <w:tc>
          <w:tcPr>
            <w:tcW w:w="1493" w:type="pct"/>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43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w:t>
            </w:r>
          </w:p>
        </w:tc>
        <w:tc>
          <w:tcPr>
            <w:tcW w:w="307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firstLineChars="20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Hans" w:bidi="ar"/>
              </w:rPr>
              <w:t>部门预算编制</w:t>
            </w:r>
            <w:r>
              <w:rPr>
                <w:rFonts w:hint="eastAsia" w:ascii="仿宋" w:hAnsi="仿宋" w:eastAsia="仿宋" w:cs="仿宋"/>
                <w:i w:val="0"/>
                <w:iCs w:val="0"/>
                <w:color w:val="000000"/>
                <w:kern w:val="0"/>
                <w:sz w:val="24"/>
                <w:szCs w:val="24"/>
                <w:highlight w:val="none"/>
                <w:u w:val="none"/>
                <w:lang w:val="en-US" w:eastAsia="zh-CN" w:bidi="ar"/>
              </w:rPr>
              <w:t>工作有待完善。</w:t>
            </w:r>
          </w:p>
        </w:tc>
      </w:tr>
      <w:tr>
        <w:tblPrEx>
          <w:tblCellMar>
            <w:top w:w="0" w:type="dxa"/>
            <w:left w:w="108" w:type="dxa"/>
            <w:bottom w:w="0" w:type="dxa"/>
            <w:right w:w="108" w:type="dxa"/>
          </w:tblCellMar>
        </w:tblPrEx>
        <w:trPr>
          <w:trHeight w:val="570" w:hRule="atLeast"/>
        </w:trPr>
        <w:tc>
          <w:tcPr>
            <w:tcW w:w="1493" w:type="pct"/>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43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3</w:t>
            </w:r>
          </w:p>
        </w:tc>
        <w:tc>
          <w:tcPr>
            <w:tcW w:w="307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部门预算和资产管理制度有待健全。</w:t>
            </w:r>
          </w:p>
        </w:tc>
      </w:tr>
    </w:tbl>
    <w:p>
      <w:pPr>
        <w:rPr>
          <w:rFonts w:hint="eastAsia"/>
          <w:lang w:eastAsia="zh-Hans"/>
        </w:rPr>
        <w:sectPr>
          <w:footerReference r:id="rId7" w:type="default"/>
          <w:pgSz w:w="11910" w:h="16840"/>
          <w:pgMar w:top="2098" w:right="1474" w:bottom="1984" w:left="1587" w:header="1017" w:footer="1206" w:gutter="0"/>
          <w:pgNumType w:fmt="decimal"/>
          <w:cols w:equalWidth="0" w:num="1">
            <w:col w:w="8810"/>
          </w:cols>
        </w:sectPr>
      </w:pPr>
    </w:p>
    <w:p>
      <w:pPr>
        <w:rPr>
          <w:rFonts w:hint="eastAsia"/>
          <w:lang w:eastAsia="zh-Hans"/>
        </w:rPr>
      </w:pPr>
    </w:p>
    <w:p>
      <w:pPr>
        <w:numPr>
          <w:ilvl w:val="0"/>
          <w:numId w:val="0"/>
        </w:numPr>
        <w:jc w:val="both"/>
        <w:outlineLvl w:val="9"/>
        <w:rPr>
          <w:rFonts w:hint="eastAsia" w:ascii="黑体" w:hAnsi="黑体" w:eastAsia="黑体" w:cs="黑体"/>
          <w:b/>
          <w:bCs/>
          <w:color w:val="auto"/>
          <w:kern w:val="0"/>
          <w:sz w:val="32"/>
          <w:szCs w:val="32"/>
          <w:highlight w:val="none"/>
          <w:shd w:val="clear" w:color="auto" w:fill="FFFFFF"/>
          <w:lang w:val="en-US" w:eastAsia="zh-CN"/>
        </w:rPr>
      </w:pPr>
      <w:r>
        <w:rPr>
          <w:rFonts w:hint="eastAsia" w:ascii="黑体" w:hAnsi="黑体" w:eastAsia="黑体" w:cs="黑体"/>
          <w:b/>
          <w:bCs/>
          <w:color w:val="auto"/>
          <w:kern w:val="0"/>
          <w:sz w:val="32"/>
          <w:szCs w:val="32"/>
          <w:highlight w:val="none"/>
          <w:shd w:val="clear" w:color="auto" w:fill="FFFFFF"/>
          <w:lang w:val="en-US" w:eastAsia="zh-CN"/>
        </w:rPr>
        <w:t>附件3：</w:t>
      </w:r>
    </w:p>
    <w:p>
      <w:pPr>
        <w:numPr>
          <w:ilvl w:val="0"/>
          <w:numId w:val="0"/>
        </w:numPr>
        <w:jc w:val="center"/>
        <w:outlineLvl w:val="9"/>
        <w:rPr>
          <w:rFonts w:hint="eastAsia" w:asciiTheme="minorEastAsia" w:hAnsiTheme="minorEastAsia" w:eastAsiaTheme="minorEastAsia" w:cstheme="minorEastAsia"/>
          <w:b/>
          <w:bCs/>
          <w:color w:val="auto"/>
          <w:kern w:val="0"/>
          <w:sz w:val="36"/>
          <w:szCs w:val="36"/>
          <w:highlight w:val="none"/>
          <w:shd w:val="clear" w:color="auto" w:fill="FFFFFF"/>
          <w:lang w:val="en-US" w:eastAsia="zh-CN"/>
        </w:rPr>
      </w:pPr>
    </w:p>
    <w:p>
      <w:pPr>
        <w:numPr>
          <w:ilvl w:val="0"/>
          <w:numId w:val="0"/>
        </w:numPr>
        <w:jc w:val="center"/>
        <w:outlineLvl w:val="9"/>
        <w:rPr>
          <w:rFonts w:hint="eastAsia" w:asciiTheme="minorEastAsia" w:hAnsiTheme="minorEastAsia" w:eastAsiaTheme="minorEastAsia" w:cstheme="minorEastAsia"/>
          <w:b/>
          <w:bCs/>
          <w:color w:val="auto"/>
          <w:kern w:val="0"/>
          <w:sz w:val="36"/>
          <w:szCs w:val="36"/>
          <w:highlight w:val="none"/>
          <w:shd w:val="clear" w:color="auto" w:fill="FFFFFF"/>
          <w:lang w:val="en-US" w:eastAsia="zh-CN"/>
        </w:rPr>
      </w:pPr>
      <w:r>
        <w:rPr>
          <w:rFonts w:hint="eastAsia" w:asciiTheme="minorEastAsia" w:hAnsiTheme="minorEastAsia" w:eastAsiaTheme="minorEastAsia" w:cstheme="minorEastAsia"/>
          <w:b/>
          <w:bCs/>
          <w:color w:val="auto"/>
          <w:kern w:val="0"/>
          <w:sz w:val="36"/>
          <w:szCs w:val="36"/>
          <w:highlight w:val="none"/>
          <w:shd w:val="clear" w:color="auto" w:fill="FFFFFF"/>
          <w:lang w:val="en-US" w:eastAsia="zh-CN"/>
        </w:rPr>
        <w:t>铜川市新区财政局2020年新区商务局</w:t>
      </w:r>
      <w:r>
        <w:rPr>
          <w:rFonts w:hint="eastAsia" w:asciiTheme="minorEastAsia" w:hAnsiTheme="minorEastAsia" w:eastAsiaTheme="minorEastAsia" w:cstheme="minorEastAsia"/>
          <w:b/>
          <w:bCs/>
          <w:color w:val="auto"/>
          <w:kern w:val="0"/>
          <w:sz w:val="36"/>
          <w:szCs w:val="36"/>
          <w:highlight w:val="none"/>
          <w:shd w:val="clear" w:color="auto" w:fill="FFFFFF"/>
          <w:lang w:val="en-US" w:eastAsia="zh-Hans"/>
        </w:rPr>
        <w:t>部门</w:t>
      </w:r>
      <w:r>
        <w:rPr>
          <w:rFonts w:hint="eastAsia" w:asciiTheme="minorEastAsia" w:hAnsiTheme="minorEastAsia" w:eastAsiaTheme="minorEastAsia" w:cstheme="minorEastAsia"/>
          <w:b/>
          <w:bCs/>
          <w:color w:val="auto"/>
          <w:kern w:val="0"/>
          <w:sz w:val="36"/>
          <w:szCs w:val="36"/>
          <w:highlight w:val="none"/>
          <w:shd w:val="clear" w:color="auto" w:fill="FFFFFF"/>
          <w:lang w:val="en-US" w:eastAsia="zh-CN"/>
        </w:rPr>
        <w:t>整体支出绩效评价指标体系</w:t>
      </w:r>
    </w:p>
    <w:tbl>
      <w:tblPr>
        <w:tblStyle w:val="15"/>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796"/>
        <w:gridCol w:w="812"/>
        <w:gridCol w:w="863"/>
        <w:gridCol w:w="1864"/>
        <w:gridCol w:w="2472"/>
        <w:gridCol w:w="1593"/>
        <w:gridCol w:w="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trPr>
        <w:tc>
          <w:tcPr>
            <w:tcW w:w="441" w:type="pc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一级指标</w:t>
            </w:r>
          </w:p>
        </w:tc>
        <w:tc>
          <w:tcPr>
            <w:tcW w:w="450" w:type="pc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二级指标</w:t>
            </w:r>
          </w:p>
        </w:tc>
        <w:tc>
          <w:tcPr>
            <w:tcW w:w="478" w:type="pc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三级指标</w:t>
            </w:r>
          </w:p>
        </w:tc>
        <w:tc>
          <w:tcPr>
            <w:tcW w:w="1033" w:type="pc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指标解释</w:t>
            </w:r>
          </w:p>
        </w:tc>
        <w:tc>
          <w:tcPr>
            <w:tcW w:w="1370" w:type="pc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评价要点</w:t>
            </w:r>
          </w:p>
        </w:tc>
        <w:tc>
          <w:tcPr>
            <w:tcW w:w="880" w:type="pc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评分标准</w:t>
            </w:r>
          </w:p>
        </w:tc>
        <w:tc>
          <w:tcPr>
            <w:tcW w:w="344" w:type="pc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280" w:hRule="atLeast"/>
        </w:trPr>
        <w:tc>
          <w:tcPr>
            <w:tcW w:w="441" w:type="pct"/>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投入</w:t>
            </w:r>
          </w:p>
        </w:tc>
        <w:tc>
          <w:tcPr>
            <w:tcW w:w="450" w:type="pct"/>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目标设定</w:t>
            </w:r>
          </w:p>
        </w:tc>
        <w:tc>
          <w:tcPr>
            <w:tcW w:w="478" w:type="pc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绩效目标合理性</w:t>
            </w:r>
          </w:p>
        </w:tc>
        <w:tc>
          <w:tcPr>
            <w:tcW w:w="1033" w:type="pc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部门所设立的整体绩效目标依据是否充分，是否符合客观实际，用以反映和考核部门整体绩效目标与部门履职、年度工作任务的相符性情况。</w:t>
            </w:r>
          </w:p>
        </w:tc>
        <w:tc>
          <w:tcPr>
            <w:tcW w:w="1370" w:type="pc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①是否符合国家法律法规、国民经济和社会发展总体规划（1）           ②是否符合部门“三定”方案确定的职责（1）                     ③是否符合部门制定的中长期实施规划（1）                     ④绩效目标是否进行年度申报并进行公开（1）</w:t>
            </w:r>
          </w:p>
        </w:tc>
        <w:tc>
          <w:tcPr>
            <w:tcW w:w="880" w:type="pc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该指标根据指标说明项，出现1项不符合的扣1分，哪项不完全相符合的，在对应的分值之内酌情扣分，扣完为止。</w:t>
            </w:r>
          </w:p>
        </w:tc>
        <w:tc>
          <w:tcPr>
            <w:tcW w:w="344" w:type="pc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280" w:hRule="atLeast"/>
        </w:trPr>
        <w:tc>
          <w:tcPr>
            <w:tcW w:w="441" w:type="pct"/>
            <w:vMerge w:val="continue"/>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450" w:type="pct"/>
            <w:vMerge w:val="continue"/>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478" w:type="pc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绩效指标明确性</w:t>
            </w:r>
          </w:p>
        </w:tc>
        <w:tc>
          <w:tcPr>
            <w:tcW w:w="1033" w:type="pc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部门依据整体绩效目标所设定的绩效指标是否清晰、细化、可衡量，用以反映和考核部门整体绩效目标的明细化情况。</w:t>
            </w:r>
          </w:p>
        </w:tc>
        <w:tc>
          <w:tcPr>
            <w:tcW w:w="1370" w:type="pc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①是否将部门整体的绩效目标细化分解为具体的工作任务（1）    ②是否通过清晰、可衡量的指标值予以体现（1）                   ③是否与部门年度的任务数或计划数相对应（1）                         ④是否与本年度部门预算资金相匹配（1）</w:t>
            </w:r>
          </w:p>
        </w:tc>
        <w:tc>
          <w:tcPr>
            <w:tcW w:w="880" w:type="pc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该指标根据指标说明项，出现1项不符合的扣1分，哪项不完全相符合的，在对应的分值之内酌情扣分，扣完为止。</w:t>
            </w:r>
          </w:p>
        </w:tc>
        <w:tc>
          <w:tcPr>
            <w:tcW w:w="344" w:type="pc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trPr>
        <w:tc>
          <w:tcPr>
            <w:tcW w:w="441" w:type="pct"/>
            <w:vMerge w:val="continue"/>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450" w:type="pct"/>
            <w:vMerge w:val="restart"/>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预算配置</w:t>
            </w:r>
          </w:p>
        </w:tc>
        <w:tc>
          <w:tcPr>
            <w:tcW w:w="478" w:type="pct"/>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在职人员控制率</w:t>
            </w:r>
          </w:p>
        </w:tc>
        <w:tc>
          <w:tcPr>
            <w:tcW w:w="1033" w:type="pct"/>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部门本年度实际在职人员数与编制数的比率，用以反映和考核部门对人员成本的控制程度。</w:t>
            </w:r>
          </w:p>
        </w:tc>
        <w:tc>
          <w:tcPr>
            <w:tcW w:w="1370" w:type="pct"/>
            <w:shd w:val="clear" w:color="auto" w:fill="auto"/>
            <w:vAlign w:val="center"/>
          </w:tcPr>
          <w:p>
            <w:pPr>
              <w:keepNext w:val="0"/>
              <w:keepLines w:val="0"/>
              <w:widowControl/>
              <w:suppressLineNumbers w:val="0"/>
              <w:jc w:val="left"/>
              <w:textAlignment w:val="center"/>
              <w:rPr>
                <w:rFonts w:hint="default"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在职人员控制率=（在职人员数/编制数）×100%                 在职人员数：部门实际在职人数，以财政部确定的部门决算编制口径为准                         编制数：机构编制部门核定批复的部门的人员编制数。</w:t>
            </w:r>
          </w:p>
        </w:tc>
        <w:tc>
          <w:tcPr>
            <w:tcW w:w="880" w:type="pct"/>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100%及以下，满分。100%～105%，扣减10%分值。105%～110%，扣减30%分值。110%～120%，扣减50%分值。120%以上，不得分。</w:t>
            </w:r>
          </w:p>
        </w:tc>
        <w:tc>
          <w:tcPr>
            <w:tcW w:w="344" w:type="pc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995" w:hRule="atLeast"/>
        </w:trPr>
        <w:tc>
          <w:tcPr>
            <w:tcW w:w="441" w:type="pct"/>
            <w:vMerge w:val="continue"/>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450" w:type="pct"/>
            <w:vMerge w:val="continue"/>
            <w:shd w:val="clear" w:color="auto" w:fill="auto"/>
            <w:vAlign w:val="center"/>
          </w:tcPr>
          <w:p>
            <w:pPr>
              <w:rPr>
                <w:rFonts w:hint="eastAsia" w:ascii="仿宋" w:hAnsi="仿宋" w:eastAsia="仿宋" w:cs="仿宋"/>
                <w:i w:val="0"/>
                <w:iCs w:val="0"/>
                <w:color w:val="000000"/>
                <w:kern w:val="0"/>
                <w:sz w:val="24"/>
                <w:szCs w:val="24"/>
                <w:highlight w:val="none"/>
                <w:u w:val="none"/>
                <w:lang w:val="en-US" w:eastAsia="zh-CN" w:bidi="ar"/>
              </w:rPr>
            </w:pPr>
          </w:p>
        </w:tc>
        <w:tc>
          <w:tcPr>
            <w:tcW w:w="478" w:type="pct"/>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“三公经费”变动率</w:t>
            </w:r>
          </w:p>
        </w:tc>
        <w:tc>
          <w:tcPr>
            <w:tcW w:w="1033" w:type="pct"/>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部门2020年度“三公经费”预算数与2019年度“三公经费”预算数的变动比率，用以反映和考核部门对控制重点行政成本的努力程度。</w:t>
            </w:r>
          </w:p>
        </w:tc>
        <w:tc>
          <w:tcPr>
            <w:tcW w:w="1370" w:type="pct"/>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“三公经费”变动率=[（2020年度“三公经费”总额 -2019年度“三公经费”总额）/2019年度“三公经费”总额]×100%。             “三公经费”：年度预算安排的因公出国（境）费 、公务车辆购置及运行费和公务招待费。</w:t>
            </w:r>
          </w:p>
        </w:tc>
        <w:tc>
          <w:tcPr>
            <w:tcW w:w="880" w:type="pct"/>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0%及以下，满分。0%～5%，扣减10%分值 。5%～10%，扣减30%分值。10%～20%，扣 减50%分值。20%以上，不得分。</w:t>
            </w:r>
          </w:p>
        </w:tc>
        <w:tc>
          <w:tcPr>
            <w:tcW w:w="344" w:type="pc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565" w:hRule="atLeast"/>
        </w:trPr>
        <w:tc>
          <w:tcPr>
            <w:tcW w:w="441" w:type="pct"/>
            <w:vMerge w:val="continue"/>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450" w:type="pct"/>
            <w:vMerge w:val="continue"/>
            <w:shd w:val="clear" w:color="auto" w:fill="auto"/>
            <w:vAlign w:val="center"/>
          </w:tcPr>
          <w:p>
            <w:pPr>
              <w:rPr>
                <w:rFonts w:hint="eastAsia" w:ascii="仿宋" w:hAnsi="仿宋" w:eastAsia="仿宋" w:cs="仿宋"/>
                <w:i w:val="0"/>
                <w:iCs w:val="0"/>
                <w:color w:val="000000"/>
                <w:kern w:val="0"/>
                <w:sz w:val="24"/>
                <w:szCs w:val="24"/>
                <w:highlight w:val="none"/>
                <w:u w:val="none"/>
                <w:lang w:val="en-US" w:eastAsia="zh-CN" w:bidi="ar"/>
              </w:rPr>
            </w:pPr>
          </w:p>
        </w:tc>
        <w:tc>
          <w:tcPr>
            <w:tcW w:w="478" w:type="pc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重点支出安排率</w:t>
            </w:r>
          </w:p>
        </w:tc>
        <w:tc>
          <w:tcPr>
            <w:tcW w:w="1033" w:type="pc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部门2020年度预算安排的重点项目支出与部门项目总支出的比率，用以反映和考核部门（单位）对履行主要职责或完 成重点任务的保障程度。</w:t>
            </w:r>
          </w:p>
        </w:tc>
        <w:tc>
          <w:tcPr>
            <w:tcW w:w="1370" w:type="pc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重点支出安排率=（重点项目支出/项目总支出）×100%               重点项目支出：部门2020年度预算安排的，与本部门履职和发展密切相关、具有明显社会和经济影响、党委政府关心或社会比较关注的项目支出总额                     项目总支出：部门2020年度调整预算安排的项目支出总额。</w:t>
            </w:r>
          </w:p>
        </w:tc>
        <w:tc>
          <w:tcPr>
            <w:tcW w:w="880" w:type="pc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分值=指标分值*重点支出安排率</w:t>
            </w:r>
          </w:p>
        </w:tc>
        <w:tc>
          <w:tcPr>
            <w:tcW w:w="344" w:type="pc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995" w:hRule="atLeast"/>
        </w:trPr>
        <w:tc>
          <w:tcPr>
            <w:tcW w:w="441" w:type="pct"/>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过程</w:t>
            </w:r>
          </w:p>
        </w:tc>
        <w:tc>
          <w:tcPr>
            <w:tcW w:w="450" w:type="pct"/>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预算执行</w:t>
            </w:r>
          </w:p>
        </w:tc>
        <w:tc>
          <w:tcPr>
            <w:tcW w:w="478" w:type="pc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预算完成率</w:t>
            </w:r>
          </w:p>
        </w:tc>
        <w:tc>
          <w:tcPr>
            <w:tcW w:w="1033" w:type="pc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部门2020年度预算完成数与预算数的比率，用以反映和考核部门预算完成程度。</w:t>
            </w:r>
          </w:p>
        </w:tc>
        <w:tc>
          <w:tcPr>
            <w:tcW w:w="1370" w:type="pc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预算完成率=（预算完成数/调整预算数）×100%                    预算完成数：部门本年度实际完成的预算数                           调整预算数：财政部门批复的本年度部门及年度追加调减后的调整预算数</w:t>
            </w:r>
          </w:p>
        </w:tc>
        <w:tc>
          <w:tcPr>
            <w:tcW w:w="880" w:type="pc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分值=指标分值*预算完成率</w:t>
            </w:r>
          </w:p>
        </w:tc>
        <w:tc>
          <w:tcPr>
            <w:tcW w:w="344" w:type="pc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280" w:hRule="atLeast"/>
        </w:trPr>
        <w:tc>
          <w:tcPr>
            <w:tcW w:w="441" w:type="pct"/>
            <w:vMerge w:val="continue"/>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450" w:type="pct"/>
            <w:vMerge w:val="continue"/>
            <w:shd w:val="clear" w:color="auto" w:fill="auto"/>
            <w:vAlign w:val="center"/>
          </w:tcPr>
          <w:p>
            <w:pPr>
              <w:rPr>
                <w:rFonts w:hint="eastAsia" w:ascii="仿宋" w:hAnsi="仿宋" w:eastAsia="仿宋" w:cs="仿宋"/>
                <w:i w:val="0"/>
                <w:iCs w:val="0"/>
                <w:color w:val="000000"/>
                <w:kern w:val="0"/>
                <w:sz w:val="24"/>
                <w:szCs w:val="24"/>
                <w:highlight w:val="none"/>
                <w:u w:val="none"/>
                <w:lang w:val="en-US" w:eastAsia="zh-CN" w:bidi="ar"/>
              </w:rPr>
            </w:pPr>
          </w:p>
        </w:tc>
        <w:tc>
          <w:tcPr>
            <w:tcW w:w="478" w:type="pct"/>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预算调整率</w:t>
            </w:r>
          </w:p>
        </w:tc>
        <w:tc>
          <w:tcPr>
            <w:tcW w:w="1033" w:type="pct"/>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部门2020年度预算调整数与预算数的比率，用以反映和考核部门预算的调整程度</w:t>
            </w:r>
          </w:p>
        </w:tc>
        <w:tc>
          <w:tcPr>
            <w:tcW w:w="1370" w:type="pct"/>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预算调整率=（预算调整数/调整预算数）×100%。               预算调整数：部门在本年度内涉及预算的追加、追减或结构调整的资金总和。（因落实国家政策、发生不可抗力、上级部门或本级党委政府临时交办而产生的调整除外）</w:t>
            </w:r>
          </w:p>
        </w:tc>
        <w:tc>
          <w:tcPr>
            <w:tcW w:w="880" w:type="pct"/>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0%及以下，满分。0%～5%，扣减10%分值 。5%～10%，扣减30%分值。10%～20%，扣 减50%分值。20%以上，不得分</w:t>
            </w:r>
          </w:p>
        </w:tc>
        <w:tc>
          <w:tcPr>
            <w:tcW w:w="344" w:type="pc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425" w:hRule="atLeast"/>
        </w:trPr>
        <w:tc>
          <w:tcPr>
            <w:tcW w:w="441" w:type="pct"/>
            <w:vMerge w:val="continue"/>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450" w:type="pct"/>
            <w:vMerge w:val="continue"/>
            <w:shd w:val="clear" w:color="auto" w:fill="auto"/>
            <w:vAlign w:val="center"/>
          </w:tcPr>
          <w:p>
            <w:pPr>
              <w:rPr>
                <w:rFonts w:hint="eastAsia" w:ascii="仿宋" w:hAnsi="仿宋" w:eastAsia="仿宋" w:cs="仿宋"/>
                <w:i w:val="0"/>
                <w:iCs w:val="0"/>
                <w:color w:val="000000"/>
                <w:kern w:val="0"/>
                <w:sz w:val="24"/>
                <w:szCs w:val="24"/>
                <w:highlight w:val="none"/>
                <w:u w:val="none"/>
                <w:lang w:val="en-US" w:eastAsia="zh-CN" w:bidi="ar"/>
              </w:rPr>
            </w:pPr>
          </w:p>
        </w:tc>
        <w:tc>
          <w:tcPr>
            <w:tcW w:w="478" w:type="pct"/>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结转结余率</w:t>
            </w:r>
          </w:p>
        </w:tc>
        <w:tc>
          <w:tcPr>
            <w:tcW w:w="1033" w:type="pct"/>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部门2020年度结转结余总额与支出预算数的比率，用以反映和考核部门对本年度结转结余资金的实际控制程度</w:t>
            </w:r>
          </w:p>
        </w:tc>
        <w:tc>
          <w:tcPr>
            <w:tcW w:w="1370" w:type="pct"/>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结转结余率=结转结余总额/支出调整预算数×100%               结转结余总额：部门本年度的结转资金与结余资金之和（以决算数为准）</w:t>
            </w:r>
          </w:p>
        </w:tc>
        <w:tc>
          <w:tcPr>
            <w:tcW w:w="880" w:type="pct"/>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5%及以下，满分。5%～10%，扣减30%分值。10%～20%，扣减50%分值。20%以上，不得分。</w:t>
            </w:r>
          </w:p>
        </w:tc>
        <w:tc>
          <w:tcPr>
            <w:tcW w:w="344" w:type="pc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425" w:hRule="atLeast"/>
        </w:trPr>
        <w:tc>
          <w:tcPr>
            <w:tcW w:w="441" w:type="pct"/>
            <w:vMerge w:val="continue"/>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450" w:type="pct"/>
            <w:vMerge w:val="continue"/>
            <w:shd w:val="clear" w:color="auto" w:fill="auto"/>
            <w:vAlign w:val="center"/>
          </w:tcPr>
          <w:p>
            <w:pPr>
              <w:rPr>
                <w:rFonts w:hint="eastAsia" w:ascii="仿宋" w:hAnsi="仿宋" w:eastAsia="仿宋" w:cs="仿宋"/>
                <w:i w:val="0"/>
                <w:iCs w:val="0"/>
                <w:color w:val="000000"/>
                <w:kern w:val="0"/>
                <w:sz w:val="24"/>
                <w:szCs w:val="24"/>
                <w:highlight w:val="none"/>
                <w:u w:val="none"/>
                <w:lang w:val="en-US" w:eastAsia="zh-CN" w:bidi="ar"/>
              </w:rPr>
            </w:pPr>
          </w:p>
        </w:tc>
        <w:tc>
          <w:tcPr>
            <w:tcW w:w="478" w:type="pct"/>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结转结余变动率</w:t>
            </w:r>
          </w:p>
        </w:tc>
        <w:tc>
          <w:tcPr>
            <w:tcW w:w="1033" w:type="pct"/>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部门2020年度结转结余资金总额与上年度结转结余资金总额的变动比率，用以反映和考核部门对控制结转结余资金的努力程度</w:t>
            </w:r>
          </w:p>
        </w:tc>
        <w:tc>
          <w:tcPr>
            <w:tcW w:w="1370" w:type="pct"/>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结转结余变动率=[（2020年度累计结转结余资金总额-2019年度累计结转结余资金总额）/2020年度累计结转结余资金总额]×100%</w:t>
            </w:r>
          </w:p>
        </w:tc>
        <w:tc>
          <w:tcPr>
            <w:tcW w:w="880" w:type="pct"/>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0%及以下，满分。0%～5%，扣减10%分值 。5%～10%，扣减30%分值。10%～20%，扣减50%分值。20%以上，不得分。</w:t>
            </w:r>
          </w:p>
        </w:tc>
        <w:tc>
          <w:tcPr>
            <w:tcW w:w="344" w:type="pc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710" w:hRule="atLeast"/>
        </w:trPr>
        <w:tc>
          <w:tcPr>
            <w:tcW w:w="441" w:type="pct"/>
            <w:vMerge w:val="continue"/>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450" w:type="pct"/>
            <w:vMerge w:val="continue"/>
            <w:shd w:val="clear" w:color="auto" w:fill="auto"/>
            <w:vAlign w:val="center"/>
          </w:tcPr>
          <w:p>
            <w:pPr>
              <w:rPr>
                <w:rFonts w:hint="eastAsia" w:ascii="仿宋" w:hAnsi="仿宋" w:eastAsia="仿宋" w:cs="仿宋"/>
                <w:i w:val="0"/>
                <w:iCs w:val="0"/>
                <w:color w:val="000000"/>
                <w:kern w:val="0"/>
                <w:sz w:val="24"/>
                <w:szCs w:val="24"/>
                <w:highlight w:val="none"/>
                <w:u w:val="none"/>
                <w:lang w:val="en-US" w:eastAsia="zh-CN" w:bidi="ar"/>
              </w:rPr>
            </w:pPr>
          </w:p>
        </w:tc>
        <w:tc>
          <w:tcPr>
            <w:tcW w:w="478" w:type="pct"/>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公用经费控制率</w:t>
            </w:r>
          </w:p>
        </w:tc>
        <w:tc>
          <w:tcPr>
            <w:tcW w:w="1033" w:type="pct"/>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部门2020年度实际支出的公用经费总额与预算安排的公用经费总额的比率，用以反映和考核部门对机构运转成本的实际控制程度</w:t>
            </w:r>
          </w:p>
        </w:tc>
        <w:tc>
          <w:tcPr>
            <w:tcW w:w="1370" w:type="pct"/>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公用经费控制率=（实际支出公用经费总额/预算安排公用经费总额）×100%</w:t>
            </w:r>
          </w:p>
        </w:tc>
        <w:tc>
          <w:tcPr>
            <w:tcW w:w="880" w:type="pct"/>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100%及以下，满分。100%～105%，扣减10%分值。105%～110%，扣减30%分值。110%～120%，扣减50%分值。120%以上，不得分。</w:t>
            </w:r>
          </w:p>
        </w:tc>
        <w:tc>
          <w:tcPr>
            <w:tcW w:w="344" w:type="pc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710" w:hRule="atLeast"/>
        </w:trPr>
        <w:tc>
          <w:tcPr>
            <w:tcW w:w="441" w:type="pct"/>
            <w:vMerge w:val="continue"/>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450" w:type="pct"/>
            <w:vMerge w:val="continue"/>
            <w:shd w:val="clear" w:color="auto" w:fill="auto"/>
            <w:vAlign w:val="center"/>
          </w:tcPr>
          <w:p>
            <w:pPr>
              <w:rPr>
                <w:rFonts w:hint="eastAsia" w:ascii="仿宋" w:hAnsi="仿宋" w:eastAsia="仿宋" w:cs="仿宋"/>
                <w:i w:val="0"/>
                <w:iCs w:val="0"/>
                <w:color w:val="000000"/>
                <w:kern w:val="0"/>
                <w:sz w:val="24"/>
                <w:szCs w:val="24"/>
                <w:highlight w:val="none"/>
                <w:u w:val="none"/>
                <w:lang w:val="en-US" w:eastAsia="zh-CN" w:bidi="ar"/>
              </w:rPr>
            </w:pPr>
          </w:p>
        </w:tc>
        <w:tc>
          <w:tcPr>
            <w:tcW w:w="478" w:type="pct"/>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“三公”经费控制率</w:t>
            </w:r>
          </w:p>
        </w:tc>
        <w:tc>
          <w:tcPr>
            <w:tcW w:w="1033" w:type="pct"/>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部门2020年度“三公经费”实际支出数与预算安排数的比率，用以反映和考核部门对“三公经费”的实际控制程度</w:t>
            </w:r>
          </w:p>
        </w:tc>
        <w:tc>
          <w:tcPr>
            <w:tcW w:w="1370" w:type="pct"/>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“三公经费”控制率=（“三公经费”实际支出数 /“三公经费”预算安排数）×100%</w:t>
            </w:r>
          </w:p>
        </w:tc>
        <w:tc>
          <w:tcPr>
            <w:tcW w:w="880" w:type="pct"/>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100%及以下，满分。100%～105%，扣减 10%分值。105%～110%，扣减30%分值。110%～120%，扣减50%分值。120%以上，不得分</w:t>
            </w:r>
          </w:p>
        </w:tc>
        <w:tc>
          <w:tcPr>
            <w:tcW w:w="344" w:type="pc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710" w:hRule="atLeast"/>
        </w:trPr>
        <w:tc>
          <w:tcPr>
            <w:tcW w:w="441" w:type="pct"/>
            <w:vMerge w:val="continue"/>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450" w:type="pct"/>
            <w:vMerge w:val="continue"/>
            <w:shd w:val="clear" w:color="auto" w:fill="auto"/>
            <w:vAlign w:val="center"/>
          </w:tcPr>
          <w:p>
            <w:pPr>
              <w:rPr>
                <w:rFonts w:hint="eastAsia" w:ascii="仿宋" w:hAnsi="仿宋" w:eastAsia="仿宋" w:cs="仿宋"/>
                <w:i w:val="0"/>
                <w:iCs w:val="0"/>
                <w:color w:val="000000"/>
                <w:kern w:val="0"/>
                <w:sz w:val="24"/>
                <w:szCs w:val="24"/>
                <w:highlight w:val="none"/>
                <w:u w:val="none"/>
                <w:lang w:val="en-US" w:eastAsia="zh-CN" w:bidi="ar"/>
              </w:rPr>
            </w:pPr>
          </w:p>
        </w:tc>
        <w:tc>
          <w:tcPr>
            <w:tcW w:w="478" w:type="pct"/>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政府采购执行率</w:t>
            </w:r>
          </w:p>
        </w:tc>
        <w:tc>
          <w:tcPr>
            <w:tcW w:w="1033" w:type="pct"/>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部门2020年度实际政府采购金额与年初政府采购预算的比率，用以反映和考核部门政府采购预算执行情况</w:t>
            </w:r>
          </w:p>
        </w:tc>
        <w:tc>
          <w:tcPr>
            <w:tcW w:w="1370" w:type="pct"/>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政府采购执行率=（实际政府采购金额/政府采购预算数）×100%； 政府采购预算：采购机关根据事业发展计划和行政任务编制的、并经过规定程序批准的年度政府采购计划</w:t>
            </w:r>
          </w:p>
        </w:tc>
        <w:tc>
          <w:tcPr>
            <w:tcW w:w="880" w:type="pct"/>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100%及以下，满分。100%～105%，扣减10%分值。105%～110%，扣减30%分值。110%～120%，扣减50%分值。120%以上，不得分</w:t>
            </w:r>
          </w:p>
        </w:tc>
        <w:tc>
          <w:tcPr>
            <w:tcW w:w="344" w:type="pc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0" w:hRule="atLeast"/>
        </w:trPr>
        <w:tc>
          <w:tcPr>
            <w:tcW w:w="441" w:type="pct"/>
            <w:vMerge w:val="continue"/>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450" w:type="pct"/>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预算管理</w:t>
            </w:r>
          </w:p>
        </w:tc>
        <w:tc>
          <w:tcPr>
            <w:tcW w:w="478" w:type="pct"/>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管理制度健全性</w:t>
            </w:r>
          </w:p>
        </w:tc>
        <w:tc>
          <w:tcPr>
            <w:tcW w:w="1033" w:type="pct"/>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部门为加强预算管理、规范财务行为而制定的管理制度是否健全完整，用以反映和考核部门预算管理制度对完成主要职责或促进事业发展的保障情况</w:t>
            </w:r>
          </w:p>
        </w:tc>
        <w:tc>
          <w:tcPr>
            <w:tcW w:w="1370" w:type="pct"/>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 xml:space="preserve">①是否已制定或具有预算绩效管理制度、预算资金管理办法、内部财务管理制度、会计核算制度等管理制度（1）                    ②相关管理制度是否合法、合规、完整（1） </w:t>
            </w:r>
          </w:p>
        </w:tc>
        <w:tc>
          <w:tcPr>
            <w:tcW w:w="880" w:type="pct"/>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该指标根据指标说明项，出现1项不符合的扣1分，哪项不完全相符合的，在对应的分值之内酌情扣分，扣完为止。</w:t>
            </w:r>
          </w:p>
        </w:tc>
        <w:tc>
          <w:tcPr>
            <w:tcW w:w="344" w:type="pc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35" w:hRule="atLeast"/>
        </w:trPr>
        <w:tc>
          <w:tcPr>
            <w:tcW w:w="441" w:type="pct"/>
            <w:vMerge w:val="continue"/>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450" w:type="pct"/>
            <w:vMerge w:val="continue"/>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478" w:type="pct"/>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资金使用合规性</w:t>
            </w:r>
          </w:p>
        </w:tc>
        <w:tc>
          <w:tcPr>
            <w:tcW w:w="1033" w:type="pct"/>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部门使用预算资金是否符合相关的预算财务管理制度的规定，用以反映和考核部门预算资金的规范运行情况。</w:t>
            </w:r>
          </w:p>
        </w:tc>
        <w:tc>
          <w:tcPr>
            <w:tcW w:w="1370" w:type="pct"/>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①是否符合国家财经法规和财务管理制度规定以及有关专项资金管理办法的规定（1）                 ②资金的拨付是否有完整的审批程序和手续（1）                    ③项目的重大开支是否经过评估论证（1）                             ④是否符合部门预算批复的用途（1）                        ⑤是否存在截留、挤占、挪用、虚列支出等情况（1）</w:t>
            </w:r>
          </w:p>
        </w:tc>
        <w:tc>
          <w:tcPr>
            <w:tcW w:w="880" w:type="pct"/>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该指标根据指标说明项，出现1项不符合的扣1分，哪项不完全相符合的，在对应的分值之内酌情扣分，扣完为止。</w:t>
            </w:r>
          </w:p>
        </w:tc>
        <w:tc>
          <w:tcPr>
            <w:tcW w:w="344" w:type="pc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425" w:hRule="atLeast"/>
        </w:trPr>
        <w:tc>
          <w:tcPr>
            <w:tcW w:w="441" w:type="pct"/>
            <w:vMerge w:val="continue"/>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450" w:type="pct"/>
            <w:vMerge w:val="continue"/>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478" w:type="pct"/>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预算执行监控</w:t>
            </w:r>
          </w:p>
        </w:tc>
        <w:tc>
          <w:tcPr>
            <w:tcW w:w="1033" w:type="pct"/>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部门是否开展年度预算执行监控体系，用以反映和考核部门预算绩效管理制度执行的有效性</w:t>
            </w:r>
          </w:p>
        </w:tc>
        <w:tc>
          <w:tcPr>
            <w:tcW w:w="1370" w:type="pct"/>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①部门是否建立预算执行监控制度（1）                             ②部门是否进行日常监控和重点监控，并针对预算执行偏差较大的项目采取纠偏措施（1）</w:t>
            </w:r>
          </w:p>
        </w:tc>
        <w:tc>
          <w:tcPr>
            <w:tcW w:w="880" w:type="pct"/>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该指标根据指标说明项，出现1项不符合的扣1分，哪项不完全相符合的，在对应的分值之内酌情扣分，扣完为止。</w:t>
            </w:r>
          </w:p>
        </w:tc>
        <w:tc>
          <w:tcPr>
            <w:tcW w:w="344" w:type="pc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995" w:hRule="atLeast"/>
        </w:trPr>
        <w:tc>
          <w:tcPr>
            <w:tcW w:w="441" w:type="pct"/>
            <w:vMerge w:val="continue"/>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450" w:type="pct"/>
            <w:vMerge w:val="continue"/>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478" w:type="pct"/>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预决算信息公开性</w:t>
            </w:r>
          </w:p>
        </w:tc>
        <w:tc>
          <w:tcPr>
            <w:tcW w:w="1033" w:type="pct"/>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部门是否按照政府信息公开有关规定公开相关预决算信息，用以反映和考核部门预决算管理的公开透明情况。</w:t>
            </w:r>
          </w:p>
        </w:tc>
        <w:tc>
          <w:tcPr>
            <w:tcW w:w="1370" w:type="pct"/>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①是否按规定内容公开预决算信息（1）                         ②是否按规定时限公开预决算信息（1）                           预决算信息是指与部门预算、执行、决算、监督、 绩效等管理相关的信息。</w:t>
            </w:r>
          </w:p>
        </w:tc>
        <w:tc>
          <w:tcPr>
            <w:tcW w:w="880" w:type="pct"/>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该指标根据指标说明项，出现1项不符合的扣1分，哪项不完全相符合的，在对应的分值之内酌情扣分，扣完为止。</w:t>
            </w:r>
          </w:p>
        </w:tc>
        <w:tc>
          <w:tcPr>
            <w:tcW w:w="344" w:type="pc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710" w:hRule="atLeast"/>
        </w:trPr>
        <w:tc>
          <w:tcPr>
            <w:tcW w:w="441" w:type="pct"/>
            <w:vMerge w:val="continue"/>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450" w:type="pct"/>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资产管理</w:t>
            </w:r>
          </w:p>
        </w:tc>
        <w:tc>
          <w:tcPr>
            <w:tcW w:w="478" w:type="pct"/>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管理制度健全性</w:t>
            </w:r>
          </w:p>
        </w:tc>
        <w:tc>
          <w:tcPr>
            <w:tcW w:w="1033" w:type="pct"/>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部门为加强资产管理、规范资产管理行为而制定的管理制度是否健全完整，用以反映和考核部门资产管理制度对完成主要职责或促进社会发展的保障情况</w:t>
            </w:r>
          </w:p>
        </w:tc>
        <w:tc>
          <w:tcPr>
            <w:tcW w:w="1370" w:type="pct"/>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①是否已制定或具有资产管理制度（0.5）                           ②相关资金管理制度是否合法、合规、完整（0.5）                      ③相关资产管理制度是否得到有效执行（0.5）</w:t>
            </w:r>
          </w:p>
        </w:tc>
        <w:tc>
          <w:tcPr>
            <w:tcW w:w="880" w:type="pct"/>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该指标根据指标说明项，出现1项不符合的扣0.5分，哪项不完全相符合的，在对应的分值之内酌情扣分，扣完为止</w:t>
            </w:r>
          </w:p>
        </w:tc>
        <w:tc>
          <w:tcPr>
            <w:tcW w:w="344" w:type="pc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995" w:hRule="atLeast"/>
        </w:trPr>
        <w:tc>
          <w:tcPr>
            <w:tcW w:w="441" w:type="pct"/>
            <w:vMerge w:val="continue"/>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450" w:type="pct"/>
            <w:vMerge w:val="continue"/>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478" w:type="pct"/>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资产管理安全性</w:t>
            </w:r>
          </w:p>
        </w:tc>
        <w:tc>
          <w:tcPr>
            <w:tcW w:w="1033" w:type="pct"/>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部门的资产是否保存完整、使用合规、配置合理、处置规范、收入及时足额上缴，用以反映和考核部门资产安全运行情况</w:t>
            </w:r>
          </w:p>
        </w:tc>
        <w:tc>
          <w:tcPr>
            <w:tcW w:w="1370" w:type="pct"/>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①资产保存是否完整（0.5）              ②资产配置是否合理（0.5）                        ③资产处置是否规范（0.5）               ④资产账务管理是否合规，是否帐实相符（0.5）                      ⑤资产是否有偿使用及处置收入及时足额上缴（0.5）</w:t>
            </w:r>
          </w:p>
        </w:tc>
        <w:tc>
          <w:tcPr>
            <w:tcW w:w="880" w:type="pct"/>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该指标根据指标说明项，出现1项不符合的扣0.5分，哪项不完全相符合的，在对应的分值之内酌情扣分，扣完为止</w:t>
            </w:r>
          </w:p>
        </w:tc>
        <w:tc>
          <w:tcPr>
            <w:tcW w:w="344" w:type="pc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425" w:hRule="atLeast"/>
        </w:trPr>
        <w:tc>
          <w:tcPr>
            <w:tcW w:w="441" w:type="pct"/>
            <w:vMerge w:val="continue"/>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450" w:type="pct"/>
            <w:vMerge w:val="continue"/>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478" w:type="pct"/>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固定资产利用率</w:t>
            </w:r>
          </w:p>
        </w:tc>
        <w:tc>
          <w:tcPr>
            <w:tcW w:w="1033" w:type="pct"/>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部门（单位）实际在用固定资产总额与所有固定资产总额的比率，用以反映和考核部门（单位）固定资产使用效率程度。</w:t>
            </w:r>
          </w:p>
        </w:tc>
        <w:tc>
          <w:tcPr>
            <w:tcW w:w="1370" w:type="pct"/>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固定资产利用率=（实际在用固定资产总额/所有固定资产总额）×100%。</w:t>
            </w:r>
          </w:p>
        </w:tc>
        <w:tc>
          <w:tcPr>
            <w:tcW w:w="880" w:type="pct"/>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得分=指标分值×固定资产利用率</w:t>
            </w:r>
          </w:p>
        </w:tc>
        <w:tc>
          <w:tcPr>
            <w:tcW w:w="344" w:type="pc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565" w:hRule="atLeast"/>
        </w:trPr>
        <w:tc>
          <w:tcPr>
            <w:tcW w:w="441" w:type="pct"/>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产出</w:t>
            </w:r>
          </w:p>
        </w:tc>
        <w:tc>
          <w:tcPr>
            <w:tcW w:w="450" w:type="pct"/>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履行职责</w:t>
            </w:r>
          </w:p>
        </w:tc>
        <w:tc>
          <w:tcPr>
            <w:tcW w:w="478" w:type="pc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实际完成率</w:t>
            </w:r>
          </w:p>
        </w:tc>
        <w:tc>
          <w:tcPr>
            <w:tcW w:w="1033" w:type="pc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部门（单位）履行职责而实际完成工作数与计划工作数的比率，用以反映和考核部门（单位）履职工作任务目标的实现程度。</w:t>
            </w:r>
          </w:p>
        </w:tc>
        <w:tc>
          <w:tcPr>
            <w:tcW w:w="1370" w:type="pc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实际完成率=（实际完成工作数/计划工作数）×100%。</w:t>
            </w:r>
          </w:p>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实际完成工作数：一定时期（年度或规划期）内部门（单位）实际完成工作任务的数量。</w:t>
            </w:r>
          </w:p>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计划工作数：部门（单位）整体绩效目标确定的一定时期（年度或规划期）内预计完成工作任务的数量。</w:t>
            </w:r>
          </w:p>
        </w:tc>
        <w:tc>
          <w:tcPr>
            <w:tcW w:w="880" w:type="pc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得分=指标分值×实际完成率</w:t>
            </w:r>
          </w:p>
        </w:tc>
        <w:tc>
          <w:tcPr>
            <w:tcW w:w="344" w:type="pc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425" w:hRule="atLeast"/>
        </w:trPr>
        <w:tc>
          <w:tcPr>
            <w:tcW w:w="441" w:type="pct"/>
            <w:vMerge w:val="continue"/>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450" w:type="pct"/>
            <w:vMerge w:val="continue"/>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478" w:type="pct"/>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完成及时率</w:t>
            </w:r>
          </w:p>
        </w:tc>
        <w:tc>
          <w:tcPr>
            <w:tcW w:w="1033" w:type="pct"/>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部门（单位）在规定时限内及时完成的实际工作数与计划工作数的比率,用以反映和考核部门履职时效目标的实现程度。</w:t>
            </w:r>
          </w:p>
        </w:tc>
        <w:tc>
          <w:tcPr>
            <w:tcW w:w="1370" w:type="pct"/>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完成及时率=（及时完成实际工作数/计划工作数）×100%。</w:t>
            </w:r>
          </w:p>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及时完成实际工作数：部门（单位）按照整体绩效目标确定的时限实际完成的工作任务数量。</w:t>
            </w:r>
          </w:p>
        </w:tc>
        <w:tc>
          <w:tcPr>
            <w:tcW w:w="880" w:type="pct"/>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得分=指标分值×完成及时率</w:t>
            </w:r>
          </w:p>
        </w:tc>
        <w:tc>
          <w:tcPr>
            <w:tcW w:w="344" w:type="pc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995" w:hRule="atLeast"/>
        </w:trPr>
        <w:tc>
          <w:tcPr>
            <w:tcW w:w="441" w:type="pct"/>
            <w:vMerge w:val="continue"/>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450" w:type="pct"/>
            <w:vMerge w:val="continue"/>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478" w:type="pct"/>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质量达标率</w:t>
            </w:r>
          </w:p>
        </w:tc>
        <w:tc>
          <w:tcPr>
            <w:tcW w:w="1033" w:type="pct"/>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达到质量标准（绩效标准值）的实际工作数与计划工作数的比率,用以反映和考核部门履职质量目标的实现程度。</w:t>
            </w:r>
          </w:p>
        </w:tc>
        <w:tc>
          <w:tcPr>
            <w:tcW w:w="1370" w:type="pct"/>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质量达标率=（质量达标实际工作数/计划工作数）×100%。</w:t>
            </w:r>
          </w:p>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质量达标实际工作数：一定时期（年度或规划期）内部门（单位）实际完成工作数中达到部门绩效目标要求（绩效标准值）的工作任务数量。</w:t>
            </w:r>
          </w:p>
        </w:tc>
        <w:tc>
          <w:tcPr>
            <w:tcW w:w="880" w:type="pct"/>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得分=指标分值×质量达标率</w:t>
            </w:r>
          </w:p>
        </w:tc>
        <w:tc>
          <w:tcPr>
            <w:tcW w:w="344" w:type="pc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425" w:hRule="atLeast"/>
        </w:trPr>
        <w:tc>
          <w:tcPr>
            <w:tcW w:w="441" w:type="pct"/>
            <w:vMerge w:val="continue"/>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450" w:type="pct"/>
            <w:vMerge w:val="continue"/>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478" w:type="pct"/>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重点工作办结率</w:t>
            </w:r>
          </w:p>
        </w:tc>
        <w:tc>
          <w:tcPr>
            <w:tcW w:w="1033" w:type="pct"/>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部门（单位）年度重点工作实际完成数与交办或下达数的比率，用以反映部门（单位）对重点工作的办理落实程度。</w:t>
            </w:r>
          </w:p>
        </w:tc>
        <w:tc>
          <w:tcPr>
            <w:tcW w:w="1370" w:type="pct"/>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重点工作办结率=（重点工作实际完成数/交办或下达数）×100%。</w:t>
            </w:r>
          </w:p>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重点工作是指党委、政府、人大、相关部门交办或下达的工作任务。</w:t>
            </w:r>
          </w:p>
        </w:tc>
        <w:tc>
          <w:tcPr>
            <w:tcW w:w="880" w:type="pct"/>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得分=指标分值×重点工作办结率</w:t>
            </w:r>
          </w:p>
        </w:tc>
        <w:tc>
          <w:tcPr>
            <w:tcW w:w="344" w:type="pc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55" w:hRule="atLeast"/>
        </w:trPr>
        <w:tc>
          <w:tcPr>
            <w:tcW w:w="441" w:type="pct"/>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效果</w:t>
            </w:r>
          </w:p>
        </w:tc>
        <w:tc>
          <w:tcPr>
            <w:tcW w:w="450" w:type="pct"/>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履职效益</w:t>
            </w:r>
          </w:p>
        </w:tc>
        <w:tc>
          <w:tcPr>
            <w:tcW w:w="478" w:type="pct"/>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经济效益</w:t>
            </w:r>
          </w:p>
        </w:tc>
        <w:tc>
          <w:tcPr>
            <w:tcW w:w="1033" w:type="pc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消费促进月活动销售额，用以反映部门（单位）开展工作的经济效益</w:t>
            </w:r>
          </w:p>
        </w:tc>
        <w:tc>
          <w:tcPr>
            <w:tcW w:w="1370" w:type="pc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880" w:type="pc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销售额每增加五百万得1分，满分6分</w:t>
            </w:r>
          </w:p>
        </w:tc>
        <w:tc>
          <w:tcPr>
            <w:tcW w:w="344" w:type="pc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55" w:hRule="atLeast"/>
        </w:trPr>
        <w:tc>
          <w:tcPr>
            <w:tcW w:w="441" w:type="pct"/>
            <w:vMerge w:val="continue"/>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450" w:type="pct"/>
            <w:vMerge w:val="continue"/>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478" w:type="pct"/>
            <w:vMerge w:val="continue"/>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1033" w:type="pct"/>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商贸服务业项目申报情况，用以反映部门（单位）开展工作的经济效益</w:t>
            </w:r>
          </w:p>
        </w:tc>
        <w:tc>
          <w:tcPr>
            <w:tcW w:w="1370" w:type="pct"/>
            <w:shd w:val="clear" w:color="auto" w:fill="auto"/>
            <w:vAlign w:val="center"/>
          </w:tcPr>
          <w:p>
            <w:pPr>
              <w:rPr>
                <w:rFonts w:hint="eastAsia" w:ascii="仿宋" w:hAnsi="仿宋" w:eastAsia="仿宋" w:cs="仿宋"/>
                <w:i w:val="0"/>
                <w:iCs w:val="0"/>
                <w:color w:val="000000"/>
                <w:kern w:val="0"/>
                <w:sz w:val="24"/>
                <w:szCs w:val="24"/>
                <w:highlight w:val="none"/>
                <w:u w:val="none"/>
                <w:lang w:val="en-US" w:eastAsia="zh-CN" w:bidi="ar"/>
              </w:rPr>
            </w:pPr>
          </w:p>
        </w:tc>
        <w:tc>
          <w:tcPr>
            <w:tcW w:w="880" w:type="pct"/>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每申报成功两个项目得1分，满分6分</w:t>
            </w:r>
          </w:p>
        </w:tc>
        <w:tc>
          <w:tcPr>
            <w:tcW w:w="344" w:type="pc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55" w:hRule="atLeast"/>
        </w:trPr>
        <w:tc>
          <w:tcPr>
            <w:tcW w:w="441" w:type="pct"/>
            <w:vMerge w:val="continue"/>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450" w:type="pct"/>
            <w:vMerge w:val="continue"/>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478" w:type="pct"/>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社会效益</w:t>
            </w:r>
          </w:p>
        </w:tc>
        <w:tc>
          <w:tcPr>
            <w:tcW w:w="1033" w:type="pct"/>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培育新增“四上”企业情况，用以反映部门（单位）开展工作的社会效益</w:t>
            </w:r>
          </w:p>
        </w:tc>
        <w:tc>
          <w:tcPr>
            <w:tcW w:w="1370" w:type="pct"/>
            <w:shd w:val="clear" w:color="auto" w:fill="auto"/>
            <w:vAlign w:val="center"/>
          </w:tcPr>
          <w:p>
            <w:pPr>
              <w:rPr>
                <w:rFonts w:hint="eastAsia" w:ascii="仿宋" w:hAnsi="仿宋" w:eastAsia="仿宋" w:cs="仿宋"/>
                <w:i w:val="0"/>
                <w:iCs w:val="0"/>
                <w:color w:val="000000"/>
                <w:kern w:val="0"/>
                <w:sz w:val="24"/>
                <w:szCs w:val="24"/>
                <w:highlight w:val="none"/>
                <w:u w:val="none"/>
                <w:lang w:val="en-US" w:eastAsia="zh-CN" w:bidi="ar"/>
              </w:rPr>
            </w:pPr>
          </w:p>
        </w:tc>
        <w:tc>
          <w:tcPr>
            <w:tcW w:w="880" w:type="pct"/>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新增一家“四上”企业得1分，满分3分</w:t>
            </w:r>
          </w:p>
        </w:tc>
        <w:tc>
          <w:tcPr>
            <w:tcW w:w="344" w:type="pc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140" w:hRule="atLeast"/>
        </w:trPr>
        <w:tc>
          <w:tcPr>
            <w:tcW w:w="441" w:type="pct"/>
            <w:vMerge w:val="continue"/>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450" w:type="pct"/>
            <w:vMerge w:val="continue"/>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478" w:type="pct"/>
            <w:vMerge w:val="continue"/>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1033" w:type="pct"/>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社零、外贸进出口、R&amp;D、技术市场交易额等指标完成情况，用以反映部门（单位）开展工作的社会效益</w:t>
            </w:r>
          </w:p>
        </w:tc>
        <w:tc>
          <w:tcPr>
            <w:tcW w:w="1370" w:type="pct"/>
            <w:shd w:val="clear" w:color="auto" w:fill="auto"/>
            <w:vAlign w:val="center"/>
          </w:tcPr>
          <w:p>
            <w:pPr>
              <w:rPr>
                <w:rFonts w:hint="eastAsia" w:ascii="仿宋" w:hAnsi="仿宋" w:eastAsia="仿宋" w:cs="仿宋"/>
                <w:i w:val="0"/>
                <w:iCs w:val="0"/>
                <w:color w:val="000000"/>
                <w:kern w:val="0"/>
                <w:sz w:val="24"/>
                <w:szCs w:val="24"/>
                <w:highlight w:val="none"/>
                <w:u w:val="none"/>
                <w:lang w:val="en-US" w:eastAsia="zh-CN" w:bidi="ar"/>
              </w:rPr>
            </w:pPr>
          </w:p>
        </w:tc>
        <w:tc>
          <w:tcPr>
            <w:tcW w:w="880" w:type="pct"/>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完成一项得1.5分，满分6分</w:t>
            </w:r>
          </w:p>
        </w:tc>
        <w:tc>
          <w:tcPr>
            <w:tcW w:w="344" w:type="pc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140" w:hRule="atLeast"/>
        </w:trPr>
        <w:tc>
          <w:tcPr>
            <w:tcW w:w="441" w:type="pct"/>
            <w:vMerge w:val="continue"/>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450" w:type="pct"/>
            <w:vMerge w:val="continue"/>
            <w:shd w:val="clear" w:color="auto" w:fill="auto"/>
            <w:vAlign w:val="center"/>
          </w:tcPr>
          <w:p>
            <w:pPr>
              <w:jc w:val="center"/>
              <w:rPr>
                <w:rFonts w:hint="eastAsia" w:ascii="仿宋" w:hAnsi="仿宋" w:eastAsia="仿宋" w:cs="仿宋"/>
                <w:i w:val="0"/>
                <w:iCs w:val="0"/>
                <w:color w:val="000000"/>
                <w:kern w:val="0"/>
                <w:sz w:val="24"/>
                <w:szCs w:val="24"/>
                <w:highlight w:val="none"/>
                <w:u w:val="none"/>
                <w:lang w:val="en-US" w:eastAsia="zh-CN" w:bidi="ar"/>
              </w:rPr>
            </w:pPr>
          </w:p>
        </w:tc>
        <w:tc>
          <w:tcPr>
            <w:tcW w:w="478" w:type="pct"/>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服务对象满意度</w:t>
            </w:r>
          </w:p>
        </w:tc>
        <w:tc>
          <w:tcPr>
            <w:tcW w:w="1033" w:type="pc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部门（单位）的服务企业对部门履职效果的满意程度。</w:t>
            </w:r>
          </w:p>
        </w:tc>
        <w:tc>
          <w:tcPr>
            <w:tcW w:w="1370" w:type="pct"/>
            <w:shd w:val="clear" w:color="auto" w:fill="auto"/>
            <w:vAlign w:val="center"/>
          </w:tcPr>
          <w:p>
            <w:pPr>
              <w:rPr>
                <w:rFonts w:hint="eastAsia" w:ascii="仿宋" w:hAnsi="仿宋" w:eastAsia="仿宋" w:cs="仿宋"/>
                <w:i w:val="0"/>
                <w:iCs w:val="0"/>
                <w:color w:val="000000"/>
                <w:kern w:val="0"/>
                <w:sz w:val="24"/>
                <w:szCs w:val="24"/>
                <w:highlight w:val="none"/>
                <w:u w:val="none"/>
                <w:lang w:val="en-US" w:eastAsia="zh-CN" w:bidi="ar"/>
              </w:rPr>
            </w:pPr>
          </w:p>
        </w:tc>
        <w:tc>
          <w:tcPr>
            <w:tcW w:w="880" w:type="pct"/>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1.满意（3）         2.一般满意（2）                  3.一般（1）         4.不满意（0）</w:t>
            </w:r>
          </w:p>
        </w:tc>
        <w:tc>
          <w:tcPr>
            <w:tcW w:w="344" w:type="pc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140" w:hRule="atLeast"/>
        </w:trPr>
        <w:tc>
          <w:tcPr>
            <w:tcW w:w="4655" w:type="pct"/>
            <w:gridSpan w:val="6"/>
            <w:shd w:val="clear" w:color="auto" w:fill="auto"/>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总计</w:t>
            </w:r>
          </w:p>
        </w:tc>
        <w:tc>
          <w:tcPr>
            <w:tcW w:w="344" w:type="pct"/>
            <w:shd w:val="clear" w:color="auto" w:fill="auto"/>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100</w:t>
            </w:r>
          </w:p>
        </w:tc>
      </w:tr>
    </w:tbl>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Hans" w:bidi="ar"/>
        </w:rPr>
      </w:pPr>
    </w:p>
    <w:sectPr>
      <w:pgSz w:w="11910" w:h="16840"/>
      <w:pgMar w:top="2098" w:right="1474" w:bottom="1984" w:left="1587" w:header="1017" w:footer="1206" w:gutter="0"/>
      <w:pgNumType w:fmt="decimal"/>
      <w:cols w:equalWidth="0" w:num="1">
        <w:col w:w="881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DejaVu Sans">
    <w:altName w:val="Times New Roman"/>
    <w:panose1 w:val="02020603050405020304"/>
    <w:charset w:val="00"/>
    <w:family w:val="roman"/>
    <w:pitch w:val="default"/>
    <w:sig w:usb0="00000000" w:usb1="00000000" w:usb2="00000008" w:usb3="00000000" w:csb0="000001FF"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4384" behindDoc="0" locked="0" layoutInCell="1" allowOverlap="1">
              <wp:simplePos x="0" y="0"/>
              <wp:positionH relativeFrom="margin">
                <wp:align>inside</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inside;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sz w:val="2"/>
      </w:rPr>
    </w:pPr>
    <w:r>
      <w:rPr>
        <w:sz w:val="2"/>
      </w:rPr>
      <mc:AlternateContent>
        <mc:Choice Requires="wps">
          <w:drawing>
            <wp:anchor distT="0" distB="0" distL="114300" distR="114300" simplePos="0" relativeHeight="251663360" behindDoc="0" locked="0" layoutInCell="1" allowOverlap="1">
              <wp:simplePos x="0" y="0"/>
              <wp:positionH relativeFrom="margin">
                <wp:align>inside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sz w:val="18"/>
                            </w:rPr>
                          </w:pPr>
                          <w:r>
                            <w:rPr>
                              <w:sz w:val="18"/>
                            </w:rPr>
                            <w:fldChar w:fldCharType="begin"/>
                          </w:r>
                          <w:r>
                            <w:rPr>
                              <w:sz w:val="18"/>
                            </w:rPr>
                            <w:instrText xml:space="preserve"> PAGE  \* MERGEFORMAT </w:instrText>
                          </w:r>
                          <w:r>
                            <w:rPr>
                              <w:sz w:val="18"/>
                            </w:rPr>
                            <w:fldChar w:fldCharType="separate"/>
                          </w:r>
                          <w:r>
                            <w:rPr>
                              <w:sz w:val="18"/>
                            </w:rPr>
                            <w:t>- 27 -</w:t>
                          </w:r>
                          <w:r>
                            <w:rPr>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inside;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snapToGrid w:val="0"/>
                      <w:rPr>
                        <w:sz w:val="18"/>
                      </w:rPr>
                    </w:pPr>
                    <w:r>
                      <w:rPr>
                        <w:sz w:val="18"/>
                      </w:rPr>
                      <w:fldChar w:fldCharType="begin"/>
                    </w:r>
                    <w:r>
                      <w:rPr>
                        <w:sz w:val="18"/>
                      </w:rPr>
                      <w:instrText xml:space="preserve"> PAGE  \* MERGEFORMAT </w:instrText>
                    </w:r>
                    <w:r>
                      <w:rPr>
                        <w:sz w:val="18"/>
                      </w:rPr>
                      <w:fldChar w:fldCharType="separate"/>
                    </w:r>
                    <w:r>
                      <w:rPr>
                        <w:sz w:val="18"/>
                      </w:rPr>
                      <w:t>- 27 -</w:t>
                    </w:r>
                    <w:r>
                      <w:rPr>
                        <w:sz w:val="18"/>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sz w:val="2"/>
      </w:rPr>
    </w:pPr>
    <w:r>
      <w:rPr>
        <w:sz w:val="2"/>
      </w:rPr>
      <mc:AlternateContent>
        <mc:Choice Requires="wps">
          <w:drawing>
            <wp:anchor distT="0" distB="0" distL="114300" distR="114300" simplePos="0" relativeHeight="251662336" behindDoc="0" locked="0" layoutInCell="1" allowOverlap="1">
              <wp:simplePos x="0" y="0"/>
              <wp:positionH relativeFrom="margin">
                <wp:align>inside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sz w:val="18"/>
                            </w:rPr>
                          </w:pPr>
                          <w:r>
                            <w:rPr>
                              <w:sz w:val="18"/>
                            </w:rPr>
                            <w:fldChar w:fldCharType="begin"/>
                          </w:r>
                          <w:r>
                            <w:rPr>
                              <w:sz w:val="18"/>
                            </w:rPr>
                            <w:instrText xml:space="preserve"> PAGE  \* MERGEFORMAT </w:instrText>
                          </w:r>
                          <w:r>
                            <w:rPr>
                              <w:sz w:val="18"/>
                            </w:rPr>
                            <w:fldChar w:fldCharType="separate"/>
                          </w:r>
                          <w:r>
                            <w:rPr>
                              <w:sz w:val="18"/>
                            </w:rPr>
                            <w:t>- 27 -</w:t>
                          </w:r>
                          <w:r>
                            <w:rPr>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inside;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snapToGrid w:val="0"/>
                      <w:rPr>
                        <w:sz w:val="18"/>
                      </w:rPr>
                    </w:pPr>
                    <w:r>
                      <w:rPr>
                        <w:sz w:val="18"/>
                      </w:rPr>
                      <w:fldChar w:fldCharType="begin"/>
                    </w:r>
                    <w:r>
                      <w:rPr>
                        <w:sz w:val="18"/>
                      </w:rPr>
                      <w:instrText xml:space="preserve"> PAGE  \* MERGEFORMAT </w:instrText>
                    </w:r>
                    <w:r>
                      <w:rPr>
                        <w:sz w:val="18"/>
                      </w:rPr>
                      <w:fldChar w:fldCharType="separate"/>
                    </w:r>
                    <w:r>
                      <w:rPr>
                        <w:sz w:val="18"/>
                      </w:rPr>
                      <w:t>- 27 -</w:t>
                    </w:r>
                    <w:r>
                      <w:rPr>
                        <w:sz w:val="18"/>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sz w:val="2"/>
      </w:rPr>
    </w:pPr>
    <w:r>
      <w:rPr>
        <w:sz w:val="2"/>
      </w:rPr>
      <mc:AlternateContent>
        <mc:Choice Requires="wps">
          <w:drawing>
            <wp:anchor distT="0" distB="0" distL="114300" distR="114300" simplePos="0" relativeHeight="251661312" behindDoc="0" locked="0" layoutInCell="1" allowOverlap="1">
              <wp:simplePos x="0" y="0"/>
              <wp:positionH relativeFrom="margin">
                <wp:align>inside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sz w:val="18"/>
                            </w:rPr>
                          </w:pPr>
                          <w:r>
                            <w:rPr>
                              <w:sz w:val="18"/>
                            </w:rPr>
                            <w:fldChar w:fldCharType="begin"/>
                          </w:r>
                          <w:r>
                            <w:rPr>
                              <w:sz w:val="18"/>
                            </w:rPr>
                            <w:instrText xml:space="preserve"> PAGE  \* MERGEFORMAT </w:instrText>
                          </w:r>
                          <w:r>
                            <w:rPr>
                              <w:sz w:val="18"/>
                            </w:rPr>
                            <w:fldChar w:fldCharType="separate"/>
                          </w:r>
                          <w:r>
                            <w:rPr>
                              <w:sz w:val="18"/>
                            </w:rPr>
                            <w:t>- 27 -</w:t>
                          </w:r>
                          <w:r>
                            <w:rPr>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inside;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pPr>
                      <w:snapToGrid w:val="0"/>
                      <w:rPr>
                        <w:sz w:val="18"/>
                      </w:rPr>
                    </w:pPr>
                    <w:r>
                      <w:rPr>
                        <w:sz w:val="18"/>
                      </w:rPr>
                      <w:fldChar w:fldCharType="begin"/>
                    </w:r>
                    <w:r>
                      <w:rPr>
                        <w:sz w:val="18"/>
                      </w:rPr>
                      <w:instrText xml:space="preserve"> PAGE  \* MERGEFORMAT </w:instrText>
                    </w:r>
                    <w:r>
                      <w:rPr>
                        <w:sz w:val="18"/>
                      </w:rPr>
                      <w:fldChar w:fldCharType="separate"/>
                    </w:r>
                    <w:r>
                      <w:rPr>
                        <w:sz w:val="18"/>
                      </w:rPr>
                      <w:t>- 27 -</w:t>
                    </w:r>
                    <w:r>
                      <w:rPr>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Bdr>
        <w:bottom w:val="none" w:color="auto" w:sz="0" w:space="0"/>
      </w:pBdr>
      <w:spacing w:before="0" w:line="14" w:lineRule="auto"/>
      <w:ind w:left="0"/>
      <w:rPr>
        <w:sz w:val="20"/>
      </w:rPr>
    </w:pPr>
    <w:r>
      <mc:AlternateContent>
        <mc:Choice Requires="wps">
          <w:drawing>
            <wp:anchor distT="0" distB="0" distL="114300" distR="114300" simplePos="0" relativeHeight="251659264" behindDoc="1" locked="0" layoutInCell="1" allowOverlap="1">
              <wp:simplePos x="0" y="0"/>
              <wp:positionH relativeFrom="page">
                <wp:posOffset>1143000</wp:posOffset>
              </wp:positionH>
              <wp:positionV relativeFrom="page">
                <wp:posOffset>789940</wp:posOffset>
              </wp:positionV>
              <wp:extent cx="5274310" cy="5715"/>
              <wp:effectExtent l="0" t="0" r="0" b="0"/>
              <wp:wrapNone/>
              <wp:docPr id="14" name="矩形 14"/>
              <wp:cNvGraphicFramePr/>
              <a:graphic xmlns:a="http://schemas.openxmlformats.org/drawingml/2006/main">
                <a:graphicData uri="http://schemas.microsoft.com/office/word/2010/wordprocessingShape">
                  <wps:wsp>
                    <wps:cNvSpPr/>
                    <wps:spPr>
                      <a:xfrm>
                        <a:off x="0" y="0"/>
                        <a:ext cx="5274310" cy="5715"/>
                      </a:xfrm>
                      <a:prstGeom prst="rect">
                        <a:avLst/>
                      </a:prstGeom>
                      <a:solidFill>
                        <a:srgbClr val="000000"/>
                      </a:solidFill>
                      <a:ln w="9525">
                        <a:noFill/>
                      </a:ln>
                    </wps:spPr>
                    <wps:bodyPr upright="1"/>
                  </wps:wsp>
                </a:graphicData>
              </a:graphic>
            </wp:anchor>
          </w:drawing>
        </mc:Choice>
        <mc:Fallback>
          <w:pict>
            <v:rect id="_x0000_s1026" o:spid="_x0000_s1026" o:spt="1" style="position:absolute;left:0pt;margin-left:90pt;margin-top:62.2pt;height:0.45pt;width:415.3pt;mso-position-horizontal-relative:page;mso-position-vertical-relative:page;z-index:-251657216;mso-width-relative:page;mso-height-relative:page;" fillcolor="#000000" filled="t" stroked="f" coordsize="21600,21600" o:gfxdata="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BqC3gf2QAAAAwBAAAPAAAAAAAAAAEAIAAAACIAAABkcnMvZG93bnJldi54bWxQSwECFAAU&#10;AAAACACHTuJAu7PtprcBAABoAwAADgAAAAAAAAABACAAAAAoAQAAZHJzL2Uyb0RvYy54bWxQSwUG&#10;AAAAAAYABgBZAQAAUQUAAAAA&#10;">
              <v:fill on="t" focussize="0,0"/>
              <v:stroke on="f"/>
              <v:imagedata o:title=""/>
              <o:lock v:ext="edit" aspectratio="f"/>
            </v:rect>
          </w:pict>
        </mc:Fallback>
      </mc:AlternateContent>
    </w:r>
    <w:r>
      <mc:AlternateContent>
        <mc:Choice Requires="wps">
          <w:drawing>
            <wp:anchor distT="0" distB="0" distL="114300" distR="114300" simplePos="0" relativeHeight="251660288" behindDoc="1" locked="0" layoutInCell="1" allowOverlap="1">
              <wp:simplePos x="0" y="0"/>
              <wp:positionH relativeFrom="page">
                <wp:posOffset>5490210</wp:posOffset>
              </wp:positionH>
              <wp:positionV relativeFrom="page">
                <wp:posOffset>633095</wp:posOffset>
              </wp:positionV>
              <wp:extent cx="939800" cy="264795"/>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939800" cy="264795"/>
                      </a:xfrm>
                      <a:prstGeom prst="rect">
                        <a:avLst/>
                      </a:prstGeom>
                      <a:noFill/>
                      <a:ln w="9525">
                        <a:noFill/>
                      </a:ln>
                    </wps:spPr>
                    <wps:txbx>
                      <w:txbxContent>
                        <w:p>
                          <w:pPr>
                            <w:spacing w:line="220" w:lineRule="exact"/>
                            <w:rPr>
                              <w:rFonts w:ascii="仿宋" w:eastAsia="仿宋"/>
                              <w:sz w:val="18"/>
                            </w:rPr>
                          </w:pPr>
                        </w:p>
                      </w:txbxContent>
                    </wps:txbx>
                    <wps:bodyPr lIns="0" tIns="0" rIns="0" bIns="0" upright="1"/>
                  </wps:wsp>
                </a:graphicData>
              </a:graphic>
            </wp:anchor>
          </w:drawing>
        </mc:Choice>
        <mc:Fallback>
          <w:pict>
            <v:shape id="_x0000_s1026" o:spid="_x0000_s1026" o:spt="202" type="#_x0000_t202" style="position:absolute;left:0pt;margin-left:432.3pt;margin-top:49.85pt;height:20.85pt;width:74pt;mso-position-horizontal-relative:page;mso-position-vertical-relative:page;z-index:-251656192;mso-width-relative:page;mso-height-relative:page;" filled="f" stroked="f" coordsize="21600,21600" o:gfxdata="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FISh6/ZAAAACwEAAA8AAAAAAAAAAQAgAAAAIgAAAGRycy9kb3ducmV2&#10;LnhtbFBLAQIUABQAAAAIAIdO4kAYsVnRwgEAAHwDAAAOAAAAAAAAAAEAIAAAACgBAABkcnMvZTJv&#10;RG9jLnhtbFBLBQYAAAAABgAGAFkBAABcBQAAAAA=&#10;">
              <v:fill on="f" focussize="0,0"/>
              <v:stroke on="f"/>
              <v:imagedata o:title=""/>
              <o:lock v:ext="edit" aspectratio="f"/>
              <v:textbox inset="0mm,0mm,0mm,0mm">
                <w:txbxContent>
                  <w:p>
                    <w:pPr>
                      <w:spacing w:line="220" w:lineRule="exact"/>
                      <w:rPr>
                        <w:rFonts w:ascii="仿宋" w:eastAsia="仿宋"/>
                        <w:sz w:val="18"/>
                      </w:rPr>
                    </w:pPr>
                  </w:p>
                </w:txbxContent>
              </v:textbox>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D779509E"/>
    <w:rsid w:val="00033DCF"/>
    <w:rsid w:val="000A4298"/>
    <w:rsid w:val="000C18C9"/>
    <w:rsid w:val="00135EF6"/>
    <w:rsid w:val="00136F12"/>
    <w:rsid w:val="001657AA"/>
    <w:rsid w:val="00193A3E"/>
    <w:rsid w:val="001A570D"/>
    <w:rsid w:val="001C51AB"/>
    <w:rsid w:val="00262AA9"/>
    <w:rsid w:val="00277917"/>
    <w:rsid w:val="002B1E7D"/>
    <w:rsid w:val="003D0043"/>
    <w:rsid w:val="00420C10"/>
    <w:rsid w:val="00447529"/>
    <w:rsid w:val="00475D62"/>
    <w:rsid w:val="004B344F"/>
    <w:rsid w:val="004C51A4"/>
    <w:rsid w:val="00546BF5"/>
    <w:rsid w:val="00563C88"/>
    <w:rsid w:val="0057025D"/>
    <w:rsid w:val="005B05EB"/>
    <w:rsid w:val="005C5E71"/>
    <w:rsid w:val="00643454"/>
    <w:rsid w:val="006B6C4F"/>
    <w:rsid w:val="006B789A"/>
    <w:rsid w:val="006F65A7"/>
    <w:rsid w:val="00763DE0"/>
    <w:rsid w:val="00780296"/>
    <w:rsid w:val="007B41AD"/>
    <w:rsid w:val="007C3CAD"/>
    <w:rsid w:val="00851E6F"/>
    <w:rsid w:val="00893CA6"/>
    <w:rsid w:val="008E5AF9"/>
    <w:rsid w:val="00910385"/>
    <w:rsid w:val="009523D1"/>
    <w:rsid w:val="00960C52"/>
    <w:rsid w:val="009613AB"/>
    <w:rsid w:val="009870FD"/>
    <w:rsid w:val="009E4828"/>
    <w:rsid w:val="009F30A0"/>
    <w:rsid w:val="00A32055"/>
    <w:rsid w:val="00A35DDB"/>
    <w:rsid w:val="00A47C8B"/>
    <w:rsid w:val="00A80360"/>
    <w:rsid w:val="00AA4420"/>
    <w:rsid w:val="00AD16A7"/>
    <w:rsid w:val="00B03739"/>
    <w:rsid w:val="00B707ED"/>
    <w:rsid w:val="00B9048D"/>
    <w:rsid w:val="00BA0D97"/>
    <w:rsid w:val="00C068CC"/>
    <w:rsid w:val="00C36E68"/>
    <w:rsid w:val="00C94E20"/>
    <w:rsid w:val="00CE1753"/>
    <w:rsid w:val="00D71E77"/>
    <w:rsid w:val="00D925A8"/>
    <w:rsid w:val="00DA1C50"/>
    <w:rsid w:val="00E03C8C"/>
    <w:rsid w:val="00E21638"/>
    <w:rsid w:val="00EB2C85"/>
    <w:rsid w:val="00F43C4D"/>
    <w:rsid w:val="00FA78FE"/>
    <w:rsid w:val="014C11D0"/>
    <w:rsid w:val="03044E5C"/>
    <w:rsid w:val="03FD3C8E"/>
    <w:rsid w:val="078B3248"/>
    <w:rsid w:val="07AFA6BE"/>
    <w:rsid w:val="08010B8B"/>
    <w:rsid w:val="08B45813"/>
    <w:rsid w:val="098A2122"/>
    <w:rsid w:val="098D41AA"/>
    <w:rsid w:val="0ACC7640"/>
    <w:rsid w:val="0BA674A8"/>
    <w:rsid w:val="0C2D0AF3"/>
    <w:rsid w:val="0D50757B"/>
    <w:rsid w:val="0D8D3876"/>
    <w:rsid w:val="0DEA6DBD"/>
    <w:rsid w:val="0E0D7668"/>
    <w:rsid w:val="0E511C4A"/>
    <w:rsid w:val="0E7C7AE0"/>
    <w:rsid w:val="0FAA250C"/>
    <w:rsid w:val="0FF049CE"/>
    <w:rsid w:val="10C67A5F"/>
    <w:rsid w:val="11EF2C09"/>
    <w:rsid w:val="12B25490"/>
    <w:rsid w:val="13076D7C"/>
    <w:rsid w:val="13292527"/>
    <w:rsid w:val="15361A72"/>
    <w:rsid w:val="159C452D"/>
    <w:rsid w:val="16E92514"/>
    <w:rsid w:val="18446611"/>
    <w:rsid w:val="18587C33"/>
    <w:rsid w:val="18CC0561"/>
    <w:rsid w:val="18E03155"/>
    <w:rsid w:val="18F57676"/>
    <w:rsid w:val="1AD65B30"/>
    <w:rsid w:val="1AF74CEA"/>
    <w:rsid w:val="1C440A92"/>
    <w:rsid w:val="1C6F07D1"/>
    <w:rsid w:val="1CA10911"/>
    <w:rsid w:val="1EFC4C0E"/>
    <w:rsid w:val="1F5A653C"/>
    <w:rsid w:val="1F5A78CD"/>
    <w:rsid w:val="22BB6814"/>
    <w:rsid w:val="230206C2"/>
    <w:rsid w:val="233A7FAB"/>
    <w:rsid w:val="23E059E6"/>
    <w:rsid w:val="250859E3"/>
    <w:rsid w:val="251E6154"/>
    <w:rsid w:val="25C62D01"/>
    <w:rsid w:val="27DE7AF8"/>
    <w:rsid w:val="28D6709F"/>
    <w:rsid w:val="28EB63A0"/>
    <w:rsid w:val="2A62663B"/>
    <w:rsid w:val="2C1B65AB"/>
    <w:rsid w:val="2C1C4E21"/>
    <w:rsid w:val="2C266A13"/>
    <w:rsid w:val="2DFE1003"/>
    <w:rsid w:val="2E7F06A7"/>
    <w:rsid w:val="2EBB3275"/>
    <w:rsid w:val="2EFF4609"/>
    <w:rsid w:val="2F436126"/>
    <w:rsid w:val="2F6D04E5"/>
    <w:rsid w:val="2FAF3FA5"/>
    <w:rsid w:val="30AB4D93"/>
    <w:rsid w:val="30DD69AA"/>
    <w:rsid w:val="315F23CD"/>
    <w:rsid w:val="35645510"/>
    <w:rsid w:val="375D844E"/>
    <w:rsid w:val="390A46C3"/>
    <w:rsid w:val="397E4BCD"/>
    <w:rsid w:val="397F1EA0"/>
    <w:rsid w:val="39D1578E"/>
    <w:rsid w:val="3A8E4210"/>
    <w:rsid w:val="3A9C475D"/>
    <w:rsid w:val="3B8033E1"/>
    <w:rsid w:val="3BFE92E6"/>
    <w:rsid w:val="3C4F75FE"/>
    <w:rsid w:val="3CD576EC"/>
    <w:rsid w:val="3E1B3D00"/>
    <w:rsid w:val="3E974BA8"/>
    <w:rsid w:val="3F72FB8E"/>
    <w:rsid w:val="3FCF87E2"/>
    <w:rsid w:val="3FE4F30A"/>
    <w:rsid w:val="3FFB4CC3"/>
    <w:rsid w:val="3FFDE92B"/>
    <w:rsid w:val="42127509"/>
    <w:rsid w:val="42BE3311"/>
    <w:rsid w:val="4359242C"/>
    <w:rsid w:val="453F6242"/>
    <w:rsid w:val="45980D6F"/>
    <w:rsid w:val="45F13BAE"/>
    <w:rsid w:val="45FEEC7A"/>
    <w:rsid w:val="47AE2D1A"/>
    <w:rsid w:val="49536EC5"/>
    <w:rsid w:val="495A275A"/>
    <w:rsid w:val="4C6C3961"/>
    <w:rsid w:val="4D9B160E"/>
    <w:rsid w:val="4FB753CF"/>
    <w:rsid w:val="4FBE7D1A"/>
    <w:rsid w:val="5069215F"/>
    <w:rsid w:val="510E2B9E"/>
    <w:rsid w:val="51F83C2F"/>
    <w:rsid w:val="525F00E3"/>
    <w:rsid w:val="53553859"/>
    <w:rsid w:val="536A1860"/>
    <w:rsid w:val="56FC15F5"/>
    <w:rsid w:val="5707272C"/>
    <w:rsid w:val="57675951"/>
    <w:rsid w:val="57AE0D7D"/>
    <w:rsid w:val="58BA7D95"/>
    <w:rsid w:val="58F46A27"/>
    <w:rsid w:val="593B2FB5"/>
    <w:rsid w:val="59F760A3"/>
    <w:rsid w:val="5A46479B"/>
    <w:rsid w:val="5AEC4883"/>
    <w:rsid w:val="5B5F8D84"/>
    <w:rsid w:val="5B7E4CCE"/>
    <w:rsid w:val="5BE7274E"/>
    <w:rsid w:val="5D5B032C"/>
    <w:rsid w:val="5EDF2B36"/>
    <w:rsid w:val="5F16422C"/>
    <w:rsid w:val="603911C4"/>
    <w:rsid w:val="61164DA4"/>
    <w:rsid w:val="61EE3D90"/>
    <w:rsid w:val="62EB0B21"/>
    <w:rsid w:val="63C4604E"/>
    <w:rsid w:val="63CD2F02"/>
    <w:rsid w:val="668E6D55"/>
    <w:rsid w:val="686E1C02"/>
    <w:rsid w:val="687F149B"/>
    <w:rsid w:val="68D9613A"/>
    <w:rsid w:val="697A1AE8"/>
    <w:rsid w:val="6BFC559A"/>
    <w:rsid w:val="6CA1343F"/>
    <w:rsid w:val="6CED3344"/>
    <w:rsid w:val="6D6D126F"/>
    <w:rsid w:val="6DFF493C"/>
    <w:rsid w:val="6FAF9792"/>
    <w:rsid w:val="6FDF92CE"/>
    <w:rsid w:val="6FEA4288"/>
    <w:rsid w:val="6FED039D"/>
    <w:rsid w:val="6FF62692"/>
    <w:rsid w:val="6FFB20AD"/>
    <w:rsid w:val="713C2FF4"/>
    <w:rsid w:val="728C3273"/>
    <w:rsid w:val="7353633E"/>
    <w:rsid w:val="73FD58D7"/>
    <w:rsid w:val="7440414A"/>
    <w:rsid w:val="74EBB814"/>
    <w:rsid w:val="74EE65C9"/>
    <w:rsid w:val="75499311"/>
    <w:rsid w:val="76FD7797"/>
    <w:rsid w:val="77DFB228"/>
    <w:rsid w:val="782B18E2"/>
    <w:rsid w:val="78342870"/>
    <w:rsid w:val="799C6B9D"/>
    <w:rsid w:val="79E46056"/>
    <w:rsid w:val="7B3303F3"/>
    <w:rsid w:val="7BFBA993"/>
    <w:rsid w:val="7BFBAB29"/>
    <w:rsid w:val="7C1C5722"/>
    <w:rsid w:val="7C267E81"/>
    <w:rsid w:val="7D301458"/>
    <w:rsid w:val="7D5C3245"/>
    <w:rsid w:val="7D6925E9"/>
    <w:rsid w:val="7D6F453F"/>
    <w:rsid w:val="7EE52CF2"/>
    <w:rsid w:val="7F3C5DB2"/>
    <w:rsid w:val="7F5D4E94"/>
    <w:rsid w:val="7F5E96C4"/>
    <w:rsid w:val="7F73122C"/>
    <w:rsid w:val="7F8963F8"/>
    <w:rsid w:val="7FBF5E51"/>
    <w:rsid w:val="7FF65F05"/>
    <w:rsid w:val="7FFDD5E0"/>
    <w:rsid w:val="7FFFD2A8"/>
    <w:rsid w:val="97BF568E"/>
    <w:rsid w:val="97FF0C9B"/>
    <w:rsid w:val="A65BFCF2"/>
    <w:rsid w:val="AD3F6BA7"/>
    <w:rsid w:val="BEFEAF53"/>
    <w:rsid w:val="BF9B9E8B"/>
    <w:rsid w:val="BFFB8A96"/>
    <w:rsid w:val="BFFBC8E2"/>
    <w:rsid w:val="CF5FAA61"/>
    <w:rsid w:val="CFFDE188"/>
    <w:rsid w:val="D779509E"/>
    <w:rsid w:val="DBFC2DAC"/>
    <w:rsid w:val="E77FB029"/>
    <w:rsid w:val="E7FF7D65"/>
    <w:rsid w:val="E7FFFCB9"/>
    <w:rsid w:val="EBFB0AF1"/>
    <w:rsid w:val="ECFE597C"/>
    <w:rsid w:val="EF7F6E0E"/>
    <w:rsid w:val="EFAFA580"/>
    <w:rsid w:val="EFE31AD5"/>
    <w:rsid w:val="EFF7C251"/>
    <w:rsid w:val="F77EABDF"/>
    <w:rsid w:val="FAE43EF2"/>
    <w:rsid w:val="FC963BD8"/>
    <w:rsid w:val="FDE81FC7"/>
    <w:rsid w:val="FDFF782F"/>
    <w:rsid w:val="FEBF9360"/>
    <w:rsid w:val="FEC0D99D"/>
    <w:rsid w:val="FECF7BEC"/>
    <w:rsid w:val="FF075838"/>
    <w:rsid w:val="FF5F99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宋体" w:hAnsi="宋体" w:eastAsia="宋体" w:cs="宋体"/>
      <w:sz w:val="24"/>
      <w:szCs w:val="24"/>
      <w:lang w:val="en-US" w:eastAsia="zh-CN" w:bidi="ar-SA"/>
    </w:rPr>
  </w:style>
  <w:style w:type="paragraph" w:styleId="3">
    <w:name w:val="heading 1"/>
    <w:basedOn w:val="1"/>
    <w:next w:val="1"/>
    <w:qFormat/>
    <w:uiPriority w:val="0"/>
    <w:pPr>
      <w:widowControl w:val="0"/>
      <w:autoSpaceDE w:val="0"/>
      <w:autoSpaceDN w:val="0"/>
      <w:ind w:left="860"/>
      <w:outlineLvl w:val="0"/>
    </w:pPr>
    <w:rPr>
      <w:rFonts w:ascii="微软雅黑" w:hAnsi="微软雅黑" w:eastAsia="微软雅黑" w:cs="微软雅黑"/>
      <w:b/>
      <w:bCs/>
      <w:sz w:val="32"/>
      <w:szCs w:val="32"/>
    </w:rPr>
  </w:style>
  <w:style w:type="paragraph" w:styleId="4">
    <w:name w:val="heading 2"/>
    <w:basedOn w:val="1"/>
    <w:next w:val="1"/>
    <w:unhideWhenUsed/>
    <w:qFormat/>
    <w:uiPriority w:val="0"/>
    <w:pPr>
      <w:keepNext/>
      <w:keepLines/>
      <w:widowControl w:val="0"/>
      <w:autoSpaceDE w:val="0"/>
      <w:autoSpaceDN w:val="0"/>
      <w:spacing w:before="260" w:after="260" w:line="416" w:lineRule="auto"/>
      <w:outlineLvl w:val="1"/>
    </w:pPr>
    <w:rPr>
      <w:rFonts w:ascii="Arial" w:hAnsi="Arial" w:eastAsia="黑体"/>
      <w:b/>
      <w:bCs/>
      <w:sz w:val="32"/>
      <w:szCs w:val="32"/>
    </w:rPr>
  </w:style>
  <w:style w:type="paragraph" w:styleId="5">
    <w:name w:val="heading 3"/>
    <w:basedOn w:val="1"/>
    <w:next w:val="1"/>
    <w:unhideWhenUsed/>
    <w:qFormat/>
    <w:uiPriority w:val="0"/>
    <w:pPr>
      <w:widowControl w:val="0"/>
      <w:autoSpaceDE w:val="0"/>
      <w:autoSpaceDN w:val="0"/>
      <w:ind w:left="1093"/>
      <w:outlineLvl w:val="2"/>
    </w:pPr>
    <w:rPr>
      <w:rFonts w:ascii="微软雅黑" w:hAnsi="微软雅黑" w:eastAsia="微软雅黑" w:cs="微软雅黑"/>
      <w:b/>
      <w:bCs/>
      <w:sz w:val="28"/>
      <w:szCs w:val="28"/>
    </w:rPr>
  </w:style>
  <w:style w:type="character" w:default="1" w:styleId="17">
    <w:name w:val="Default Paragraph Font"/>
    <w:unhideWhenUsed/>
    <w:qFormat/>
    <w:uiPriority w:val="1"/>
  </w:style>
  <w:style w:type="table" w:default="1" w:styleId="15">
    <w:name w:val="Normal Table"/>
    <w:unhideWhenUsed/>
    <w:qFormat/>
    <w:uiPriority w:val="99"/>
    <w:tblPr>
      <w:tblCellMar>
        <w:top w:w="0" w:type="dxa"/>
        <w:left w:w="108" w:type="dxa"/>
        <w:bottom w:w="0" w:type="dxa"/>
        <w:right w:w="108" w:type="dxa"/>
      </w:tblCellMar>
    </w:tblPr>
  </w:style>
  <w:style w:type="paragraph" w:styleId="2">
    <w:name w:val="Body Text"/>
    <w:basedOn w:val="1"/>
    <w:qFormat/>
    <w:uiPriority w:val="0"/>
    <w:pPr>
      <w:widowControl w:val="0"/>
      <w:autoSpaceDE w:val="0"/>
      <w:autoSpaceDN w:val="0"/>
      <w:spacing w:before="190"/>
      <w:ind w:left="220"/>
    </w:pPr>
    <w:rPr>
      <w:sz w:val="32"/>
      <w:szCs w:val="32"/>
    </w:rPr>
  </w:style>
  <w:style w:type="paragraph" w:styleId="6">
    <w:name w:val="annotation text"/>
    <w:basedOn w:val="1"/>
    <w:link w:val="29"/>
    <w:qFormat/>
    <w:uiPriority w:val="0"/>
  </w:style>
  <w:style w:type="paragraph" w:styleId="7">
    <w:name w:val="toc 3"/>
    <w:basedOn w:val="1"/>
    <w:next w:val="1"/>
    <w:qFormat/>
    <w:uiPriority w:val="0"/>
    <w:pPr>
      <w:ind w:left="840" w:leftChars="400"/>
    </w:pPr>
  </w:style>
  <w:style w:type="paragraph" w:styleId="8">
    <w:name w:val="footer"/>
    <w:basedOn w:val="1"/>
    <w:qFormat/>
    <w:uiPriority w:val="0"/>
    <w:pPr>
      <w:widowControl w:val="0"/>
      <w:tabs>
        <w:tab w:val="center" w:pos="4153"/>
        <w:tab w:val="right" w:pos="8306"/>
      </w:tabs>
      <w:autoSpaceDE w:val="0"/>
      <w:autoSpaceDN w:val="0"/>
      <w:snapToGrid w:val="0"/>
    </w:pPr>
    <w:rPr>
      <w:sz w:val="18"/>
      <w:szCs w:val="22"/>
    </w:rPr>
  </w:style>
  <w:style w:type="paragraph" w:styleId="9">
    <w:name w:val="header"/>
    <w:basedOn w:val="1"/>
    <w:qFormat/>
    <w:uiPriority w:val="0"/>
    <w:pPr>
      <w:widowControl w:val="0"/>
      <w:pBdr>
        <w:top w:val="none" w:color="auto" w:sz="0" w:space="1"/>
        <w:left w:val="none" w:color="auto" w:sz="0" w:space="4"/>
        <w:bottom w:val="none" w:color="auto" w:sz="0" w:space="1"/>
        <w:right w:val="none" w:color="auto" w:sz="0" w:space="4"/>
      </w:pBdr>
      <w:tabs>
        <w:tab w:val="center" w:pos="4153"/>
        <w:tab w:val="right" w:pos="8306"/>
      </w:tabs>
      <w:autoSpaceDE w:val="0"/>
      <w:autoSpaceDN w:val="0"/>
      <w:snapToGrid w:val="0"/>
      <w:jc w:val="both"/>
    </w:pPr>
    <w:rPr>
      <w:rFonts w:ascii="DejaVu Sans" w:hAnsi="DejaVu Sans"/>
      <w:sz w:val="18"/>
      <w:szCs w:val="22"/>
    </w:rPr>
  </w:style>
  <w:style w:type="paragraph" w:styleId="10">
    <w:name w:val="toc 1"/>
    <w:basedOn w:val="1"/>
    <w:next w:val="1"/>
    <w:qFormat/>
    <w:uiPriority w:val="0"/>
    <w:pPr>
      <w:widowControl w:val="0"/>
      <w:autoSpaceDE w:val="0"/>
      <w:autoSpaceDN w:val="0"/>
      <w:spacing w:before="119"/>
      <w:ind w:left="220"/>
    </w:pPr>
    <w:rPr>
      <w:rFonts w:ascii="微软雅黑" w:hAnsi="微软雅黑" w:eastAsia="微软雅黑" w:cs="微软雅黑"/>
      <w:b/>
      <w:bCs/>
      <w:sz w:val="20"/>
      <w:szCs w:val="20"/>
    </w:rPr>
  </w:style>
  <w:style w:type="paragraph" w:styleId="11">
    <w:name w:val="toc 2"/>
    <w:basedOn w:val="1"/>
    <w:next w:val="1"/>
    <w:qFormat/>
    <w:uiPriority w:val="0"/>
    <w:pPr>
      <w:widowControl w:val="0"/>
      <w:autoSpaceDE w:val="0"/>
      <w:autoSpaceDN w:val="0"/>
      <w:spacing w:before="183"/>
      <w:ind w:left="779"/>
    </w:pPr>
    <w:rPr>
      <w:sz w:val="20"/>
      <w:szCs w:val="20"/>
    </w:rPr>
  </w:style>
  <w:style w:type="paragraph" w:styleId="12">
    <w:name w:val="Normal (Web)"/>
    <w:basedOn w:val="1"/>
    <w:unhideWhenUsed/>
    <w:qFormat/>
    <w:uiPriority w:val="99"/>
    <w:pPr>
      <w:spacing w:before="100" w:beforeAutospacing="1" w:after="100" w:afterAutospacing="1"/>
    </w:pPr>
  </w:style>
  <w:style w:type="paragraph" w:styleId="13">
    <w:name w:val="Title"/>
    <w:basedOn w:val="1"/>
    <w:qFormat/>
    <w:uiPriority w:val="0"/>
    <w:pPr>
      <w:widowControl w:val="0"/>
      <w:autoSpaceDE w:val="0"/>
      <w:autoSpaceDN w:val="0"/>
      <w:spacing w:before="21"/>
      <w:ind w:left="1964" w:right="784" w:hanging="1282"/>
    </w:pPr>
    <w:rPr>
      <w:rFonts w:ascii="黑体" w:hAnsi="黑体" w:eastAsia="黑体" w:cs="黑体"/>
      <w:b/>
      <w:bCs/>
      <w:sz w:val="56"/>
      <w:szCs w:val="56"/>
    </w:rPr>
  </w:style>
  <w:style w:type="paragraph" w:styleId="14">
    <w:name w:val="annotation subject"/>
    <w:basedOn w:val="6"/>
    <w:next w:val="6"/>
    <w:link w:val="30"/>
    <w:qFormat/>
    <w:uiPriority w:val="0"/>
    <w:rPr>
      <w:b/>
      <w:bCs/>
    </w:rPr>
  </w:style>
  <w:style w:type="table" w:styleId="16">
    <w:name w:val="Table Grid"/>
    <w:basedOn w:val="1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FollowedHyperlink"/>
    <w:basedOn w:val="17"/>
    <w:qFormat/>
    <w:uiPriority w:val="0"/>
    <w:rPr>
      <w:color w:val="800080"/>
      <w:u w:val="single"/>
    </w:rPr>
  </w:style>
  <w:style w:type="character" w:styleId="19">
    <w:name w:val="Hyperlink"/>
    <w:basedOn w:val="17"/>
    <w:qFormat/>
    <w:uiPriority w:val="0"/>
    <w:rPr>
      <w:color w:val="0000FF"/>
      <w:u w:val="single"/>
    </w:rPr>
  </w:style>
  <w:style w:type="character" w:styleId="20">
    <w:name w:val="annotation reference"/>
    <w:basedOn w:val="17"/>
    <w:qFormat/>
    <w:uiPriority w:val="0"/>
    <w:rPr>
      <w:sz w:val="21"/>
      <w:szCs w:val="21"/>
    </w:rPr>
  </w:style>
  <w:style w:type="paragraph" w:customStyle="1" w:styleId="21">
    <w:name w:val="列表段落1"/>
    <w:basedOn w:val="1"/>
    <w:qFormat/>
    <w:uiPriority w:val="1"/>
    <w:pPr>
      <w:widowControl w:val="0"/>
      <w:autoSpaceDE w:val="0"/>
      <w:autoSpaceDN w:val="0"/>
      <w:spacing w:before="190"/>
      <w:ind w:left="1182" w:hanging="323"/>
    </w:pPr>
    <w:rPr>
      <w:sz w:val="22"/>
      <w:szCs w:val="22"/>
    </w:rPr>
  </w:style>
  <w:style w:type="paragraph" w:customStyle="1" w:styleId="22">
    <w:name w:val="Table Paragraph"/>
    <w:basedOn w:val="1"/>
    <w:qFormat/>
    <w:uiPriority w:val="1"/>
    <w:pPr>
      <w:widowControl w:val="0"/>
      <w:autoSpaceDE w:val="0"/>
      <w:autoSpaceDN w:val="0"/>
    </w:pPr>
    <w:rPr>
      <w:sz w:val="22"/>
      <w:szCs w:val="22"/>
    </w:rPr>
  </w:style>
  <w:style w:type="paragraph" w:customStyle="1" w:styleId="23">
    <w:name w:val="WPSOffice手动目录 1"/>
    <w:qFormat/>
    <w:uiPriority w:val="0"/>
    <w:rPr>
      <w:rFonts w:ascii="Times New Roman" w:hAnsi="Times New Roman" w:eastAsia="宋体" w:cs="Times New Roman"/>
      <w:lang w:val="en-US" w:eastAsia="zh-CN" w:bidi="ar-SA"/>
    </w:rPr>
  </w:style>
  <w:style w:type="paragraph" w:customStyle="1" w:styleId="24">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25">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26">
    <w:name w:val="列出段落1"/>
    <w:basedOn w:val="1"/>
    <w:qFormat/>
    <w:uiPriority w:val="34"/>
    <w:pPr>
      <w:widowControl w:val="0"/>
      <w:autoSpaceDE w:val="0"/>
      <w:autoSpaceDN w:val="0"/>
      <w:ind w:firstLine="420" w:firstLineChars="200"/>
    </w:pPr>
    <w:rPr>
      <w:sz w:val="22"/>
      <w:szCs w:val="22"/>
    </w:rPr>
  </w:style>
  <w:style w:type="character" w:customStyle="1" w:styleId="27">
    <w:name w:val="apple-converted-space"/>
    <w:basedOn w:val="17"/>
    <w:qFormat/>
    <w:uiPriority w:val="0"/>
  </w:style>
  <w:style w:type="paragraph" w:customStyle="1" w:styleId="28">
    <w:name w:val="List Paragraph"/>
    <w:basedOn w:val="1"/>
    <w:qFormat/>
    <w:uiPriority w:val="99"/>
    <w:pPr>
      <w:widowControl w:val="0"/>
      <w:autoSpaceDE w:val="0"/>
      <w:autoSpaceDN w:val="0"/>
      <w:ind w:firstLine="420" w:firstLineChars="200"/>
    </w:pPr>
    <w:rPr>
      <w:sz w:val="22"/>
      <w:szCs w:val="22"/>
    </w:rPr>
  </w:style>
  <w:style w:type="character" w:customStyle="1" w:styleId="29">
    <w:name w:val="批注文字 字符"/>
    <w:basedOn w:val="17"/>
    <w:link w:val="6"/>
    <w:qFormat/>
    <w:uiPriority w:val="0"/>
    <w:rPr>
      <w:rFonts w:ascii="宋体" w:hAnsi="宋体" w:cs="宋体"/>
      <w:sz w:val="24"/>
      <w:szCs w:val="24"/>
    </w:rPr>
  </w:style>
  <w:style w:type="character" w:customStyle="1" w:styleId="30">
    <w:name w:val="批注主题 字符"/>
    <w:basedOn w:val="29"/>
    <w:link w:val="14"/>
    <w:qFormat/>
    <w:uiPriority w:val="0"/>
    <w:rPr>
      <w:rFonts w:ascii="宋体" w:hAnsi="宋体" w:cs="宋体"/>
      <w:b/>
      <w:bCs/>
      <w:sz w:val="24"/>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55</Pages>
  <Words>25792</Words>
  <Characters>27791</Characters>
  <Lines>226</Lines>
  <Paragraphs>63</Paragraphs>
  <TotalTime>4</TotalTime>
  <ScaleCrop>false</ScaleCrop>
  <LinksUpToDate>false</LinksUpToDate>
  <CharactersWithSpaces>35345</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2021-07-27T07:54:00Z</dcterms:created>
  <dc:creator>michaelzhang</dc:creator>
  <cp:lastModifiedBy>迷人的危险</cp:lastModifiedBy>
  <dcterms:modified xsi:type="dcterms:W3CDTF">2021-11-25T08:26:12Z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A7A2F006E8BF4C099C226C3E11FD59A2</vt:lpwstr>
  </property>
</Properties>
</file>