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pStyle w:val="13"/>
        <w:spacing w:before="0" w:line="360" w:lineRule="auto"/>
        <w:ind w:left="0" w:right="0" w:firstLine="0"/>
        <w:jc w:val="center"/>
        <w:rPr>
          <w:rFonts w:hint="eastAsia" w:ascii="楷体" w:hAnsi="楷体" w:eastAsia="楷体" w:cs="楷体"/>
          <w:sz w:val="36"/>
          <w:szCs w:val="36"/>
          <w:highlight w:val="none"/>
          <w:lang w:eastAsia="zh-Hans"/>
        </w:rPr>
      </w:pPr>
      <w:r>
        <w:rPr>
          <w:rFonts w:hint="eastAsia" w:ascii="楷体" w:hAnsi="楷体" w:eastAsia="楷体" w:cs="楷体"/>
          <w:sz w:val="36"/>
          <w:szCs w:val="36"/>
          <w:highlight w:val="none"/>
        </w:rPr>
        <w:t>铜川市</w:t>
      </w:r>
      <w:r>
        <w:rPr>
          <w:rFonts w:hint="eastAsia" w:ascii="楷体" w:hAnsi="楷体" w:eastAsia="楷体" w:cs="楷体"/>
          <w:sz w:val="36"/>
          <w:szCs w:val="36"/>
          <w:highlight w:val="none"/>
          <w:lang w:val="en-US" w:eastAsia="zh-CN"/>
        </w:rPr>
        <w:t>新区2020年度创建全国文明城市工作领导小组办公室</w:t>
      </w:r>
      <w:r>
        <w:rPr>
          <w:rFonts w:hint="eastAsia" w:ascii="楷体" w:hAnsi="楷体" w:eastAsia="楷体" w:cs="楷体"/>
          <w:sz w:val="36"/>
          <w:szCs w:val="36"/>
          <w:highlight w:val="none"/>
          <w:lang w:eastAsia="zh-Hans"/>
        </w:rPr>
        <w:t>部门</w:t>
      </w:r>
      <w:r>
        <w:rPr>
          <w:rFonts w:hint="eastAsia" w:ascii="楷体" w:hAnsi="楷体" w:eastAsia="楷体" w:cs="楷体"/>
          <w:sz w:val="36"/>
          <w:szCs w:val="36"/>
          <w:highlight w:val="none"/>
        </w:rPr>
        <w:t>整体支出</w:t>
      </w:r>
      <w:r>
        <w:rPr>
          <w:rFonts w:hint="eastAsia" w:ascii="楷体" w:hAnsi="楷体" w:eastAsia="楷体" w:cs="楷体"/>
          <w:sz w:val="36"/>
          <w:szCs w:val="36"/>
          <w:highlight w:val="none"/>
          <w:lang w:eastAsia="zh-Hans"/>
        </w:rPr>
        <w:t>重点</w:t>
      </w:r>
    </w:p>
    <w:p>
      <w:pPr>
        <w:pStyle w:val="13"/>
        <w:keepNext w:val="0"/>
        <w:keepLines w:val="0"/>
        <w:pageBreakBefore w:val="0"/>
        <w:widowControl w:val="0"/>
        <w:kinsoku/>
        <w:wordWrap/>
        <w:overflowPunct/>
        <w:topLinePunct w:val="0"/>
        <w:autoSpaceDE w:val="0"/>
        <w:autoSpaceDN w:val="0"/>
        <w:bidi w:val="0"/>
        <w:adjustRightInd/>
        <w:snapToGrid/>
        <w:spacing w:before="0" w:line="1200" w:lineRule="exact"/>
        <w:ind w:left="0" w:right="0" w:firstLine="0"/>
        <w:jc w:val="center"/>
        <w:textAlignment w:val="auto"/>
        <w:rPr>
          <w:sz w:val="72"/>
          <w:szCs w:val="72"/>
          <w:highlight w:val="none"/>
        </w:rPr>
      </w:pPr>
      <w:r>
        <w:rPr>
          <w:rFonts w:hint="eastAsia"/>
          <w:sz w:val="72"/>
          <w:szCs w:val="72"/>
          <w:highlight w:val="none"/>
        </w:rPr>
        <w:t>绩</w:t>
      </w:r>
      <w:r>
        <w:rPr>
          <w:rFonts w:hint="eastAsia"/>
          <w:sz w:val="72"/>
          <w:szCs w:val="72"/>
          <w:highlight w:val="none"/>
          <w:lang w:val="en-US" w:eastAsia="zh-CN"/>
        </w:rPr>
        <w:t xml:space="preserve"> </w:t>
      </w:r>
      <w:r>
        <w:rPr>
          <w:rFonts w:hint="eastAsia"/>
          <w:sz w:val="72"/>
          <w:szCs w:val="72"/>
          <w:highlight w:val="none"/>
        </w:rPr>
        <w:t>效</w:t>
      </w:r>
      <w:r>
        <w:rPr>
          <w:rFonts w:hint="eastAsia"/>
          <w:sz w:val="72"/>
          <w:szCs w:val="72"/>
          <w:highlight w:val="none"/>
          <w:lang w:val="en-US" w:eastAsia="zh-CN"/>
        </w:rPr>
        <w:t xml:space="preserve"> </w:t>
      </w:r>
      <w:r>
        <w:rPr>
          <w:rFonts w:hint="eastAsia"/>
          <w:sz w:val="72"/>
          <w:szCs w:val="72"/>
          <w:highlight w:val="none"/>
        </w:rPr>
        <w:t>评</w:t>
      </w:r>
      <w:r>
        <w:rPr>
          <w:rFonts w:hint="eastAsia"/>
          <w:sz w:val="72"/>
          <w:szCs w:val="72"/>
          <w:highlight w:val="none"/>
          <w:lang w:val="en-US" w:eastAsia="zh-CN"/>
        </w:rPr>
        <w:t xml:space="preserve"> </w:t>
      </w:r>
      <w:r>
        <w:rPr>
          <w:rFonts w:hint="eastAsia"/>
          <w:sz w:val="72"/>
          <w:szCs w:val="72"/>
          <w:highlight w:val="none"/>
        </w:rPr>
        <w:t>价</w:t>
      </w:r>
      <w:r>
        <w:rPr>
          <w:rFonts w:hint="eastAsia"/>
          <w:sz w:val="72"/>
          <w:szCs w:val="72"/>
          <w:highlight w:val="none"/>
          <w:lang w:val="en-US" w:eastAsia="zh-CN"/>
        </w:rPr>
        <w:t xml:space="preserve"> </w:t>
      </w:r>
      <w:r>
        <w:rPr>
          <w:sz w:val="72"/>
          <w:szCs w:val="72"/>
          <w:highlight w:val="none"/>
        </w:rPr>
        <w:t>报</w:t>
      </w:r>
      <w:r>
        <w:rPr>
          <w:rFonts w:hint="eastAsia"/>
          <w:sz w:val="72"/>
          <w:szCs w:val="72"/>
          <w:highlight w:val="none"/>
          <w:lang w:val="en-US" w:eastAsia="zh-CN"/>
        </w:rPr>
        <w:t xml:space="preserve"> </w:t>
      </w:r>
      <w:r>
        <w:rPr>
          <w:sz w:val="72"/>
          <w:szCs w:val="72"/>
          <w:highlight w:val="none"/>
        </w:rPr>
        <w:t>告</w:t>
      </w: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widowControl w:val="0"/>
        <w:ind w:firstLine="562" w:firstLineChars="100"/>
        <w:jc w:val="both"/>
        <w:rPr>
          <w:rFonts w:ascii="黑体"/>
          <w:b/>
          <w:sz w:val="56"/>
          <w:highlight w:val="none"/>
        </w:rPr>
      </w:pPr>
    </w:p>
    <w:p>
      <w:pPr>
        <w:pStyle w:val="2"/>
        <w:spacing w:before="0"/>
        <w:ind w:left="0"/>
        <w:rPr>
          <w:rFonts w:ascii="黑体"/>
          <w:b/>
          <w:sz w:val="56"/>
          <w:highlight w:val="none"/>
          <w:u w:val="none"/>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bidi="ar-SA"/>
        </w:rPr>
      </w:pPr>
      <w:r>
        <w:rPr>
          <w:rFonts w:hint="eastAsia" w:ascii="楷体" w:hAnsi="楷体" w:eastAsia="楷体" w:cs="楷体"/>
          <w:b w:val="0"/>
          <w:bCs/>
          <w:color w:val="auto"/>
          <w:sz w:val="32"/>
          <w:szCs w:val="32"/>
          <w:highlight w:val="none"/>
          <w:u w:val="none"/>
          <w:lang w:val="en-US" w:eastAsia="zh-CN"/>
        </w:rPr>
        <w:t>项目单位</w:t>
      </w:r>
      <w:bookmarkStart w:id="37" w:name="_GoBack"/>
      <w:bookmarkEnd w:id="37"/>
      <w:r>
        <w:rPr>
          <w:rFonts w:hint="eastAsia" w:ascii="楷体" w:hAnsi="楷体" w:eastAsia="楷体" w:cs="楷体"/>
          <w:b w:val="0"/>
          <w:bCs/>
          <w:color w:val="auto"/>
          <w:sz w:val="32"/>
          <w:szCs w:val="32"/>
          <w:highlight w:val="none"/>
          <w:u w:val="none"/>
          <w:lang w:val="en-US" w:eastAsia="zh-CN"/>
        </w:rPr>
        <w:t xml:space="preserve">：铜川市新区创文办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w:t>
      </w:r>
      <w:r>
        <w:rPr>
          <w:rFonts w:hint="eastAsia" w:ascii="楷体" w:hAnsi="楷体" w:eastAsia="楷体" w:cs="楷体"/>
          <w:b w:val="0"/>
          <w:bCs/>
          <w:color w:val="auto"/>
          <w:sz w:val="32"/>
          <w:szCs w:val="32"/>
          <w:highlight w:val="none"/>
          <w:u w:val="none"/>
          <w:lang w:val="en-US" w:eastAsia="zh-Hans"/>
        </w:rPr>
        <w:t>单位</w:t>
      </w:r>
      <w:r>
        <w:rPr>
          <w:rFonts w:hint="eastAsia" w:ascii="楷体" w:hAnsi="楷体" w:eastAsia="楷体" w:cs="楷体"/>
          <w:b w:val="0"/>
          <w:bCs/>
          <w:color w:val="auto"/>
          <w:sz w:val="32"/>
          <w:szCs w:val="32"/>
          <w:highlight w:val="none"/>
          <w:u w:val="none"/>
          <w:lang w:val="en-US" w:eastAsia="zh-CN"/>
        </w:rPr>
        <w:t xml:space="preserve">：铜川市新区财政局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Hans"/>
        </w:rPr>
        <w:t>评价</w:t>
      </w:r>
      <w:r>
        <w:rPr>
          <w:rFonts w:hint="eastAsia" w:ascii="楷体" w:hAnsi="楷体" w:eastAsia="楷体" w:cs="楷体"/>
          <w:b w:val="0"/>
          <w:bCs/>
          <w:color w:val="auto"/>
          <w:sz w:val="32"/>
          <w:szCs w:val="32"/>
          <w:highlight w:val="none"/>
          <w:u w:val="none"/>
          <w:lang w:val="en-US" w:eastAsia="zh-CN"/>
        </w:rPr>
        <w:t>机构：深圳市万德公共咨询有限公司</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报告编号：铜新评价2021-08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编制日期：2021年11月       </w:t>
      </w:r>
    </w:p>
    <w:p>
      <w:pPr>
        <w:rPr>
          <w:rFonts w:hint="eastAsia" w:ascii="仿宋_GB2312" w:hAnsi="仿宋_GB2312" w:eastAsia="仿宋_GB2312" w:cs="仿宋_GB2312"/>
          <w:b/>
          <w:sz w:val="32"/>
          <w:szCs w:val="32"/>
        </w:rPr>
      </w:pPr>
    </w:p>
    <w:p>
      <w:pPr>
        <w:rPr>
          <w:rFonts w:hint="eastAsia" w:ascii="仿宋_GB2312" w:hAnsi="仿宋_GB2312" w:eastAsia="仿宋_GB2312" w:cs="仿宋_GB2312"/>
          <w:b/>
          <w:sz w:val="32"/>
          <w:szCs w:val="32"/>
        </w:rPr>
      </w:pPr>
    </w:p>
    <w:p>
      <w:pPr>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2020年度</w:t>
      </w:r>
      <w:r>
        <w:rPr>
          <w:rFonts w:hint="eastAsia"/>
          <w:b/>
          <w:bCs/>
          <w:color w:val="auto"/>
          <w:sz w:val="36"/>
          <w:szCs w:val="36"/>
          <w:highlight w:val="none"/>
          <w:lang w:val="en-US" w:eastAsia="zh-CN"/>
        </w:rPr>
        <w:t>创文办</w:t>
      </w:r>
      <w:r>
        <w:rPr>
          <w:rFonts w:hint="eastAsia" w:ascii="宋体" w:hAnsi="宋体"/>
          <w:b/>
          <w:bCs/>
          <w:color w:val="auto"/>
          <w:sz w:val="36"/>
          <w:szCs w:val="36"/>
          <w:highlight w:val="none"/>
          <w:lang w:val="en-US" w:eastAsia="zh-CN"/>
        </w:rPr>
        <w:t>部门整体支出重点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绩效评价总览</w:t>
      </w:r>
    </w:p>
    <w:tbl>
      <w:tblPr>
        <w:tblStyle w:val="15"/>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2033"/>
        <w:gridCol w:w="1718"/>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9"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铜川市新区2020年度创文办部门整体支出重点绩效评价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9"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铜川市新区创建全国文明城市工作领导小组办公室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铜川市新区财政局事财科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铜川市新区创文办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9"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619.89万元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9"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当年财政拨款343.67万元（55.44%）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9"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年度支出494.33万元，占比79.74%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9"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1.保障新区创文办所有在职人员正常办公。2.保障新区创文办所有工作正常运转。3.2020 年全国文明城市创建和国卫复审工作已经到了冲刺的紧要关头，以创建复审为民的情怀，以坚持不懈的努力，以求真务实的作风，圆满完成各项工作。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9"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临聘人员和文明交通劝导员保障数量、新区书画院培训、城中村、城乡结合部环境卫生及公厕管护、制作大型立柱宣传牌。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0"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9"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1.年内完成临聘人员和文明交通劝导员保障工作。</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2.新区书画院相关主题培训和讲座受疫情影响未完成。</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3.大型立柱宣传牌和宣传物品制作采购完成。             </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4.城区“三不管”区域环境整治工作完成。</w:t>
            </w:r>
          </w:p>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5.公厕管护工作完成。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经综合评价表明，专项资金使用情况整体表现良好，综合评分为83.17分，绩效等级为“良”。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加强运营成本控制，落实“过紧日子”思想，对于一般性支出经费严格控制在年度预算批复规模内，未出现超预算或无预算支出情况。2.加大精神文明宣传，强化精神文明建设。3.完善人居环境整治工作，建立环境整治督查机制。通过各街道办牵头招标，采用政府购买服务方式，实现27个村卫生保洁清运全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bl>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sectPr>
          <w:headerReference r:id="rId3" w:type="default"/>
          <w:footerReference r:id="rId4" w:type="default"/>
          <w:pgSz w:w="11910" w:h="16840"/>
          <w:pgMar w:top="2098" w:right="1474" w:bottom="1984" w:left="1587" w:header="1017" w:footer="1206" w:gutter="0"/>
          <w:pgNumType w:fmt="decimal" w:start="1"/>
          <w:cols w:equalWidth="0" w:num="1">
            <w:col w:w="8810"/>
          </w:cols>
        </w:sectPr>
      </w:pPr>
    </w:p>
    <w:tbl>
      <w:tblPr>
        <w:tblStyle w:val="15"/>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2033"/>
        <w:gridCol w:w="1718"/>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存在问题：1.信息公开力度不足，预算调整幅度明显。2.预算执行缺乏监控，预算执行未达预期。3.绩效目标明确性欠缺，效益指标量化度不足。4.培训讲座形式单一，社区文明有待加强。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相关建议：1.规范预决算信息公开，提升预算科学性。2.建立预算执行监控机制，优化支出合理性。3.加强绩效目标设定管理，提升目标指导性。4.丰富文明培训工作形式，提高社区文明度。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14</w:t>
            </w:r>
          </w:p>
        </w:tc>
        <w:tc>
          <w:tcPr>
            <w:tcW w:w="95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11.47</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30</w:t>
            </w:r>
          </w:p>
        </w:tc>
        <w:tc>
          <w:tcPr>
            <w:tcW w:w="95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22.99</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76.63%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24</w:t>
            </w:r>
          </w:p>
        </w:tc>
        <w:tc>
          <w:tcPr>
            <w:tcW w:w="95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22.80</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32</w:t>
            </w:r>
          </w:p>
        </w:tc>
        <w:tc>
          <w:tcPr>
            <w:tcW w:w="95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25.91</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95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宋体" w:hAnsi="宋体" w:eastAsia="宋体" w:cs="宋体"/>
                <w:i w:val="0"/>
                <w:color w:val="000000"/>
                <w:kern w:val="0"/>
                <w:sz w:val="24"/>
                <w:szCs w:val="24"/>
                <w:u w:val="none"/>
                <w:lang w:val="en-US" w:eastAsia="zh-CN" w:bidi="ar"/>
              </w:rPr>
              <w:t>8</w:t>
            </w:r>
            <w:r>
              <w:rPr>
                <w:rFonts w:hint="eastAsia" w:cs="宋体"/>
                <w:i w:val="0"/>
                <w:color w:val="000000"/>
                <w:kern w:val="0"/>
                <w:sz w:val="24"/>
                <w:szCs w:val="24"/>
                <w:u w:val="none"/>
                <w:lang w:val="en-US" w:eastAsia="zh-CN" w:bidi="ar"/>
              </w:rPr>
              <w:t>3.17</w:t>
            </w:r>
          </w:p>
        </w:tc>
        <w:tc>
          <w:tcPr>
            <w:tcW w:w="167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83.17</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keepNext w:val="0"/>
        <w:keepLines w:val="0"/>
        <w:pageBreakBefore w:val="0"/>
        <w:widowControl w:val="0"/>
        <w:tabs>
          <w:tab w:val="right" w:leader="dot" w:pos="8304"/>
        </w:tabs>
        <w:kinsoku/>
        <w:wordWrap/>
        <w:overflowPunct/>
        <w:topLinePunct w:val="0"/>
        <w:autoSpaceDE w:val="0"/>
        <w:autoSpaceDN w:val="0"/>
        <w:bidi w:val="0"/>
        <w:adjustRightInd/>
        <w:snapToGrid/>
        <w:spacing w:line="420" w:lineRule="exact"/>
        <w:ind w:right="0" w:rightChars="0"/>
        <w:jc w:val="left"/>
        <w:textAlignment w:val="auto"/>
        <w:outlineLvl w:val="9"/>
        <w:rPr>
          <w:rFonts w:hint="eastAsia" w:ascii="Times New Roman" w:eastAsia="Times New Roman"/>
          <w:highlight w:val="none"/>
        </w:rPr>
        <w:sectPr>
          <w:footerReference r:id="rId5" w:type="default"/>
          <w:pgSz w:w="11910" w:h="16840"/>
          <w:pgMar w:top="1440" w:right="1803" w:bottom="1440" w:left="1803" w:header="1017" w:footer="1206" w:gutter="0"/>
          <w:pgNumType w:fmt="decimal"/>
          <w:cols w:equalWidth="0" w:num="1">
            <w:col w:w="8810"/>
          </w:cols>
        </w:sect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新区2020年度创文办</w:t>
      </w:r>
      <w:r>
        <w:rPr>
          <w:rFonts w:hint="eastAsia" w:ascii="方正小标宋" w:hAnsi="方正小标宋" w:eastAsia="方正小标宋" w:cs="方正小标宋"/>
          <w:b/>
          <w:sz w:val="36"/>
          <w:highlight w:val="none"/>
        </w:rPr>
        <w:t>部门整体支出</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文件要求，从投入、过程、产出、效果四个维度对新区创文办2020年度部门整体支出进行绩效评价。经过资料审查、数据采集、现场访谈、社会调查等评价程序，运用科学、合理的绩效评价方法，形成本绩效评价报告。</w:t>
      </w:r>
      <w:bookmarkStart w:id="0" w:name="一、项目基本情况"/>
      <w:bookmarkEnd w:id="0"/>
      <w:bookmarkStart w:id="1" w:name="_bookmark0"/>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2" w:name="_Toc7337"/>
      <w:r>
        <w:rPr>
          <w:rFonts w:hint="eastAsia" w:ascii="黑体" w:hAnsi="黑体" w:eastAsia="黑体" w:cs="黑体"/>
          <w:b w:val="0"/>
          <w:bCs w:val="0"/>
          <w:color w:val="auto"/>
          <w:kern w:val="0"/>
          <w:sz w:val="32"/>
          <w:szCs w:val="32"/>
          <w:highlight w:val="none"/>
          <w:lang w:val="en-US" w:eastAsia="zh-CN"/>
        </w:rPr>
        <w:t>一、部门基本情况</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3" w:name="_Toc8014"/>
      <w:r>
        <w:rPr>
          <w:rFonts w:hint="eastAsia" w:ascii="楷体" w:hAnsi="楷体" w:eastAsia="楷体" w:cs="楷体"/>
          <w:b/>
          <w:bCs/>
          <w:color w:val="auto"/>
          <w:kern w:val="0"/>
          <w:sz w:val="32"/>
          <w:szCs w:val="32"/>
          <w:highlight w:val="none"/>
          <w:lang w:val="en-US" w:eastAsia="zh-CN"/>
        </w:rPr>
        <w:t>（一）部门概况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（1）负责全区巩固提升文明城市卫生城市工作。承担全国文明城市国卫复核工作的综合协调、安排部署、组织落实及指导考核、督查督办、宣传教育、档案管理等任务。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（2）负责全区精神文明建设工作。承担各级文明单位（村）的创建，未成年人思想道德教育，各级道德模范和身边好人等评选推荐、“志愿云”操作系统审核、组织开展志愿者服务等工作。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（3）完成市文明办交办的其他工作任务。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（4）完成市创文办交办的其他工作任务。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（5）完成新区工委、管委会交办的其他工作任务。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铜川市新区创文办是新区工委、管委会常设临时机构，与新区文明办一套人马、两块牌子、合署办公。内设5个科室，包括综合协调科、宣传教育科、创建科、档案资料科、督导督查科</w:t>
      </w:r>
      <w:r>
        <w:rPr>
          <w:rFonts w:hint="eastAsia" w:ascii="仿宋" w:hAnsi="仿宋" w:eastAsia="仿宋" w:cs="仿宋"/>
          <w:color w:val="auto"/>
          <w:kern w:val="0"/>
          <w:sz w:val="32"/>
          <w:szCs w:val="32"/>
          <w:highlight w:val="none"/>
          <w:lang w:val="en-US" w:eastAsia="zh-Hans"/>
        </w:rPr>
        <w:t>。</w:t>
      </w:r>
      <w:r>
        <w:rPr>
          <w:rFonts w:hint="eastAsia" w:ascii="仿宋" w:hAnsi="仿宋" w:eastAsia="仿宋" w:cs="仿宋"/>
          <w:color w:val="auto"/>
          <w:kern w:val="0"/>
          <w:sz w:val="32"/>
          <w:szCs w:val="32"/>
          <w:highlight w:val="none"/>
          <w:lang w:val="en-US" w:eastAsia="zh-CN"/>
        </w:rPr>
        <w:t>其中主任1名，副主任2名，工作人员18名，共22人。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创文办2020年部门预算和决算文件内容，2020年新区创文办部门收到当年预算批复资金247.40万元，（保洁绿化公司管护费项目45.70万元，该资金由于路段调整已申请收回），2019年目标考核奖励22.8万元，上年结转276.23万元，上级拨付资金72万元，追加资金47.17万元，总计年度预算资金619.89万元。实际完成支出494.33万元，当年预算执行率为79.74%。其中：保洁绿化公司管护费项目45.70万元由于路段进行调整，该资金申请财政收回；文明劝导员工资支出由于疫情及人员减少项目未完成；人居环境卫生整治及厕所维护项目为分期付款，年度支付50%，剩余50%2021年支付，受疫情影响，新区书画院培训减少，当年预算结余125.57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4" w:name="_Toc902"/>
      <w:r>
        <w:rPr>
          <w:rFonts w:hint="eastAsia" w:ascii="楷体" w:hAnsi="楷体" w:eastAsia="楷体" w:cs="楷体"/>
          <w:b/>
          <w:bCs/>
          <w:color w:val="auto"/>
          <w:kern w:val="0"/>
          <w:sz w:val="32"/>
          <w:szCs w:val="32"/>
          <w:highlight w:val="none"/>
          <w:shd w:val="clear" w:color="auto" w:fill="FFFFFF"/>
          <w:lang w:val="en-US" w:eastAsia="zh-CN"/>
        </w:rPr>
        <w:t>（二）绩效目标</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1.总体绩效目标</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进一步提高广大市民对创建全国文明城市工作的知晓率、参与率，营造浓厚的创建氛围，全方位、多角度地展示新区形象，制作社会主义核心价值观、讲文明树新风、关爱未成年人、创建全国文明城市、邻里和睦、志愿服务、居民公约等公益广告宣传。举全区之力，对标对表、查缺补漏、不折不扣完成好各项任务，整治农村垃圾乱堆乱放、污水横流等“顽疾”，决战决胜国家卫生城市复审工作。</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部门整体支出绩效目标申报表》和《2020年</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部门整体绩效自评报告》，</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2020年度绩效</w:t>
      </w:r>
      <w:r>
        <w:rPr>
          <w:rFonts w:hint="eastAsia" w:ascii="仿宋" w:hAnsi="仿宋" w:eastAsia="仿宋" w:cs="仿宋"/>
          <w:color w:val="auto"/>
          <w:kern w:val="0"/>
          <w:sz w:val="32"/>
          <w:szCs w:val="32"/>
          <w:highlight w:val="none"/>
          <w:shd w:val="clear" w:color="auto" w:fill="FFFFFF"/>
          <w:lang w:val="en-US" w:eastAsia="zh-CN"/>
        </w:rPr>
        <w:t>目标</w:t>
      </w:r>
      <w:r>
        <w:rPr>
          <w:rFonts w:hint="eastAsia" w:ascii="仿宋" w:hAnsi="仿宋" w:eastAsia="仿宋" w:cs="仿宋"/>
          <w:color w:val="auto"/>
          <w:kern w:val="0"/>
          <w:sz w:val="32"/>
          <w:szCs w:val="32"/>
          <w:highlight w:val="none"/>
          <w:shd w:val="clear" w:color="auto" w:fill="FFFFFF"/>
          <w:lang w:val="en-US" w:eastAsia="zh-Hans"/>
        </w:rPr>
        <w:t>设置情况如</w:t>
      </w:r>
      <w:r>
        <w:rPr>
          <w:rFonts w:hint="eastAsia" w:ascii="仿宋" w:hAnsi="仿宋" w:eastAsia="仿宋" w:cs="仿宋"/>
          <w:color w:val="auto"/>
          <w:kern w:val="0"/>
          <w:sz w:val="32"/>
          <w:szCs w:val="32"/>
          <w:highlight w:val="none"/>
          <w:shd w:val="clear" w:color="auto" w:fill="FFFFFF"/>
          <w:lang w:val="en-US" w:eastAsia="zh-CN"/>
        </w:rPr>
        <w:t>表1-1</w:t>
      </w:r>
      <w:r>
        <w:rPr>
          <w:rFonts w:hint="eastAsia" w:ascii="仿宋" w:hAnsi="仿宋" w:eastAsia="仿宋" w:cs="仿宋"/>
          <w:color w:val="auto"/>
          <w:kern w:val="0"/>
          <w:sz w:val="32"/>
          <w:szCs w:val="32"/>
          <w:highlight w:val="none"/>
          <w:shd w:val="clear" w:color="auto" w:fill="FFFFFF"/>
          <w:lang w:val="en-US" w:eastAsia="zh-Hans"/>
        </w:rPr>
        <w:t>所示：</w:t>
      </w:r>
      <w:bookmarkStart w:id="5" w:name="_Toc100973726_WPSOffice_Level2"/>
      <w:bookmarkStart w:id="6" w:name="_Toc2080160388_WPSOffice_Level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表1-1 新区创文办部门整体支出年度绩效目标</w:t>
      </w:r>
      <w:bookmarkEnd w:id="5"/>
      <w:bookmarkEnd w:id="6"/>
      <w:r>
        <w:rPr>
          <w:rFonts w:hint="eastAsia" w:ascii="仿宋" w:hAnsi="仿宋" w:eastAsia="仿宋" w:cs="仿宋"/>
          <w:b/>
          <w:bCs/>
          <w:color w:val="auto"/>
          <w:kern w:val="0"/>
          <w:sz w:val="28"/>
          <w:szCs w:val="28"/>
          <w:highlight w:val="none"/>
          <w:lang w:val="en-US" w:eastAsia="zh-CN"/>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1067"/>
        <w:gridCol w:w="1273"/>
        <w:gridCol w:w="1302"/>
        <w:gridCol w:w="3739"/>
        <w:gridCol w:w="1445"/>
      </w:tblGrid>
      <w:tr>
        <w:tblPrEx>
          <w:shd w:val="clear" w:color="auto" w:fill="auto"/>
          <w:tblCellMar>
            <w:top w:w="0" w:type="dxa"/>
            <w:left w:w="0" w:type="dxa"/>
            <w:bottom w:w="0" w:type="dxa"/>
            <w:right w:w="0" w:type="dxa"/>
          </w:tblCellMar>
        </w:tblPrEx>
        <w:trPr>
          <w:trHeight w:val="461" w:hRule="atLeast"/>
        </w:trPr>
        <w:tc>
          <w:tcPr>
            <w:tcW w:w="6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预算部门</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指标内容</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指标值</w:t>
            </w:r>
          </w:p>
        </w:tc>
      </w:tr>
      <w:tr>
        <w:tblPrEx>
          <w:shd w:val="clear" w:color="auto" w:fill="auto"/>
          <w:tblCellMar>
            <w:top w:w="0" w:type="dxa"/>
            <w:left w:w="0" w:type="dxa"/>
            <w:bottom w:w="0" w:type="dxa"/>
            <w:right w:w="0" w:type="dxa"/>
          </w:tblCellMar>
        </w:tblPrEx>
        <w:trPr>
          <w:trHeight w:val="300" w:hRule="atLeast"/>
        </w:trPr>
        <w:tc>
          <w:tcPr>
            <w:tcW w:w="60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铜川市新区创文办</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产出指标</w:t>
            </w: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数量指标</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临聘人员支出</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13人</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文明交通劝导员支出</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30人</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制作大型立柱宣传牌</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w:t>
            </w:r>
            <w:r>
              <w:rPr>
                <w:rStyle w:val="32"/>
                <w:rFonts w:hint="eastAsia" w:ascii="仿宋" w:hAnsi="仿宋" w:eastAsia="仿宋" w:cs="仿宋"/>
                <w:lang w:val="en-US" w:eastAsia="zh-CN" w:bidi="ar"/>
              </w:rPr>
              <w:t>4块</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新区书画院举办“翰墨铜川 书香新区”专题讲座</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≧12场</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新区书画院举办“修身养性 书香人生”进行培训</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≧50次</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检查、督查城中村、城乡结合部环境卫生及公厕管护</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≧12次</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质量指标</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临聘人员工资发放率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对不文明行为的劝导率及劝导计划完成率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广告牌制作合格率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国标</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培训收益率及专题讲座收益率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生活垃圾清理率及公厕卫生清理率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城中村、城乡结合部卫生合格率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时效指标</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临聘、劝导员工资发放时效</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月底前</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大型立柱广告牌按项目执行进度的资金支付及时率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书画院培训费用及专题讲座费用支付及时率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培训、专题讲座计划按期完成率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垃圾清理间隔时效</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w:t>
            </w:r>
            <w:r>
              <w:rPr>
                <w:rStyle w:val="32"/>
                <w:rFonts w:hint="eastAsia" w:ascii="仿宋" w:hAnsi="仿宋" w:eastAsia="仿宋" w:cs="仿宋"/>
                <w:lang w:val="en-US" w:eastAsia="zh-CN" w:bidi="ar"/>
              </w:rPr>
              <w:t>24小时</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公厕清理间隔时间</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≧3次/天</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成本指标</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2020年人员支出</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≦65.1万元</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2020年公用支出</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≦3.6万元</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创文宣传广告牌，城市出入口、主要路段设立大型宣传牌</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≦50万元</w:t>
            </w:r>
          </w:p>
        </w:tc>
      </w:tr>
      <w:tr>
        <w:tblPrEx>
          <w:shd w:val="clear" w:color="auto" w:fill="auto"/>
          <w:tblCellMar>
            <w:top w:w="0" w:type="dxa"/>
            <w:left w:w="0" w:type="dxa"/>
            <w:bottom w:w="0" w:type="dxa"/>
            <w:right w:w="0" w:type="dxa"/>
          </w:tblCellMar>
        </w:tblPrEx>
        <w:trPr>
          <w:trHeight w:val="9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确保城中村、城乡结合部环境卫生大提升。彻底整治农村垃圾乱堆乱放、污水横流“顽疾”决战决胜巩固提升国家卫生城市复审工作</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≦125.7万元</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效益指标</w:t>
            </w: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提高失业人员、大学生就业率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有所提高</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促进文明建设</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有效促进</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优化城市形象、提高干部职工文化素养</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有所提高</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公厕管护、垃圾清运使城乡卫生事故查处率降低</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效果显著</w:t>
            </w:r>
          </w:p>
        </w:tc>
      </w:tr>
      <w:tr>
        <w:tblPrEx>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营造干净整洁的公共空间和社会环境</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效果显著</w:t>
            </w:r>
          </w:p>
        </w:tc>
      </w:tr>
      <w:tr>
        <w:tblPrEx>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空气质量改善效果</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效果显著</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卫生环境整洁率</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有所改善</w:t>
            </w:r>
          </w:p>
        </w:tc>
      </w:tr>
      <w:tr>
        <w:tblPrEx>
          <w:shd w:val="clear" w:color="auto" w:fill="auto"/>
          <w:tblCellMar>
            <w:top w:w="0" w:type="dxa"/>
            <w:left w:w="0" w:type="dxa"/>
            <w:bottom w:w="0" w:type="dxa"/>
            <w:right w:w="0" w:type="dxa"/>
          </w:tblCellMar>
        </w:tblPrEx>
        <w:trPr>
          <w:trHeight w:val="6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在潜移默化中提高人们的交通文明素质，推动城市文明社会和谐的社会构建</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长期</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满意度指标</w:t>
            </w:r>
          </w:p>
        </w:tc>
        <w:tc>
          <w:tcPr>
            <w:tcW w:w="73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w:t>
            </w: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政府部门、群众满意度</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w:t>
            </w:r>
          </w:p>
        </w:tc>
      </w:tr>
      <w:tr>
        <w:tblPrEx>
          <w:shd w:val="clear" w:color="auto" w:fill="auto"/>
          <w:tblCellMar>
            <w:top w:w="0" w:type="dxa"/>
            <w:left w:w="0" w:type="dxa"/>
            <w:bottom w:w="0" w:type="dxa"/>
            <w:right w:w="0" w:type="dxa"/>
          </w:tblCellMar>
        </w:tblPrEx>
        <w:trPr>
          <w:trHeight w:val="30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1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临聘人员满意度</w:t>
            </w:r>
          </w:p>
        </w:tc>
        <w:tc>
          <w:tcPr>
            <w:tcW w:w="81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7" w:name="_Toc29594"/>
      <w:r>
        <w:rPr>
          <w:rFonts w:hint="eastAsia" w:ascii="黑体" w:hAnsi="黑体" w:eastAsia="黑体" w:cs="黑体"/>
          <w:b w:val="0"/>
          <w:bCs w:val="0"/>
          <w:color w:val="auto"/>
          <w:kern w:val="0"/>
          <w:sz w:val="32"/>
          <w:szCs w:val="32"/>
          <w:highlight w:val="none"/>
          <w:lang w:val="en-US" w:eastAsia="zh-CN"/>
        </w:rPr>
        <w:t>二、绩效评价工作开展情况</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8" w:name="_Toc27031"/>
      <w:r>
        <w:rPr>
          <w:rFonts w:hint="eastAsia" w:ascii="楷体" w:hAnsi="楷体" w:eastAsia="楷体" w:cs="楷体"/>
          <w:b/>
          <w:bCs/>
          <w:color w:val="auto"/>
          <w:kern w:val="0"/>
          <w:sz w:val="32"/>
          <w:szCs w:val="32"/>
          <w:highlight w:val="none"/>
          <w:lang w:val="en-US" w:eastAsia="zh-CN"/>
        </w:rPr>
        <w:t>（一）绩效评价目的和依据</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以及《地方预决算公开操作规程》（铜财预〔2016〕102 号）</w:t>
      </w:r>
      <w:r>
        <w:rPr>
          <w:rFonts w:hint="eastAsia" w:ascii="仿宋" w:hAnsi="仿宋" w:eastAsia="仿宋" w:cs="仿宋"/>
          <w:color w:val="auto"/>
          <w:kern w:val="0"/>
          <w:sz w:val="32"/>
          <w:szCs w:val="32"/>
          <w:highlight w:val="none"/>
          <w:shd w:val="clear" w:color="auto" w:fill="FFFFFF"/>
          <w:lang w:val="en-US" w:eastAsia="zh-CN"/>
        </w:rPr>
        <w:t>和</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《铜川市预决算公开工作考核办法》（铜财预〔2018〕117号）等文件要求，依据</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铜川市新区创文办</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财政绩效管理工作积累经验，并有效落实绩效评价结果应用，探索更加符合财政项目管理特点的绩效管理模式和方法，</w:t>
      </w:r>
      <w:r>
        <w:rPr>
          <w:rFonts w:hint="eastAsia" w:ascii="仿宋" w:hAnsi="仿宋" w:eastAsia="仿宋" w:cs="仿宋"/>
          <w:color w:val="auto"/>
          <w:kern w:val="0"/>
          <w:sz w:val="32"/>
          <w:szCs w:val="32"/>
          <w:highlight w:val="none"/>
          <w:shd w:val="clear" w:color="auto" w:fill="FFFFFF"/>
          <w:lang w:val="en-US" w:eastAsia="zh-CN"/>
        </w:rPr>
        <w:t>优化财政支出结构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（5）《关于做好2020年部门预算公开的通知》（铜财预〔2020〕41号）；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（6）《铜川市预决算公开工作考核办法》（铜财预〔2018〕117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（7）铜川市人民政府办公室《关于印发铜川市财政投资评审管理办法的通知》（铜政办发〔2017〕52号）；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（8）《地方预决算公开操作规程》（铜财预〔2016〕102号）；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（9）铜川市财政局印发的《铜川市市级部门预算绩效管理工作考核办法》（铜财预〔2016〕92号）；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（10）铜川市财政局印发的《市级部门预算绩效目标管理暂行办法》（铜财预〔2016〕74号）；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（11）</w:t>
      </w:r>
      <w:r>
        <w:rPr>
          <w:rFonts w:hint="eastAsia" w:ascii="仿宋" w:hAnsi="仿宋" w:eastAsia="仿宋" w:cs="仿宋"/>
          <w:color w:val="auto"/>
          <w:kern w:val="0"/>
          <w:sz w:val="32"/>
          <w:szCs w:val="32"/>
          <w:highlight w:val="none"/>
          <w:shd w:val="clear" w:color="auto" w:fill="FFFFFF"/>
          <w:lang w:val="en-US" w:eastAsia="zh-CN"/>
        </w:rPr>
        <w:t>铜川市新区创文办2020年度部门综合预算和决算文件；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新区创文办重点工作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8095"/>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2020年部门整体支出资金619.89万元。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2020年度依据部门职能开展的工作，以及职责范围内开展的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评价时段：2020年1月1日-2020年12月31日。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10" w:name="_Toc13690"/>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（1）科学规范原则。本次绩效评价工作按照科学可行的原则，采取定量分析与定性分析相结合的评价方法，评价机构设计绩效评价工作方案并组织实施绩效评价。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财政支出及其产出绩效进行评价，评价结果反映</w:t>
      </w:r>
      <w:r>
        <w:rPr>
          <w:rFonts w:hint="eastAsia" w:ascii="仿宋" w:hAnsi="仿宋" w:eastAsia="仿宋" w:cs="仿宋"/>
          <w:color w:val="auto"/>
          <w:kern w:val="0"/>
          <w:sz w:val="32"/>
          <w:szCs w:val="32"/>
          <w:highlight w:val="none"/>
          <w:shd w:val="clear" w:color="auto" w:fill="FFFFFF"/>
          <w:lang w:val="en-US" w:eastAsia="zh-CN"/>
        </w:rPr>
        <w:t>部门财政</w:t>
      </w:r>
      <w:r>
        <w:rPr>
          <w:rFonts w:hint="eastAsia" w:ascii="仿宋" w:hAnsi="仿宋" w:eastAsia="仿宋" w:cs="仿宋"/>
          <w:color w:val="auto"/>
          <w:kern w:val="0"/>
          <w:sz w:val="32"/>
          <w:szCs w:val="32"/>
          <w:highlight w:val="none"/>
          <w:shd w:val="clear" w:color="auto" w:fill="FFFFFF"/>
          <w:lang w:val="en-US" w:eastAsia="zh-Hans"/>
        </w:rPr>
        <w:t>支出与产出绩效之间的紧密对应关系。在以评“绩效”为主的情况下，适当延伸至项目的投入与过程管理。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新区创文办提供的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新区创文办年度重点工作安排等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根据部门整体支出绩效评价的基本原理、原则和部门特点，结合《铜川市市级部门整体支出绩效评价指标及评分标准》的要求，本次绩效评价指标体系包括投入、过程、产出及效果4个一级指标，7个二级指标和2</w:t>
      </w:r>
      <w:r>
        <w:rPr>
          <w:rFonts w:hint="default" w:ascii="仿宋" w:hAnsi="仿宋" w:eastAsia="仿宋" w:cs="仿宋"/>
          <w:color w:val="auto"/>
          <w:kern w:val="0"/>
          <w:sz w:val="32"/>
          <w:szCs w:val="32"/>
          <w:highlight w:val="none"/>
          <w:shd w:val="clear" w:color="auto" w:fill="FFFFFF"/>
          <w:lang w:eastAsia="zh-Hans"/>
        </w:rPr>
        <w:t>6</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w:t>
      </w:r>
      <w:r>
        <w:rPr>
          <w:rFonts w:hint="eastAsia" w:ascii="仿宋" w:hAnsi="仿宋" w:eastAsia="仿宋" w:cs="仿宋"/>
          <w:color w:val="auto"/>
          <w:kern w:val="0"/>
          <w:sz w:val="32"/>
          <w:szCs w:val="32"/>
          <w:highlight w:val="none"/>
          <w:shd w:val="clear" w:color="auto" w:fill="FFFFFF"/>
          <w:lang w:val="en-US" w:eastAsia="zh-CN"/>
        </w:rPr>
        <w:t>公用</w:t>
      </w:r>
      <w:r>
        <w:rPr>
          <w:rFonts w:hint="eastAsia" w:ascii="仿宋" w:hAnsi="仿宋" w:eastAsia="仿宋" w:cs="仿宋"/>
          <w:color w:val="auto"/>
          <w:kern w:val="0"/>
          <w:sz w:val="32"/>
          <w:szCs w:val="32"/>
          <w:highlight w:val="none"/>
          <w:shd w:val="clear" w:color="auto" w:fill="FFFFFF"/>
          <w:lang w:val="en-US" w:eastAsia="zh-Hans"/>
        </w:rPr>
        <w:t>经费”变动率、在职人员控制率、重点支出安排率等内容。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w:t>
      </w:r>
      <w:r>
        <w:rPr>
          <w:rFonts w:hint="eastAsia" w:ascii="仿宋" w:hAnsi="仿宋" w:eastAsia="仿宋" w:cs="仿宋"/>
          <w:color w:val="auto"/>
          <w:kern w:val="0"/>
          <w:sz w:val="32"/>
          <w:szCs w:val="32"/>
          <w:highlight w:val="none"/>
          <w:shd w:val="clear" w:color="auto" w:fill="FFFFFF"/>
          <w:lang w:val="en-US" w:eastAsia="zh-CN"/>
        </w:rPr>
        <w:t>预算执行监控、</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完全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（3）产出：用于考察年度工作及项目资金投入的实际完成率、完成及时率、质量达标率和重点工作办结率等内容。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（4）效果：用于综合评价部门年度总体工作及资金投用所得项目产出产生的社会效益、生态效益、</w:t>
      </w:r>
      <w:r>
        <w:rPr>
          <w:rFonts w:hint="eastAsia" w:ascii="仿宋" w:hAnsi="仿宋" w:eastAsia="仿宋" w:cs="仿宋"/>
          <w:color w:val="auto"/>
          <w:kern w:val="0"/>
          <w:sz w:val="32"/>
          <w:szCs w:val="32"/>
          <w:highlight w:val="none"/>
          <w:shd w:val="clear" w:color="auto" w:fill="FFFFFF"/>
          <w:lang w:val="en-US" w:eastAsia="zh-CN"/>
        </w:rPr>
        <w:t>可持续行影响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1"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2020年度部门整体支出绩效进行分析和评价打分的基础数据来源于其提供的2020年</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本级部门预算表、2020年度部门决算报表、</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2" w:name="_Toc3139"/>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评价小组，联络本次绩效评价的相关部门及人员，收集相关资料，拟定前期</w:t>
      </w:r>
      <w:r>
        <w:rPr>
          <w:rFonts w:hint="eastAsia" w:ascii="仿宋" w:hAnsi="仿宋" w:eastAsia="仿宋" w:cs="仿宋"/>
          <w:color w:val="auto"/>
          <w:kern w:val="0"/>
          <w:sz w:val="32"/>
          <w:szCs w:val="32"/>
          <w:highlight w:val="none"/>
          <w:shd w:val="clear" w:color="auto" w:fill="FFFFFF"/>
          <w:lang w:val="en-US" w:eastAsia="zh-CN"/>
        </w:rPr>
        <w:t>工作</w:t>
      </w:r>
      <w:r>
        <w:rPr>
          <w:rFonts w:hint="eastAsia" w:ascii="仿宋" w:hAnsi="仿宋" w:eastAsia="仿宋" w:cs="仿宋"/>
          <w:color w:val="auto"/>
          <w:kern w:val="0"/>
          <w:sz w:val="32"/>
          <w:szCs w:val="32"/>
          <w:highlight w:val="none"/>
          <w:shd w:val="clear" w:color="auto" w:fill="FFFFFF"/>
          <w:lang w:val="en-US" w:eastAsia="zh-Hans"/>
        </w:rPr>
        <w:t>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制定工作方案。由评价小组成员与被评价部门进行充分沟通，了解部门的机构职能、职责划分、内设机构、下属预算单位等基本信息，并收集该部门2020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创文</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效果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勘察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了评价报告。报告内容翔实，逻辑清晰，结论鲜明，依据真实、充分，底稿及附件齐全。评价报告在经过与委托方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项目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3" w:name="_Toc15948"/>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的自评材料审核和现场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2020年部门整体支出绩效，评价工作组认为：总体上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新区创文办在职责履行表现较好，但在投入、过程和履职效益方面存在一定问题。评价结果分为优(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分以下)四个等次。经综合分析，该部门整体支出综合评价得分为83.17分，绩效等级为“良”。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2020年</w:t>
      </w:r>
      <w:r>
        <w:rPr>
          <w:rFonts w:hint="eastAsia" w:ascii="仿宋" w:hAnsi="仿宋" w:eastAsia="仿宋" w:cs="仿宋"/>
          <w:b/>
          <w:bCs/>
          <w:color w:val="auto"/>
          <w:kern w:val="0"/>
          <w:sz w:val="28"/>
          <w:szCs w:val="28"/>
          <w:highlight w:val="none"/>
          <w:shd w:val="clear" w:color="auto" w:fill="FFFFFF"/>
          <w:lang w:val="en-US" w:eastAsia="zh-CN"/>
        </w:rPr>
        <w:t>新区创文办</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tblCellMar>
            <w:top w:w="0" w:type="dxa"/>
            <w:left w:w="0" w:type="dxa"/>
            <w:bottom w:w="0" w:type="dxa"/>
            <w:right w:w="0" w:type="dxa"/>
          </w:tblCellMar>
        </w:tblPrEx>
        <w:trPr>
          <w:trHeight w:val="261"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11.47</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81.93%</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22.99</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76.63%</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22.8</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95.00%</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25.91</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80.97%</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w:t>
            </w:r>
            <w:r>
              <w:rPr>
                <w:rFonts w:hint="eastAsia" w:cs="宋体"/>
                <w:i w:val="0"/>
                <w:color w:val="000000"/>
                <w:kern w:val="0"/>
                <w:sz w:val="24"/>
                <w:szCs w:val="24"/>
                <w:u w:val="none"/>
                <w:lang w:val="en-US" w:eastAsia="zh-CN" w:bidi="ar"/>
              </w:rPr>
              <w:t>3.17</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83.17%</w:t>
            </w:r>
          </w:p>
        </w:tc>
      </w:tr>
      <w:tr>
        <w:tblPrEx>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83.17</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4" w:name="_Toc18098"/>
      <w:r>
        <w:rPr>
          <w:rFonts w:hint="eastAsia" w:ascii="黑体" w:hAnsi="黑体" w:eastAsia="黑体" w:cs="黑体"/>
          <w:b w:val="0"/>
          <w:bCs w:val="0"/>
          <w:color w:val="auto"/>
          <w:kern w:val="0"/>
          <w:sz w:val="32"/>
          <w:szCs w:val="32"/>
          <w:highlight w:val="none"/>
          <w:lang w:val="en-US" w:eastAsia="zh-Hans"/>
        </w:rPr>
        <w:t>四、绩效评价分析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5" w:name="_Toc19691"/>
      <w:r>
        <w:rPr>
          <w:rFonts w:hint="eastAsia" w:ascii="楷体" w:hAnsi="楷体" w:eastAsia="楷体" w:cs="楷体"/>
          <w:b/>
          <w:bCs/>
          <w:color w:val="auto"/>
          <w:kern w:val="0"/>
          <w:sz w:val="32"/>
          <w:szCs w:val="32"/>
          <w:highlight w:val="none"/>
          <w:shd w:val="clear" w:color="auto" w:fill="FFFFFF"/>
          <w:lang w:val="en-US" w:eastAsia="zh-CN"/>
        </w:rPr>
        <w:t>（一）投入方面</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w:t>
      </w:r>
      <w:r>
        <w:rPr>
          <w:rFonts w:hint="eastAsia" w:ascii="仿宋" w:hAnsi="仿宋" w:eastAsia="仿宋" w:cs="仿宋"/>
          <w:color w:val="auto"/>
          <w:kern w:val="0"/>
          <w:sz w:val="32"/>
          <w:szCs w:val="32"/>
          <w:highlight w:val="none"/>
          <w:shd w:val="clear" w:color="auto" w:fill="FFFFFF"/>
          <w:lang w:val="en-US" w:eastAsia="zh-CN"/>
        </w:rPr>
        <w:t>公用经费</w:t>
      </w:r>
      <w:r>
        <w:rPr>
          <w:rFonts w:hint="eastAsia" w:ascii="仿宋" w:hAnsi="仿宋" w:eastAsia="仿宋" w:cs="仿宋"/>
          <w:color w:val="auto"/>
          <w:kern w:val="0"/>
          <w:sz w:val="32"/>
          <w:szCs w:val="32"/>
          <w:highlight w:val="none"/>
          <w:shd w:val="clear" w:color="auto" w:fill="FFFFFF"/>
          <w:lang w:val="en-US" w:eastAsia="zh-Hans"/>
        </w:rPr>
        <w:t>”变动率、在职人员控制率、重点支出安排率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等5个三级指标，指标权重14分，评价得分11.47分，得分率为81.93%。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根据铜川市新区财政局《关于下达2020年部门预算的通知》文件附件中的新区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2020年部门整体支出绩效目标表内容，绩效目标设定符合国家法律法规和国民经济发展总体规划，符合部门职能职责范围，与部门年度工作任务和中长期工作规划相适应。</w:t>
      </w:r>
      <w:r>
        <w:rPr>
          <w:rFonts w:hint="eastAsia" w:ascii="仿宋" w:hAnsi="仿宋" w:eastAsia="仿宋" w:cs="仿宋"/>
          <w:color w:val="auto"/>
          <w:kern w:val="0"/>
          <w:sz w:val="32"/>
          <w:szCs w:val="32"/>
          <w:highlight w:val="none"/>
          <w:shd w:val="clear" w:color="auto" w:fill="FFFFFF"/>
          <w:lang w:val="en-US" w:eastAsia="zh-CN"/>
        </w:rPr>
        <w:t>但新区创文办2020年度部门综合预算文件未在新区管委会网站和相关网站予以公布，绩效目标的合理性有欠缺，结合部门整体绩效评价指标体系和评分标准，经综合评价，该项指标得分为3分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.根据铜川市新区财政局《关于下达2020年部门预算的通知》文件附件中的新区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2020年部门整体支出绩效目标表内容绩效目标根据年度部门工作内容和工作计划细化为具体的产出指标，并根据对应指标量化为可衡量的指标值。绩效目标覆盖年度全部工作任务。产出指标设置合理，指向明确、清晰。</w:t>
      </w:r>
      <w:r>
        <w:rPr>
          <w:rFonts w:hint="eastAsia" w:ascii="仿宋" w:hAnsi="仿宋" w:eastAsia="仿宋" w:cs="仿宋"/>
          <w:color w:val="auto"/>
          <w:kern w:val="0"/>
          <w:sz w:val="32"/>
          <w:szCs w:val="32"/>
          <w:highlight w:val="none"/>
          <w:shd w:val="clear" w:color="auto" w:fill="FFFFFF"/>
          <w:lang w:val="en-US" w:eastAsia="zh-CN"/>
        </w:rPr>
        <w:t>但效益指标中社会效益和生态效益对应指标值未实现量化，主观性较强，难以衡量判断，绩效指标的效益明确性不足。结合绩效评价指标体系和评分标准，经综合评价，该项指标得分为3分。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根据部门相关资料和现场座谈内容，新区创文办作为常设临时机构，部门相关人员主要从其他部门借调，2019年借调人员为4人，2020年度未发生变动。结合绩效评价指标体系和评分标准，该项指标得分为2分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（2）“公用经费”变动率--2分。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根据2020年度部门综合预算一般公共预算基本支出明细表内容，年度公用经费预算资金为3.6万元。</w:t>
      </w:r>
      <w:r>
        <w:rPr>
          <w:rFonts w:hint="eastAsia" w:ascii="仿宋" w:hAnsi="仿宋" w:eastAsia="仿宋" w:cs="仿宋"/>
          <w:color w:val="auto"/>
          <w:kern w:val="0"/>
          <w:sz w:val="32"/>
          <w:szCs w:val="32"/>
          <w:highlight w:val="none"/>
          <w:shd w:val="clear" w:color="auto" w:fill="FFFFFF"/>
          <w:lang w:val="en-US" w:eastAsia="zh-CN"/>
        </w:rPr>
        <w:t>新区创文办2019年年度公用经费预算资金为3.6万元。公用经费预算资金变动得到有效控制。结合部门绩效评价指标体系和评分标准，经综合评价，该项指标得分为2分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bookmarkStart w:id="16" w:name="_Toc373329643_WPSOffice_Level2"/>
      <w:bookmarkStart w:id="17" w:name="_Toc1682881084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2020年度部门综合预算专项业务经费支出表内容，年度专项经费预算为243.8万元，其中重点项目安排包括保洁绿化公司管护、创文专项、人居环境整治和新区书画院培训等合计预算资金178.7万元。重点项目支出安排率为73.30%</w:t>
      </w:r>
      <w:r>
        <w:rPr>
          <w:rFonts w:hint="eastAsia" w:ascii="仿宋" w:hAnsi="仿宋" w:eastAsia="仿宋" w:cs="仿宋"/>
          <w:color w:val="auto"/>
          <w:kern w:val="0"/>
          <w:sz w:val="32"/>
          <w:szCs w:val="32"/>
          <w:highlight w:val="none"/>
          <w:shd w:val="clear" w:color="auto" w:fill="FFFFFF"/>
          <w:lang w:val="en-US" w:eastAsia="zh-CN" w:bidi="ar-SA"/>
        </w:rPr>
        <w:t>。结合新区创文办部门整体支出绩效评价指标体系和评分标准，经综合评价，该项指标得分为1.47分。</w:t>
      </w:r>
    </w:p>
    <w:bookmarkEnd w:id="16"/>
    <w:bookmarkEnd w:id="17"/>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8" w:name="_Toc11059"/>
      <w:r>
        <w:rPr>
          <w:rFonts w:hint="eastAsia" w:ascii="楷体" w:hAnsi="楷体" w:eastAsia="楷体" w:cs="楷体"/>
          <w:b/>
          <w:bCs/>
          <w:color w:val="auto"/>
          <w:kern w:val="0"/>
          <w:sz w:val="32"/>
          <w:szCs w:val="32"/>
          <w:highlight w:val="none"/>
          <w:shd w:val="clear" w:color="auto" w:fill="FFFFFF"/>
          <w:lang w:val="en-US" w:eastAsia="zh-CN"/>
        </w:rPr>
        <w:t>（二）过程管理</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结转结余率、结转结余变动率、公用经费控制率、“三公经费”控制率、政府采购执行率、管理制度健全性、资金使用合规性、预算执行监控、预决算信息公开性、管理制度健全性、资产管理安全性、固定资产利用率等14个三级指标，指标权重30分，评价得分22.99分，得分率为76.63%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根据铜川新区创文办2020年度部门综合预算、铜川市新区财政局《关于下达2020年部门预算的通知》（铜新财预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3号）及2020年度部门决算文件内容，结合铜川市新区创文办《关于2020年部门整体支出绩效自评的报告》（铜新创文办发</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14号）文件相关内容，部门收到财政资金为343.67万元，其中年度预算资金201.7万元，2019年目标考核奖励22.8万元，上级拨付资金72万，调整资金47.17万元。2019年结转资金276.23万元。最终调整预算资金为619.89万元。年度实际支出为494.33万元。预算执行率为79.74%</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结合部门整体支出绩效评价指标体系和评分标准，经综合评价，该项指标得分为1.59分。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度铜川新区创文办部门综合决算文件内容，年度创文保卫工作经费出现追加预算资金47.17万元。结合部门决算相关数据，部门年度调整预算数为619.89万元。预算调整率为7.6%。结合新区创文办部门整体支出绩效评价指标体系和评分标准，经综合评价，该项指标得分为1.4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3</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根据2020年度铜川新区</w:t>
      </w:r>
      <w:r>
        <w:rPr>
          <w:rFonts w:hint="eastAsia" w:ascii="仿宋" w:hAnsi="仿宋" w:eastAsia="仿宋" w:cs="仿宋"/>
          <w:color w:val="auto"/>
          <w:kern w:val="0"/>
          <w:sz w:val="32"/>
          <w:szCs w:val="32"/>
          <w:highlight w:val="none"/>
          <w:shd w:val="clear" w:color="auto" w:fill="FFFFFF"/>
          <w:lang w:val="en-US" w:eastAsia="zh-CN"/>
        </w:rPr>
        <w:t>创文</w:t>
      </w:r>
      <w:r>
        <w:rPr>
          <w:rFonts w:hint="eastAsia" w:ascii="仿宋" w:hAnsi="仿宋" w:eastAsia="仿宋" w:cs="仿宋"/>
          <w:color w:val="auto"/>
          <w:kern w:val="0"/>
          <w:sz w:val="32"/>
          <w:szCs w:val="32"/>
          <w:highlight w:val="none"/>
          <w:shd w:val="clear" w:color="auto" w:fill="FFFFFF"/>
          <w:lang w:val="en-US" w:eastAsia="zh-Hans"/>
        </w:rPr>
        <w:t>办部门综合决算文件内容，部门2020年度结转资金为125.56万元，年度支出调整预算资金为619.89万元。结转结余率为20.26%</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4</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根据2020年度铜川新区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部门综合决算文件内容，2019年度结转结余资金金额为276.23万元。2020年度年末结转结余资金为125.56万元。实现降低。</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5</w:t>
      </w:r>
      <w:r>
        <w:rPr>
          <w:rFonts w:hint="eastAsia" w:ascii="仿宋" w:hAnsi="仿宋" w:eastAsia="仿宋" w:cs="仿宋"/>
          <w:color w:val="auto"/>
          <w:kern w:val="0"/>
          <w:sz w:val="32"/>
          <w:szCs w:val="32"/>
          <w:highlight w:val="none"/>
          <w:shd w:val="clear" w:color="auto" w:fill="FFFFFF"/>
          <w:lang w:val="en-US" w:eastAsia="zh-CN"/>
        </w:rPr>
        <w:t>）公用经费控制率--2分。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部门预算的通知》文件内容，年度公用经费预算资金为3.6万元，结合部门决算文件内容，年度实际支出3.19万元。未超出预算资金规模，公用经费年度支出得到有效的控制。结合部门整体支出绩效评价指标体系和评分标准，经综合评价，该项指标得分为2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（6）“三公经费”控制率--2分。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Hans" w:bidi="ar-SA"/>
        </w:rPr>
        <w:t>根据铜川市新区</w:t>
      </w:r>
      <w:r>
        <w:rPr>
          <w:rFonts w:hint="eastAsia" w:ascii="仿宋" w:hAnsi="仿宋" w:eastAsia="仿宋" w:cs="仿宋"/>
          <w:color w:val="auto"/>
          <w:kern w:val="0"/>
          <w:sz w:val="32"/>
          <w:szCs w:val="32"/>
          <w:highlight w:val="none"/>
          <w:shd w:val="clear" w:color="auto" w:fill="FFFFFF"/>
          <w:lang w:val="en-US" w:eastAsia="zh-CN" w:bidi="ar-SA"/>
        </w:rPr>
        <w:t>创文办</w:t>
      </w:r>
      <w:r>
        <w:rPr>
          <w:rFonts w:hint="default" w:ascii="仿宋" w:hAnsi="仿宋" w:eastAsia="仿宋" w:cs="仿宋"/>
          <w:color w:val="auto"/>
          <w:kern w:val="0"/>
          <w:sz w:val="32"/>
          <w:szCs w:val="32"/>
          <w:highlight w:val="none"/>
          <w:shd w:val="clear" w:color="auto" w:fill="FFFFFF"/>
          <w:lang w:val="en-US" w:eastAsia="zh-Hans" w:bidi="ar-SA"/>
        </w:rPr>
        <w:t>2020年度部门综合预算内容和决算内容，年度部门三公经费支出预算为3000元，实际支出0元。实现有效控制</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（7）政府采购执行率--2分。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根据铜川新区</w:t>
      </w:r>
      <w:r>
        <w:rPr>
          <w:rFonts w:hint="eastAsia" w:ascii="仿宋" w:hAnsi="仿宋" w:eastAsia="仿宋" w:cs="仿宋"/>
          <w:color w:val="auto"/>
          <w:kern w:val="0"/>
          <w:sz w:val="32"/>
          <w:szCs w:val="32"/>
          <w:highlight w:val="none"/>
          <w:shd w:val="clear" w:color="auto" w:fill="FFFFFF"/>
          <w:lang w:val="en-US" w:eastAsia="zh-CN" w:bidi="ar-SA"/>
        </w:rPr>
        <w:t>创文办</w:t>
      </w:r>
      <w:r>
        <w:rPr>
          <w:rFonts w:hint="default" w:ascii="仿宋" w:hAnsi="仿宋" w:eastAsia="仿宋" w:cs="仿宋"/>
          <w:color w:val="auto"/>
          <w:kern w:val="0"/>
          <w:sz w:val="32"/>
          <w:szCs w:val="32"/>
          <w:highlight w:val="none"/>
          <w:shd w:val="clear" w:color="auto" w:fill="FFFFFF"/>
          <w:lang w:val="en-US" w:eastAsia="zh-CN" w:bidi="ar-SA"/>
        </w:rPr>
        <w:t>2020年度部门年度工作计划和综合预算内容，在创文专项工作宣传中包含广告牌的制作，采购预算为77万元，实际执行为74.5万元。采购执行率为96.75%</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创文办预算管理制度文件，对预算编制的原则、预算编制的方法和程序、预算编制的具体步骤、部门预算的执行和监督等方面进行了明确规定。预算管理制度相关内容合法、合规、完整。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新区创文办部门整体</w:t>
      </w:r>
      <w:r>
        <w:rPr>
          <w:rFonts w:hint="eastAsia" w:ascii="仿宋" w:hAnsi="仿宋" w:eastAsia="仿宋" w:cs="仿宋"/>
          <w:color w:val="auto"/>
          <w:kern w:val="0"/>
          <w:sz w:val="32"/>
          <w:szCs w:val="32"/>
          <w:highlight w:val="none"/>
          <w:shd w:val="clear" w:color="auto" w:fill="FFFFFF"/>
          <w:lang w:val="en-US" w:eastAsia="zh-Hans"/>
        </w:rPr>
        <w:t>支出符合国家相关法规及部门内财务管理制度、会计核算制度以及项目资金管理办法规定，均按照单位财务管理制度、审批程序执行，实际支出与预算用途一致，未超范围超标准开支，决算与预算调整、账面一致，未发现截留、挪用、挤占、虚列支出等情况；资金核算符合部门预算批复的用途，资金的拨付有完整的审批程序和手续，符合财务管理制度关于专项资金管理的要求。按规定方式和程序实施政府采购，招标方式及采购方式均合规。</w:t>
      </w:r>
      <w:r>
        <w:rPr>
          <w:rFonts w:hint="eastAsia" w:ascii="仿宋" w:hAnsi="仿宋" w:eastAsia="仿宋" w:cs="仿宋"/>
          <w:color w:val="auto"/>
          <w:kern w:val="0"/>
          <w:sz w:val="32"/>
          <w:szCs w:val="32"/>
          <w:highlight w:val="none"/>
          <w:shd w:val="clear" w:color="auto" w:fill="FFFFFF"/>
          <w:lang w:val="en-US" w:eastAsia="zh-CN"/>
        </w:rPr>
        <w:t>根据部门整体支出绩效评价指标体系和评分标准，经综合评价，该项指标得分为2.5分。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（3）预算执行监控--2分。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根据新区创文办相关资料和现场座谈内容，</w:t>
      </w:r>
      <w:r>
        <w:rPr>
          <w:rFonts w:hint="default" w:ascii="仿宋" w:hAnsi="仿宋" w:eastAsia="仿宋" w:cs="仿宋"/>
          <w:color w:val="auto"/>
          <w:kern w:val="0"/>
          <w:sz w:val="32"/>
          <w:szCs w:val="32"/>
          <w:highlight w:val="none"/>
          <w:shd w:val="clear" w:color="auto" w:fill="FFFFFF"/>
          <w:lang w:val="en-US" w:eastAsia="zh-CN" w:bidi="ar-SA"/>
        </w:rPr>
        <w:t>部门未建立有效的预算执行监控机制，对预算执行情况和绩效目标完成情况，年度未开展日常监控，</w:t>
      </w:r>
      <w:r>
        <w:rPr>
          <w:rFonts w:hint="eastAsia" w:ascii="仿宋" w:hAnsi="仿宋" w:eastAsia="仿宋" w:cs="仿宋"/>
          <w:color w:val="auto"/>
          <w:kern w:val="0"/>
          <w:sz w:val="32"/>
          <w:szCs w:val="32"/>
          <w:highlight w:val="none"/>
          <w:shd w:val="clear" w:color="auto" w:fill="FFFFFF"/>
          <w:lang w:val="en-US" w:eastAsia="zh-CN" w:bidi="ar-SA"/>
        </w:rPr>
        <w:t>未</w:t>
      </w:r>
      <w:r>
        <w:rPr>
          <w:rFonts w:hint="default" w:ascii="仿宋" w:hAnsi="仿宋" w:eastAsia="仿宋" w:cs="仿宋"/>
          <w:color w:val="auto"/>
          <w:kern w:val="0"/>
          <w:sz w:val="32"/>
          <w:szCs w:val="32"/>
          <w:highlight w:val="none"/>
          <w:shd w:val="clear" w:color="auto" w:fill="FFFFFF"/>
          <w:lang w:val="en-US" w:eastAsia="zh-CN" w:bidi="ar-SA"/>
        </w:rPr>
        <w:t>形成监控报告</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根据在铜川市新区管委会管网公开资料查询内容，创文办作为新区工会、管委会常设临时机构，与新区文明办一套人马、两块牌子、合署办公。部门2020年度综合预算和2020年度部门决算内容，未进行有效信息公开。结合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根据铜川市新区创文办固定资产管理制度</w:t>
      </w:r>
      <w:r>
        <w:rPr>
          <w:rFonts w:hint="eastAsia" w:ascii="仿宋" w:hAnsi="仿宋" w:eastAsia="仿宋" w:cs="仿宋"/>
          <w:color w:val="auto"/>
          <w:kern w:val="0"/>
          <w:sz w:val="32"/>
          <w:szCs w:val="32"/>
          <w:highlight w:val="none"/>
          <w:shd w:val="clear" w:color="auto" w:fill="FFFFFF"/>
          <w:lang w:val="en-US" w:eastAsia="zh-CN"/>
        </w:rPr>
        <w:t>内容</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资产管理制度健全。包含固定资产的范围、分类与计价、固定资产的管理等内容</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资产管理制度合法、合规</w:t>
      </w:r>
      <w:r>
        <w:rPr>
          <w:rFonts w:hint="eastAsia" w:ascii="仿宋" w:hAnsi="仿宋" w:eastAsia="仿宋" w:cs="仿宋"/>
          <w:color w:val="auto"/>
          <w:kern w:val="0"/>
          <w:sz w:val="32"/>
          <w:szCs w:val="32"/>
          <w:highlight w:val="none"/>
          <w:shd w:val="clear" w:color="auto" w:fill="FFFFFF"/>
          <w:lang w:val="en-US" w:eastAsia="zh-CN"/>
        </w:rPr>
        <w:t>，相关的资产管理制度得到有效执行，部门建立了资产管理系统，根据不同资产类型形成固定资产明细账，并进行定期盘点和核算，做到账实相符、账账相符、账表相符。结合部门整体支出绩效评价指标体系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部门固定资产明细表内容等文件，各项资产都已完成财务入账、资产入库，并根据资产国标大类进行分类，形成了对应的资产编号便于核对和管理。资产保存完整。多为电脑、台桌、文件柜等办公设备，资产配置合理</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新区创文办</w:t>
      </w:r>
      <w:r>
        <w:rPr>
          <w:rFonts w:hint="eastAsia" w:ascii="仿宋" w:hAnsi="仿宋" w:eastAsia="仿宋" w:cs="仿宋"/>
          <w:color w:val="auto"/>
          <w:kern w:val="0"/>
          <w:sz w:val="32"/>
          <w:szCs w:val="32"/>
          <w:highlight w:val="none"/>
          <w:shd w:val="clear" w:color="auto" w:fill="FFFFFF"/>
          <w:lang w:val="en-US" w:eastAsia="zh-Hans"/>
        </w:rPr>
        <w:t>固定资产管理系统中资产明细表内容，所有固定资产目前使用状况均为在用，固定资产的使用率为100%</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9" w:name="_Toc4084"/>
      <w:r>
        <w:rPr>
          <w:rFonts w:hint="eastAsia" w:ascii="楷体" w:hAnsi="楷体" w:eastAsia="楷体" w:cs="楷体"/>
          <w:b/>
          <w:bCs/>
          <w:color w:val="auto"/>
          <w:kern w:val="0"/>
          <w:sz w:val="32"/>
          <w:szCs w:val="32"/>
          <w:highlight w:val="none"/>
          <w:shd w:val="clear" w:color="auto" w:fill="FFFFFF"/>
          <w:lang w:val="en-US" w:eastAsia="zh-CN"/>
        </w:rPr>
        <w:t>（三）产出方面</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该指标主要考核新区创文办职责履行的内容，包括重点工作办结率、重点工作完成及时率、重点工作质量达标率、成本节约率等4个三级指标，指标权重24分，评价得分22.80分，得分率为95.00%。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1.重点工作办结</w:t>
      </w:r>
      <w:r>
        <w:rPr>
          <w:rFonts w:hint="eastAsia" w:ascii="仿宋" w:hAnsi="仿宋" w:eastAsia="仿宋" w:cs="仿宋"/>
          <w:b/>
          <w:bCs/>
          <w:color w:val="auto"/>
          <w:kern w:val="0"/>
          <w:sz w:val="32"/>
          <w:szCs w:val="32"/>
          <w:highlight w:val="none"/>
          <w:shd w:val="clear" w:color="auto" w:fill="FFFFFF"/>
          <w:lang w:val="en-US" w:eastAsia="zh-Hans"/>
        </w:rPr>
        <w:t>率</w:t>
      </w:r>
      <w:r>
        <w:rPr>
          <w:rFonts w:hint="eastAsia" w:ascii="仿宋" w:hAnsi="仿宋" w:eastAsia="仿宋" w:cs="仿宋"/>
          <w:b/>
          <w:bCs/>
          <w:color w:val="auto"/>
          <w:kern w:val="0"/>
          <w:sz w:val="32"/>
          <w:szCs w:val="32"/>
          <w:highlight w:val="none"/>
          <w:shd w:val="clear" w:color="auto" w:fill="FFFFFF"/>
          <w:lang w:val="en-US" w:eastAsia="zh-CN"/>
        </w:rPr>
        <w:t>--6分。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2020年度部门综合预算、铜川市新区财政局《关于下达2020年部门预算的通知》（铜新财预〔20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〕3号）及2020年度部门决算文件内容，结合铜川市新区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《关于2020年部门整体支出绩效自评的报告》（铜新</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〕14号）文件相关内容，结合部门年度工作计划，2020年度</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有5项重点工作：新区书画院培训、支付临聘人员工资、支付文明劝导员工资、创文专项工作、人居环境卫生整治及厕所管理维护。年度受疫情环境影响，新区书画院培训工作未完成。</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结合部门整体支出绩效评价指标体系和评分标准，经综合评价，该项指标得分为4.8分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bookmarkStart w:id="20" w:name="_Toc1854215658_WPSOffice_Level2"/>
      <w:bookmarkStart w:id="21" w:name="_Toc1802972864_WPSOffice_Level2"/>
      <w:r>
        <w:rPr>
          <w:rFonts w:hint="eastAsia" w:ascii="仿宋" w:hAnsi="仿宋" w:eastAsia="仿宋" w:cs="仿宋"/>
          <w:b/>
          <w:bCs/>
          <w:color w:val="auto"/>
          <w:kern w:val="0"/>
          <w:sz w:val="32"/>
          <w:szCs w:val="32"/>
          <w:highlight w:val="none"/>
          <w:shd w:val="clear" w:color="auto" w:fill="FFFFFF"/>
          <w:lang w:val="en-US" w:eastAsia="zh-CN"/>
        </w:rPr>
        <w:t>2.重点工作</w:t>
      </w:r>
      <w:r>
        <w:rPr>
          <w:rFonts w:hint="eastAsia" w:ascii="仿宋" w:hAnsi="仿宋" w:eastAsia="仿宋" w:cs="仿宋"/>
          <w:b/>
          <w:bCs/>
          <w:color w:val="auto"/>
          <w:kern w:val="0"/>
          <w:sz w:val="32"/>
          <w:szCs w:val="32"/>
          <w:highlight w:val="none"/>
          <w:shd w:val="clear" w:color="auto" w:fill="FFFFFF"/>
          <w:lang w:val="en-US" w:eastAsia="zh-Hans"/>
        </w:rPr>
        <w:t>完成及时率</w:t>
      </w:r>
      <w:bookmarkEnd w:id="20"/>
      <w:bookmarkEnd w:id="21"/>
      <w:r>
        <w:rPr>
          <w:rFonts w:hint="eastAsia" w:ascii="仿宋" w:hAnsi="仿宋" w:eastAsia="仿宋" w:cs="仿宋"/>
          <w:b/>
          <w:bCs/>
          <w:color w:val="auto"/>
          <w:kern w:val="0"/>
          <w:sz w:val="32"/>
          <w:szCs w:val="32"/>
          <w:highlight w:val="none"/>
          <w:shd w:val="clear" w:color="auto" w:fill="FFFFFF"/>
          <w:lang w:val="en-US" w:eastAsia="zh-CN"/>
        </w:rPr>
        <w:t>--6分。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创文办重点工作相关资料和现场座谈内容，年内及时完成了临聘人员和文明劝导员工资，有效的保障了相关人员的福利待遇。年度内创文专项工作及时完成，相关宣传牌和宣传物料制作及时完成并验收，公厕管护重点工作年度内完成政府采购，并按照协议内容有效执行。结合部门整体支出绩效评价指标体系和评分标准，经综合评价，该项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bookmarkStart w:id="22" w:name="_Toc1667362389_WPSOffice_Level2"/>
      <w:bookmarkStart w:id="23" w:name="_Toc1570666078_WPSOffice_Level2"/>
      <w:r>
        <w:rPr>
          <w:rFonts w:hint="eastAsia" w:ascii="仿宋" w:hAnsi="仿宋" w:eastAsia="仿宋" w:cs="仿宋"/>
          <w:b/>
          <w:bCs/>
          <w:color w:val="auto"/>
          <w:kern w:val="0"/>
          <w:sz w:val="32"/>
          <w:szCs w:val="32"/>
          <w:highlight w:val="none"/>
          <w:shd w:val="clear" w:color="auto" w:fill="FFFFFF"/>
          <w:lang w:val="en-US" w:eastAsia="zh-CN"/>
        </w:rPr>
        <w:t>3.重点工作</w:t>
      </w:r>
      <w:r>
        <w:rPr>
          <w:rFonts w:hint="eastAsia" w:ascii="仿宋" w:hAnsi="仿宋" w:eastAsia="仿宋" w:cs="仿宋"/>
          <w:b/>
          <w:bCs/>
          <w:color w:val="auto"/>
          <w:kern w:val="0"/>
          <w:sz w:val="32"/>
          <w:szCs w:val="32"/>
          <w:highlight w:val="none"/>
          <w:shd w:val="clear" w:color="auto" w:fill="FFFFFF"/>
          <w:lang w:val="en-US" w:eastAsia="zh-Hans"/>
        </w:rPr>
        <w:t>质量达标率</w:t>
      </w:r>
      <w:bookmarkEnd w:id="22"/>
      <w:bookmarkEnd w:id="23"/>
      <w:r>
        <w:rPr>
          <w:rFonts w:hint="eastAsia" w:ascii="仿宋" w:hAnsi="仿宋" w:eastAsia="仿宋" w:cs="仿宋"/>
          <w:b/>
          <w:bCs/>
          <w:color w:val="auto"/>
          <w:kern w:val="0"/>
          <w:sz w:val="32"/>
          <w:szCs w:val="32"/>
          <w:highlight w:val="none"/>
          <w:shd w:val="clear" w:color="auto" w:fill="FFFFFF"/>
          <w:lang w:val="en-US" w:eastAsia="zh-CN"/>
        </w:rPr>
        <w:t>--6分。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根据新区创文办重点工作相关资料和现场座谈内容，年度相关宣传牌制作和宣传物料采购验收合格，人居环境整治和公厕管护重点工作年度顺利完成，并获得相关部门和单位验收合格</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4" w:name="_Toc1464939341_WPSOffice_Level2"/>
      <w:bookmarkStart w:id="25" w:name="_Toc1742944595_WPSOffice_Level2"/>
      <w:r>
        <w:rPr>
          <w:rFonts w:hint="eastAsia" w:ascii="仿宋" w:hAnsi="仿宋" w:eastAsia="仿宋" w:cs="仿宋"/>
          <w:b/>
          <w:bCs/>
          <w:color w:val="auto"/>
          <w:kern w:val="0"/>
          <w:sz w:val="32"/>
          <w:szCs w:val="32"/>
          <w:highlight w:val="none"/>
          <w:shd w:val="clear" w:color="auto" w:fill="FFFFFF"/>
          <w:lang w:val="en-US" w:eastAsia="zh-CN"/>
        </w:rPr>
        <w:t>4.成本节约</w:t>
      </w:r>
      <w:r>
        <w:rPr>
          <w:rFonts w:hint="eastAsia" w:ascii="仿宋" w:hAnsi="仿宋" w:eastAsia="仿宋" w:cs="仿宋"/>
          <w:b/>
          <w:bCs/>
          <w:color w:val="auto"/>
          <w:kern w:val="0"/>
          <w:sz w:val="32"/>
          <w:szCs w:val="32"/>
          <w:highlight w:val="none"/>
          <w:shd w:val="clear" w:color="auto" w:fill="FFFFFF"/>
          <w:lang w:val="en-US" w:eastAsia="zh-Hans"/>
        </w:rPr>
        <w:t>率</w:t>
      </w:r>
      <w:bookmarkEnd w:id="24"/>
      <w:bookmarkEnd w:id="25"/>
      <w:r>
        <w:rPr>
          <w:rFonts w:hint="eastAsia" w:ascii="仿宋" w:hAnsi="仿宋" w:eastAsia="仿宋" w:cs="仿宋"/>
          <w:b/>
          <w:bCs/>
          <w:color w:val="auto"/>
          <w:kern w:val="0"/>
          <w:sz w:val="32"/>
          <w:szCs w:val="32"/>
          <w:highlight w:val="none"/>
          <w:shd w:val="clear" w:color="auto" w:fill="FFFFFF"/>
          <w:lang w:val="en-US" w:eastAsia="zh-CN"/>
        </w:rPr>
        <w:t>--6分。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《关于2020年部门整体支出绩效自评的报告》（铜新</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〕14号）文件相关内容，已完成的重点工作年度预算金额为195.1万元。年度完成工作实际支出为204.34万元，其中创文工作专项经费年中调增47.17万元。成本节约率为4.74%。</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结合部门整体支出绩效评价指标体系和评分标准，经综合评价，该项指标得分为6分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6" w:name="_Toc11154"/>
      <w:r>
        <w:rPr>
          <w:rFonts w:hint="eastAsia" w:ascii="楷体" w:hAnsi="楷体" w:eastAsia="楷体" w:cs="楷体"/>
          <w:b/>
          <w:bCs/>
          <w:color w:val="auto"/>
          <w:kern w:val="0"/>
          <w:sz w:val="32"/>
          <w:szCs w:val="32"/>
          <w:highlight w:val="none"/>
          <w:shd w:val="clear" w:color="auto" w:fill="FFFFFF"/>
          <w:lang w:val="en-US" w:eastAsia="zh-CN"/>
        </w:rPr>
        <w:t>（四）效果方面</w:t>
      </w:r>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该指标主要考核新区创文办履职效益的内容，包括</w:t>
      </w:r>
      <w:r>
        <w:rPr>
          <w:rFonts w:hint="eastAsia" w:ascii="仿宋" w:hAnsi="仿宋" w:eastAsia="仿宋" w:cs="仿宋"/>
          <w:color w:val="auto"/>
          <w:kern w:val="0"/>
          <w:sz w:val="32"/>
          <w:szCs w:val="32"/>
          <w:highlight w:val="none"/>
          <w:shd w:val="clear" w:color="auto" w:fill="FFFFFF"/>
          <w:lang w:val="en-US" w:eastAsia="zh-Hans"/>
        </w:rPr>
        <w:t>社会效益、生态效益、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4个三级指标，指标权重32分，评价得分25.91分，得分率为80.97%。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1.社会</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（1）道德模范人数变动情况--2分。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创文办</w:t>
      </w:r>
      <w:r>
        <w:rPr>
          <w:rFonts w:hint="eastAsia" w:ascii="仿宋" w:hAnsi="仿宋" w:eastAsia="仿宋" w:cs="仿宋"/>
          <w:color w:val="auto"/>
          <w:kern w:val="0"/>
          <w:sz w:val="32"/>
          <w:szCs w:val="32"/>
          <w:highlight w:val="none"/>
          <w:shd w:val="clear" w:color="auto" w:fill="FFFFFF"/>
          <w:lang w:val="en-US" w:eastAsia="zh-Hans"/>
        </w:rPr>
        <w:t>提供相关资料和报送数据内容，2019年铜川新区道德模范为6名，2020年道德模范人数为9名，增加3名。</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（2）文明校园数量变动情况--2分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根据铜川市新区创文办《关于做好2020年推荐申创区级精神文明建设现金集体有关工作的通知》（铜新创文办发〔20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〕9号）和铜川市新区管委会《关于命名表彰铜川市新区2020年度社会主义精神文明建设先进集体的决定》（铜新发〔20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〕11号）等文件资料内容，2019年铜川新区区级文明校园数量为2个，2020年铜川新区区级文明校园数量为5个，增加3个。</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（3）文明村数量变动情况--2分。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根据铜川市新区创文办《关于做好2020年推荐申创区级精神文明建设现金集体有关工作的通知》（铜新创文办发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20</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9号）和铜川市新区管委会《关于命名表彰铜川市新区2020年度社会主义精神文明建设先进集体的决定》（铜新发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21</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11号）等文件资料内容，2019年铜川新区区级文明村数量为8个，2020年铜川新区区级文明校园数量为1个，减少7个。</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结合部门整体支出绩效评价指标体系和评分标准，经综合评价，该项指标得分为0分。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（4）文明社区数量变动情况--2分。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根据铜川市新区创文办《关于做好2020年推荐申创区级精神文明建设现金集体有关工作的通知》（铜新创文办发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20</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9号）和铜川市新区管委会《关于命名表彰铜川市新区2020年度社会主义精神文明建设先进集体的决定》（铜新发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21</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11号）等文件资料内容，2019年铜川新区区级文明社区数量为4个，2020年铜川新区区级文明校园数量为1个，减少3个。</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结合部门整体支出绩效评价指标体系和评分标准，经综合评价，该项指标得分为0分。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（5）文明单位数量变动情况--2分。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根据铜川市新区创文办《关于做好2020年推荐申创区级精神文明建设现金集体有关工作的通知》（铜新创文办发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20</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9号）和铜川市新区管委会《关于命名表彰铜川市新区2020年度社会主义精神文明建设先进集体的决定》（铜新发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21</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CN" w:bidi="ar-SA"/>
        </w:rPr>
        <w:t>11号）等文件资料内容，2019年铜川新区区级文明单位数量为10个，2020年铜川新区区级文明单位数量为11个，增加1个。</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2.生态</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（1）农村人居环境改善情况--6分。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创文办相关资料和现场座谈内容，2020年度全面建立了人居环境整治工作机制，包括城中村，全面建立了人居环境整治的长效管护机制，并在年度安排农村人居环境整治专项工作经费，极大的改善了人居环境。铜川市新区创文办还会在定期对辖区各街道办、垃圾清运公司、保洁队等单位进行全面检查考评，将考核结果建立奖惩机制。</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结合部门整体支出绩效评价指标体系和评分标准，经综合评价，该项指标得分为6分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3.可持续性影响。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（1）人居环境整治覆盖率--5分。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根据部门人居环境整治相关资料，城中村实现了人居环境整治全覆盖，2020年度19个城区“三不管”区域也配备了相负责的保洁员，主要为机动队保洁员和210国道保洁员。</w:t>
      </w:r>
      <w:r>
        <w:rPr>
          <w:rFonts w:hint="eastAsia" w:ascii="仿宋" w:hAnsi="仿宋" w:eastAsia="仿宋" w:cs="仿宋"/>
          <w:color w:val="auto"/>
          <w:kern w:val="0"/>
          <w:sz w:val="32"/>
          <w:szCs w:val="32"/>
          <w:highlight w:val="none"/>
          <w:shd w:val="clear" w:color="auto" w:fill="FFFFFF"/>
          <w:lang w:val="en-US" w:eastAsia="zh-CN"/>
        </w:rPr>
        <w:t>结合部门整体支出绩效指标体系和评分标准，经综合评价，该项指标得分为5分。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（2）是否建立有效的精神文明建设机制--6分。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Hans"/>
        </w:rPr>
        <w:t>根据2020年11月4日铜川市新区创建全国文明城市工作领导小组办公室的通知和铜川市新区创文办《关于做好2020年推荐申创区级精神文明建设先进集体有关工作的通知》（铜新创文办发</w:t>
      </w:r>
      <w:r>
        <w:rPr>
          <w:rFonts w:hint="eastAsia" w:ascii="仿宋" w:hAnsi="仿宋" w:eastAsia="仿宋" w:cs="仿宋"/>
          <w:color w:val="auto"/>
          <w:kern w:val="0"/>
          <w:sz w:val="32"/>
          <w:szCs w:val="32"/>
          <w:highlight w:val="none"/>
          <w:shd w:val="clear" w:color="auto" w:fill="FFFFFF"/>
          <w:lang w:val="en-US" w:eastAsia="zh-Hans" w:bidi="ar-SA"/>
        </w:rPr>
        <w:t>〔20</w:t>
      </w:r>
      <w:r>
        <w:rPr>
          <w:rFonts w:hint="eastAsia" w:ascii="仿宋" w:hAnsi="仿宋" w:eastAsia="仿宋" w:cs="仿宋"/>
          <w:color w:val="auto"/>
          <w:kern w:val="0"/>
          <w:sz w:val="32"/>
          <w:szCs w:val="32"/>
          <w:highlight w:val="none"/>
          <w:shd w:val="clear" w:color="auto" w:fill="FFFFFF"/>
          <w:lang w:val="en-US" w:eastAsia="zh-CN" w:bidi="ar-SA"/>
        </w:rPr>
        <w:t>20</w:t>
      </w:r>
      <w:r>
        <w:rPr>
          <w:rFonts w:hint="eastAsia" w:ascii="仿宋" w:hAnsi="仿宋" w:eastAsia="仿宋" w:cs="仿宋"/>
          <w:color w:val="auto"/>
          <w:kern w:val="0"/>
          <w:sz w:val="32"/>
          <w:szCs w:val="32"/>
          <w:highlight w:val="none"/>
          <w:shd w:val="clear" w:color="auto" w:fill="FFFFFF"/>
          <w:lang w:val="en-US" w:eastAsia="zh-Hans" w:bidi="ar-SA"/>
        </w:rPr>
        <w:t>〕</w:t>
      </w:r>
      <w:r>
        <w:rPr>
          <w:rFonts w:hint="default" w:ascii="仿宋" w:hAnsi="仿宋" w:eastAsia="仿宋" w:cs="仿宋"/>
          <w:color w:val="auto"/>
          <w:kern w:val="0"/>
          <w:sz w:val="32"/>
          <w:szCs w:val="32"/>
          <w:highlight w:val="none"/>
          <w:shd w:val="clear" w:color="auto" w:fill="FFFFFF"/>
          <w:lang w:val="en-US" w:eastAsia="zh-Hans"/>
        </w:rPr>
        <w:t>9号）文件内容，部门建立了精神文明督查机制，配置了相应的督查工作组和联络员。并对申创条件、申创材料和申创要求做了相应规定，每年定期进行各类精神文明评选工作。</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4.服务对象</w:t>
      </w:r>
      <w:r>
        <w:rPr>
          <w:rFonts w:hint="eastAsia" w:ascii="仿宋" w:hAnsi="仿宋" w:eastAsia="仿宋" w:cs="仿宋"/>
          <w:b/>
          <w:bCs/>
          <w:color w:val="auto"/>
          <w:kern w:val="0"/>
          <w:sz w:val="32"/>
          <w:szCs w:val="32"/>
          <w:highlight w:val="none"/>
          <w:shd w:val="clear" w:color="auto" w:fill="FFFFFF"/>
          <w:lang w:val="en-US" w:eastAsia="zh-Hans"/>
        </w:rPr>
        <w:t>满意度</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对于服务对象满意度的评价，主要评价受益家庭的满意度情况。针对受益群众发放10分调查问卷，回收10分，调查问卷有效率为100%，调查问卷经汇总统计后，按照如下方式计算分值：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Fi=5*p1+3*p2+1*p3+0*p4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Fi（i=1、2、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7）:调查问卷中的第i个问题分值。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F=(F1+F2+F3+F4+F5+F6+F7)/7(i=1、2…7)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98" w:type="pct"/>
        <w:tblInd w:w="0" w:type="dxa"/>
        <w:shd w:val="clear" w:color="auto" w:fill="auto"/>
        <w:tblLayout w:type="autofit"/>
        <w:tblCellMar>
          <w:top w:w="0" w:type="dxa"/>
          <w:left w:w="0" w:type="dxa"/>
          <w:bottom w:w="0" w:type="dxa"/>
          <w:right w:w="0" w:type="dxa"/>
        </w:tblCellMar>
      </w:tblPr>
      <w:tblGrid>
        <w:gridCol w:w="2917"/>
        <w:gridCol w:w="1181"/>
        <w:gridCol w:w="1182"/>
        <w:gridCol w:w="1182"/>
        <w:gridCol w:w="1182"/>
        <w:gridCol w:w="1182"/>
      </w:tblGrid>
      <w:tr>
        <w:tblPrEx>
          <w:shd w:val="clear" w:color="auto" w:fill="auto"/>
          <w:tblCellMar>
            <w:top w:w="0" w:type="dxa"/>
            <w:left w:w="0" w:type="dxa"/>
            <w:bottom w:w="0" w:type="dxa"/>
            <w:right w:w="0" w:type="dxa"/>
          </w:tblCellMar>
        </w:tblPrEx>
        <w:trPr>
          <w:trHeight w:val="3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6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您对当前人居环境整治工作的开展感觉怎么样？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您对新区得公共厕所使用感觉怎么样？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您觉得咱们每年开展的精神文明宣传怎么样？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您觉得精神文明评选工作开展得怎么样？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9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您觉得精神文明宣传和评选工作对我们城市的文明程度提升大吗？</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7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您对新区书画院定期开展相关的专题讲座和培训感觉怎么样？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您对环境治理的及时性感觉怎么样？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60" w:hRule="atLeast"/>
        </w:trPr>
        <w:tc>
          <w:tcPr>
            <w:tcW w:w="165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3.91 </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根据绩效评价指标体系和满意度调查问卷数据统计情况和分值计算公式，新区创文办受益群众满意度指标得分为3.91分。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7" w:name="_Toc24840"/>
      <w:r>
        <w:rPr>
          <w:rFonts w:hint="eastAsia" w:ascii="黑体" w:hAnsi="黑体" w:eastAsia="黑体" w:cs="黑体"/>
          <w:b w:val="0"/>
          <w:bCs w:val="0"/>
          <w:color w:val="auto"/>
          <w:kern w:val="0"/>
          <w:sz w:val="32"/>
          <w:szCs w:val="32"/>
          <w:highlight w:val="none"/>
          <w:shd w:val="clear" w:color="auto" w:fill="FFFFFF"/>
          <w:lang w:val="en-US" w:eastAsia="zh-CN"/>
        </w:rPr>
        <w:t>五、主要绩效</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Hans"/>
        </w:rPr>
      </w:pPr>
      <w:r>
        <w:rPr>
          <w:rFonts w:hint="eastAsia" w:ascii="楷体" w:hAnsi="楷体" w:eastAsia="楷体" w:cs="楷体"/>
          <w:b/>
          <w:bCs/>
          <w:color w:val="auto"/>
          <w:kern w:val="0"/>
          <w:sz w:val="32"/>
          <w:szCs w:val="32"/>
          <w:highlight w:val="none"/>
          <w:shd w:val="clear" w:color="auto" w:fill="FFFFFF"/>
          <w:lang w:val="en-US" w:eastAsia="zh-CN"/>
        </w:rPr>
        <w:t>（一）加强运营成本控制，落实“过紧日子”思想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铜川市新区创文办年度“三公经费”“公用经费”“在职人员”会议费、培训费等一般性支出得到有效控制和压减，行政成本和运行成本实现降低，对于一般性支出经费严格控制在年度预算批复规模内，未出现超预算或无预算支出情况，年度相关预算未出现追加和调整。在保运转的基础上，严格落实国家“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加大精神文明宣传</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强化精神文明建设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为做好城市精神文明建设工作，2020年度新区创文办不断加大精神文明宣传工作，在G65W新区入口设置4块大型公益宣传广告，对七彩置业公司建筑围挡制作“创文保卫”及“创未”公益宣传公告。完成华夏大道公益广告铺设，光明北路、斯明街等路段围墙饰新和公益广告设置。印发各类“创文保卫”宣传材料20000余份，发放宣传小礼品20000份。开展文明单位、文明校园、文明社区创建工作，推荐申报新区道德模范和陕西好人。有效强化新区精神文明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完善人居环境整治工作</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建立环境整治督查机制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为完善人居环境整治工作，提高人居环境整治效率，2020年度铜川市新区设立人居环境整治工作专项经费，通过各街道办牵头招标，采用政府购买服务方式，实现27个村卫生保洁清运全覆盖。完成新区17个重点村（社区）旱厕拆除和改建工作</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在城中村和城乡结合部“三不管”区域，配置相应保洁人员，坚持每半个月开展一次集中整治，实现辖区环境整治无遗漏、无缺失、无死角。开展春季村庄绿化专项行动，落实5个绿化示范村，完成国土绿化300余亩。极大改善了辖区人居环境。创文办定期对村级卫生保洁、垃圾清运和公厕管理等工作进行全面检查考评，并将考核结果对各街道办事处、垃圾清运公司和公厕管理方等予以公告，针对考核结果建立相应的奖惩机制，加大对人居环境综合整治工作的规范化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8" w:name="_Toc13804"/>
      <w:bookmarkStart w:id="29" w:name="_Toc1464939341_WPSOffice_Level3"/>
      <w:bookmarkStart w:id="30" w:name="_Toc1742944595_WPSOffice_Level3"/>
      <w:bookmarkStart w:id="31" w:name="_Toc315842793_WPSOffice_Level2"/>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信息公开力度不足，预算调整幅度明显</w:t>
      </w:r>
    </w:p>
    <w:bookmarkEnd w:id="29"/>
    <w:bookmarkEnd w:id="30"/>
    <w:bookmarkEnd w:id="31"/>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管委会官网公开资料和现场座谈内容，2020年度新区创文办部门综合预算和决算文件内容未进行及时公开，新区创文办作为常设临时机构，在部门信息公开力度上有待加强，预决算信息公开的规范性不足。2020年度部门创文专项工作年初预算50万元，年中追加资金47.17万元，专项预算调整额度较大，部门年度预算调整幅度明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预算执行缺乏监控</w:t>
      </w:r>
      <w:r>
        <w:rPr>
          <w:rFonts w:hint="eastAsia" w:ascii="楷体" w:hAnsi="楷体" w:eastAsia="楷体" w:cs="楷体"/>
          <w:b/>
          <w:bCs/>
          <w:color w:val="auto"/>
          <w:kern w:val="0"/>
          <w:sz w:val="32"/>
          <w:szCs w:val="32"/>
          <w:highlight w:val="none"/>
          <w:shd w:val="clear" w:color="auto" w:fill="FFFFFF"/>
          <w:lang w:val="en-US" w:eastAsia="zh-Hans"/>
        </w:rPr>
        <w:t>，预算执行未达预期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铜川市新区创文办未建立有效的预算执行监控机制，缺乏预算执行进度和绩效目标实现程度的日常监控和重点监控，2020年度预算执行率不足，出现结转结余，2020年度新区创文办预算执行中，结转结余20.26%；创文专项工作年中预算调增47.17万元；文明劝导员保障受疫情影响，以上年度结转结余资金支付，年度安排预算资金出现结余。部门整体财政支出出现结构性失衡。主要原因在于年度未建立有效的预算执行监控机制，对于年度预算执行和绩效目标实现过程中出现的突发性、客观性影响缺乏有效的监控，对于预算执行出现偏差情况缺乏有效的纠偏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绩效目标明确性欠缺，效益指标量化度不足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新区创文办部门整体支出绩效目标中年度产出目标覆盖年度全部工作任务，并细化为具体的指标值。但年度效益目标多以“有所提高”、“有所促进”“效果明显”等主观性指标值衡量，难以科学、合理的衡量、判断。效益指标的量化程度有待加强。主要原因在于部门对于效益指标的内容和指标值设定，多是主观意识，未充分考虑效益指标值的可衡量性、数据可获得性、效益与产出的关联性等因素，导致效益绩效指标的细化、量化程度不足。</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3" w:firstLineChars="200"/>
        <w:textAlignment w:val="auto"/>
        <w:outlineLvl w:val="9"/>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（四）培训讲座形式单一，社区文明有待加强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2020年度，受疫情防控要求影响，新区创文办年度新区书画院培训工作未有效开展。计划举办12场次“翰墨铜川 书香新区”专题讲座和50次“修身养性 书香人生”培训工作，受疫情影响，工作搁浅，年度3万元预算资金未有效执行。主要原因在于专题讲座和培训等工作形式单一，多以线下会谈形式开展，易受疫情等客观性因素影响。在2020年度新区精神文明评选工作中，文明社区和文明村数量出现大幅度减少，主要原因在于受疫情影响，对于社区和村庄文明宣传和文明劝导工作力度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2" w:name="_Toc27867"/>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bookmarkStart w:id="33" w:name="_Toc842199943_WPSOffice_Level2"/>
      <w:bookmarkStart w:id="34" w:name="_Toc1462379935_WPSOffice_Level2"/>
      <w:bookmarkStart w:id="35" w:name="_Toc994383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规范预决算信息公开，提升预算科学性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创文办需加大预决算信息公开力度，年度预算文件、预算调整文件、部门整体支出绩效目标、部门重点项目支出绩效目标、部门年度决算文件等内容，需在相应网站或平台予以及时、完整、准确的公开。预算编制环节要加强预算额度的科学测算，充分考量行业标准、历史标准、测算依据、测算方法等综合因素，避免年度预算过度调整，降低预算调整率，提升预算编制的科学性、合理性、规范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建立预算执行监控机制</w:t>
      </w:r>
      <w:r>
        <w:rPr>
          <w:rFonts w:hint="eastAsia" w:ascii="楷体" w:hAnsi="楷体" w:eastAsia="楷体" w:cs="楷体"/>
          <w:b/>
          <w:bCs/>
          <w:color w:val="auto"/>
          <w:kern w:val="0"/>
          <w:sz w:val="32"/>
          <w:szCs w:val="32"/>
          <w:highlight w:val="none"/>
          <w:shd w:val="clear" w:color="auto" w:fill="FFFFFF"/>
          <w:lang w:val="en-US" w:eastAsia="zh-Hans"/>
        </w:rPr>
        <w:t>，优化</w:t>
      </w:r>
      <w:r>
        <w:rPr>
          <w:rFonts w:hint="eastAsia" w:ascii="楷体" w:hAnsi="楷体" w:eastAsia="楷体" w:cs="楷体"/>
          <w:b/>
          <w:bCs/>
          <w:color w:val="auto"/>
          <w:kern w:val="0"/>
          <w:sz w:val="32"/>
          <w:szCs w:val="32"/>
          <w:highlight w:val="none"/>
          <w:shd w:val="clear" w:color="auto" w:fill="FFFFFF"/>
          <w:lang w:val="en-US" w:eastAsia="zh-CN"/>
        </w:rPr>
        <w:t>支出合理性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建立年度预算执行监控机制，开展预算执行进度和绩效目标实现程度监控，落实部门预算执行监控主体责任，加强部门“日常监控”+“重点监控”双重监控，预算部门建立日常监控机制，对预算执行偏差情况进行重点分析，落实整改。财政部门加强对预算部门重点监控，对出现预算执行偏差情况，督促整改。预算执行过程中，不断优化预算支出结构，提升财政支出合理性和支出结构科学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加强绩效目标设定管理，提升目标指导性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预算部门加强部门和项目绩效目标设定管理，充分考量绩效目标的合理性和可实现性，设定科学、可衡量的绩效目标。根据部门年度工作任务和年度目标，将年度宏观目标进行细化、量化，财政部门和上级预算部门加强对预算部门和预算单位的绩效目标审核，对不合理、不完整、不科学的绩效目标存在的问题重点指出，督促调整，加大绩效目标的审核和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以预算绩效目标设置作为切入点，不断探索新思路、新方法，切实发挥绩效目标“龙头”引领作用，从源头上提高财政资源配置效率，探索以绩效目标为核心的预算绩效一体化建设路径，扎实迈出全面预算绩效管理步伐。</w:t>
      </w:r>
      <w:bookmarkEnd w:id="33"/>
      <w:bookmarkEnd w:id="34"/>
      <w:bookmarkEnd w:id="35"/>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3" w:firstLineChars="200"/>
        <w:textAlignment w:val="auto"/>
        <w:outlineLvl w:val="9"/>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（四）丰富文明培训工作形式，提高社区文明度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丰富新区书画院培训、社区文明宣传等工作形式多样性，建立“线上+线下”多种方式相结合的工作形式，避免出现疫情等客观性因素严重影响年度工作开展，可通过线上会议、线上宣传等形式加强辖区群众文明宣传、文明推广工作，建立多种形式文明宣传，定期开展文明宣传进社区工作，以多种方式加大辖区社区和村文明建设工作。</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sectPr>
          <w:footerReference r:id="rId6" w:type="default"/>
          <w:pgSz w:w="11910" w:h="16840"/>
          <w:pgMar w:top="2098" w:right="1474" w:bottom="1984" w:left="1587" w:header="1017" w:footer="1206" w:gutter="0"/>
          <w:pgNumType w:fmt="decimal"/>
          <w:cols w:equalWidth="0" w:num="1">
            <w:col w:w="8810"/>
          </w:cols>
          <w:docGrid w:linePitch="326" w:charSpace="0"/>
        </w:sectPr>
      </w:pPr>
      <w:r>
        <w:rPr>
          <w:rFonts w:hint="eastAsia" w:ascii="仿宋" w:hAnsi="仿宋" w:eastAsia="仿宋" w:cs="仿宋"/>
          <w:color w:val="auto"/>
          <w:kern w:val="0"/>
          <w:sz w:val="32"/>
          <w:szCs w:val="32"/>
          <w:highlight w:val="none"/>
          <w:shd w:val="clear" w:color="auto" w:fill="FFFFFF"/>
          <w:lang w:val="en-US" w:eastAsia="zh-CN" w:bidi="ar-SA"/>
        </w:rPr>
        <w:t xml:space="preserve">                    </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9962"/>
      <w:r>
        <w:rPr>
          <w:rFonts w:hint="eastAsia" w:ascii="黑体" w:hAnsi="黑体" w:eastAsia="黑体" w:cs="黑体"/>
          <w:color w:val="auto"/>
          <w:kern w:val="0"/>
          <w:sz w:val="32"/>
          <w:szCs w:val="32"/>
          <w:highlight w:val="none"/>
          <w:shd w:val="clear" w:color="auto" w:fill="FFFFFF"/>
          <w:lang w:val="en-US" w:eastAsia="zh-CN"/>
        </w:rPr>
        <w:t>附件1评价工作底稿</w:t>
      </w:r>
      <w:bookmarkEnd w:id="36"/>
    </w:p>
    <w:p>
      <w:pPr>
        <w:widowControl w:val="0"/>
        <w:numPr>
          <w:ilvl w:val="0"/>
          <w:numId w:val="0"/>
        </w:numPr>
        <w:jc w:val="both"/>
        <w:outlineLvl w:val="0"/>
        <w:rPr>
          <w:rFonts w:hint="default" w:ascii="黑体" w:hAnsi="黑体" w:eastAsia="黑体" w:cs="黑体"/>
          <w:b/>
          <w:color w:val="000000"/>
          <w:sz w:val="32"/>
          <w:szCs w:val="32"/>
          <w:highlight w:val="none"/>
          <w:lang w:val="en-US" w:eastAsia="zh-Hans" w:bidi="ar"/>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2020年度</w:t>
      </w:r>
      <w:r>
        <w:rPr>
          <w:rFonts w:hint="eastAsia" w:ascii="宋体" w:hAnsi="宋体" w:eastAsia="宋体" w:cs="宋体"/>
          <w:b/>
          <w:bCs/>
          <w:color w:val="auto"/>
          <w:kern w:val="0"/>
          <w:sz w:val="36"/>
          <w:szCs w:val="36"/>
          <w:highlight w:val="none"/>
          <w:shd w:val="clear" w:color="auto" w:fill="FFFFFF"/>
          <w:lang w:val="en-US" w:eastAsia="zh-CN"/>
        </w:rPr>
        <w:t>铜川市新区创文办部门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eastAsia" w:ascii="Times New Roman" w:hAnsi="Times New Roman" w:eastAsia="仿宋_GB2312" w:cs="Times New Roman"/>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CN"/>
        </w:rPr>
        <w:t>分表</w:t>
      </w:r>
    </w:p>
    <w:tbl>
      <w:tblPr>
        <w:tblStyle w:val="15"/>
        <w:tblW w:w="4997" w:type="pct"/>
        <w:tblInd w:w="0" w:type="dxa"/>
        <w:shd w:val="clear" w:color="auto" w:fill="auto"/>
        <w:tblLayout w:type="autofit"/>
        <w:tblCellMar>
          <w:top w:w="0" w:type="dxa"/>
          <w:left w:w="0" w:type="dxa"/>
          <w:bottom w:w="0" w:type="dxa"/>
          <w:right w:w="0" w:type="dxa"/>
        </w:tblCellMar>
      </w:tblPr>
      <w:tblGrid>
        <w:gridCol w:w="1765"/>
        <w:gridCol w:w="1765"/>
        <w:gridCol w:w="1765"/>
        <w:gridCol w:w="1765"/>
        <w:gridCol w:w="1765"/>
      </w:tblGrid>
      <w:tr>
        <w:tblPrEx>
          <w:tblCellMar>
            <w:top w:w="0" w:type="dxa"/>
            <w:left w:w="0" w:type="dxa"/>
            <w:bottom w:w="0" w:type="dxa"/>
            <w:right w:w="0" w:type="dxa"/>
          </w:tblCellMar>
        </w:tblPrEx>
        <w:trPr>
          <w:trHeight w:val="300" w:hRule="atLeast"/>
        </w:trPr>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r>
      <w:tr>
        <w:tblPrEx>
          <w:shd w:val="clear" w:color="auto" w:fill="auto"/>
          <w:tblCellMar>
            <w:top w:w="0" w:type="dxa"/>
            <w:left w:w="0" w:type="dxa"/>
            <w:bottom w:w="0" w:type="dxa"/>
            <w:right w:w="0" w:type="dxa"/>
          </w:tblCellMar>
        </w:tblPrEx>
        <w:trPr>
          <w:trHeight w:val="9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投入（14）</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目标设定（8）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预算配置（6）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“公用经费”变动率（2）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1.47 </w:t>
            </w:r>
          </w:p>
        </w:tc>
      </w:tr>
      <w:tr>
        <w:tblPrEx>
          <w:shd w:val="clear" w:color="auto" w:fill="auto"/>
          <w:tblCellMar>
            <w:top w:w="0" w:type="dxa"/>
            <w:left w:w="0" w:type="dxa"/>
            <w:bottom w:w="0" w:type="dxa"/>
            <w:right w:w="0" w:type="dxa"/>
          </w:tblCellMar>
        </w:tblPrEx>
        <w:trPr>
          <w:trHeight w:val="6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过程（30）</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预算执行（14）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1.59 </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预算管理（8.5）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预算执行监控（2）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资产管理（7.5）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9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产出（24）</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职责履行（24）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4.8</w:t>
            </w:r>
          </w:p>
        </w:tc>
      </w:tr>
      <w:tr>
        <w:tblPrEx>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重点工作完成及时率（6）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重点工作质量达标率（6）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3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效果（32）</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履职效益（32）</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社会效益（10）</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3.91</w:t>
            </w:r>
          </w:p>
        </w:tc>
      </w:tr>
      <w:tr>
        <w:tblPrEx>
          <w:shd w:val="clear" w:color="auto" w:fill="auto"/>
          <w:tblCellMar>
            <w:top w:w="0" w:type="dxa"/>
            <w:left w:w="0" w:type="dxa"/>
            <w:bottom w:w="0" w:type="dxa"/>
            <w:right w:w="0" w:type="dxa"/>
          </w:tblCellMar>
        </w:tblPrEx>
        <w:trPr>
          <w:trHeight w:val="300" w:hRule="atLeast"/>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83.17 </w:t>
            </w:r>
          </w:p>
        </w:tc>
      </w:tr>
    </w:tbl>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ascii="黑体" w:hAnsi="黑体" w:eastAsia="黑体" w:cs="黑体"/>
          <w:sz w:val="32"/>
          <w:szCs w:val="32"/>
          <w:highlight w:val="none"/>
          <w:lang w:val="en-US" w:eastAsia="zh-CN"/>
        </w:rPr>
      </w:pPr>
      <w:r>
        <w:rPr>
          <w:rFonts w:hint="eastAsia" w:ascii="黑体" w:hAnsi="黑体" w:eastAsia="黑体" w:cs="黑体"/>
          <w:b/>
          <w:bCs/>
          <w:color w:val="auto"/>
          <w:kern w:val="0"/>
          <w:sz w:val="32"/>
          <w:szCs w:val="32"/>
          <w:highlight w:val="none"/>
          <w:shd w:val="clear" w:color="auto" w:fill="FFFFFF"/>
          <w:lang w:val="en-US" w:eastAsia="zh-CN" w:bidi="ar-SA"/>
        </w:rPr>
        <w:t>附件2 问题清单</w:t>
      </w: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p>
    <w:p>
      <w:pPr>
        <w:numPr>
          <w:ilvl w:val="0"/>
          <w:numId w:val="0"/>
        </w:numPr>
        <w:jc w:val="center"/>
        <w:outlineLvl w:val="9"/>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铜川市</w:t>
      </w:r>
      <w:r>
        <w:rPr>
          <w:rFonts w:hint="eastAsia" w:ascii="宋体" w:hAnsi="宋体" w:cs="宋体"/>
          <w:b/>
          <w:bCs/>
          <w:color w:val="auto"/>
          <w:kern w:val="0"/>
          <w:sz w:val="36"/>
          <w:szCs w:val="36"/>
          <w:highlight w:val="none"/>
          <w:shd w:val="clear" w:color="auto" w:fill="FFFFFF"/>
          <w:lang w:val="en-US" w:eastAsia="zh-CN"/>
        </w:rPr>
        <w:t>新区</w:t>
      </w:r>
      <w:r>
        <w:rPr>
          <w:rFonts w:hint="eastAsia" w:ascii="宋体" w:hAnsi="宋体" w:eastAsia="宋体" w:cs="宋体"/>
          <w:b/>
          <w:bCs/>
          <w:color w:val="auto"/>
          <w:kern w:val="0"/>
          <w:sz w:val="36"/>
          <w:szCs w:val="36"/>
          <w:highlight w:val="none"/>
          <w:shd w:val="clear" w:color="auto" w:fill="FFFFFF"/>
          <w:lang w:val="en-US" w:eastAsia="zh-CN"/>
        </w:rPr>
        <w:t>2020年度</w:t>
      </w:r>
      <w:r>
        <w:rPr>
          <w:rFonts w:hint="eastAsia" w:cs="宋体"/>
          <w:b/>
          <w:bCs/>
          <w:color w:val="auto"/>
          <w:kern w:val="0"/>
          <w:sz w:val="36"/>
          <w:szCs w:val="36"/>
          <w:highlight w:val="none"/>
          <w:shd w:val="clear" w:color="auto" w:fill="FFFFFF"/>
          <w:lang w:val="en-US" w:eastAsia="zh-CN"/>
        </w:rPr>
        <w:t>创文办部门整体支出绩效评价</w:t>
      </w: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4997" w:type="pct"/>
        <w:tblInd w:w="0" w:type="dxa"/>
        <w:tblLayout w:type="autofit"/>
        <w:tblCellMar>
          <w:top w:w="0" w:type="dxa"/>
          <w:left w:w="108" w:type="dxa"/>
          <w:bottom w:w="0" w:type="dxa"/>
          <w:right w:w="108" w:type="dxa"/>
        </w:tblCellMar>
      </w:tblPr>
      <w:tblGrid>
        <w:gridCol w:w="2506"/>
        <w:gridCol w:w="805"/>
        <w:gridCol w:w="5710"/>
      </w:tblGrid>
      <w:tr>
        <w:tblPrEx>
          <w:tblCellMar>
            <w:top w:w="0" w:type="dxa"/>
            <w:left w:w="108" w:type="dxa"/>
            <w:bottom w:w="0" w:type="dxa"/>
            <w:right w:w="108" w:type="dxa"/>
          </w:tblCellMar>
        </w:tblPrEx>
        <w:trPr>
          <w:trHeight w:val="520" w:hRule="atLeast"/>
        </w:trPr>
        <w:tc>
          <w:tcPr>
            <w:tcW w:w="13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3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项目绩效目标合理性不足，年度部门整体支出绩效目标未及时、完整公开。</w:t>
            </w:r>
          </w:p>
        </w:tc>
      </w:tr>
      <w:tr>
        <w:tblPrEx>
          <w:tblCellMar>
            <w:top w:w="0" w:type="dxa"/>
            <w:left w:w="108" w:type="dxa"/>
            <w:bottom w:w="0" w:type="dxa"/>
            <w:right w:w="108" w:type="dxa"/>
          </w:tblCellMar>
        </w:tblPrEx>
        <w:trPr>
          <w:trHeight w:val="570" w:hRule="atLeast"/>
        </w:trPr>
        <w:tc>
          <w:tcPr>
            <w:tcW w:w="138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预算执行力度欠缺。</w:t>
            </w:r>
          </w:p>
        </w:tc>
      </w:tr>
      <w:tr>
        <w:tblPrEx>
          <w:tblCellMar>
            <w:top w:w="0" w:type="dxa"/>
            <w:left w:w="108" w:type="dxa"/>
            <w:bottom w:w="0" w:type="dxa"/>
            <w:right w:w="108" w:type="dxa"/>
          </w:tblCellMar>
        </w:tblPrEx>
        <w:trPr>
          <w:trHeight w:val="570" w:hRule="atLeast"/>
        </w:trPr>
        <w:tc>
          <w:tcPr>
            <w:tcW w:w="1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highlight w:val="none"/>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预算执行监控工作不到位，缺乏有效的预算执行监控。</w:t>
            </w:r>
          </w:p>
        </w:tc>
      </w:tr>
      <w:tr>
        <w:tblPrEx>
          <w:tblCellMar>
            <w:top w:w="0" w:type="dxa"/>
            <w:left w:w="108" w:type="dxa"/>
            <w:bottom w:w="0" w:type="dxa"/>
            <w:right w:w="108" w:type="dxa"/>
          </w:tblCellMar>
        </w:tblPrEx>
        <w:trPr>
          <w:trHeight w:val="570" w:hRule="atLeast"/>
        </w:trPr>
        <w:tc>
          <w:tcPr>
            <w:tcW w:w="1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highlight w:val="none"/>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预决算信息公开规范性有待加强。</w:t>
            </w:r>
          </w:p>
        </w:tc>
      </w:tr>
      <w:tr>
        <w:tblPrEx>
          <w:tblCellMar>
            <w:top w:w="0" w:type="dxa"/>
            <w:left w:w="108" w:type="dxa"/>
            <w:bottom w:w="0" w:type="dxa"/>
            <w:right w:w="108" w:type="dxa"/>
          </w:tblCellMar>
        </w:tblPrEx>
        <w:trPr>
          <w:trHeight w:val="570" w:hRule="atLeast"/>
        </w:trPr>
        <w:tc>
          <w:tcPr>
            <w:tcW w:w="138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效益存在的问题</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w:t>
            </w:r>
          </w:p>
        </w:tc>
        <w:tc>
          <w:tcPr>
            <w:tcW w:w="3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社区文明宣传工作有待加强。</w:t>
            </w:r>
          </w:p>
        </w:tc>
      </w:tr>
    </w:tbl>
    <w:p>
      <w:pPr>
        <w:pStyle w:val="2"/>
        <w:ind w:left="0" w:leftChars="0" w:firstLine="0" w:firstLineChars="0"/>
        <w:rPr>
          <w:rFonts w:hint="default"/>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pStyle w:val="2"/>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both"/>
        <w:textAlignment w:val="auto"/>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2020年度铜川市</w:t>
      </w:r>
      <w:r>
        <w:rPr>
          <w:rFonts w:hint="eastAsia" w:cs="宋体"/>
          <w:b/>
          <w:bCs/>
          <w:color w:val="auto"/>
          <w:kern w:val="0"/>
          <w:sz w:val="36"/>
          <w:szCs w:val="36"/>
          <w:highlight w:val="none"/>
          <w:shd w:val="clear" w:color="auto" w:fill="FFFFFF"/>
          <w:lang w:val="en-US" w:eastAsia="zh-CN"/>
        </w:rPr>
        <w:t>新区创文办部门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ascii="仿宋_GB2312" w:hAnsi="仿宋_GB2312" w:eastAsia="仿宋_GB2312" w:cs="仿宋_GB2312"/>
          <w:sz w:val="32"/>
          <w:szCs w:val="32"/>
          <w:highlight w:val="none"/>
        </w:rPr>
      </w:pPr>
      <w:r>
        <w:rPr>
          <w:rFonts w:hint="eastAsia" w:ascii="宋体" w:hAnsi="宋体" w:eastAsia="宋体" w:cs="宋体"/>
          <w:b/>
          <w:bCs/>
          <w:color w:val="auto"/>
          <w:kern w:val="0"/>
          <w:sz w:val="36"/>
          <w:szCs w:val="36"/>
          <w:highlight w:val="none"/>
          <w:shd w:val="clear" w:color="auto" w:fill="FFFFFF"/>
          <w:lang w:val="en-US" w:eastAsia="zh-Hans"/>
        </w:rPr>
        <w:t>绩效评价指标</w:t>
      </w:r>
      <w:r>
        <w:rPr>
          <w:rFonts w:hint="eastAsia" w:ascii="宋体" w:hAnsi="宋体" w:eastAsia="宋体" w:cs="宋体"/>
          <w:b/>
          <w:bCs/>
          <w:color w:val="auto"/>
          <w:kern w:val="0"/>
          <w:sz w:val="36"/>
          <w:szCs w:val="36"/>
          <w:highlight w:val="none"/>
          <w:shd w:val="clear" w:color="auto" w:fill="FFFFFF"/>
          <w:lang w:val="en-US" w:eastAsia="zh-CN"/>
        </w:rPr>
        <w:t>体</w:t>
      </w:r>
      <w:r>
        <w:rPr>
          <w:rFonts w:hint="eastAsia" w:ascii="宋体" w:hAnsi="宋体" w:eastAsia="宋体" w:cs="宋体"/>
          <w:b/>
          <w:bCs/>
          <w:color w:val="auto"/>
          <w:kern w:val="0"/>
          <w:sz w:val="36"/>
          <w:szCs w:val="36"/>
          <w:highlight w:val="none"/>
          <w:shd w:val="clear" w:color="auto" w:fill="FFFFFF"/>
          <w:lang w:val="en-US" w:eastAsia="zh-Hans"/>
        </w:rPr>
        <w:t>系</w:t>
      </w:r>
    </w:p>
    <w:tbl>
      <w:tblPr>
        <w:tblStyle w:val="15"/>
        <w:tblW w:w="4998" w:type="pct"/>
        <w:tblInd w:w="0" w:type="dxa"/>
        <w:shd w:val="clear" w:color="auto" w:fill="auto"/>
        <w:tblLayout w:type="autofit"/>
        <w:tblCellMar>
          <w:top w:w="0" w:type="dxa"/>
          <w:left w:w="0" w:type="dxa"/>
          <w:bottom w:w="0" w:type="dxa"/>
          <w:right w:w="0" w:type="dxa"/>
        </w:tblCellMar>
      </w:tblPr>
      <w:tblGrid>
        <w:gridCol w:w="1247"/>
        <w:gridCol w:w="1182"/>
        <w:gridCol w:w="1120"/>
        <w:gridCol w:w="1957"/>
        <w:gridCol w:w="2734"/>
        <w:gridCol w:w="586"/>
      </w:tblGrid>
      <w:tr>
        <w:tblPrEx>
          <w:shd w:val="clear" w:color="auto" w:fill="auto"/>
          <w:tblCellMar>
            <w:top w:w="0" w:type="dxa"/>
            <w:left w:w="0" w:type="dxa"/>
            <w:bottom w:w="0" w:type="dxa"/>
            <w:right w:w="0" w:type="dxa"/>
          </w:tblCellMar>
        </w:tblPrEx>
        <w:trPr>
          <w:trHeight w:val="300" w:hRule="atLeast"/>
        </w:trPr>
        <w:tc>
          <w:tcPr>
            <w:tcW w:w="7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指标解释</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评价要点</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r>
      <w:tr>
        <w:tblPrEx>
          <w:shd w:val="clear" w:color="auto" w:fill="auto"/>
          <w:tblCellMar>
            <w:top w:w="0" w:type="dxa"/>
            <w:left w:w="0" w:type="dxa"/>
            <w:bottom w:w="0" w:type="dxa"/>
            <w:right w:w="0" w:type="dxa"/>
          </w:tblCellMar>
        </w:tblPrEx>
        <w:trPr>
          <w:trHeight w:val="2700" w:hRule="atLeast"/>
        </w:trPr>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目标设定（8）</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绩效目标合理性（4）</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部门所设立的整体绩效目标依据是否充分，是否符合客观实际，用以反映和考核部门整体绩效目标与部门履职、年度工作任务的相符性情况。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①是否符合国家法律法规、国民经济和社会发展总体规划（1）                  ②是否符合部门“三定”方案确定的职责（1）                       ③是否符合部门制定的中长期实施规划（1）                          ④绩效目标是否进行年度申报并进行公开（1）</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4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绩效指标明确性（4）</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部门依据整体绩效目标所设定的绩效指标是否清晰、细化、可衡量，用以反映和考核部门整体绩效目标的明细化情况。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①是否将部门整体的绩效目标细化分解为具体的工作任务（1）            ②是否通过清晰、可衡量的指标值予以体现（1）                      ③是否与部门年度的任务数或计划数相对应（1）                         ④是否与本年度部门预算资金相匹配（1）</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1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预算配置（6）</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部门本年度实际在职人员数与编制数的比率，用以反映和考核部门对人员成本的控制程度。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在职人员控制率=（在职人员数/编制数）×100%                          在职人员数：部门实际在职人数，以财政部确定的部门决算编制口径为准                         编制数：机构编制部门核定批复的部门的人员编制数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4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“公用经费”变动率（2）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部门2020年度“公用经费”预算数与2019年度“公用经费”预算数的变动比率，用以反映和考核部门对控制重点行政成本的努力程度。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“公用经费”变动率=[（2020年度“公用经费”总额 -2019年度“公用经费”总额）/2019年度“公用经费”总额]×100%。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7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部门2020年度预算安排的重点项目支出与部门项目总支出的比率，用以反映和考核部门（单位）对履行主要职责或完 成重点任务的保障程度。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重点支出安排率=（重点项目支出/项目总支出）×100%                 重点项目支出：部门2020年度预算安排的，与本部门履职和发展密切相关、具有明显社会和经济影响、党委政府关心或社会比较关注的项目支出总额                                      项目总支出：部门2020年度调整预算安排的项目支出总额。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 w:hRule="atLeast"/>
        </w:trPr>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预算执行（14）</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部门2020年度预算完成数与预算数的比率，用以反映和考核部门预算完成程度。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预算完成率=（预算完成数/调整预算数）×100%                      预算完成数：部门本年度实际完成的预算数                           调整预算数：财政部门批复的本年度部门及年度追加调减后的调整预算数</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67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部门2020年度预算调整数与预算数的比率，用以反映和考核部门预算的调整程度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预算调整率=（预算调整数/调整预算数）×100%。                    预算调整数：部门在本年度内涉及预算的追加、追减或结构调整的资金总和。</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86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部门2020年度结转结余总额与支出预算数的比率，用以反映和考核部门对本年度结转结余资金的实际控制程度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结转结余率=结转结余总额/支出调整预算数×100%                         结转结余总额：部门本年度的结转资金与结余资金之和（以决算数为准）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部门2020年度结转结余资金总额与上年度结转结余资金总额的变动比率，用以反映和考核部门对控制结转结余资金的努力程度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结转结余变动率=[（2020年度累计结转结余资金总额-2019年度累计结转结余资金总额）/2020年度累计结转结余资金总额]×100%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部门2020年度实际支出的公用经费总额与预算安排的公用经费总额的比率，用以反映和考核部门对机构运转成本的实际控制程度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公用经费控制率=（实际支出公用经费总额/预算安排公用经费总额）×100%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部门2020年度“三公经费”实际支出数与预算安排数的比率，用以反映和考核部门对“三公经费”的实际控制程度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“三公经费”控制率=（“三公经费”实际支出数 /“三公经费”预算安排数）×100%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部门2020年度实际政府采购金额与年初政府采购预算的比率，用以反映和考核部门政府采购预算执行情况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政府采购执行率=（实际政府采购金额/政府采购预算数）×100%； 政府采购预算：采购机关根据事业发展计划和行政任务编制的、并经过规定程序批准的年度政府采购计划</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2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预算管理（8.5）</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部门为加强预算管理、规范财务行为而制定的管理制度是否健全完整，用以反映和考核部门预算管理制度对完成主要职责或促进事业发展的保障</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①是否已制定或具有预算绩效管理制度、预算资金管理办法、内部财务管理制度、会计核算制度等管理制度（1）                           ②相关管理制度是否合法、合规、完整（1）</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3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部门使用预算资金是否符合相关的预算财务管理制度的规定，用以反映和考核部门预算资金的规范运行情况。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①是否符合国家财经法规和财务管理制度规定以及有关专项资金管理办法的规定（0.5）                   ②资金的拨付是否有完整的审批程序和手续（0.5）                    ③项目的重大开支是否经过评估论证（0.5）                             ④是否符合部门预算批复的用途（0.5）                          ⑤是否存在截留、挤占、挪用、虚列支出等情况（0.5）</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5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预算执行监控（2）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部门是否开展年度预算执行监控体系，用以反映和考核部门预算绩效管理制度执行的有效性</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①部门是否建立预算执行监控制度（1）                             ②部门是否进行日常监控和重点监控，并针对预算执行偏差较大的项目采取纠偏措施（1）</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1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部门是否按照政府信息公开有关规定公开相关预决算信息，用以反映和考核部门预决算管理的公开透明情况。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①是否按规定内容公开预决算信息（1）                           ②是否按规定时限公开预决算信息（1）                           预决算信息是指与部门预算、执行、决算、监督、 绩效等管理相关的信息。</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3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资产管理（7.5）</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管理制度健全性（3）</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部门为加强资产管理、规范资产管理行为而制定的管理制度是否健全完整，用以反映和考核部门资产管理制度对完成主要职责或促进社会发展的保障情况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①是否已制定或具有资产管理制度（1）                           ②相关资金管理制度是否合法、合规、完整（1）                      ③相关资产管理制度是否得到有效执行（1）</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21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资产管理安全性（2.5）</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部门的资产是否保存完整、使用合规、配置合理、处置规范、收入及时足额上缴，用以反映和考核部门资产安全运行情况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①资产保存是否完整（0.5）               ②资产配置是否合理（0.5）                        ③资产处置是否规范（0.5）               ④资产账务管理是否合规，是否帐实相符（0.5）                      ⑤资产是否有偿使用及处置收入及时足额上缴（0.5）</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2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固定资产利用率（2）</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部门实际在用固定资产总额与所有固定资产总额的比率，用以反映和考核部门固定资产使用效率程度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固定资产利用率=（实际在用固定资产总额/所有固定资产总额）×100%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0" w:hRule="atLeast"/>
        </w:trPr>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职责履行（24）</w:t>
            </w: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部门（单位）履行职责而实际完成工作数 与计划工作数的比率，用以反映和考核部 门（单位）履职工作任务目标的实现程度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实际完成率=（实际完成工作数/计划工作数） ×100%。                实际完成工作数：一定时期（年度或规划期）内部 门（单位）实际完成工作任务的数量。                  计划工作数：部门（单位）整体绩效目标确定的一 定时期（年度或规划期）内预计完成工作任务的数 量。</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15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重点工作完成及时率（6）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部门（单位）在规定时限内及时完成的实 际工作数与计划工作数的比率,用以反映 和考核部门履职时效目标的实现程度。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完成及时率=（及时完成实际工作数/完成工作数） ×100%。              及时完成实际工作数：部门（单位）按照整体绩效 目标确定的时限实际完成的工作任务数量。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18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重点工作质量达标率（6）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达到质量标准（绩效标准值）的实际工作 数与计划工作数的比率,用以反映和考核 部门履职质量目标的实现程度。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质量达标率=（质量达标实际工作数/完成工作数） ×100%。              质量达标实际工作数：一定时期（年度或规划期） 内部门（单位）实际完成工作数中达到部门绩效目 标要求（绩效标准值）的工作任务数量。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18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完成项目计划工作目标的实际节约成本与计划成本的比率，用以反映和考核项目的 成本节约程度。</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成本节约率=[（计划成本-实际成本）/计划成 本]×100%。                  实际成本：单位如期、保质、保量完成既定工作目标实际所耗费的支出。                          计划成本：单位为完成工作目标计划安排的支出，一般以项目预算为参考</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900" w:hRule="atLeast"/>
        </w:trPr>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效果</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履职效益（32）</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社会效益（10）</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道德模范人数变动情况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2020年度相比于2019年度道德模范人数是否增加，每增加1人得1分。最多得2分。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9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文明校园数量变动情况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2020年度相比于2019年度文明校园数量是否实现增加，每增加1家得1分。最多得2分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26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文明村数量变动情况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2020年度相比于2019年度文明村数量是否实现增加，每增加1家得1分。最多得2分。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21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文明社区数量变动情况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2020年度相比于2019年度文明社区数量是否实现增加，每增加1家得1分。最多得2分。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16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文明单位数量变动情况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2020年度相比于2019年度文明单位数量是否实现增加，每增加1家得1分。最多得2分。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1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农村人居环境改善情况</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1.是否建立人居环境整治工作机制（2）                           2.是否安排人居环境整治专项经费（2）                           3.是否建立人居环境整治结果考核奖惩机制（2）</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12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可持续影响（6）</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人居环境整治是否全覆盖</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人居环境整治覆盖率=覆盖区域/新区区域                            分值=人居环境整治覆盖率*分值</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21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是否建立有效的精神文明建设机制</w:t>
            </w: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1.2020年度举办精神文明建设的座谈（2）                           2.是否建立精神文明督查机制（2）              3.是否定期开展精神文明评选工作（2）</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600" w:hRule="atLeast"/>
        </w:trPr>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服务对象满意度（5）</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 w:hAnsi="仿宋" w:eastAsia="仿宋" w:cs="仿宋"/>
                <w:i w:val="0"/>
                <w:color w:val="000000"/>
                <w:sz w:val="24"/>
                <w:szCs w:val="24"/>
                <w:u w:val="none"/>
              </w:rPr>
            </w:pP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1.满意（5）            2.比较满意（3）         3.一般（1）             4.不满意（0）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110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 w:hAnsi="仿宋" w:eastAsia="仿宋" w:cs="仿宋"/>
                <w:i w:val="0"/>
                <w:color w:val="000000"/>
                <w:sz w:val="24"/>
                <w:szCs w:val="24"/>
                <w:u w:val="none"/>
              </w:rPr>
            </w:pPr>
          </w:p>
        </w:tc>
        <w:tc>
          <w:tcPr>
            <w:tcW w:w="154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 w:hAnsi="仿宋" w:eastAsia="仿宋" w:cs="仿宋"/>
                <w:i w:val="0"/>
                <w:color w:val="000000"/>
                <w:sz w:val="24"/>
                <w:szCs w:val="24"/>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bl>
    <w:p>
      <w:pPr>
        <w:pStyle w:val="2"/>
        <w:ind w:left="0" w:leftChars="0" w:firstLine="0" w:firstLineChars="0"/>
        <w:sectPr>
          <w:pgSz w:w="11910" w:h="16840"/>
          <w:pgMar w:top="2098" w:right="1474" w:bottom="1984" w:left="1587" w:header="1017" w:footer="1206" w:gutter="0"/>
          <w:pgNumType w:fmt="decimal"/>
          <w:cols w:equalWidth="0" w:num="1">
            <w:col w:w="8810"/>
          </w:cols>
          <w:docGrid w:linePitch="326" w:charSpace="0"/>
        </w:sectPr>
      </w:pPr>
    </w:p>
    <w:p>
      <w:pPr>
        <w:spacing w:before="120" w:beforeLines="50" w:after="120" w:afterLines="50" w:line="360" w:lineRule="auto"/>
        <w:outlineLvl w:val="9"/>
        <w:rPr>
          <w:rFonts w:hint="eastAsia"/>
          <w:highlight w:val="none"/>
          <w:lang w:eastAsia="zh-Hans"/>
        </w:rPr>
      </w:pPr>
    </w:p>
    <w:p>
      <w:pPr>
        <w:bidi w:val="0"/>
        <w:rPr>
          <w:rFonts w:hint="eastAsia" w:ascii="宋体" w:hAnsi="宋体" w:eastAsia="宋体" w:cs="宋体"/>
          <w:sz w:val="24"/>
          <w:szCs w:val="24"/>
          <w:lang w:val="en-US" w:eastAsia="zh-Hans" w:bidi="ar-SA"/>
        </w:rPr>
      </w:pPr>
    </w:p>
    <w:sectPr>
      <w:footerReference r:id="rId7" w:type="default"/>
      <w:pgSz w:w="11910" w:h="16840"/>
      <w:pgMar w:top="1440" w:right="1803" w:bottom="1440" w:left="1803" w:header="1017" w:footer="1206" w:gutter="0"/>
      <w:pgNumType w:fmt="decimal"/>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- 49 -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- 49 -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79509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E03C8C"/>
    <w:rsid w:val="00E21638"/>
    <w:rsid w:val="00EB2C85"/>
    <w:rsid w:val="00F43C4D"/>
    <w:rsid w:val="00FA78FE"/>
    <w:rsid w:val="016C782E"/>
    <w:rsid w:val="01E82D68"/>
    <w:rsid w:val="03763AF9"/>
    <w:rsid w:val="03FD3C8E"/>
    <w:rsid w:val="044779A9"/>
    <w:rsid w:val="04956E50"/>
    <w:rsid w:val="04E356F0"/>
    <w:rsid w:val="05B04835"/>
    <w:rsid w:val="05C76026"/>
    <w:rsid w:val="05E0082C"/>
    <w:rsid w:val="06364AC5"/>
    <w:rsid w:val="066731F5"/>
    <w:rsid w:val="06A76340"/>
    <w:rsid w:val="078B3248"/>
    <w:rsid w:val="07AFA6BE"/>
    <w:rsid w:val="0880581D"/>
    <w:rsid w:val="08E763B1"/>
    <w:rsid w:val="09282892"/>
    <w:rsid w:val="09D5139F"/>
    <w:rsid w:val="0A541ADF"/>
    <w:rsid w:val="0A753250"/>
    <w:rsid w:val="0ACC7640"/>
    <w:rsid w:val="0B5C6090"/>
    <w:rsid w:val="0B7752FB"/>
    <w:rsid w:val="0BDC27C2"/>
    <w:rsid w:val="0C105AEF"/>
    <w:rsid w:val="0D44070F"/>
    <w:rsid w:val="0D714FAF"/>
    <w:rsid w:val="0D8D3876"/>
    <w:rsid w:val="0DEA6DBD"/>
    <w:rsid w:val="0DED0A90"/>
    <w:rsid w:val="0E325784"/>
    <w:rsid w:val="0E3A028A"/>
    <w:rsid w:val="0E7C7AE0"/>
    <w:rsid w:val="0E8A62E7"/>
    <w:rsid w:val="0F446D5E"/>
    <w:rsid w:val="0FB6670F"/>
    <w:rsid w:val="103857B0"/>
    <w:rsid w:val="104D2379"/>
    <w:rsid w:val="10537D9F"/>
    <w:rsid w:val="10654BC8"/>
    <w:rsid w:val="10707038"/>
    <w:rsid w:val="10C67A5F"/>
    <w:rsid w:val="12A07F1B"/>
    <w:rsid w:val="12B25490"/>
    <w:rsid w:val="13292527"/>
    <w:rsid w:val="13EF2888"/>
    <w:rsid w:val="14B50AFC"/>
    <w:rsid w:val="14BC12BD"/>
    <w:rsid w:val="14C63493"/>
    <w:rsid w:val="1513305A"/>
    <w:rsid w:val="156163BD"/>
    <w:rsid w:val="15913ACC"/>
    <w:rsid w:val="159C452D"/>
    <w:rsid w:val="163300CC"/>
    <w:rsid w:val="163460BC"/>
    <w:rsid w:val="171133F3"/>
    <w:rsid w:val="17382826"/>
    <w:rsid w:val="17513854"/>
    <w:rsid w:val="179B56FF"/>
    <w:rsid w:val="17BB19F6"/>
    <w:rsid w:val="184833AC"/>
    <w:rsid w:val="18587C33"/>
    <w:rsid w:val="191B665E"/>
    <w:rsid w:val="1A4F1286"/>
    <w:rsid w:val="1A591792"/>
    <w:rsid w:val="1A783987"/>
    <w:rsid w:val="1AD204DE"/>
    <w:rsid w:val="1AD65B30"/>
    <w:rsid w:val="1B2B1B0F"/>
    <w:rsid w:val="1B5B356A"/>
    <w:rsid w:val="1BE50B84"/>
    <w:rsid w:val="1C440A92"/>
    <w:rsid w:val="1C841B45"/>
    <w:rsid w:val="1CA10911"/>
    <w:rsid w:val="1CC30C5A"/>
    <w:rsid w:val="1CC85C7A"/>
    <w:rsid w:val="1D311AD8"/>
    <w:rsid w:val="1E6D2384"/>
    <w:rsid w:val="1E7D37A1"/>
    <w:rsid w:val="1ED77E4D"/>
    <w:rsid w:val="1EE10438"/>
    <w:rsid w:val="1F5A653C"/>
    <w:rsid w:val="1F98298D"/>
    <w:rsid w:val="1FCE652E"/>
    <w:rsid w:val="203C75C9"/>
    <w:rsid w:val="208D2567"/>
    <w:rsid w:val="22D258F0"/>
    <w:rsid w:val="23760F4A"/>
    <w:rsid w:val="23926449"/>
    <w:rsid w:val="23E059E6"/>
    <w:rsid w:val="247F1BFC"/>
    <w:rsid w:val="24FE4594"/>
    <w:rsid w:val="250C675E"/>
    <w:rsid w:val="251C38FE"/>
    <w:rsid w:val="251E6154"/>
    <w:rsid w:val="25C62D01"/>
    <w:rsid w:val="25CC5E57"/>
    <w:rsid w:val="25CF71A4"/>
    <w:rsid w:val="2602774C"/>
    <w:rsid w:val="261841F8"/>
    <w:rsid w:val="26675F9C"/>
    <w:rsid w:val="266D4FC8"/>
    <w:rsid w:val="27323C04"/>
    <w:rsid w:val="27BF71E5"/>
    <w:rsid w:val="27DE7AF8"/>
    <w:rsid w:val="28D6709F"/>
    <w:rsid w:val="29526988"/>
    <w:rsid w:val="29E26ED7"/>
    <w:rsid w:val="2A185AAA"/>
    <w:rsid w:val="2B667741"/>
    <w:rsid w:val="2C1B65AB"/>
    <w:rsid w:val="2C266A13"/>
    <w:rsid w:val="2C413F15"/>
    <w:rsid w:val="2C484ADF"/>
    <w:rsid w:val="2C863B0A"/>
    <w:rsid w:val="2DB2412B"/>
    <w:rsid w:val="2DBA2C9C"/>
    <w:rsid w:val="2DFE1003"/>
    <w:rsid w:val="2E636917"/>
    <w:rsid w:val="2EF608E5"/>
    <w:rsid w:val="2EFF4609"/>
    <w:rsid w:val="2F4078ED"/>
    <w:rsid w:val="2F436126"/>
    <w:rsid w:val="2F5D2AAD"/>
    <w:rsid w:val="2F5F0DD2"/>
    <w:rsid w:val="2FAF3FA5"/>
    <w:rsid w:val="30002233"/>
    <w:rsid w:val="301A49E7"/>
    <w:rsid w:val="30AB434B"/>
    <w:rsid w:val="30B94BC4"/>
    <w:rsid w:val="30DD69AA"/>
    <w:rsid w:val="315F23CD"/>
    <w:rsid w:val="31D411F6"/>
    <w:rsid w:val="324F10BD"/>
    <w:rsid w:val="3255427B"/>
    <w:rsid w:val="32F62F6C"/>
    <w:rsid w:val="32FF0698"/>
    <w:rsid w:val="33344C0B"/>
    <w:rsid w:val="33A30157"/>
    <w:rsid w:val="34446958"/>
    <w:rsid w:val="344554F3"/>
    <w:rsid w:val="34EB417E"/>
    <w:rsid w:val="35D6177A"/>
    <w:rsid w:val="36190C78"/>
    <w:rsid w:val="36607590"/>
    <w:rsid w:val="36820561"/>
    <w:rsid w:val="36E62DA0"/>
    <w:rsid w:val="375D844E"/>
    <w:rsid w:val="388536F6"/>
    <w:rsid w:val="390A46C3"/>
    <w:rsid w:val="393775B4"/>
    <w:rsid w:val="39452513"/>
    <w:rsid w:val="39BE2D40"/>
    <w:rsid w:val="39FC04BC"/>
    <w:rsid w:val="3A5F60E2"/>
    <w:rsid w:val="3A8E4210"/>
    <w:rsid w:val="3A9C475D"/>
    <w:rsid w:val="3B091EF2"/>
    <w:rsid w:val="3BFE92E6"/>
    <w:rsid w:val="3C7E08AD"/>
    <w:rsid w:val="3C925432"/>
    <w:rsid w:val="3CA774F5"/>
    <w:rsid w:val="3CD576EC"/>
    <w:rsid w:val="3D4D580B"/>
    <w:rsid w:val="3D767E1F"/>
    <w:rsid w:val="3DCF3C04"/>
    <w:rsid w:val="3DF84D4A"/>
    <w:rsid w:val="3E971C2C"/>
    <w:rsid w:val="3EBF4761"/>
    <w:rsid w:val="3EF83F8F"/>
    <w:rsid w:val="3F3123B0"/>
    <w:rsid w:val="3F5A6BDC"/>
    <w:rsid w:val="3F72FB8E"/>
    <w:rsid w:val="3F857BF7"/>
    <w:rsid w:val="3FCF87E2"/>
    <w:rsid w:val="3FE4F30A"/>
    <w:rsid w:val="3FEA7C05"/>
    <w:rsid w:val="3FED7CA3"/>
    <w:rsid w:val="3FFDE92B"/>
    <w:rsid w:val="408E2BEB"/>
    <w:rsid w:val="40934335"/>
    <w:rsid w:val="40B225AE"/>
    <w:rsid w:val="40C800AC"/>
    <w:rsid w:val="40E404D8"/>
    <w:rsid w:val="41FE0CE6"/>
    <w:rsid w:val="42127509"/>
    <w:rsid w:val="42D22654"/>
    <w:rsid w:val="43427F96"/>
    <w:rsid w:val="43DD6659"/>
    <w:rsid w:val="441F27E8"/>
    <w:rsid w:val="44AF72AA"/>
    <w:rsid w:val="453F6242"/>
    <w:rsid w:val="454D3391"/>
    <w:rsid w:val="45980D6F"/>
    <w:rsid w:val="45F13BAE"/>
    <w:rsid w:val="45FEEC7A"/>
    <w:rsid w:val="46431B5C"/>
    <w:rsid w:val="465034C7"/>
    <w:rsid w:val="46685015"/>
    <w:rsid w:val="467D76E6"/>
    <w:rsid w:val="46CE74F7"/>
    <w:rsid w:val="47AE2D1A"/>
    <w:rsid w:val="483779F8"/>
    <w:rsid w:val="48A94735"/>
    <w:rsid w:val="494D23C4"/>
    <w:rsid w:val="495A275A"/>
    <w:rsid w:val="497046E6"/>
    <w:rsid w:val="49A04D73"/>
    <w:rsid w:val="4AA449D8"/>
    <w:rsid w:val="4AED00BD"/>
    <w:rsid w:val="4BB739C4"/>
    <w:rsid w:val="4C544D34"/>
    <w:rsid w:val="4D750090"/>
    <w:rsid w:val="4D9B160E"/>
    <w:rsid w:val="4DB847AB"/>
    <w:rsid w:val="4DC5726B"/>
    <w:rsid w:val="4E180AAD"/>
    <w:rsid w:val="4E3D5C6A"/>
    <w:rsid w:val="4E401BA3"/>
    <w:rsid w:val="4EEA5B73"/>
    <w:rsid w:val="4EEB1428"/>
    <w:rsid w:val="4F150B43"/>
    <w:rsid w:val="4F7F1927"/>
    <w:rsid w:val="4FB753CF"/>
    <w:rsid w:val="4FCF7AC6"/>
    <w:rsid w:val="5069215F"/>
    <w:rsid w:val="50775897"/>
    <w:rsid w:val="50AC2D0F"/>
    <w:rsid w:val="50B204D7"/>
    <w:rsid w:val="51975976"/>
    <w:rsid w:val="520B7E90"/>
    <w:rsid w:val="52280045"/>
    <w:rsid w:val="525F00E3"/>
    <w:rsid w:val="527C456F"/>
    <w:rsid w:val="52993572"/>
    <w:rsid w:val="52C94A24"/>
    <w:rsid w:val="536A1860"/>
    <w:rsid w:val="539C678F"/>
    <w:rsid w:val="53AC44AB"/>
    <w:rsid w:val="546623FD"/>
    <w:rsid w:val="54F91522"/>
    <w:rsid w:val="550A5A6C"/>
    <w:rsid w:val="552E27A5"/>
    <w:rsid w:val="56160AE4"/>
    <w:rsid w:val="56A61FE8"/>
    <w:rsid w:val="56C41FE1"/>
    <w:rsid w:val="56CF3B57"/>
    <w:rsid w:val="56DB676E"/>
    <w:rsid w:val="5707272C"/>
    <w:rsid w:val="57675951"/>
    <w:rsid w:val="57AE0D7D"/>
    <w:rsid w:val="58432E17"/>
    <w:rsid w:val="58576E0C"/>
    <w:rsid w:val="58A77221"/>
    <w:rsid w:val="59151653"/>
    <w:rsid w:val="593B2FB5"/>
    <w:rsid w:val="596155CD"/>
    <w:rsid w:val="5A3D527E"/>
    <w:rsid w:val="5A4C209B"/>
    <w:rsid w:val="5A5D00D0"/>
    <w:rsid w:val="5B1C4FC1"/>
    <w:rsid w:val="5B5F8D84"/>
    <w:rsid w:val="5B7E99B1"/>
    <w:rsid w:val="5BB160B9"/>
    <w:rsid w:val="5BBC5FA1"/>
    <w:rsid w:val="5BEF5BA4"/>
    <w:rsid w:val="5C1944E7"/>
    <w:rsid w:val="5C476A03"/>
    <w:rsid w:val="5CC03254"/>
    <w:rsid w:val="5CD36FB4"/>
    <w:rsid w:val="5D5B032C"/>
    <w:rsid w:val="5D9E7566"/>
    <w:rsid w:val="5E8500B8"/>
    <w:rsid w:val="5EDF2B36"/>
    <w:rsid w:val="5F16422C"/>
    <w:rsid w:val="5F186462"/>
    <w:rsid w:val="5F363017"/>
    <w:rsid w:val="5F396915"/>
    <w:rsid w:val="602521ED"/>
    <w:rsid w:val="606A4797"/>
    <w:rsid w:val="60A02D1C"/>
    <w:rsid w:val="61164DA4"/>
    <w:rsid w:val="6154274D"/>
    <w:rsid w:val="619C127E"/>
    <w:rsid w:val="61EE3D90"/>
    <w:rsid w:val="62367FF4"/>
    <w:rsid w:val="62663B03"/>
    <w:rsid w:val="628F52BA"/>
    <w:rsid w:val="62D95169"/>
    <w:rsid w:val="62EB0B21"/>
    <w:rsid w:val="63B81771"/>
    <w:rsid w:val="63C4604E"/>
    <w:rsid w:val="63CD2F02"/>
    <w:rsid w:val="64282A7D"/>
    <w:rsid w:val="645F5F1F"/>
    <w:rsid w:val="6655583A"/>
    <w:rsid w:val="668E6D55"/>
    <w:rsid w:val="66B62AAF"/>
    <w:rsid w:val="67171FE6"/>
    <w:rsid w:val="67365440"/>
    <w:rsid w:val="677C10DD"/>
    <w:rsid w:val="67AA26A2"/>
    <w:rsid w:val="67AF2C39"/>
    <w:rsid w:val="68702643"/>
    <w:rsid w:val="68D9613A"/>
    <w:rsid w:val="697A1AE8"/>
    <w:rsid w:val="69852D69"/>
    <w:rsid w:val="69CD5350"/>
    <w:rsid w:val="69EF5E36"/>
    <w:rsid w:val="69F10A19"/>
    <w:rsid w:val="6A0E2CAA"/>
    <w:rsid w:val="6A5B0688"/>
    <w:rsid w:val="6A6D435E"/>
    <w:rsid w:val="6B730ADB"/>
    <w:rsid w:val="6BE66DBF"/>
    <w:rsid w:val="6BFC559A"/>
    <w:rsid w:val="6C735685"/>
    <w:rsid w:val="6CE74ADB"/>
    <w:rsid w:val="6D6D126F"/>
    <w:rsid w:val="6D7F0B21"/>
    <w:rsid w:val="6DFF493C"/>
    <w:rsid w:val="6E1E0067"/>
    <w:rsid w:val="6E3103DE"/>
    <w:rsid w:val="6F686B2C"/>
    <w:rsid w:val="6FAF9792"/>
    <w:rsid w:val="6FDA1680"/>
    <w:rsid w:val="6FDF92CE"/>
    <w:rsid w:val="6FED039D"/>
    <w:rsid w:val="6FEE0A49"/>
    <w:rsid w:val="6FF62692"/>
    <w:rsid w:val="6FFB20AD"/>
    <w:rsid w:val="6FFE7D7E"/>
    <w:rsid w:val="703F39D2"/>
    <w:rsid w:val="706A2D4C"/>
    <w:rsid w:val="70954FF6"/>
    <w:rsid w:val="70EA4B85"/>
    <w:rsid w:val="71537B1E"/>
    <w:rsid w:val="71826C7B"/>
    <w:rsid w:val="72BC7438"/>
    <w:rsid w:val="72C826B7"/>
    <w:rsid w:val="73180AD2"/>
    <w:rsid w:val="7353633E"/>
    <w:rsid w:val="73A77236"/>
    <w:rsid w:val="73B76B14"/>
    <w:rsid w:val="73CE05C8"/>
    <w:rsid w:val="74027120"/>
    <w:rsid w:val="7440414A"/>
    <w:rsid w:val="74EBB814"/>
    <w:rsid w:val="750D7E98"/>
    <w:rsid w:val="75499311"/>
    <w:rsid w:val="75B118FB"/>
    <w:rsid w:val="75FB5E58"/>
    <w:rsid w:val="7632520E"/>
    <w:rsid w:val="76622199"/>
    <w:rsid w:val="76712296"/>
    <w:rsid w:val="76A82910"/>
    <w:rsid w:val="76FD7797"/>
    <w:rsid w:val="77DFB228"/>
    <w:rsid w:val="77F932E0"/>
    <w:rsid w:val="78874BB4"/>
    <w:rsid w:val="78946A6F"/>
    <w:rsid w:val="799338DA"/>
    <w:rsid w:val="799C6B9D"/>
    <w:rsid w:val="799F3238"/>
    <w:rsid w:val="79BD41C2"/>
    <w:rsid w:val="7AD061B2"/>
    <w:rsid w:val="7AE918CD"/>
    <w:rsid w:val="7B3303F3"/>
    <w:rsid w:val="7B9D0E88"/>
    <w:rsid w:val="7BE17CCF"/>
    <w:rsid w:val="7BFBA993"/>
    <w:rsid w:val="7BFBAB29"/>
    <w:rsid w:val="7C10559B"/>
    <w:rsid w:val="7D033001"/>
    <w:rsid w:val="7D500092"/>
    <w:rsid w:val="7D5C3245"/>
    <w:rsid w:val="7D6925E9"/>
    <w:rsid w:val="7D6F453F"/>
    <w:rsid w:val="7DFD5226"/>
    <w:rsid w:val="7E1D7FA5"/>
    <w:rsid w:val="7ECD4EAB"/>
    <w:rsid w:val="7F023C68"/>
    <w:rsid w:val="7F104911"/>
    <w:rsid w:val="7F3C5DB2"/>
    <w:rsid w:val="7F5E96C4"/>
    <w:rsid w:val="7F73122C"/>
    <w:rsid w:val="7F7F9C3C"/>
    <w:rsid w:val="7F8963F8"/>
    <w:rsid w:val="7FAB273F"/>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25792</Words>
  <Characters>27791</Characters>
  <Lines>226</Lines>
  <Paragraphs>63</Paragraphs>
  <TotalTime>11</TotalTime>
  <ScaleCrop>false</ScaleCrop>
  <LinksUpToDate>false</LinksUpToDate>
  <CharactersWithSpaces>35345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迷人的危险</cp:lastModifiedBy>
  <dcterms:modified xsi:type="dcterms:W3CDTF">2021-11-25T08:25:35Z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8569F57E886743CFBF8F065686E960A4</vt:lpwstr>
  </property>
</Properties>
</file>