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jc w:val="center"/>
        <w:rPr>
          <w:rFonts w:hint="default" w:ascii="楷体" w:hAnsi="楷体" w:eastAsia="楷体" w:cs="楷体"/>
          <w:b/>
          <w:color w:val="auto"/>
          <w:sz w:val="36"/>
          <w:szCs w:val="36"/>
          <w:highlight w:val="none"/>
          <w:lang w:val="en-US" w:eastAsia="zh-CN"/>
        </w:rPr>
      </w:pPr>
      <w:r>
        <w:rPr>
          <w:rFonts w:hint="eastAsia" w:ascii="楷体" w:hAnsi="楷体" w:eastAsia="楷体" w:cs="楷体"/>
          <w:b/>
          <w:color w:val="auto"/>
          <w:sz w:val="36"/>
          <w:szCs w:val="36"/>
          <w:highlight w:val="none"/>
        </w:rPr>
        <w:t>铜川市新区2020年度招商引资重点财政支出</w:t>
      </w:r>
    </w:p>
    <w:p>
      <w:pPr>
        <w:jc w:val="center"/>
        <w:rPr>
          <w:rFonts w:hint="eastAsia" w:ascii="黑体" w:hAnsi="黑体" w:eastAsia="黑体" w:cs="黑体"/>
          <w:b/>
          <w:color w:val="auto"/>
          <w:sz w:val="56"/>
          <w:szCs w:val="56"/>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黑体" w:hAnsi="黑体" w:eastAsia="黑体" w:cs="黑体"/>
          <w:b/>
          <w:color w:val="auto"/>
          <w:sz w:val="72"/>
          <w:szCs w:val="72"/>
          <w:highlight w:val="none"/>
          <w:lang w:val="en-US" w:eastAsia="zh-CN"/>
        </w:rPr>
      </w:pPr>
      <w:r>
        <w:rPr>
          <w:rFonts w:hint="eastAsia" w:ascii="黑体" w:hAnsi="黑体" w:eastAsia="黑体" w:cs="黑体"/>
          <w:b/>
          <w:color w:val="auto"/>
          <w:sz w:val="72"/>
          <w:szCs w:val="72"/>
          <w:highlight w:val="none"/>
          <w:lang w:val="en-US" w:eastAsia="zh-CN"/>
        </w:rPr>
        <w:t>绩 效 评 价 报 告</w:t>
      </w: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ind w:left="319" w:leftChars="152" w:firstLine="320" w:firstLineChars="100"/>
        <w:jc w:val="both"/>
        <w:rPr>
          <w:rFonts w:hint="default" w:ascii="仿宋_GB2312" w:hAnsi="仿宋_GB2312" w:eastAsia="仿宋_GB2312" w:cs="仿宋_GB2312"/>
          <w:b w:val="0"/>
          <w:bCs/>
          <w:color w:val="auto"/>
          <w:sz w:val="32"/>
          <w:szCs w:val="32"/>
          <w:highlight w:val="none"/>
          <w:u w:val="none"/>
          <w:lang w:val="en-US"/>
        </w:rPr>
      </w:pPr>
      <w:r>
        <w:rPr>
          <w:rFonts w:hint="eastAsia" w:ascii="楷体" w:hAnsi="楷体" w:eastAsia="楷体" w:cs="楷体"/>
          <w:b w:val="0"/>
          <w:bCs/>
          <w:color w:val="auto"/>
          <w:sz w:val="32"/>
          <w:szCs w:val="32"/>
          <w:highlight w:val="none"/>
          <w:u w:val="none"/>
          <w:lang w:val="en-US" w:eastAsia="zh-CN"/>
        </w:rPr>
        <w:t xml:space="preserve"> </w:t>
      </w:r>
    </w:p>
    <w:p>
      <w:pPr>
        <w:ind w:firstLine="640" w:firstLineChars="200"/>
        <w:jc w:val="both"/>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项目单位</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铜川市新区对外经济投资合作局</w:t>
      </w:r>
    </w:p>
    <w:p>
      <w:pPr>
        <w:ind w:firstLine="640" w:firstLineChars="200"/>
        <w:jc w:val="both"/>
        <w:rPr>
          <w:rFonts w:hint="default" w:ascii="仿宋_GB2312" w:hAnsi="仿宋_GB2312" w:eastAsia="仿宋_GB2312" w:cs="仿宋_GB2312"/>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组织单位</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 xml:space="preserve">铜川市新区财政局       </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评价机构</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深圳市万德公共咨询有限公司</w:t>
      </w:r>
    </w:p>
    <w:p>
      <w:pPr>
        <w:ind w:firstLine="640" w:firstLineChars="200"/>
        <w:jc w:val="both"/>
        <w:rPr>
          <w:rFonts w:hint="eastAsia"/>
          <w:u w:val="none"/>
          <w:lang w:val="en-US" w:eastAsia="zh-CN"/>
        </w:rPr>
      </w:pPr>
      <w:r>
        <w:rPr>
          <w:rFonts w:hint="eastAsia" w:ascii="楷体" w:hAnsi="楷体" w:eastAsia="楷体" w:cs="楷体"/>
          <w:b w:val="0"/>
          <w:bCs/>
          <w:color w:val="auto"/>
          <w:sz w:val="32"/>
          <w:szCs w:val="32"/>
          <w:highlight w:val="none"/>
          <w:u w:val="none"/>
          <w:lang w:val="en-US" w:eastAsia="zh-CN"/>
        </w:rPr>
        <w:t>报告编号：铜新评价2021-04</w:t>
      </w:r>
    </w:p>
    <w:p>
      <w:pPr>
        <w:ind w:firstLine="640" w:firstLineChars="200"/>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编制日期：2021年11月</w:t>
      </w:r>
    </w:p>
    <w:p>
      <w:pPr>
        <w:ind w:firstLine="640" w:firstLineChars="200"/>
        <w:rPr>
          <w:rFonts w:hint="eastAsia" w:ascii="楷体" w:hAnsi="楷体" w:eastAsia="楷体" w:cs="楷体"/>
          <w:b w:val="0"/>
          <w:bCs/>
          <w:color w:val="auto"/>
          <w:sz w:val="32"/>
          <w:szCs w:val="32"/>
          <w:highlight w:val="none"/>
          <w:u w:val="none"/>
          <w:lang w:val="en-US" w:eastAsia="zh-CN"/>
        </w:rPr>
      </w:pPr>
    </w:p>
    <w:p>
      <w:pPr>
        <w:pStyle w:val="2"/>
        <w:rPr>
          <w:rFonts w:ascii="宋体" w:hAnsi="宋体" w:eastAsia="宋体"/>
          <w:b/>
          <w:bCs/>
          <w:color w:val="auto"/>
          <w:sz w:val="36"/>
          <w:szCs w:val="36"/>
          <w:highlight w:val="none"/>
        </w:rPr>
        <w:sectPr>
          <w:headerReference r:id="rId3" w:type="even"/>
          <w:footerReference r:id="rId4" w:type="even"/>
          <w:pgSz w:w="11906" w:h="16838"/>
          <w:pgMar w:top="2098" w:right="1474" w:bottom="1984" w:left="1587" w:header="992" w:footer="992" w:gutter="0"/>
          <w:pgNumType w:fmt="numberInDash" w:start="1"/>
          <w:cols w:space="720" w:num="1"/>
          <w:docGrid w:type="lines" w:linePitch="312" w:charSpace="0"/>
        </w:sectPr>
      </w:pPr>
      <w:bookmarkStart w:id="17" w:name="_GoBack"/>
      <w:bookmarkEnd w:id="17"/>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宋体" w:hAnsi="宋体"/>
          <w:b/>
          <w:bCs/>
          <w:color w:val="auto"/>
          <w:sz w:val="36"/>
          <w:szCs w:val="36"/>
          <w:highlight w:val="none"/>
          <w:lang w:val="en-US" w:eastAsia="zh-CN"/>
        </w:rPr>
      </w:pPr>
      <w:r>
        <w:rPr>
          <w:rFonts w:hint="eastAsia" w:ascii="宋体" w:hAnsi="宋体"/>
          <w:b/>
          <w:bCs/>
          <w:color w:val="auto"/>
          <w:sz w:val="36"/>
          <w:szCs w:val="36"/>
          <w:highlight w:val="none"/>
          <w:lang w:val="en-US" w:eastAsia="zh-CN"/>
        </w:rPr>
        <w:t>铜川市新区2020年度招商引资重点财政支出项目</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仿宋" w:hAnsi="仿宋" w:eastAsia="仿宋" w:cs="仿宋"/>
          <w:i w:val="0"/>
          <w:iCs w:val="0"/>
          <w:color w:val="000000"/>
          <w:kern w:val="0"/>
          <w:sz w:val="24"/>
          <w:szCs w:val="24"/>
          <w:highlight w:val="none"/>
          <w:u w:val="none"/>
          <w:lang w:val="en-US" w:eastAsia="zh-CN" w:bidi="ar"/>
        </w:rPr>
      </w:pPr>
      <w:r>
        <w:rPr>
          <w:rFonts w:hint="eastAsia" w:ascii="宋体" w:hAnsi="宋体"/>
          <w:b/>
          <w:bCs/>
          <w:color w:val="auto"/>
          <w:sz w:val="36"/>
          <w:szCs w:val="36"/>
          <w:highlight w:val="none"/>
          <w:lang w:val="en-US" w:eastAsia="zh-CN"/>
        </w:rPr>
        <w:t>绩效评价总览表</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1"/>
        <w:gridCol w:w="1856"/>
        <w:gridCol w:w="240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一、项目预算资金安排和使用情况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项目名称</w:t>
            </w:r>
          </w:p>
        </w:tc>
        <w:tc>
          <w:tcPr>
            <w:tcW w:w="3757"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铜川市新区2020年度招商引资重点财政支出项目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实施单位</w:t>
            </w:r>
          </w:p>
        </w:tc>
        <w:tc>
          <w:tcPr>
            <w:tcW w:w="3757"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铜川市新区对外经济投资合作局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主管处室</w:t>
            </w:r>
          </w:p>
        </w:tc>
        <w:tc>
          <w:tcPr>
            <w:tcW w:w="102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铜川市新区财政局综合科</w:t>
            </w:r>
          </w:p>
        </w:tc>
        <w:tc>
          <w:tcPr>
            <w:tcW w:w="132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主管部门</w:t>
            </w:r>
          </w:p>
        </w:tc>
        <w:tc>
          <w:tcPr>
            <w:tcW w:w="1403"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铜川市新区对外经济投资合作局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年度预算资金安排</w:t>
            </w:r>
          </w:p>
        </w:tc>
        <w:tc>
          <w:tcPr>
            <w:tcW w:w="3757"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其中</w:t>
            </w:r>
          </w:p>
        </w:tc>
        <w:tc>
          <w:tcPr>
            <w:tcW w:w="3757"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当年财政拨款50.00万元（100%）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年度实际支出</w:t>
            </w:r>
          </w:p>
        </w:tc>
        <w:tc>
          <w:tcPr>
            <w:tcW w:w="3757"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年度支出万元423495.41元，占比84.7%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二、项目绩效目标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绩效目标</w:t>
            </w:r>
          </w:p>
        </w:tc>
        <w:tc>
          <w:tcPr>
            <w:tcW w:w="3757"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引进一批有规模、有效益、对开发建设具有战略支撑作用的大项目、好项目。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242" w:type="pct"/>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主要指标</w:t>
            </w:r>
          </w:p>
        </w:tc>
        <w:tc>
          <w:tcPr>
            <w:tcW w:w="3757"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举办会议、活动数量，参加会议、活动人数，签约项目涉及资金量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1242" w:type="pct"/>
            <w:noWrap w:val="0"/>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完成情况</w:t>
            </w:r>
          </w:p>
        </w:tc>
        <w:tc>
          <w:tcPr>
            <w:tcW w:w="3757" w:type="pct"/>
            <w:gridSpan w:val="3"/>
            <w:noWrap w:val="0"/>
            <w:vAlign w:val="center"/>
          </w:tcPr>
          <w:p>
            <w:pPr>
              <w:keepNext w:val="0"/>
              <w:keepLines w:val="0"/>
              <w:widowControl/>
              <w:numPr>
                <w:ilvl w:val="0"/>
                <w:numId w:val="1"/>
              </w:numPr>
              <w:suppressLineNumbers w:val="0"/>
              <w:ind w:firstLineChars="20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2020年全年项目签约金额134.19亿元，实际利用市域外项目资金60.98亿元，其中实际利用省域外子项目资金（内资）46.93亿元。</w:t>
            </w:r>
          </w:p>
          <w:p>
            <w:pPr>
              <w:keepNext w:val="0"/>
              <w:keepLines w:val="0"/>
              <w:widowControl/>
              <w:numPr>
                <w:ilvl w:val="0"/>
                <w:numId w:val="1"/>
              </w:numPr>
              <w:suppressLineNumbers w:val="0"/>
              <w:ind w:firstLineChars="200"/>
              <w:jc w:val="left"/>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举办招商引资会议、活动7项。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三、综合评价结论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restart"/>
            <w:noWrap w:val="0"/>
            <w:vAlign w:val="center"/>
          </w:tcPr>
          <w:p>
            <w:pPr>
              <w:keepNext w:val="0"/>
              <w:keepLines w:val="0"/>
              <w:widowControl/>
              <w:suppressLineNumbers w:val="0"/>
              <w:ind w:firstLineChars="20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经综合评价表明，专项资金使用情况整体表现良好，综合评分为85.65分，绩效等级为“良”。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四、主要经验及做法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1.开拓了线上招商工作。利用互联网平台和现代信息技术，组织“线上招商会”、“在线联系会”等线上推广活动。</w:t>
            </w:r>
          </w:p>
          <w:p>
            <w:pPr>
              <w:keepNext w:val="0"/>
              <w:keepLines w:val="0"/>
              <w:widowControl/>
              <w:suppressLineNumbers w:val="0"/>
              <w:ind w:firstLine="480" w:firstLineChars="200"/>
              <w:jc w:val="left"/>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2.改善了招商引资环境。铜川市新区根据铜川市级优惠政策为基础，学习借鉴其它市县优惠政策，结合铜川市新区自身实际情况，印发了《铜川市新区促进产业发展优惠政策》，有利于招商引资工作的开展。</w:t>
            </w:r>
          </w:p>
          <w:p>
            <w:pPr>
              <w:keepNext w:val="0"/>
              <w:keepLines w:val="0"/>
              <w:widowControl/>
              <w:suppressLineNumbers w:val="0"/>
              <w:ind w:firstLine="480" w:firstLineChars="200"/>
              <w:jc w:val="left"/>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3.创新了招商引资方式。加强与社会组织、驻外机构的合作联系，借助各大城市陕西商会的平台开展招商引资工作，利用各大驻外机构为前沿阵地，更便利与客商联系沟通，方便招商引资工作开展。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五、存在主要问题及有关建议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4"/>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主要问题： 1.资金管理不够规范，缺乏制度支撑。2.项目管理不够科学，职责划分不够清晰。3.绩效自评报告质量有待改善。4.签约项目质量有待提高 。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有关建议：1.加强制度建设，科学规范管理专项资金。2.加强预算绩效管理，开展系统培训。3.提高招商引资工作针对性，丰富招商手段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六、综合评价得分和等级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024"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分值</w:t>
            </w:r>
          </w:p>
        </w:tc>
        <w:tc>
          <w:tcPr>
            <w:tcW w:w="132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w:t>
            </w:r>
          </w:p>
        </w:tc>
        <w:tc>
          <w:tcPr>
            <w:tcW w:w="1403"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决策</w:t>
            </w:r>
          </w:p>
        </w:tc>
        <w:tc>
          <w:tcPr>
            <w:tcW w:w="102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20</w:t>
            </w:r>
          </w:p>
        </w:tc>
        <w:tc>
          <w:tcPr>
            <w:tcW w:w="1329"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20</w:t>
            </w:r>
          </w:p>
        </w:tc>
        <w:tc>
          <w:tcPr>
            <w:tcW w:w="1403"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w:t>
            </w:r>
          </w:p>
        </w:tc>
        <w:tc>
          <w:tcPr>
            <w:tcW w:w="102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20</w:t>
            </w:r>
          </w:p>
        </w:tc>
        <w:tc>
          <w:tcPr>
            <w:tcW w:w="1329"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13.69</w:t>
            </w:r>
          </w:p>
        </w:tc>
        <w:tc>
          <w:tcPr>
            <w:tcW w:w="1403"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产出</w:t>
            </w:r>
          </w:p>
        </w:tc>
        <w:tc>
          <w:tcPr>
            <w:tcW w:w="102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27</w:t>
            </w:r>
          </w:p>
        </w:tc>
        <w:tc>
          <w:tcPr>
            <w:tcW w:w="132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18.96</w:t>
            </w:r>
          </w:p>
        </w:tc>
        <w:tc>
          <w:tcPr>
            <w:tcW w:w="1403"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效益</w:t>
            </w:r>
          </w:p>
        </w:tc>
        <w:tc>
          <w:tcPr>
            <w:tcW w:w="102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33</w:t>
            </w:r>
          </w:p>
        </w:tc>
        <w:tc>
          <w:tcPr>
            <w:tcW w:w="132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33</w:t>
            </w:r>
          </w:p>
        </w:tc>
        <w:tc>
          <w:tcPr>
            <w:tcW w:w="1403"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w:t>
            </w:r>
          </w:p>
        </w:tc>
        <w:tc>
          <w:tcPr>
            <w:tcW w:w="1024"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100</w:t>
            </w:r>
          </w:p>
        </w:tc>
        <w:tc>
          <w:tcPr>
            <w:tcW w:w="1329"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85.65</w:t>
            </w:r>
          </w:p>
        </w:tc>
        <w:tc>
          <w:tcPr>
            <w:tcW w:w="1403"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绩效评价得分：</w:t>
            </w:r>
          </w:p>
        </w:tc>
        <w:tc>
          <w:tcPr>
            <w:tcW w:w="102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85.65</w:t>
            </w:r>
          </w:p>
        </w:tc>
        <w:tc>
          <w:tcPr>
            <w:tcW w:w="132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综合评价结果等级：</w:t>
            </w:r>
          </w:p>
        </w:tc>
        <w:tc>
          <w:tcPr>
            <w:tcW w:w="1403"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良</w:t>
            </w:r>
          </w:p>
        </w:tc>
      </w:tr>
    </w:tbl>
    <w:p>
      <w:pPr>
        <w:keepNext w:val="0"/>
        <w:keepLines w:val="0"/>
        <w:pageBreakBefore w:val="0"/>
        <w:widowControl w:val="0"/>
        <w:kinsoku/>
        <w:wordWrap/>
        <w:overflowPunct/>
        <w:topLinePunct w:val="0"/>
        <w:autoSpaceDE/>
        <w:autoSpaceDN/>
        <w:bidi w:val="0"/>
        <w:adjustRightInd/>
        <w:snapToGrid/>
        <w:spacing w:before="480" w:beforeLines="0" w:after="360" w:afterLines="0" w:line="240" w:lineRule="auto"/>
        <w:ind w:left="0" w:leftChars="0" w:right="0" w:rightChars="0" w:firstLine="0" w:firstLineChars="0"/>
        <w:jc w:val="center"/>
        <w:textAlignment w:val="auto"/>
        <w:rPr>
          <w:rFonts w:ascii="宋体" w:hAnsi="宋体" w:eastAsia="宋体"/>
          <w:b/>
          <w:bCs/>
          <w:color w:val="auto"/>
          <w:sz w:val="36"/>
          <w:szCs w:val="36"/>
          <w:highlight w:val="none"/>
        </w:rPr>
        <w:sectPr>
          <w:footerReference r:id="rId5" w:type="default"/>
          <w:pgSz w:w="11906" w:h="16838"/>
          <w:pgMar w:top="2098" w:right="1474" w:bottom="1984" w:left="1587" w:header="992" w:footer="992" w:gutter="0"/>
          <w:pgNumType w:fmt="decimal" w:start="1"/>
          <w:cols w:space="720"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outlineLvl w:val="9"/>
        <w:rPr>
          <w:rFonts w:hint="eastAsia" w:ascii="黑体" w:hAnsi="黑体" w:eastAsia="黑体" w:cs="黑体"/>
          <w:color w:val="auto"/>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640" w:lineRule="exact"/>
        <w:ind w:right="0" w:rightChars="0" w:firstLine="360" w:firstLineChars="100"/>
        <w:jc w:val="center"/>
        <w:textAlignment w:val="auto"/>
        <w:outlineLvl w:val="9"/>
        <w:rPr>
          <w:rFonts w:hint="eastAsia" w:ascii="方正小标宋_GBK" w:hAnsi="方正小标宋_GBK" w:eastAsia="方正小标宋_GBK" w:cs="方正小标宋_GBK"/>
          <w:b w:val="0"/>
          <w:bCs w:val="0"/>
          <w:color w:val="auto"/>
          <w:kern w:val="0"/>
          <w:sz w:val="36"/>
          <w:szCs w:val="36"/>
          <w:highlight w:val="none"/>
          <w:lang w:val="en-US" w:eastAsia="zh-CN"/>
        </w:rPr>
      </w:pPr>
      <w:r>
        <w:rPr>
          <w:rFonts w:hint="eastAsia" w:ascii="方正小标宋_GBK" w:hAnsi="方正小标宋_GBK" w:eastAsia="方正小标宋_GBK" w:cs="方正小标宋_GBK"/>
          <w:b w:val="0"/>
          <w:bCs w:val="0"/>
          <w:color w:val="auto"/>
          <w:kern w:val="0"/>
          <w:sz w:val="36"/>
          <w:szCs w:val="36"/>
          <w:highlight w:val="none"/>
          <w:lang w:val="en-US" w:eastAsia="zh-CN"/>
        </w:rPr>
        <w:t>铜川市新区2020年度招商引资重点财政支出项目</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640" w:lineRule="exact"/>
        <w:ind w:right="0" w:rightChars="0" w:firstLine="360" w:firstLineChars="100"/>
        <w:jc w:val="center"/>
        <w:textAlignment w:val="auto"/>
        <w:outlineLvl w:val="9"/>
        <w:rPr>
          <w:rFonts w:hint="default" w:ascii="仿宋_GB2312" w:hAnsi="仿宋" w:eastAsia="仿宋_GB2312" w:cs="宋体"/>
          <w:b w:val="0"/>
          <w:bCs w:val="0"/>
          <w:color w:val="auto"/>
          <w:kern w:val="0"/>
          <w:sz w:val="36"/>
          <w:szCs w:val="36"/>
          <w:highlight w:val="none"/>
          <w:lang w:val="en-US" w:eastAsia="zh-CN"/>
        </w:rPr>
      </w:pPr>
      <w:r>
        <w:rPr>
          <w:rFonts w:hint="eastAsia" w:ascii="方正小标宋_GBK" w:hAnsi="方正小标宋_GBK" w:eastAsia="方正小标宋_GBK" w:cs="方正小标宋_GBK"/>
          <w:b w:val="0"/>
          <w:bCs w:val="0"/>
          <w:color w:val="auto"/>
          <w:kern w:val="0"/>
          <w:sz w:val="36"/>
          <w:szCs w:val="36"/>
          <w:highlight w:val="none"/>
          <w:lang w:val="en-US" w:eastAsia="zh-CN"/>
        </w:rPr>
        <w:t>绩效评价报告</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600" w:lineRule="exact"/>
        <w:ind w:right="0" w:rightChars="0" w:firstLine="320" w:firstLineChars="1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0" w:name="_Toc1726"/>
      <w:r>
        <w:rPr>
          <w:rFonts w:hint="eastAsia" w:ascii="黑体" w:hAnsi="黑体" w:eastAsia="黑体" w:cs="黑体"/>
          <w:b w:val="0"/>
          <w:bCs w:val="0"/>
          <w:color w:val="auto"/>
          <w:kern w:val="0"/>
          <w:sz w:val="32"/>
          <w:szCs w:val="32"/>
          <w:highlight w:val="none"/>
          <w:lang w:val="en-US" w:eastAsia="zh-CN"/>
        </w:rPr>
        <w:t>一、基本情况</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1" w:name="_Toc15366"/>
      <w:r>
        <w:rPr>
          <w:rFonts w:hint="eastAsia" w:ascii="楷体" w:hAnsi="楷体" w:eastAsia="楷体" w:cs="楷体"/>
          <w:b/>
          <w:bCs/>
          <w:color w:val="auto"/>
          <w:kern w:val="0"/>
          <w:sz w:val="32"/>
          <w:szCs w:val="32"/>
          <w:highlight w:val="none"/>
          <w:lang w:val="en-US" w:eastAsia="zh-CN"/>
        </w:rPr>
        <w:t>（一）项目概况</w:t>
      </w:r>
      <w:bookmarkEnd w:id="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1.项目背景。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shd w:val="clear" w:color="auto" w:fill="FFFFFF"/>
          <w:lang w:val="en-US" w:eastAsia="zh-CN"/>
        </w:rPr>
        <w:t>根据《陕西省人民政府关于进一步推进开放型经济发展的决定》（陕政发 〔2008〕70号），陕西省政府设立招商引资专项资金（5000万元），每年按一定比例增长，主要用于招商引资的宣传推介、重点引资项目的支持以及引资成效的奖励。《铜川市人民政府</w:t>
      </w:r>
      <w:r>
        <w:rPr>
          <w:rFonts w:hint="default" w:ascii="仿宋" w:hAnsi="仿宋" w:eastAsia="仿宋" w:cs="仿宋"/>
          <w:color w:val="auto"/>
          <w:kern w:val="0"/>
          <w:sz w:val="32"/>
          <w:szCs w:val="32"/>
          <w:highlight w:val="none"/>
          <w:shd w:val="clear" w:color="auto" w:fill="FFFFFF"/>
          <w:lang w:val="en-US" w:eastAsia="zh-CN"/>
        </w:rPr>
        <w:t>关于进一步加强招商引资工作的意见</w:t>
      </w:r>
      <w:r>
        <w:rPr>
          <w:rFonts w:hint="eastAsia" w:ascii="仿宋" w:hAnsi="仿宋" w:eastAsia="仿宋" w:cs="仿宋"/>
          <w:color w:val="auto"/>
          <w:kern w:val="0"/>
          <w:sz w:val="32"/>
          <w:szCs w:val="32"/>
          <w:highlight w:val="none"/>
          <w:shd w:val="clear" w:color="auto" w:fill="FFFFFF"/>
          <w:lang w:val="en-US" w:eastAsia="zh-CN"/>
        </w:rPr>
        <w:t>》（铜政发〔2016〕12号）明确提出积极参加丝博会暨西洽会、农高会、厦洽会、港澳经贸合作等投资促进活动，利用平台，宣传推介铜川，开展招商活动。瞄准重点领域、重点企业开展上门招商、委托招商、小分队招商，主动出击，对接洽谈。铜川市新区对外经济投资合作局利用招商引资专项经费，开展招商引资活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2.项目实施目的。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通过招商引资专项经费，开展招商引资活动，促进项目和资金在新区落户，形成固定资产，增加税源和财政收入，进而促进基础设施建设；促进新区经济总量增加和产业结构升级；扩大就业，提高人均收入，促进社会进步；发展开放性经济，促进新区经济与外部经济接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rPr>
          <w:rFonts w:hint="default"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3.资金使用情况。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bookmarkStart w:id="2" w:name="_Toc7795"/>
      <w:r>
        <w:rPr>
          <w:rFonts w:hint="eastAsia" w:ascii="仿宋" w:hAnsi="仿宋" w:eastAsia="仿宋" w:cs="仿宋"/>
          <w:color w:val="auto"/>
          <w:kern w:val="0"/>
          <w:sz w:val="32"/>
          <w:szCs w:val="32"/>
          <w:highlight w:val="none"/>
          <w:shd w:val="clear" w:color="auto" w:fill="FFFFFF"/>
          <w:lang w:val="en-US" w:eastAsia="zh-CN"/>
        </w:rPr>
        <w:t>2020年度招商引资专项经费为50万元，其中根据《铜川市新区财政局关于下达2020年部门预算的通知》（铜新财预〔2020〕3号），年初部门预算下达招商引资专项经费50万元，根据2020年项目收入决算表，实际支出423495.41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default" w:ascii="楷体" w:hAnsi="楷体" w:eastAsia="楷体" w:cs="楷体"/>
          <w:b/>
          <w:bCs/>
          <w:color w:val="auto"/>
          <w:kern w:val="0"/>
          <w:sz w:val="32"/>
          <w:szCs w:val="32"/>
          <w:highlight w:val="none"/>
          <w:lang w:val="en-US" w:eastAsia="zh-CN"/>
        </w:rPr>
      </w:pPr>
      <w:r>
        <w:rPr>
          <w:rFonts w:hint="eastAsia" w:ascii="楷体" w:hAnsi="楷体" w:eastAsia="楷体" w:cs="楷体"/>
          <w:b/>
          <w:bCs/>
          <w:color w:val="auto"/>
          <w:kern w:val="0"/>
          <w:sz w:val="32"/>
          <w:szCs w:val="32"/>
          <w:highlight w:val="none"/>
          <w:lang w:val="en-US" w:eastAsia="zh-CN"/>
        </w:rPr>
        <w:t>（二）项目绩效目标</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1.项目总体目标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（1）举办2020年第五届丝博会：着力推进新区五大产业集群宣传新区特色资源、优势项目和投资环境；广泛收集、获取项目投资信息；扩大签约项目成果，全面完成省市下达的各项目 标任务。（2）举办第三届扶贫产品交易会：展现新区新形象，寻找商机，做好宣传推介活动，做好客商邀请和项目签约工作。 （3） 参加陕西——长三角地区经济合作活动：围绕新区五大产业集群，展现新区新形象，寻找商机，同时做好苏陕扶贫协作共建“区中园”联席会议暨园区项目推介会的推介宣传工作。（4）参加陕粤港澳经济合作活动：根据“走进大湾区 奋进新时代”的主题，宣传和推介新区新形象，寻找新商机，同时对接和引进一批优质项目，为我区经济高质量发展增添新动能。（5）参加杨凌农高会：围绕新区五大产业集群，充分利用扶贫产品交易会平台，展现新区新形象，寻找商机，做好宣传推介活动，同时做好客商邀请和项目签约工作。（6）参加中国国际进口博览会：做好项目推介和签约工作，进一步挖掘潜力，加强组织企业 与国外贸易合作伙伴的联系沟通，主动对接采购意向，力争多签贸易订单。（7）参加中国国际投资贸易洽谈会：寻找商机，宣传推介。（8）拍摄招商引资宣传片：全方位、多领域展现铜川新区发展历程、精神风貌、投资环境，提升铜川新区知名度，吸引名优企业落户铜川新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2.资金使用单位年度绩效目标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表1-2  招商引资专项经费年度绩效目标</w:t>
      </w:r>
    </w:p>
    <w:tbl>
      <w:tblPr>
        <w:tblStyle w:val="7"/>
        <w:tblW w:w="85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70"/>
        <w:gridCol w:w="1080"/>
        <w:gridCol w:w="3956"/>
        <w:gridCol w:w="23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二级指标</w:t>
            </w: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指标内容</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产出</w:t>
            </w: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数量</w:t>
            </w: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指标</w:t>
            </w: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陕西——长三角地区经济合作活动参加单位</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2020年第五届丝博会参加企业数量</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≥70户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陕西——长三角地区经济合作活动参加人数</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陕粤港澳经济合作活动参加人数</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陕粤港澳经济合作活动参加单位</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杨凌农高会参加企业数量</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杨凌农高会参加人数</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中国国际进口博览会参加人数</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2020年第五届丝博会参加单位</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≥17家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1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招商宣传片前期人员： 导演、光师、影视化妆、影视模特、人员： 国家级中、英文配音、幕、3D动画制作、音频制作、参加人数</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2021年第五届丝博会参加人数</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≥300人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扶贫产品交易会参加企业数量</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中国国际投资贸易洽谈会参加人数</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质量</w:t>
            </w: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指标</w:t>
            </w: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2020年第五届丝博会参与率</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扶贫产品交易会参与率</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杨凌农高会参与率</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中国国际进口博览会参与率</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4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陕西——长三角地区经济合作活动参与率</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中国国际投资贸易洽谈会参与率</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陕粤港澳经济合作活动参与率</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招商引资专项资金支出的合规性</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时效</w:t>
            </w: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指标</w:t>
            </w: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陕粤港澳经济合作活动时间</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2020年12月2 日-2020年12月7日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第三届扶贫产品交易会时间</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2020年9月11日-2020年5月18日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2020年第五届丝博会时间</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2020年5月11日-2020年5月17日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招商引资宣传片时间</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2020年5月1日—2020年12月31日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陕西——长三角地区经济合作活动时间</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2020年8月5日-2020年8月11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杨凌农高会时间</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2020年10月22 日-2020年10月26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中国国际进口博览会时间</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2020年11月5 日-2020年11月10日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中国国际投资贸易洽谈会时间</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2020年9月8日-2020年9月11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成本</w:t>
            </w: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指标</w:t>
            </w: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招商引资宣传片成本</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2020年第五届丝博会成本</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陕西——长三角地区经济合作成本</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第三届扶贫产品交易会成本</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陕粤港澳经济合作活动成本</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中国国际进口博览会成本</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杨凌农高会成本</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中国国际投资贸易洽谈会成本</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效益</w:t>
            </w: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经济效益指标</w:t>
            </w: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中国国际进口博览会签约涉及资金</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扶贫产品交易会签约项目涉及资金</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2020年丝博会签约项目涉及资金</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杨凌农高会签约项目涉及资金</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社会效益指标</w:t>
            </w: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提升新区知名度，吸引名优企业落户铜川新区。</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有效提升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宣传铜川特色资源、优势项目和投资环境，促进 企业发展。</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有效促进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服务对象满意度指标</w:t>
            </w: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陕西——长三角地区经济合作活动参与人满意度</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2020年第五届丝博会参与人满意度</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中国国际投资贸易洽谈会参与人满意度</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新区管委会相关部门对第五届丝博会满意度</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第三届扶贫产品交易会参与人满意度</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陕粤港澳经济合作活动参与人满意度</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杨凌农高会参与人满意度。</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中国国际进口博览会参与人满意度</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≥97%</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3" w:name="_Toc18830"/>
      <w:r>
        <w:rPr>
          <w:rFonts w:hint="eastAsia" w:ascii="黑体" w:hAnsi="黑体" w:eastAsia="黑体" w:cs="黑体"/>
          <w:b w:val="0"/>
          <w:bCs w:val="0"/>
          <w:color w:val="auto"/>
          <w:kern w:val="0"/>
          <w:sz w:val="32"/>
          <w:szCs w:val="32"/>
          <w:highlight w:val="none"/>
          <w:lang w:val="en-US" w:eastAsia="zh-CN"/>
        </w:rPr>
        <w:t>二、绩效评价工作开展情况</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default" w:ascii="楷体" w:hAnsi="楷体" w:eastAsia="楷体" w:cs="楷体"/>
          <w:b/>
          <w:bCs/>
          <w:color w:val="auto"/>
          <w:kern w:val="0"/>
          <w:sz w:val="32"/>
          <w:szCs w:val="32"/>
          <w:highlight w:val="none"/>
          <w:lang w:val="en-US" w:eastAsia="zh-CN"/>
        </w:rPr>
      </w:pPr>
      <w:bookmarkStart w:id="4" w:name="_Toc1414"/>
      <w:r>
        <w:rPr>
          <w:rFonts w:hint="eastAsia" w:ascii="楷体" w:hAnsi="楷体" w:eastAsia="楷体" w:cs="楷体"/>
          <w:b/>
          <w:bCs/>
          <w:color w:val="auto"/>
          <w:kern w:val="0"/>
          <w:sz w:val="32"/>
          <w:szCs w:val="32"/>
          <w:highlight w:val="none"/>
          <w:lang w:val="en-US" w:eastAsia="zh-CN"/>
        </w:rPr>
        <w:t>（一）绩效评价目的与重点</w:t>
      </w:r>
      <w:bookmarkEnd w:id="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0"/>
          <w:szCs w:val="30"/>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rPr>
        <w:t>通过对</w:t>
      </w:r>
      <w:r>
        <w:rPr>
          <w:rFonts w:hint="eastAsia" w:ascii="仿宋" w:hAnsi="仿宋" w:eastAsia="仿宋" w:cs="仿宋"/>
          <w:color w:val="auto"/>
          <w:kern w:val="0"/>
          <w:sz w:val="32"/>
          <w:szCs w:val="32"/>
          <w:highlight w:val="none"/>
          <w:shd w:val="clear" w:color="auto" w:fill="FFFFFF"/>
          <w:lang w:val="en-US" w:eastAsia="zh-CN"/>
        </w:rPr>
        <w:t>铜川市新区2020年度招商引资专项经费绩效评价</w:t>
      </w:r>
      <w:r>
        <w:rPr>
          <w:rFonts w:hint="eastAsia" w:ascii="仿宋" w:hAnsi="仿宋" w:eastAsia="仿宋" w:cs="仿宋"/>
          <w:color w:val="auto"/>
          <w:kern w:val="0"/>
          <w:sz w:val="32"/>
          <w:szCs w:val="32"/>
          <w:highlight w:val="none"/>
          <w:shd w:val="clear" w:color="auto" w:fill="FFFFFF"/>
        </w:rPr>
        <w:t>，</w:t>
      </w:r>
      <w:r>
        <w:rPr>
          <w:rFonts w:hint="eastAsia" w:ascii="仿宋" w:hAnsi="仿宋" w:eastAsia="仿宋" w:cs="仿宋"/>
          <w:color w:val="auto"/>
          <w:kern w:val="0"/>
          <w:sz w:val="32"/>
          <w:szCs w:val="32"/>
          <w:highlight w:val="none"/>
          <w:shd w:val="clear" w:color="auto" w:fill="FFFFFF"/>
          <w:lang w:val="en-US" w:eastAsia="zh-CN"/>
        </w:rPr>
        <w:t>从专项资金的决策、过程、产出、效益等四个维度</w:t>
      </w:r>
      <w:r>
        <w:rPr>
          <w:rFonts w:hint="eastAsia" w:ascii="仿宋" w:hAnsi="仿宋" w:eastAsia="仿宋" w:cs="仿宋"/>
          <w:color w:val="auto"/>
          <w:kern w:val="0"/>
          <w:sz w:val="32"/>
          <w:szCs w:val="32"/>
          <w:highlight w:val="none"/>
          <w:shd w:val="clear" w:color="auto" w:fill="FFFFFF"/>
          <w:lang w:eastAsia="zh-CN"/>
        </w:rPr>
        <w:t>出发</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eastAsia="zh-CN"/>
        </w:rPr>
        <w:t>紧盯</w:t>
      </w:r>
      <w:r>
        <w:rPr>
          <w:rFonts w:hint="eastAsia" w:ascii="仿宋" w:hAnsi="仿宋" w:eastAsia="仿宋" w:cs="仿宋"/>
          <w:color w:val="auto"/>
          <w:kern w:val="0"/>
          <w:sz w:val="32"/>
          <w:szCs w:val="32"/>
          <w:highlight w:val="none"/>
          <w:shd w:val="clear" w:color="auto" w:fill="FFFFFF"/>
          <w:lang w:val="en-US" w:eastAsia="zh-CN"/>
        </w:rPr>
        <w:t>会议活动开展情况、项目签约情况、项目落地情况、项目实施情况、涉及资金情况，分析2020年度招商引资专项经费支持招商引资工作效果，从而评价使用专项经费带来的的产出和效益情况。针对专项经费使用过程中存在的问题，提出提升专项经费使用效率和效果的对策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5" w:name="_Toc15476"/>
      <w:r>
        <w:rPr>
          <w:rFonts w:hint="eastAsia" w:ascii="楷体" w:hAnsi="楷体" w:eastAsia="楷体" w:cs="楷体"/>
          <w:b/>
          <w:bCs/>
          <w:color w:val="auto"/>
          <w:kern w:val="0"/>
          <w:sz w:val="32"/>
          <w:szCs w:val="32"/>
          <w:highlight w:val="none"/>
          <w:shd w:val="clear" w:color="auto" w:fill="FFFFFF"/>
          <w:lang w:val="en-US" w:eastAsia="zh-CN"/>
        </w:rPr>
        <w:t>（二）评价依据</w:t>
      </w:r>
      <w:bookmarkEnd w:id="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1.《中共中央国务院关于全面实施预算绩效管理的意见》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（中发〔2018〕34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2.《财政部关于印发&lt;项目支出绩效评价管理办法&gt;的通知》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（财预〔2020〕10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3.《财政支出绩效评价管理暂行办法》（财预〔2011〕285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4.《关于推进预算绩效管理的指导意见》（财预〔2011〕416</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5.《陕西省人民政府关于深化预算管理制度改革的实施意见》（陕政发〔2015〕10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6.</w:t>
      </w:r>
      <w:r>
        <w:rPr>
          <w:rFonts w:hint="eastAsia" w:ascii="仿宋" w:hAnsi="仿宋" w:eastAsia="仿宋" w:cs="仿宋"/>
          <w:color w:val="000000"/>
          <w:kern w:val="0"/>
          <w:sz w:val="32"/>
          <w:szCs w:val="32"/>
          <w:highlight w:val="none"/>
          <w:shd w:val="clear" w:color="auto" w:fill="FFFFFF"/>
          <w:lang w:val="en-US" w:eastAsia="zh-CN"/>
        </w:rPr>
        <w:t>《关于开展2020年度新区项目和部门整体支出绩效自评和重点项目绩效评价工作的通知》（铜新财评〔2021〕1号）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7.《关于全面实施预算绩效管理的实施意见》（铜发〔2019〕</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14号）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8.《铜川市市级财政专项资金管理办法》（铜政发〔2019〕</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10号）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9.《市级项目支出预算绩效评价指标及评分标准》（铜财预〔2017〕13号）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10.</w:t>
      </w:r>
      <w:r>
        <w:rPr>
          <w:rFonts w:hint="default" w:ascii="仿宋" w:hAnsi="仿宋" w:eastAsia="仿宋" w:cs="仿宋"/>
          <w:color w:val="auto"/>
          <w:kern w:val="0"/>
          <w:sz w:val="32"/>
          <w:szCs w:val="32"/>
          <w:highlight w:val="none"/>
          <w:shd w:val="clear" w:color="auto" w:fill="FFFFFF"/>
          <w:lang w:val="en-US" w:eastAsia="zh-CN"/>
        </w:rPr>
        <w:t>《铜川市国民经济和社会发展第十三个五年规划纲要》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11.《西部大开发“十三五”规划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12.《陕西省人民政府关于进一步推进开放型经济发展的决定》（陕政发 〔2008〕70号）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13.《陕西省招商引资专项资金管理办法》（陕财办行〔2009〕30号）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14.《铜川市人民政府</w:t>
      </w:r>
      <w:r>
        <w:rPr>
          <w:rFonts w:hint="default" w:ascii="仿宋" w:hAnsi="仿宋" w:eastAsia="仿宋" w:cs="仿宋"/>
          <w:color w:val="auto"/>
          <w:kern w:val="0"/>
          <w:sz w:val="32"/>
          <w:szCs w:val="32"/>
          <w:highlight w:val="none"/>
          <w:shd w:val="clear" w:color="auto" w:fill="FFFFFF"/>
          <w:lang w:val="en-US" w:eastAsia="zh-CN"/>
        </w:rPr>
        <w:t>关于进一步加强招商引资工作的意见</w:t>
      </w:r>
      <w:r>
        <w:rPr>
          <w:rFonts w:hint="eastAsia" w:ascii="仿宋" w:hAnsi="仿宋" w:eastAsia="仿宋" w:cs="仿宋"/>
          <w:color w:val="auto"/>
          <w:kern w:val="0"/>
          <w:sz w:val="32"/>
          <w:szCs w:val="32"/>
          <w:highlight w:val="none"/>
          <w:shd w:val="clear" w:color="auto" w:fill="FFFFFF"/>
          <w:lang w:val="en-US" w:eastAsia="zh-CN"/>
        </w:rPr>
        <w:t>》（铜政发〔2016〕12号）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15.《铜川市人民政府关于</w:t>
      </w:r>
      <w:r>
        <w:rPr>
          <w:rFonts w:hint="default" w:ascii="仿宋" w:hAnsi="仿宋" w:eastAsia="仿宋" w:cs="仿宋"/>
          <w:color w:val="auto"/>
          <w:kern w:val="0"/>
          <w:sz w:val="32"/>
          <w:szCs w:val="32"/>
          <w:highlight w:val="none"/>
          <w:shd w:val="clear" w:color="auto" w:fill="FFFFFF"/>
          <w:lang w:val="en-US" w:eastAsia="zh-CN"/>
        </w:rPr>
        <w:t>印发“十四五”服务业高质量发展规划的通知</w:t>
      </w:r>
      <w:r>
        <w:rPr>
          <w:rFonts w:hint="eastAsia" w:ascii="仿宋" w:hAnsi="仿宋" w:eastAsia="仿宋" w:cs="仿宋"/>
          <w:color w:val="auto"/>
          <w:kern w:val="0"/>
          <w:sz w:val="32"/>
          <w:szCs w:val="32"/>
          <w:highlight w:val="none"/>
          <w:shd w:val="clear" w:color="auto" w:fill="FFFFFF"/>
          <w:lang w:val="en-US" w:eastAsia="zh-CN"/>
        </w:rPr>
        <w:t>》（铜政发〔2021〕27号）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16.资金支持项目立项及批复相关文件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17.资金使用单位预、决算相关文件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18.资金使用单位财政资金拨付凭证和银行回执单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19.资金使用单位财务管理制度、资产管理制度、预算管理制度、专项资金管理制度、资金拨付审批管理制度、采购管理办法、薪酬制度、绩效工资分配方案等相关管理制度文件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20.资金使用单位项目管理及实施相关文件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21.资金使用单位项目完成相关验收文件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22.资金使用单位2020年度和2019年度财务报表、运营数据相关数据资料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6" w:name="_Toc12059"/>
      <w:r>
        <w:rPr>
          <w:rFonts w:hint="eastAsia" w:ascii="楷体" w:hAnsi="楷体" w:eastAsia="楷体" w:cs="楷体"/>
          <w:b/>
          <w:bCs/>
          <w:color w:val="auto"/>
          <w:kern w:val="0"/>
          <w:sz w:val="32"/>
          <w:szCs w:val="32"/>
          <w:highlight w:val="none"/>
          <w:shd w:val="clear" w:color="auto" w:fill="FFFFFF"/>
          <w:lang w:val="en-US" w:eastAsia="zh-CN"/>
        </w:rPr>
        <w:t>（三）绩效评价指标与方法</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1.评价指标设置原则。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0"/>
          <w:szCs w:val="30"/>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评价指标作为年度任务目标实现程度的重要衡量标准，需综合考虑绩效指标与年度任务目标是否关联、同类评价对象之间的评价结果是否可比、绩效评价依据资料和数据是否可得等方面，因此本次评价依据相关性、关键性、可比性、系统性和经济性原则设置绩效指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2.绩效评价指标及评分标准。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b w:val="0"/>
          <w:bCs w:val="0"/>
          <w:color w:val="auto"/>
          <w:kern w:val="0"/>
          <w:sz w:val="32"/>
          <w:szCs w:val="32"/>
          <w:highlight w:val="none"/>
          <w:shd w:val="clear" w:color="auto" w:fill="FFFFFF"/>
          <w:lang w:val="en-US" w:eastAsia="zh-CN"/>
        </w:rPr>
      </w:pPr>
      <w:r>
        <w:rPr>
          <w:rFonts w:hint="eastAsia" w:ascii="仿宋" w:hAnsi="仿宋" w:eastAsia="仿宋" w:cs="仿宋"/>
          <w:b w:val="0"/>
          <w:bCs w:val="0"/>
          <w:color w:val="auto"/>
          <w:kern w:val="0"/>
          <w:sz w:val="32"/>
          <w:szCs w:val="32"/>
          <w:highlight w:val="none"/>
          <w:shd w:val="clear" w:color="auto" w:fill="FFFFFF"/>
          <w:lang w:val="en-US" w:eastAsia="zh-CN"/>
        </w:rPr>
        <w:t>（1）绩效评价指标体系。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本次绩效评价指标体系按照以专项资金为主线、以资金使用项目为评价对象，根据招商引资总体目标结合铜川市财政局关于《市级项目支出预算绩效评价指标及评分标准》（铜财预〔2017〕13号）文件内容，设立决策、过程、产出、效益四个一级指标，通过查阅各种招商引资相关资料和资金使用单位收集的资料，并与资金使用单位反复沟通之后，进一步完善设立了13个二级指标、26个三级指标（详见附件2）。并根据指标体系和资金使用情况设定了合理的分值权重，合计分值为100分，具体指标分值如下：</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决策（20分）：从项目立项、绩效目标和资金投入三个方面评价专项资金使用中，项目立项的充分性和规范性、绩效目标的合理性和明确性、预算编制科学性和资金到位率等内容。</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过程（20分）：从资金管理和项目管理两方面评价组织实施完备性、绩效自评情况、管理制度健全性以及制度执行有效性等内容。</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产出（27分）：用于评价专项资金投入产出数量、产出质量、产出时效、产出成本等内容。</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效益（33分）：用于综合评价资金投入使用后产生的经济效益、环境效益和可持续影响等内容。</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val="0"/>
          <w:bCs w:val="0"/>
          <w:color w:val="auto"/>
          <w:kern w:val="0"/>
          <w:sz w:val="32"/>
          <w:szCs w:val="32"/>
          <w:highlight w:val="none"/>
          <w:shd w:val="clear" w:color="auto" w:fill="FFFFFF"/>
          <w:lang w:val="en-US" w:eastAsia="zh-CN"/>
        </w:rPr>
        <w:t>（2）绩效评价等级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0"/>
          <w:szCs w:val="30"/>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财政支出绩效评价结果分为优、良、中、差四个等级。根据评价结果的分值，确定专项资金绩效评价最终达到的层级。具体等级可分为：90分（含）-100分为优、80分（含）-90分为良、60分（含）-80分为中、60分以下为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3.绩效评价方法。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0"/>
          <w:szCs w:val="30"/>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本次绩效评价方法采用比较法、因素分析法、公众评判法等方法，结合招商引资实际情况，对招商引资目标实现程度和专线资金使用效果进行综合评价。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default" w:ascii="楷体" w:hAnsi="楷体" w:eastAsia="楷体" w:cs="楷体"/>
          <w:b/>
          <w:bCs/>
          <w:color w:val="auto"/>
          <w:kern w:val="0"/>
          <w:sz w:val="32"/>
          <w:szCs w:val="32"/>
          <w:highlight w:val="none"/>
          <w:shd w:val="clear" w:color="auto" w:fill="FFFFFF"/>
          <w:lang w:val="en-US" w:eastAsia="zh-CN"/>
        </w:rPr>
      </w:pPr>
      <w:bookmarkStart w:id="7" w:name="_Toc18692"/>
      <w:r>
        <w:rPr>
          <w:rFonts w:hint="eastAsia" w:ascii="楷体" w:hAnsi="楷体" w:eastAsia="楷体" w:cs="楷体"/>
          <w:b/>
          <w:bCs/>
          <w:color w:val="auto"/>
          <w:kern w:val="0"/>
          <w:sz w:val="32"/>
          <w:szCs w:val="32"/>
          <w:highlight w:val="none"/>
          <w:shd w:val="clear" w:color="auto" w:fill="FFFFFF"/>
          <w:lang w:val="en-US" w:eastAsia="zh-CN"/>
        </w:rPr>
        <w:t>（四）绩效评价工作过程</w:t>
      </w:r>
      <w:bookmarkEnd w:id="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首先，成立绩效评价工作组并进行相关培训和任务分配，收集原始资料进行工作方案制定和指标设计，形成方案初稿；其次，根据相关意见对指标体系进行完善，并根据指标体系完善资料；再者，根据相关资料进行评价，针对相关内容与被评价单位进行座谈和现场调研，完善评价依据；最终，形成绩效评价报告初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并修整完成定稿。</w:t>
      </w:r>
      <w:bookmarkStart w:id="8" w:name="_Toc1564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kern w:val="0"/>
          <w:sz w:val="32"/>
          <w:szCs w:val="32"/>
          <w:highlight w:val="none"/>
          <w:shd w:val="clear" w:color="auto" w:fill="FFFFFF"/>
          <w:lang w:val="en-US" w:eastAsia="zh-CN"/>
        </w:rPr>
      </w:pPr>
      <w:r>
        <w:rPr>
          <w:rFonts w:hint="eastAsia" w:ascii="黑体" w:hAnsi="黑体" w:eastAsia="黑体" w:cs="黑体"/>
          <w:color w:val="auto"/>
          <w:kern w:val="0"/>
          <w:sz w:val="32"/>
          <w:szCs w:val="32"/>
          <w:highlight w:val="none"/>
          <w:shd w:val="clear" w:color="auto" w:fill="FFFFFF"/>
          <w:lang w:val="en-US" w:eastAsia="zh-CN"/>
        </w:rPr>
        <w:t>三、综合评价情况及评价结论</w:t>
      </w:r>
      <w:bookmarkEnd w:id="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（一）综合评价情况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本次评价在项目收集整理、数据测算分析、现场调研查证以及沟通协商论证的基础上，评价工作组根据绩效评价指标体系评分标准和评价依据进行评分，该项目综合评价分数为85.65分，评级为“良”。其中决策指标20分，过程指标13.69分，产出指标18.96分，效益指标33分。各指标得分情况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表3-1  铜川市2020年度招商引资专项经费指标评分表</w:t>
      </w:r>
    </w:p>
    <w:tbl>
      <w:tblPr>
        <w:tblStyle w:val="7"/>
        <w:tblW w:w="4998" w:type="pct"/>
        <w:tblInd w:w="0" w:type="dxa"/>
        <w:tblLayout w:type="autofit"/>
        <w:tblCellMar>
          <w:top w:w="0" w:type="dxa"/>
          <w:left w:w="108" w:type="dxa"/>
          <w:bottom w:w="0" w:type="dxa"/>
          <w:right w:w="108" w:type="dxa"/>
        </w:tblCellMar>
      </w:tblPr>
      <w:tblGrid>
        <w:gridCol w:w="2195"/>
        <w:gridCol w:w="2109"/>
        <w:gridCol w:w="2229"/>
        <w:gridCol w:w="2524"/>
      </w:tblGrid>
      <w:tr>
        <w:tblPrEx>
          <w:tblCellMar>
            <w:top w:w="0" w:type="dxa"/>
            <w:left w:w="108" w:type="dxa"/>
            <w:bottom w:w="0" w:type="dxa"/>
            <w:right w:w="108" w:type="dxa"/>
          </w:tblCellMar>
        </w:tblPrEx>
        <w:trPr>
          <w:trHeight w:val="285"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分值</w:t>
            </w:r>
          </w:p>
        </w:tc>
        <w:tc>
          <w:tcPr>
            <w:tcW w:w="12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w:t>
            </w:r>
          </w:p>
        </w:tc>
        <w:tc>
          <w:tcPr>
            <w:tcW w:w="1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得分率</w:t>
            </w:r>
          </w:p>
        </w:tc>
      </w:tr>
      <w:tr>
        <w:tblPrEx>
          <w:tblCellMar>
            <w:top w:w="0" w:type="dxa"/>
            <w:left w:w="108" w:type="dxa"/>
            <w:bottom w:w="0" w:type="dxa"/>
            <w:right w:w="108" w:type="dxa"/>
          </w:tblCellMar>
        </w:tblPrEx>
        <w:trPr>
          <w:trHeight w:val="90"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决策</w:t>
            </w:r>
          </w:p>
        </w:tc>
        <w:tc>
          <w:tcPr>
            <w:tcW w:w="1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20</w:t>
            </w:r>
          </w:p>
        </w:tc>
        <w:tc>
          <w:tcPr>
            <w:tcW w:w="12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20</w:t>
            </w:r>
          </w:p>
        </w:tc>
        <w:tc>
          <w:tcPr>
            <w:tcW w:w="1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100%</w:t>
            </w:r>
          </w:p>
        </w:tc>
      </w:tr>
      <w:tr>
        <w:tblPrEx>
          <w:tblCellMar>
            <w:top w:w="0" w:type="dxa"/>
            <w:left w:w="108" w:type="dxa"/>
            <w:bottom w:w="0" w:type="dxa"/>
            <w:right w:w="108" w:type="dxa"/>
          </w:tblCellMar>
        </w:tblPrEx>
        <w:trPr>
          <w:trHeight w:val="285"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w:t>
            </w:r>
          </w:p>
        </w:tc>
        <w:tc>
          <w:tcPr>
            <w:tcW w:w="1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20</w:t>
            </w:r>
          </w:p>
        </w:tc>
        <w:tc>
          <w:tcPr>
            <w:tcW w:w="12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13.69</w:t>
            </w:r>
          </w:p>
        </w:tc>
        <w:tc>
          <w:tcPr>
            <w:tcW w:w="1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68.45%</w:t>
            </w:r>
          </w:p>
        </w:tc>
      </w:tr>
      <w:tr>
        <w:tblPrEx>
          <w:tblCellMar>
            <w:top w:w="0" w:type="dxa"/>
            <w:left w:w="108" w:type="dxa"/>
            <w:bottom w:w="0" w:type="dxa"/>
            <w:right w:w="108" w:type="dxa"/>
          </w:tblCellMar>
        </w:tblPrEx>
        <w:trPr>
          <w:trHeight w:val="285"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产出</w:t>
            </w:r>
          </w:p>
        </w:tc>
        <w:tc>
          <w:tcPr>
            <w:tcW w:w="1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27</w:t>
            </w:r>
          </w:p>
        </w:tc>
        <w:tc>
          <w:tcPr>
            <w:tcW w:w="12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18.96</w:t>
            </w:r>
          </w:p>
        </w:tc>
        <w:tc>
          <w:tcPr>
            <w:tcW w:w="1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70.22%</w:t>
            </w:r>
          </w:p>
        </w:tc>
      </w:tr>
      <w:tr>
        <w:tblPrEx>
          <w:tblCellMar>
            <w:top w:w="0" w:type="dxa"/>
            <w:left w:w="108" w:type="dxa"/>
            <w:bottom w:w="0" w:type="dxa"/>
            <w:right w:w="108" w:type="dxa"/>
          </w:tblCellMar>
        </w:tblPrEx>
        <w:trPr>
          <w:trHeight w:val="285"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效益</w:t>
            </w:r>
          </w:p>
        </w:tc>
        <w:tc>
          <w:tcPr>
            <w:tcW w:w="1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33</w:t>
            </w:r>
          </w:p>
        </w:tc>
        <w:tc>
          <w:tcPr>
            <w:tcW w:w="12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33</w:t>
            </w:r>
          </w:p>
        </w:tc>
        <w:tc>
          <w:tcPr>
            <w:tcW w:w="1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100%</w:t>
            </w:r>
          </w:p>
        </w:tc>
      </w:tr>
      <w:tr>
        <w:tblPrEx>
          <w:tblCellMar>
            <w:top w:w="0" w:type="dxa"/>
            <w:left w:w="108" w:type="dxa"/>
            <w:bottom w:w="0" w:type="dxa"/>
            <w:right w:w="108" w:type="dxa"/>
          </w:tblCellMar>
        </w:tblPrEx>
        <w:trPr>
          <w:trHeight w:val="285"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w:t>
            </w:r>
          </w:p>
        </w:tc>
        <w:tc>
          <w:tcPr>
            <w:tcW w:w="1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100</w:t>
            </w:r>
          </w:p>
        </w:tc>
        <w:tc>
          <w:tcPr>
            <w:tcW w:w="12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85.65</w:t>
            </w:r>
          </w:p>
        </w:tc>
        <w:tc>
          <w:tcPr>
            <w:tcW w:w="1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85.65%</w:t>
            </w:r>
          </w:p>
        </w:tc>
      </w:tr>
      <w:tr>
        <w:tblPrEx>
          <w:tblCellMar>
            <w:top w:w="0" w:type="dxa"/>
            <w:left w:w="108" w:type="dxa"/>
            <w:bottom w:w="0" w:type="dxa"/>
            <w:right w:w="108" w:type="dxa"/>
          </w:tblCellMar>
        </w:tblPrEx>
        <w:trPr>
          <w:trHeight w:val="285" w:hRule="atLeast"/>
        </w:trPr>
        <w:tc>
          <w:tcPr>
            <w:tcW w:w="23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绩效评价得分：85.65</w:t>
            </w:r>
          </w:p>
        </w:tc>
        <w:tc>
          <w:tcPr>
            <w:tcW w:w="26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综合评价结果等级：良</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（二）评价结论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shd w:val="clear" w:color="auto" w:fill="FFFFFF"/>
          <w:lang w:val="en-US" w:eastAsia="zh-CN"/>
        </w:rPr>
        <w:t>根据绩效评分结果，结合招商引资工作开展实际情况和招商引资专项经费年度绩效目标，招商引资专项经费</w:t>
      </w:r>
      <w:r>
        <w:rPr>
          <w:rFonts w:hint="eastAsia" w:ascii="仿宋" w:hAnsi="仿宋" w:eastAsia="仿宋" w:cs="仿宋"/>
          <w:color w:val="auto"/>
          <w:kern w:val="0"/>
          <w:sz w:val="32"/>
          <w:szCs w:val="32"/>
          <w:highlight w:val="none"/>
          <w:lang w:val="en-US" w:eastAsia="zh-CN"/>
        </w:rPr>
        <w:t>在2020年度使用中的主要产出为：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第一，</w:t>
      </w:r>
      <w:r>
        <w:rPr>
          <w:rFonts w:hint="eastAsia" w:ascii="仿宋" w:hAnsi="仿宋" w:eastAsia="仿宋" w:cs="仿宋"/>
          <w:color w:val="auto"/>
          <w:kern w:val="0"/>
          <w:sz w:val="32"/>
          <w:szCs w:val="32"/>
          <w:highlight w:val="none"/>
          <w:shd w:val="clear" w:color="auto" w:fill="FFFFFF"/>
          <w:lang w:val="en-US" w:eastAsia="zh-CN"/>
        </w:rPr>
        <w:t>参加或举办了第三届扶贫产品交易会、陕西——长三角地区经济合作活动、陕粤港澳经济合作活动、杨凌农高会、中国国际进口博览会、中国国际投资贸易洽谈会，并在这些活动中完成项目签约。</w:t>
      </w:r>
    </w:p>
    <w:p>
      <w:pPr>
        <w:keepNext w:val="0"/>
        <w:keepLines w:val="0"/>
        <w:pageBreakBefore w:val="0"/>
        <w:widowControl w:val="0"/>
        <w:numPr>
          <w:ilvl w:val="0"/>
          <w:numId w:val="0"/>
        </w:numPr>
        <w:tabs>
          <w:tab w:val="left" w:pos="2256"/>
        </w:tabs>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第二，</w:t>
      </w:r>
      <w:r>
        <w:rPr>
          <w:rFonts w:hint="eastAsia" w:ascii="仿宋" w:hAnsi="仿宋" w:eastAsia="仿宋" w:cs="仿宋"/>
          <w:color w:val="auto"/>
          <w:kern w:val="0"/>
          <w:sz w:val="32"/>
          <w:szCs w:val="32"/>
          <w:highlight w:val="none"/>
          <w:shd w:val="clear" w:color="auto" w:fill="FFFFFF"/>
          <w:lang w:val="en-US" w:eastAsia="zh-CN"/>
        </w:rPr>
        <w:t>2020年在招商引资工作中签约项目33个，其中涉及资金在5000万以上的重大项目有17个</w:t>
      </w:r>
      <w:r>
        <w:rPr>
          <w:rFonts w:hint="eastAsia" w:ascii="仿宋" w:hAnsi="仿宋" w:eastAsia="仿宋" w:cs="仿宋"/>
          <w:color w:val="auto"/>
          <w:kern w:val="0"/>
          <w:sz w:val="32"/>
          <w:szCs w:val="32"/>
          <w:highlight w:val="none"/>
          <w:lang w:val="en-US" w:eastAsia="zh-CN"/>
        </w:rPr>
        <w:t>。</w:t>
      </w:r>
    </w:p>
    <w:p>
      <w:pPr>
        <w:keepNext w:val="0"/>
        <w:keepLines w:val="0"/>
        <w:pageBreakBefore w:val="0"/>
        <w:widowControl w:val="0"/>
        <w:numPr>
          <w:ilvl w:val="0"/>
          <w:numId w:val="0"/>
        </w:numPr>
        <w:tabs>
          <w:tab w:val="left" w:pos="2256"/>
        </w:tabs>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2020年度招商引资专项经费完成支持各项目产出后，所带来的主要效益为：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lang w:val="en-US" w:eastAsia="zh-CN"/>
        </w:rPr>
        <w:t>第一，2020</w:t>
      </w:r>
      <w:r>
        <w:rPr>
          <w:rFonts w:hint="eastAsia" w:ascii="仿宋" w:hAnsi="仿宋" w:eastAsia="仿宋" w:cs="仿宋"/>
          <w:color w:val="auto"/>
          <w:kern w:val="0"/>
          <w:sz w:val="32"/>
          <w:szCs w:val="32"/>
          <w:highlight w:val="none"/>
          <w:shd w:val="clear" w:color="auto" w:fill="FFFFFF"/>
          <w:lang w:val="en-US" w:eastAsia="zh-CN"/>
        </w:rPr>
        <w:t>年铜川市新区管委会签约项目金额134.19亿元，实际利用市域外项目资金60.98亿元，其中实际利用省域外项目资金46.93亿元，带来了大量项目和资金，增加财政收入，促进新区经济发展和创业升级，获得了丰厚的经济效益，促进基础设施建设，带动就业，获得了良好的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default" w:ascii="仿宋" w:hAnsi="仿宋" w:eastAsia="仿宋" w:cs="仿宋"/>
          <w:color w:val="auto"/>
          <w:kern w:val="0"/>
          <w:sz w:val="32"/>
          <w:szCs w:val="32"/>
          <w:highlight w:val="none"/>
          <w:shd w:val="clear" w:color="auto" w:fill="FFFFFF"/>
          <w:lang w:val="en-US" w:eastAsia="zh-CN"/>
        </w:rPr>
      </w:pPr>
      <w:bookmarkStart w:id="9" w:name="_Toc5389"/>
      <w:r>
        <w:rPr>
          <w:rFonts w:hint="eastAsia" w:ascii="仿宋" w:hAnsi="仿宋" w:eastAsia="仿宋" w:cs="仿宋"/>
          <w:color w:val="auto"/>
          <w:kern w:val="0"/>
          <w:sz w:val="32"/>
          <w:szCs w:val="32"/>
          <w:highlight w:val="none"/>
          <w:shd w:val="clear" w:color="auto" w:fill="FFFFFF"/>
          <w:lang w:val="en-US" w:eastAsia="zh-CN"/>
        </w:rPr>
        <w:t>第二，2020年在招商引资工作中签约的33个项目，均为固定资产投资项目，增加铜川新区税收，进一步完善铜川新区基础设施建设，吸纳本地就业人口，长期可持续性地带来经济效益和社会效益。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kern w:val="0"/>
          <w:sz w:val="30"/>
          <w:szCs w:val="30"/>
          <w:highlight w:val="none"/>
          <w:shd w:val="clear" w:color="auto" w:fill="FFFFFF"/>
          <w:lang w:val="en-US" w:eastAsia="zh-CN"/>
        </w:rPr>
      </w:pPr>
      <w:r>
        <w:rPr>
          <w:rFonts w:hint="eastAsia" w:ascii="黑体" w:hAnsi="黑体" w:eastAsia="黑体" w:cs="黑体"/>
          <w:color w:val="auto"/>
          <w:kern w:val="0"/>
          <w:sz w:val="32"/>
          <w:szCs w:val="32"/>
          <w:highlight w:val="none"/>
          <w:shd w:val="clear" w:color="auto" w:fill="FFFFFF"/>
          <w:lang w:val="en-US" w:eastAsia="zh-CN"/>
        </w:rPr>
        <w:t>四、绩效评价指标分析</w:t>
      </w:r>
      <w:bookmarkEnd w:id="9"/>
      <w:r>
        <w:rPr>
          <w:rFonts w:hint="eastAsia" w:ascii="Times New Roman" w:hAnsi="Times New Roman" w:eastAsia="仿宋_GB2312" w:cs="Times New Roman"/>
          <w:color w:val="auto"/>
          <w:kern w:val="0"/>
          <w:sz w:val="30"/>
          <w:szCs w:val="30"/>
          <w:highlight w:val="none"/>
          <w:shd w:val="clear" w:color="auto"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default" w:ascii="楷体" w:hAnsi="楷体" w:eastAsia="楷体" w:cs="楷体"/>
          <w:b/>
          <w:bCs/>
          <w:color w:val="auto"/>
          <w:kern w:val="0"/>
          <w:sz w:val="32"/>
          <w:szCs w:val="32"/>
          <w:highlight w:val="none"/>
          <w:shd w:val="clear" w:color="auto" w:fill="FFFFFF"/>
          <w:lang w:val="en-US" w:eastAsia="zh-CN"/>
        </w:rPr>
      </w:pPr>
      <w:bookmarkStart w:id="10" w:name="_Toc17280"/>
      <w:r>
        <w:rPr>
          <w:rFonts w:hint="eastAsia" w:ascii="楷体" w:hAnsi="楷体" w:eastAsia="楷体" w:cs="楷体"/>
          <w:b/>
          <w:bCs/>
          <w:color w:val="auto"/>
          <w:kern w:val="0"/>
          <w:sz w:val="32"/>
          <w:szCs w:val="32"/>
          <w:highlight w:val="none"/>
          <w:shd w:val="clear" w:color="auto" w:fill="FFFFFF"/>
          <w:lang w:val="en-US" w:eastAsia="zh-CN"/>
        </w:rPr>
        <w:t>（一）项目决策情况</w:t>
      </w:r>
      <w:bookmarkEnd w:id="10"/>
    </w:p>
    <w:p>
      <w:pPr>
        <w:keepNext w:val="0"/>
        <w:keepLines w:val="0"/>
        <w:pageBreakBefore w:val="0"/>
        <w:widowControl w:val="0"/>
        <w:numPr>
          <w:ilvl w:val="0"/>
          <w:numId w:val="0"/>
        </w:numPr>
        <w:tabs>
          <w:tab w:val="left" w:pos="2256"/>
        </w:tabs>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1.项目立项--8分。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国家发改委印发《西部大开发“十三五”规划 》，对西部大开发进行了全面部署，提出大力发展内陆开放型经济，探索建立更加适应开放型经济发展的行政管理和公共服务体制，扩大西部内陆地区特色优势产业对外开放，增加利用外资规模，提升引进外资质量，有序开展对外直接投资。根据《陕西省人民政府关于进一步推进开放型经济发展的决定》（陕政发 〔2008〕70号），陕西省政府设立招商引资专项资金（5000万元），每年按一定比例增长，主要用于招商引资的宣传推介、重点引资项目的支持以及引资成效的奖励。根据《陕西省省级专项资金管理办法》（陕政发〔2007〕19号），并结合陕西省实际情况，陕西省财政厅与陕西省商务厅联合制定了《陕西省招商引资专项资金管理办法》（陕财办行〔2009〕30号），该办法对招商引资专项资金的使用范围、管理职责、申请和审核程序以及监督检查都做了明确规定。《铜川市人民政府</w:t>
      </w:r>
      <w:r>
        <w:rPr>
          <w:rFonts w:hint="default" w:ascii="仿宋" w:hAnsi="仿宋" w:eastAsia="仿宋" w:cs="仿宋"/>
          <w:color w:val="auto"/>
          <w:kern w:val="0"/>
          <w:sz w:val="32"/>
          <w:szCs w:val="32"/>
          <w:highlight w:val="none"/>
          <w:shd w:val="clear" w:color="auto" w:fill="FFFFFF"/>
          <w:lang w:val="en-US" w:eastAsia="zh-CN"/>
        </w:rPr>
        <w:t>关于进一步加强招商引资工作的意见</w:t>
      </w:r>
      <w:r>
        <w:rPr>
          <w:rFonts w:hint="eastAsia" w:ascii="仿宋" w:hAnsi="仿宋" w:eastAsia="仿宋" w:cs="仿宋"/>
          <w:color w:val="auto"/>
          <w:kern w:val="0"/>
          <w:sz w:val="32"/>
          <w:szCs w:val="32"/>
          <w:highlight w:val="none"/>
          <w:shd w:val="clear" w:color="auto" w:fill="FFFFFF"/>
          <w:lang w:val="en-US" w:eastAsia="zh-CN"/>
        </w:rPr>
        <w:t>》（铜政发〔2016〕12号）明确提出积极参加丝博会暨西洽会、农高会、厦洽会、港澳经贸合作等投资促进活动，利用平台，宣传推介铜川，开展招商活动。瞄准重点领域、重点企业开展上门招商、委托招商、小分队招商，主动出击，对接洽谈。《铜川市新区招商局关于2019年工作总结及2020年工作要点的报告》（铜新招字〔2019〕10号）中提出了2020年度工作计划，明确将招商引资作为铜川市新区招商局2020年度的重点工作，要求认真组织参加丝博会、厦洽会、农高会、陕港澳活动周等展会活动。《铜川市新区财政局关于下达2020年度部门预算的通知》（铜新财预〔2020〕3号）明确下达了招商引资专项经费的预算。所以，铜川新区2020年度招商引资专项经费，符合国家法律法规、经济社会发展规划和相关政策，符合中央、地方财政事权支出划分责任，符合部门年度工作计划，是针对招商引资的具体需求设定，按照规定的程序申请设立，审批文件、材料皆符合相关要求，经过了必要的集体决策和文件批复，立项依据充分且立项程序规范，所以项目立项这一指标得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2.绩效目标--6分。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2020年度铜川市新区招商引资专项经费主要用于参加或举办第三届扶贫产品交易会、2020年第五届丝博会、陕西——长三角地区经济合作活动、陕粤港澳经济合作活动、杨凌农高会、中国国际进口博览会、中国国际投资贸易洽谈会，展现新区新形象，寻找商机，做好宣传推介活动，做好客商邀请和项目签约工作，加强组织企业与国外贸易合作伙伴的联系沟通，主动对接采购意向，力争多签贸易订单。拍摄招商引资宣传片，全方位、多领域展现铜川新区发展历程、精神风貌、投资环境，提升铜川 新区知名度，吸引名优企业落户铜川新区。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招商引资专项经费绩效目标表、绩效自评表和自评报告以及预算申报等相关文件，绩效目标设定了产出数量、产出质量、产出时效、产出成本和社会效益、可持续影响指标，绩效目标设置相对明确，目标设定完整，与预算资金规模相匹配，并细化成可量化</w:t>
      </w:r>
      <w:r>
        <w:rPr>
          <w:rFonts w:hint="eastAsia" w:ascii="仿宋" w:hAnsi="仿宋" w:eastAsia="仿宋" w:cs="仿宋"/>
          <w:color w:val="auto"/>
          <w:kern w:val="0"/>
          <w:sz w:val="32"/>
          <w:szCs w:val="32"/>
          <w:highlight w:val="none"/>
          <w:shd w:val="clear" w:color="auto" w:fill="FFFFFF"/>
          <w:lang w:eastAsia="zh-CN"/>
        </w:rPr>
        <w:t>的</w:t>
      </w:r>
      <w:r>
        <w:rPr>
          <w:rFonts w:hint="eastAsia" w:ascii="仿宋" w:hAnsi="仿宋" w:eastAsia="仿宋" w:cs="仿宋"/>
          <w:color w:val="auto"/>
          <w:kern w:val="0"/>
          <w:sz w:val="32"/>
          <w:szCs w:val="32"/>
          <w:highlight w:val="none"/>
          <w:shd w:val="clear" w:color="auto" w:fill="FFFFFF"/>
          <w:lang w:val="en-US" w:eastAsia="zh-CN"/>
        </w:rPr>
        <w:t>指标值，绩效指标值与项目目标任务数基本对应，绩效目标合理，绩效指标明确，所以绩效目标这一指标得6分。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3.资金投入--6分。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2020年度铜川市新区招商引资专项经费根据2020年度招商引资工作计划制定，符合开展招商引资工作的需求，举办或参加会议活动，遵守相关会议活动方案工作要求，严格执行中央、省委、市委有关工作纪律要求，勤俭安排食宿交通，坚持不搞宴请、不安排礼品、住五星级酒店、不乘坐高级轿车、不搞豪华会场布置，出差产生的住宿费、交通费、伙食补助费等，严格按照出差文件标准执行，预算编制符合相关行业标准和政策，预算内容与项目内容匹配，预算额度测算依据充分，按照标准编制，预算确定的资金量与工作任务相匹配，所以预算编制科学性指标得4分。根据年初预算编制招商引资经费为50万元，《铜川市新区财政局关于下达2020年度部门预算的通知》（铜新财预〔2020〕3号）明确下达了招商引资专项经费为50万元，资金到位率100%，资金到位率指标得2分，所以二级指标资金投入得6分。</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1" w:name="_Toc23681"/>
      <w:r>
        <w:rPr>
          <w:rFonts w:hint="eastAsia" w:ascii="楷体" w:hAnsi="楷体" w:eastAsia="楷体" w:cs="楷体"/>
          <w:b/>
          <w:bCs/>
          <w:color w:val="auto"/>
          <w:kern w:val="0"/>
          <w:sz w:val="32"/>
          <w:szCs w:val="32"/>
          <w:highlight w:val="none"/>
          <w:shd w:val="clear" w:color="auto" w:fill="FFFFFF"/>
          <w:lang w:val="en-US" w:eastAsia="zh-CN"/>
        </w:rPr>
        <w:t>项目过程情况</w:t>
      </w:r>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1.资金管理--6.69分。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评价资金使用单位在专项资金使用过程中的管理情况，主要从管理制度健全性、资金使用规范性以及预算执行率三个方面进行综合评价，用以反映和考核专项资金使用过程中的规范性和管理制度的完善性，以方便资金使用单位和财务主管部门对于资金使用过程中存在的问题及时发现并强化管控。结合资金使用单位实际情况，专项资金的资金管理评价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新区对外经济投资合作局作为资金使用单位，根据《中华人民共和国预算法》等有关法律法规规定，结合部门实际情况，制定了《新区对外经济投资合作局预算管理制度》，《新区对外经济投资合作局财务管理制度》中也对资金拨付审批、财务监督审计有严格的制度规定，对资金管理制度也有涉及。但缺乏成本核算制度和招商引资专项经费管理办法，所以，管理制度健全性指标得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资金使用过程中遵守相关法律法规和相关管理制度规定，项目实施程序和相关手续合规、完备，相关资金的拨付有完整的审批手续和资料。但预算执行中缺乏监控，所以资金使用规范性得3分。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财政局关于下达2020年度部门预算的通知》（铜新财预〔2020〕3号），招商引资专项经费实际到位资金为50万元，根据2020年度新区对外经济投资合作局项目收入支出决算表，招商引资专项经费实际支出423495.41元，预算执行率约为84.7%，所以，预算执行率指标得分为1.69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所以，资金管理指标得6.69分。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2.项目管理--6分。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项目管理指标主要评价资金使用单位在项目管理中的管理制度健全性、组织实施的完备性和制度执行有效性，以及绩效自评工作开展情况。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资金使用单位制定了《铜川市新区对外经济投资合作局工作管理制度》，对部门职能和岗位职责做出了相关规定。《新区对外经济投资合作局财务管理制度》中对资料归档有严格规定：加强档案管理制度，档案必须做到专人管理并登记上锁，查阅档案必须由管理人员查找，其他人员不得入内。但不具备招商引资专项经费项目相关管理制度文件，所以，管理制度健全性指标得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资金使用单位的主要职责比较明晰，部门内设一个办公室：综合办公室，机构不够健全，缺乏部门人员职责划分信息，有具体的项目实施计划和进度安排，所以，组织实施的完备性得1分。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招商引资专项经费项目实施过程中均按照活动方案执行，符合法律法规和业务规定，项目实施程序和相关手续合规、完备，方案中对各项工作进行了合理分配，项目相关工作按照活动方案进行，所以，制度执行有效性指标得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绩效自评报告客观完整，但问题分析不够全面，建议可操作性有待提高。所以，绩效自评指标得2分。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所以，项目管理指标得6分。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2" w:name="_Toc3813"/>
      <w:r>
        <w:rPr>
          <w:rFonts w:hint="eastAsia" w:ascii="楷体" w:hAnsi="楷体" w:eastAsia="楷体" w:cs="楷体"/>
          <w:b/>
          <w:bCs/>
          <w:color w:val="auto"/>
          <w:kern w:val="0"/>
          <w:sz w:val="32"/>
          <w:szCs w:val="32"/>
          <w:highlight w:val="none"/>
          <w:shd w:val="clear" w:color="auto" w:fill="FFFFFF"/>
          <w:lang w:val="en-US" w:eastAsia="zh-CN"/>
        </w:rPr>
        <w:t>（三）项目产出情况</w:t>
      </w:r>
      <w:bookmarkEnd w:id="1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项目支出绩效评价管理办法、专项资金分配方案和资金使用单位绩效目标申报情况，结合资金使用的实际情况，绩效评价产出指标细化为产出数量、产出质量、产出时效和产出成本四个二级指标，并根据不同项目内容将指标分值进行合理分配，通过各项目的产出情况结合分值分配情况对专项资金的产出进行综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1.产出数量--5.14分。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2020年度铜川市新区招商引资专项经费计划用于参加或举办第三届扶贫产品交易会、2020年第五届丝博会、陕西——长三角地区经济合作活动、陕粤港澳经济合作活动、杨凌农高会、中国国际进口博览会、中国国际投资贸易洽谈会，其中因疫情原因，第五届丝博会未举办，计划举办或参加的会议活动数量为7，实际举办或参加的会议活动数量为6，所以，产出数量指标得分为5.14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2.产出质量--1.54分。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根据2020年签约项目跟踪月报（年底）的统计情况，2020年签约项目数为33个，其中涉及资金在5000万以上的有17个，重大项目签约率约为51%，所以，重大项目签约率指标得分为1.54分。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根据铜川市新区对外经济投资合作中心的证明文件，2019年签约项目涉及资金为145.63亿元，2020年签约项目涉及资金为134.19亿元，涉及资金增长率小于0，所以，涉及资金增长率指标得分为0分。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所以，产出质量指标得分为1.54分。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3.产出时效--6.28分。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2020年度资金使用单位计划参加或举办第三届扶贫产品交易会、2020年第五届丝博会、陕西——长三角地区经济合作活动、陕粤港澳经济合作活动、杨凌农高会、中国国际进口博览会、中国国际投资贸易洽谈会。其中，因疫情原因，2020年第五届丝博会未举办；陕粤港澳经济合作活动计划举办时间为2020年12月2日至2020年12月7日，实际举办时间为2020年12月7日至2020年12月11日；第三届扶贫产品交易会计划举办时间为2020年9月11日至2020年9月18日，实际举办时间为2020年9月22日至9月26日；陕西——长三角地区经济合作活动计划举办时间为2020年8月5日至2020年8月11日，实际举办时间为2020年8月18日至2020年8月21日，重点工作及时完成率约为43%。所以，重点工作及时完成率指标得分为1.28。</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根据2020年签约项目跟踪月报（年底）的统计情况，2020年签约项目数为33个，其中处于实施阶段有5个，在建或已建成项目28个，项目开工率约为85%，所以项目开工率得分为5分。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 xml:space="preserve">所以，产出时效指标得分为6.28分。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 xml:space="preserve">4.产出成本--6分。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2020年招商引资专项经费项目计划成本为50万元，实际使用423495.41元，成本节约率约为15%，大于10%，所以，产出成本指标得6分。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3" w:name="_Toc48"/>
      <w:r>
        <w:rPr>
          <w:rFonts w:hint="eastAsia" w:ascii="楷体" w:hAnsi="楷体" w:eastAsia="楷体" w:cs="楷体"/>
          <w:b/>
          <w:bCs/>
          <w:color w:val="auto"/>
          <w:kern w:val="0"/>
          <w:sz w:val="32"/>
          <w:szCs w:val="32"/>
          <w:highlight w:val="none"/>
          <w:shd w:val="clear" w:color="auto" w:fill="FFFFFF"/>
          <w:lang w:val="en-US" w:eastAsia="zh-CN"/>
        </w:rPr>
        <w:t>（四）项目效益情况</w:t>
      </w:r>
      <w:bookmarkEnd w:id="1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效益指标根据招商引资资金性质，效益指标进一步细化为经济效益、环境效益、可持续发展以及满意度指标4个方面。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1.经济效益--15分。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对外经济合作中心证明文件，2020年铜川市新区管委会签约项目金额134.19亿元，完成全年预期目标任务85亿元的157.9%；实际利用市域外项目资金60.98亿元，完成全年预期目标任务52亿元的117.3%；其中实际利用省域外项目资金46.93亿元，完成全年预期目标任务40亿元的117.3%。涉及资金完成率、利用市外资金完成率、利用省外资金完成率均大于100%，所以，经济效益指标得15分。</w:t>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 xml:space="preserve">2.环境效益--6分。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中共铜川市新区工委、铜川市新区管理委员会关于印发&lt;铜川市新区促进产业发展优惠政策&gt;的通知》（铜新发〔2020〕51号），《铜川市新区促进产业发展优惠政策》内容完善，优惠力度大，营造了优良的招商引资工作环境，所以，环境效益指标得分为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3.可持续影响--6分。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根据2020年签约项目跟踪月报（年底）的统计情况，2020年签约项目数为33个，均为固定资产投资项目，对新区发展具有可持续影响，固定资产投资占比为100%。所以，可持续影响指标得分为6分。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4.服务对象满意度--6分。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对于服务对象满意度的评价，主要评价招商引资工作过程中服务企业的满意度情况。针对受益群众发放10分调查问卷，回收10分，调查问卷有效率为100%，调查问卷经汇总统计后，按照如下方式计算分值：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① Ai=6*p1+4*p2+2*p3+0*p4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Ai（i=1、2、3、</w:t>
      </w:r>
      <w:r>
        <w:rPr>
          <w:rFonts w:hint="default" w:ascii="Arial" w:hAnsi="Arial" w:eastAsia="仿宋" w:cs="Arial"/>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CN"/>
        </w:rPr>
        <w:t>10）:调查问卷中的第i个问题分值。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P1:同一对象问卷调查中的对应问题的满意情况占比。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P2:同一对象问卷调查中的对应问题的较满意情况占比。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P3:同一对象问卷调查中的对应问题的一般情况占比。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P4:同一对象问卷调查中的对应问题的不满意情况占比。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② M=(A1+A2+A3+A4+A5+A6+A7+A8+A9+A10)/10(i=1、2</w:t>
      </w:r>
      <w:r>
        <w:rPr>
          <w:rFonts w:hint="default" w:ascii="Arial" w:hAnsi="Arial" w:eastAsia="仿宋" w:cs="Arial"/>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CN"/>
        </w:rPr>
        <w:t>10)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M:服务对象满意度调查分值。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r>
        <w:rPr>
          <w:rFonts w:hint="eastAsia" w:ascii="仿宋" w:hAnsi="仿宋" w:eastAsia="仿宋" w:cs="仿宋"/>
          <w:color w:val="auto"/>
          <w:kern w:val="0"/>
          <w:sz w:val="32"/>
          <w:szCs w:val="32"/>
          <w:highlight w:val="none"/>
          <w:shd w:val="clear" w:color="auto" w:fill="FFFFFF"/>
          <w:lang w:val="en-US" w:eastAsia="zh-CN"/>
        </w:rPr>
        <w:t>根据调查问卷收集情况相关数据和满意度调查分值计算公式统计如下：</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表4-1  满意度调查问卷统计分析表</w:t>
      </w:r>
    </w:p>
    <w:tbl>
      <w:tblPr>
        <w:tblStyle w:val="7"/>
        <w:tblW w:w="5000" w:type="pct"/>
        <w:tblInd w:w="0" w:type="dxa"/>
        <w:tblLayout w:type="autofit"/>
        <w:tblCellMar>
          <w:top w:w="0" w:type="dxa"/>
          <w:left w:w="0" w:type="dxa"/>
          <w:bottom w:w="0" w:type="dxa"/>
          <w:right w:w="0" w:type="dxa"/>
        </w:tblCellMar>
      </w:tblPr>
      <w:tblGrid>
        <w:gridCol w:w="2946"/>
        <w:gridCol w:w="1182"/>
        <w:gridCol w:w="1183"/>
        <w:gridCol w:w="1183"/>
        <w:gridCol w:w="1183"/>
        <w:gridCol w:w="1188"/>
      </w:tblGrid>
      <w:tr>
        <w:tblPrEx>
          <w:tblCellMar>
            <w:top w:w="0" w:type="dxa"/>
            <w:left w:w="0" w:type="dxa"/>
            <w:bottom w:w="0" w:type="dxa"/>
            <w:right w:w="0" w:type="dxa"/>
          </w:tblCellMar>
        </w:tblPrEx>
        <w:trPr>
          <w:trHeight w:val="300" w:hRule="atLeast"/>
        </w:trPr>
        <w:tc>
          <w:tcPr>
            <w:tcW w:w="5000" w:type="pct"/>
            <w:gridSpan w:val="6"/>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招商引资专项经费问卷调查统计</w:t>
            </w:r>
          </w:p>
        </w:tc>
      </w:tr>
      <w:tr>
        <w:trPr>
          <w:trHeight w:val="300" w:hRule="atLeast"/>
        </w:trPr>
        <w:tc>
          <w:tcPr>
            <w:tcW w:w="1662"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问卷题项</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比较满意</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一般</w:t>
            </w:r>
          </w:p>
        </w:tc>
        <w:tc>
          <w:tcPr>
            <w:tcW w:w="66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不满意</w:t>
            </w:r>
          </w:p>
        </w:tc>
      </w:tr>
      <w:tr>
        <w:tblPrEx>
          <w:tblCellMar>
            <w:top w:w="0" w:type="dxa"/>
            <w:left w:w="0" w:type="dxa"/>
            <w:bottom w:w="0" w:type="dxa"/>
            <w:right w:w="0" w:type="dxa"/>
          </w:tblCellMar>
        </w:tblPrEx>
        <w:trPr>
          <w:trHeight w:val="600" w:hRule="atLeast"/>
        </w:trPr>
        <w:tc>
          <w:tcPr>
            <w:tcW w:w="1662"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您对《铜川市新区促进产业发展优惠政策》感觉怎么样？</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600" w:hRule="atLeast"/>
        </w:trPr>
        <w:tc>
          <w:tcPr>
            <w:tcW w:w="1662"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您对2020年陕西—长三角地区经济合作活动满意吗？</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550" w:hRule="atLeast"/>
        </w:trPr>
        <w:tc>
          <w:tcPr>
            <w:tcW w:w="1662"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您对2020厦门国际投资贸易洽谈会满意吗？</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600" w:hRule="atLeast"/>
        </w:trPr>
        <w:tc>
          <w:tcPr>
            <w:tcW w:w="1662"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您对铜川市新区2020年扶贫产品交易会满意吗？</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350" w:hRule="atLeast"/>
        </w:trPr>
        <w:tc>
          <w:tcPr>
            <w:tcW w:w="1662"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您对第27届杨凌农高会满意吗？</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600" w:hRule="atLeast"/>
        </w:trPr>
        <w:tc>
          <w:tcPr>
            <w:tcW w:w="1662"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您对第三届中国国际进口博览会满意吗？</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470" w:hRule="atLeast"/>
        </w:trPr>
        <w:tc>
          <w:tcPr>
            <w:tcW w:w="1662"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您对第十届陕粤港澳经济合作活动周满意吗？</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600" w:hRule="atLeast"/>
        </w:trPr>
        <w:tc>
          <w:tcPr>
            <w:tcW w:w="1662"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您对与新区对外经济投资合作局合作满意吗？</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600" w:hRule="atLeast"/>
        </w:trPr>
        <w:tc>
          <w:tcPr>
            <w:tcW w:w="1662"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您对铜川市新区的投资环境满意吗？</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600" w:hRule="atLeast"/>
        </w:trPr>
        <w:tc>
          <w:tcPr>
            <w:tcW w:w="1662"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您对新区对外经济投资合作局招商方式满意吗？</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300" w:hRule="atLeast"/>
        </w:trPr>
        <w:tc>
          <w:tcPr>
            <w:tcW w:w="1662"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根据绩效评价指标体系和满意度调查问卷数据统计情况和分值计算公式，服务对象满意度指标得分为6分。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color w:val="auto"/>
          <w:kern w:val="0"/>
          <w:sz w:val="32"/>
          <w:szCs w:val="32"/>
          <w:highlight w:val="none"/>
          <w:shd w:val="clear" w:color="auto" w:fill="FFFFFF"/>
          <w:lang w:val="en-US" w:eastAsia="zh-CN"/>
        </w:rPr>
      </w:pPr>
      <w:bookmarkStart w:id="14" w:name="_Toc20698"/>
      <w:r>
        <w:rPr>
          <w:rFonts w:hint="eastAsia" w:ascii="黑体" w:hAnsi="黑体" w:eastAsia="黑体" w:cs="黑体"/>
          <w:color w:val="auto"/>
          <w:kern w:val="0"/>
          <w:sz w:val="32"/>
          <w:szCs w:val="32"/>
          <w:highlight w:val="none"/>
          <w:shd w:val="clear" w:color="auto" w:fill="FFFFFF"/>
          <w:lang w:val="en-US" w:eastAsia="zh-CN"/>
        </w:rPr>
        <w:t>五、主要经验和做法、存在的问题及原因分析</w:t>
      </w:r>
      <w:bookmarkEnd w:id="1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（一）主要经验和做法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通过对于2020年度招商引资专项经费的绩效评价结果分析，结合对外经济投资合作局近几年招商引资工作开展实际情况，招商引资工作在多个方面</w:t>
      </w:r>
      <w:r>
        <w:rPr>
          <w:rFonts w:hint="eastAsia" w:ascii="仿宋" w:hAnsi="仿宋" w:eastAsia="仿宋" w:cs="仿宋"/>
          <w:color w:val="auto"/>
          <w:kern w:val="0"/>
          <w:sz w:val="32"/>
          <w:szCs w:val="32"/>
          <w:highlight w:val="none"/>
          <w:shd w:val="clear" w:color="auto" w:fill="FFFFFF"/>
          <w:lang w:val="en-US" w:eastAsia="zh-Hans"/>
        </w:rPr>
        <w:t>有所突破</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开拓了线上招商工作。受新冠疫情影响，线下招商引资工作开展遇到阻碍，对外经济投资合作局积极转变思路，积极开拓，利用互联网平台和现代信息技术，组织“线上招商会”、“在线联系会”等线上推广活动，通过网络加强与客商沟通联系，宣传铜川新区招商环境，为招商引资工作打开新局面，一定程度上克服了新冠疫情带来的不良影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改善了招商引资环境。铜川市根据铜川市级优惠政策为基础，学习借鉴其它市县优惠政策，结合铜川市新区自身实际情况，印发了《铜川市新区促进产业发展优惠政策》，政策覆盖面广，内容完善，优惠力度大，更重要的是有了明文规定的政策扶持，为客商提供了政策保障和经济支持，加强了客商的投资信心，有利于招商引资工作的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创新了招商引资方式。对外经济投资合作局积极进取，敢于创新，不局限于传统的“节会招商”、“上门招商”、“以商引商”等招商引资方式，加强与社会组织、驻外机构的合作联系，借助各大城市陕西商会的平台开展招商引资工作，利用各大驻外机构为前沿阵地，更便利与客商联系沟通，方便招商引资工作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（二）存在的问题及原因分析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 xml:space="preserve"> </w:t>
      </w:r>
      <w:r>
        <w:rPr>
          <w:rFonts w:hint="eastAsia" w:ascii="仿宋" w:hAnsi="仿宋" w:eastAsia="仿宋" w:cs="仿宋"/>
          <w:color w:val="auto"/>
          <w:kern w:val="0"/>
          <w:sz w:val="32"/>
          <w:szCs w:val="32"/>
          <w:highlight w:val="none"/>
          <w:shd w:val="clear" w:color="auto" w:fill="FFFFFF"/>
          <w:lang w:val="en-US" w:eastAsia="zh-CN"/>
        </w:rPr>
        <w:t>按照以专项资金使用为主线，以项目产出和效益情况为导向的绩效评价思路，对各招商引资相关工作内容进行综合评价</w:t>
      </w:r>
      <w:r>
        <w:rPr>
          <w:rFonts w:hint="eastAsia" w:ascii="仿宋" w:hAnsi="仿宋" w:eastAsia="仿宋" w:cs="仿宋"/>
          <w:color w:val="auto"/>
          <w:kern w:val="0"/>
          <w:sz w:val="32"/>
          <w:szCs w:val="32"/>
          <w:highlight w:val="none"/>
          <w:shd w:val="clear" w:color="auto" w:fill="FFFFFF"/>
          <w:lang w:eastAsia="zh-CN"/>
        </w:rPr>
        <w:t>。主要存在以下问题</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1.资金管理不够规范，缺乏制度支撑。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资金使用单位缺乏成本核算制度和专项资金管理办法，专项资金使用缺乏依据和制度支撑，没有固定标准，容易导致专项资金使用混乱，缺乏预算执行监控，导致预算执行率也不高，原因是对资金使用单位对制度建设和预算执行监控不够重视，没有制定完备规范的各类管理办法，对资金缺乏科学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2.项目管理不够科学，职责划分不够清晰。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缺少招商引资专项经费项目相关管理制度文件，部门机构不够健全，缺乏部门人员职责划分信息，原因是部门体量小，人员缺乏，往往身兼数职，职责不够清晰。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3.绩效自评报告质量有待改善。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eastAsia="zh-CN"/>
        </w:rPr>
      </w:pPr>
      <w:r>
        <w:rPr>
          <w:rFonts w:hint="eastAsia" w:ascii="仿宋" w:hAnsi="仿宋" w:eastAsia="仿宋" w:cs="仿宋"/>
          <w:color w:val="auto"/>
          <w:kern w:val="0"/>
          <w:sz w:val="32"/>
          <w:szCs w:val="32"/>
          <w:highlight w:val="none"/>
          <w:shd w:val="clear" w:color="auto" w:fill="FFFFFF"/>
          <w:lang w:eastAsia="zh-CN"/>
        </w:rPr>
        <w:t>在绩效自评环节，资金使用单位按照既定程序提交了绩效自评报告。但从资金使用单位提交的自评报告来看，分别存在以下问题：自评报告结构和内容完整性不足，在评价指标完成情况、存在问题及改进措施方面存在较大问题，并未就目标完成情况进行深入分析，缺乏对存在问题的深入分析，且并未提出具体的绩效改进措施。存在上述问题的主要原因是资金使用单位对绩效自评工作的不重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4.签约项目质量有待提高。</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从签约项目名单来看，签约项目数量数量较去年有所提升，但签约重大项目比率较低，项目质量不够高，涉及资金量较小。</w:t>
      </w:r>
      <w:r>
        <w:rPr>
          <w:rFonts w:hint="eastAsia" w:ascii="仿宋" w:hAnsi="仿宋" w:eastAsia="仿宋" w:cs="仿宋"/>
          <w:color w:val="auto"/>
          <w:kern w:val="0"/>
          <w:sz w:val="32"/>
          <w:szCs w:val="32"/>
          <w:highlight w:val="none"/>
          <w:shd w:val="clear" w:color="auto" w:fill="FFFFFF"/>
          <w:lang w:eastAsia="zh-CN"/>
        </w:rPr>
        <w:t>存在上述问题的主要原因是</w:t>
      </w:r>
      <w:r>
        <w:rPr>
          <w:rFonts w:hint="eastAsia" w:ascii="仿宋" w:hAnsi="仿宋" w:eastAsia="仿宋" w:cs="仿宋"/>
          <w:color w:val="auto"/>
          <w:kern w:val="0"/>
          <w:sz w:val="32"/>
          <w:szCs w:val="32"/>
          <w:highlight w:val="none"/>
          <w:shd w:val="clear" w:color="auto" w:fill="FFFFFF"/>
          <w:lang w:val="en-US" w:eastAsia="zh-CN"/>
        </w:rPr>
        <w:t>招商引资活动针对性不够，针对重大项目开展工作不够彻底。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jc w:val="both"/>
        <w:textAlignment w:val="auto"/>
        <w:outlineLvl w:val="0"/>
        <w:rPr>
          <w:rFonts w:hint="eastAsia" w:ascii="黑体" w:hAnsi="黑体" w:eastAsia="黑体" w:cs="黑体"/>
          <w:color w:val="auto"/>
          <w:kern w:val="0"/>
          <w:sz w:val="32"/>
          <w:szCs w:val="32"/>
          <w:highlight w:val="none"/>
          <w:shd w:val="clear" w:color="auto" w:fill="FFFFFF"/>
          <w:lang w:val="en-US" w:eastAsia="zh-CN"/>
        </w:rPr>
      </w:pPr>
      <w:bookmarkStart w:id="15" w:name="_Toc30568"/>
      <w:r>
        <w:rPr>
          <w:rFonts w:hint="eastAsia" w:ascii="黑体" w:hAnsi="黑体" w:eastAsia="黑体" w:cs="黑体"/>
          <w:color w:val="auto"/>
          <w:kern w:val="0"/>
          <w:sz w:val="32"/>
          <w:szCs w:val="32"/>
          <w:highlight w:val="none"/>
          <w:shd w:val="clear" w:color="auto" w:fill="FFFFFF"/>
          <w:lang w:val="en-US" w:eastAsia="zh-CN"/>
        </w:rPr>
        <w:t>六、有关建议</w:t>
      </w:r>
      <w:bookmarkEnd w:id="1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针对</w:t>
      </w:r>
      <w:r>
        <w:rPr>
          <w:rFonts w:hint="eastAsia" w:ascii="仿宋" w:hAnsi="仿宋" w:eastAsia="仿宋" w:cs="仿宋"/>
          <w:color w:val="auto"/>
          <w:kern w:val="0"/>
          <w:sz w:val="32"/>
          <w:szCs w:val="32"/>
          <w:highlight w:val="none"/>
          <w:shd w:val="clear" w:color="auto" w:fill="FFFFFF"/>
          <w:lang w:eastAsia="zh-CN"/>
        </w:rPr>
        <w:t>上述有关问题，</w:t>
      </w:r>
      <w:r>
        <w:rPr>
          <w:rFonts w:hint="eastAsia" w:ascii="仿宋" w:hAnsi="仿宋" w:eastAsia="仿宋" w:cs="仿宋"/>
          <w:color w:val="auto"/>
          <w:kern w:val="0"/>
          <w:sz w:val="32"/>
          <w:szCs w:val="32"/>
          <w:highlight w:val="none"/>
          <w:shd w:val="clear" w:color="auto" w:fill="FFFFFF"/>
          <w:lang w:val="en-US" w:eastAsia="zh-CN"/>
        </w:rPr>
        <w:t>结合招商引资基本目标</w:t>
      </w:r>
      <w:r>
        <w:rPr>
          <w:rFonts w:hint="eastAsia" w:ascii="仿宋" w:hAnsi="仿宋" w:eastAsia="仿宋" w:cs="仿宋"/>
          <w:color w:val="auto"/>
          <w:kern w:val="0"/>
          <w:sz w:val="32"/>
          <w:szCs w:val="32"/>
          <w:highlight w:val="none"/>
          <w:shd w:val="clear" w:color="auto" w:fill="FFFFFF"/>
          <w:lang w:eastAsia="zh-CN"/>
        </w:rPr>
        <w:t>，</w:t>
      </w:r>
      <w:r>
        <w:rPr>
          <w:rFonts w:hint="eastAsia" w:ascii="仿宋" w:hAnsi="仿宋" w:eastAsia="仿宋" w:cs="仿宋"/>
          <w:color w:val="auto"/>
          <w:kern w:val="0"/>
          <w:sz w:val="32"/>
          <w:szCs w:val="32"/>
          <w:highlight w:val="none"/>
          <w:shd w:val="clear" w:color="auto" w:fill="FFFFFF"/>
          <w:lang w:val="en-US" w:eastAsia="zh-CN"/>
        </w:rPr>
        <w:t>为进一步提升专项资金的使用效率和效果，推动招商引资目标实现</w:t>
      </w:r>
      <w:r>
        <w:rPr>
          <w:rFonts w:hint="eastAsia" w:ascii="仿宋" w:hAnsi="仿宋" w:eastAsia="仿宋" w:cs="仿宋"/>
          <w:color w:val="auto"/>
          <w:kern w:val="0"/>
          <w:sz w:val="32"/>
          <w:szCs w:val="32"/>
          <w:highlight w:val="none"/>
          <w:shd w:val="clear" w:color="auto" w:fill="FFFFFF"/>
          <w:lang w:eastAsia="zh-CN"/>
        </w:rPr>
        <w:t>，特提出如下建议：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一）加强制度建设，科学规范管理专项资金。以上级部门制定的制度为依据，结合上级部门或其他单位的成功经验，结合部门自身实际情况，制定科学完备的成本核算制度、专项资金管理办法和项目管理办法，完善专项资金管理的制度体系，为科学规范使用专项资金提供制度依据。专项资金管理办法至少需明确招商引资专项经费的使用范围和标准，规定批复、拨付的程序和方式，加强资金使用的监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eastAsia="zh-CN"/>
        </w:rPr>
      </w:pPr>
      <w:r>
        <w:rPr>
          <w:rFonts w:hint="eastAsia" w:ascii="仿宋" w:hAnsi="仿宋" w:eastAsia="仿宋" w:cs="仿宋"/>
          <w:color w:val="auto"/>
          <w:kern w:val="0"/>
          <w:sz w:val="32"/>
          <w:szCs w:val="32"/>
          <w:highlight w:val="none"/>
          <w:shd w:val="clear" w:color="auto" w:fill="FFFFFF"/>
          <w:lang w:val="en-US" w:eastAsia="zh-CN"/>
        </w:rPr>
        <w:t>（二）加强预算绩效管理，开展系统培训。开展预算执行监控，合理使用专项资金，加强绩效目标管理，认真开展绩效自评，仔细剖析自身问题，切实提出改进意见。部门欠缺绩效管理能力的，可邀请相关绩效评价专家、绩效评价机构人员等，对绩效管理相关人员从理论构架到实践操作多个维度开展系统培训，包括但不限于事前绩效评估、绩效目标管理、绩效运行监控、绩效自评、自评结果应用等相关内容，提高资金使用单位预算绩效管理能力，提升预算绩效管理的规范性和完善性</w:t>
      </w:r>
      <w:r>
        <w:rPr>
          <w:rFonts w:hint="eastAsia" w:ascii="仿宋" w:hAnsi="仿宋" w:eastAsia="仿宋" w:cs="仿宋"/>
          <w:color w:val="auto"/>
          <w:kern w:val="0"/>
          <w:sz w:val="32"/>
          <w:szCs w:val="32"/>
          <w:highlight w:val="none"/>
          <w:shd w:val="clear" w:color="auto" w:fill="FFFFFF"/>
          <w:lang w:eastAsia="zh-CN"/>
        </w:rPr>
        <w:t>。</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eastAsia="zh-CN"/>
        </w:rPr>
        <w:t>（</w:t>
      </w:r>
      <w:r>
        <w:rPr>
          <w:rFonts w:hint="eastAsia" w:ascii="仿宋" w:hAnsi="仿宋" w:eastAsia="仿宋" w:cs="仿宋"/>
          <w:color w:val="auto"/>
          <w:kern w:val="0"/>
          <w:sz w:val="32"/>
          <w:szCs w:val="32"/>
          <w:highlight w:val="none"/>
          <w:shd w:val="clear" w:color="auto" w:fill="FFFFFF"/>
          <w:lang w:val="en-US" w:eastAsia="zh-CN"/>
        </w:rPr>
        <w:t>三</w:t>
      </w:r>
      <w:r>
        <w:rPr>
          <w:rFonts w:hint="eastAsia" w:ascii="仿宋" w:hAnsi="仿宋" w:eastAsia="仿宋" w:cs="仿宋"/>
          <w:color w:val="auto"/>
          <w:kern w:val="0"/>
          <w:sz w:val="32"/>
          <w:szCs w:val="32"/>
          <w:highlight w:val="none"/>
          <w:shd w:val="clear" w:color="auto" w:fill="FFFFFF"/>
          <w:lang w:eastAsia="zh-CN"/>
        </w:rPr>
        <w:t>）</w:t>
      </w:r>
      <w:r>
        <w:rPr>
          <w:rFonts w:hint="eastAsia" w:ascii="仿宋" w:hAnsi="仿宋" w:eastAsia="仿宋" w:cs="仿宋"/>
          <w:color w:val="auto"/>
          <w:kern w:val="0"/>
          <w:sz w:val="32"/>
          <w:szCs w:val="32"/>
          <w:highlight w:val="none"/>
          <w:shd w:val="clear" w:color="auto" w:fill="FFFFFF"/>
          <w:lang w:val="en-US" w:eastAsia="zh-CN"/>
        </w:rPr>
        <w:t>提高招商引资工作针对性，丰富招商手段。采取线上招商、线下招商相结合的方式，尤其在新冠疫情大环境下，加强线上招商活动力度，采取小组招商、驻点招商、展会招商、文化招商、旅游招商、以商招商、委托招商、顾问招商、全员招商多种手段，招商目标聚焦于重大项目、优质项目，加强重点项目推荐。</w:t>
      </w:r>
    </w:p>
    <w:p>
      <w:pPr>
        <w:pStyle w:val="2"/>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default" w:ascii="仿宋" w:hAnsi="仿宋" w:eastAsia="仿宋" w:cs="仿宋"/>
          <w:color w:val="auto"/>
          <w:kern w:val="0"/>
          <w:sz w:val="32"/>
          <w:szCs w:val="32"/>
          <w:highlight w:val="none"/>
          <w:shd w:val="clear" w:color="auto" w:fill="FFFFFF"/>
          <w:lang w:val="en-US" w:eastAsia="zh-CN"/>
        </w:rPr>
        <w:sectPr>
          <w:footerReference r:id="rId6" w:type="default"/>
          <w:pgSz w:w="11906" w:h="16838"/>
          <w:pgMar w:top="2098" w:right="1474" w:bottom="1984" w:left="1587" w:header="992" w:footer="992" w:gutter="0"/>
          <w:pgNumType w:fmt="decimal"/>
          <w:cols w:space="720" w:num="1"/>
          <w:docGrid w:type="lines" w:linePitch="312" w:charSpace="0"/>
        </w:sectPr>
      </w:pPr>
      <w:r>
        <w:rPr>
          <w:rFonts w:hint="eastAsia" w:ascii="仿宋" w:hAnsi="仿宋" w:eastAsia="仿宋" w:cs="仿宋"/>
          <w:color w:val="auto"/>
          <w:kern w:val="0"/>
          <w:sz w:val="32"/>
          <w:szCs w:val="32"/>
          <w:highlight w:val="none"/>
          <w:shd w:val="clear" w:color="auto" w:fill="FFFFFF"/>
          <w:lang w:val="en-US" w:eastAsia="zh-CN"/>
        </w:rPr>
        <w:t xml:space="preserve">                </w:t>
      </w:r>
    </w:p>
    <w:p>
      <w:pPr>
        <w:numPr>
          <w:ilvl w:val="0"/>
          <w:numId w:val="0"/>
        </w:numPr>
        <w:jc w:val="both"/>
        <w:outlineLvl w:val="9"/>
        <w:rPr>
          <w:rFonts w:hint="default" w:ascii="黑体" w:hAnsi="黑体" w:eastAsia="黑体" w:cs="黑体"/>
          <w:b w:val="0"/>
          <w:bCs w:val="0"/>
          <w:color w:val="auto"/>
          <w:kern w:val="0"/>
          <w:sz w:val="32"/>
          <w:szCs w:val="32"/>
          <w:highlight w:val="none"/>
          <w:shd w:val="clear" w:color="auto" w:fill="FFFFFF"/>
          <w:lang w:val="en-US" w:eastAsia="zh-CN"/>
        </w:rPr>
      </w:pPr>
      <w:bookmarkStart w:id="16" w:name="_Toc9083"/>
      <w:r>
        <w:rPr>
          <w:rFonts w:hint="eastAsia" w:ascii="黑体" w:hAnsi="黑体" w:eastAsia="黑体" w:cs="黑体"/>
          <w:b w:val="0"/>
          <w:bCs w:val="0"/>
          <w:color w:val="auto"/>
          <w:kern w:val="0"/>
          <w:sz w:val="32"/>
          <w:szCs w:val="32"/>
          <w:highlight w:val="none"/>
          <w:shd w:val="clear" w:color="auto" w:fill="FFFFFF"/>
          <w:lang w:val="en-US" w:eastAsia="zh-CN"/>
        </w:rPr>
        <w:t>附件1：</w:t>
      </w:r>
      <w:bookmarkEnd w:id="16"/>
      <w:r>
        <w:rPr>
          <w:rFonts w:hint="eastAsia" w:ascii="黑体" w:hAnsi="黑体" w:eastAsia="黑体" w:cs="黑体"/>
          <w:b w:val="0"/>
          <w:bCs w:val="0"/>
          <w:color w:val="auto"/>
          <w:kern w:val="0"/>
          <w:sz w:val="32"/>
          <w:szCs w:val="32"/>
          <w:highlight w:val="none"/>
          <w:shd w:val="clear" w:color="auto" w:fill="FFFFFF"/>
          <w:lang w:val="en-US" w:eastAsia="zh-CN"/>
        </w:rPr>
        <w:t>工作底稿</w:t>
      </w:r>
    </w:p>
    <w:p>
      <w:pPr>
        <w:numPr>
          <w:ilvl w:val="0"/>
          <w:numId w:val="0"/>
        </w:numPr>
        <w:jc w:val="both"/>
        <w:outlineLvl w:val="0"/>
        <w:rPr>
          <w:rFonts w:hint="eastAsia" w:ascii="黑体" w:hAnsi="黑体" w:eastAsia="黑体" w:cs="黑体"/>
          <w:b w:val="0"/>
          <w:bCs w:val="0"/>
          <w:color w:val="auto"/>
          <w:kern w:val="0"/>
          <w:sz w:val="32"/>
          <w:szCs w:val="32"/>
          <w:highlight w:val="none"/>
          <w:shd w:val="clear" w:color="auto" w:fill="FFFFFF"/>
          <w:lang w:val="en-US" w:eastAsia="zh-CN"/>
        </w:rPr>
      </w:pPr>
    </w:p>
    <w:p>
      <w:pPr>
        <w:numPr>
          <w:ilvl w:val="0"/>
          <w:numId w:val="0"/>
        </w:numPr>
        <w:jc w:val="center"/>
        <w:outlineLvl w:val="9"/>
        <w:rPr>
          <w:rFonts w:hint="default" w:ascii="宋体" w:hAnsi="宋体" w:eastAsia="宋体" w:cs="宋体"/>
          <w:b/>
          <w:bCs/>
          <w:color w:val="auto"/>
          <w:kern w:val="0"/>
          <w:sz w:val="36"/>
          <w:szCs w:val="36"/>
          <w:highlight w:val="none"/>
          <w:shd w:val="clear" w:color="auto" w:fill="FFFFFF"/>
          <w:lang w:val="en-US" w:eastAsia="zh-CN"/>
        </w:rPr>
      </w:pPr>
      <w:r>
        <w:rPr>
          <w:rFonts w:hint="eastAsia" w:ascii="宋体" w:hAnsi="宋体" w:eastAsia="宋体" w:cs="宋体"/>
          <w:b/>
          <w:bCs/>
          <w:color w:val="auto"/>
          <w:kern w:val="0"/>
          <w:sz w:val="36"/>
          <w:szCs w:val="36"/>
          <w:highlight w:val="none"/>
          <w:shd w:val="clear" w:color="auto" w:fill="FFFFFF"/>
          <w:lang w:val="en-US" w:eastAsia="zh-CN"/>
        </w:rPr>
        <w:t>铜川市</w:t>
      </w:r>
      <w:r>
        <w:rPr>
          <w:rFonts w:hint="eastAsia" w:ascii="宋体" w:hAnsi="宋体" w:cs="宋体"/>
          <w:b/>
          <w:bCs/>
          <w:color w:val="auto"/>
          <w:kern w:val="0"/>
          <w:sz w:val="36"/>
          <w:szCs w:val="36"/>
          <w:highlight w:val="none"/>
          <w:shd w:val="clear" w:color="auto" w:fill="FFFFFF"/>
          <w:lang w:val="en-US" w:eastAsia="zh-CN"/>
        </w:rPr>
        <w:t>新区</w:t>
      </w:r>
      <w:r>
        <w:rPr>
          <w:rFonts w:hint="eastAsia" w:ascii="宋体" w:hAnsi="宋体" w:eastAsia="宋体" w:cs="宋体"/>
          <w:b/>
          <w:bCs/>
          <w:color w:val="auto"/>
          <w:kern w:val="0"/>
          <w:sz w:val="36"/>
          <w:szCs w:val="36"/>
          <w:highlight w:val="none"/>
          <w:shd w:val="clear" w:color="auto" w:fill="FFFFFF"/>
          <w:lang w:val="en-US" w:eastAsia="zh-CN"/>
        </w:rPr>
        <w:t>2020年度</w:t>
      </w:r>
      <w:r>
        <w:rPr>
          <w:rFonts w:hint="eastAsia" w:ascii="宋体" w:hAnsi="宋体" w:cs="宋体"/>
          <w:b/>
          <w:bCs/>
          <w:color w:val="auto"/>
          <w:kern w:val="0"/>
          <w:sz w:val="36"/>
          <w:szCs w:val="36"/>
          <w:highlight w:val="none"/>
          <w:shd w:val="clear" w:color="auto" w:fill="FFFFFF"/>
          <w:lang w:val="en-US" w:eastAsia="zh-CN"/>
        </w:rPr>
        <w:t>招商引资重点财政支出</w:t>
      </w:r>
      <w:r>
        <w:rPr>
          <w:rFonts w:hint="eastAsia" w:ascii="宋体" w:hAnsi="宋体" w:eastAsia="宋体" w:cs="宋体"/>
          <w:b/>
          <w:bCs/>
          <w:color w:val="auto"/>
          <w:kern w:val="0"/>
          <w:sz w:val="36"/>
          <w:szCs w:val="36"/>
          <w:highlight w:val="none"/>
          <w:shd w:val="clear" w:color="auto" w:fill="FFFFFF"/>
          <w:lang w:val="en-US" w:eastAsia="zh-CN"/>
        </w:rPr>
        <w:t>项目绩效评价指标体系打分表</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260"/>
        <w:gridCol w:w="2190"/>
        <w:gridCol w:w="2100"/>
        <w:gridCol w:w="2100"/>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1260" w:type="dxa"/>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一级指标</w:t>
            </w:r>
          </w:p>
        </w:tc>
        <w:tc>
          <w:tcPr>
            <w:tcW w:w="2190" w:type="dxa"/>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二级指标</w:t>
            </w:r>
          </w:p>
        </w:tc>
        <w:tc>
          <w:tcPr>
            <w:tcW w:w="2100" w:type="dxa"/>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三级指标</w:t>
            </w:r>
          </w:p>
        </w:tc>
        <w:tc>
          <w:tcPr>
            <w:tcW w:w="2100" w:type="dxa"/>
            <w:shd w:val="clear" w:color="auto" w:fill="auto"/>
            <w:noWrap/>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分值</w:t>
            </w:r>
          </w:p>
        </w:tc>
        <w:tc>
          <w:tcPr>
            <w:tcW w:w="1950" w:type="dxa"/>
            <w:shd w:val="clear" w:color="auto" w:fill="auto"/>
            <w:noWrap/>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restart"/>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决策</w:t>
            </w:r>
          </w:p>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（20）</w:t>
            </w:r>
          </w:p>
        </w:tc>
        <w:tc>
          <w:tcPr>
            <w:tcW w:w="2190" w:type="dxa"/>
            <w:vMerge w:val="restart"/>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项目立项</w:t>
            </w:r>
          </w:p>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（8）</w:t>
            </w:r>
          </w:p>
        </w:tc>
        <w:tc>
          <w:tcPr>
            <w:tcW w:w="2100" w:type="dxa"/>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立项依据充分性（5）</w:t>
            </w:r>
          </w:p>
        </w:tc>
        <w:tc>
          <w:tcPr>
            <w:tcW w:w="0" w:type="auto"/>
            <w:shd w:val="clear" w:color="auto" w:fill="auto"/>
            <w:noWrap/>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5</w:t>
            </w:r>
          </w:p>
        </w:tc>
        <w:tc>
          <w:tcPr>
            <w:tcW w:w="0" w:type="auto"/>
            <w:shd w:val="clear" w:color="auto" w:fill="auto"/>
            <w:noWrap/>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立项程序规范性（3）</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3</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绩效目标</w:t>
            </w:r>
          </w:p>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绩效目标合理性（3）</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3</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绩效指标明确性（3）</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3</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资金投入</w:t>
            </w:r>
          </w:p>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预算编制科学性（4）</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4</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资金到位率</w:t>
            </w:r>
          </w:p>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restart"/>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过程</w:t>
            </w:r>
          </w:p>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（20）</w:t>
            </w:r>
          </w:p>
        </w:tc>
        <w:tc>
          <w:tcPr>
            <w:tcW w:w="2190" w:type="dxa"/>
            <w:vMerge w:val="restart"/>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资金管理</w:t>
            </w:r>
          </w:p>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（9）</w:t>
            </w:r>
          </w:p>
        </w:tc>
        <w:tc>
          <w:tcPr>
            <w:tcW w:w="2100" w:type="dxa"/>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管理制度健全性（3）</w:t>
            </w:r>
          </w:p>
        </w:tc>
        <w:tc>
          <w:tcPr>
            <w:tcW w:w="0" w:type="auto"/>
            <w:shd w:val="clear" w:color="auto" w:fill="auto"/>
            <w:noWrap/>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3</w:t>
            </w:r>
          </w:p>
        </w:tc>
        <w:tc>
          <w:tcPr>
            <w:tcW w:w="0" w:type="auto"/>
            <w:shd w:val="clear" w:color="auto" w:fill="auto"/>
            <w:noWrap/>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资金使用规范性（4）</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4</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预算执行率</w:t>
            </w:r>
          </w:p>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项目管理</w:t>
            </w:r>
          </w:p>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（11）</w:t>
            </w: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管理制度健全性（3）</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3</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组织实施的完备性（2）</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制度执行有效性（2）</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绩效自评</w:t>
            </w:r>
          </w:p>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（4）</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4</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5" w:hRule="atLeast"/>
        </w:trPr>
        <w:tc>
          <w:tcPr>
            <w:tcW w:w="1260" w:type="dxa"/>
            <w:vMerge w:val="restart"/>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产出（27）</w:t>
            </w:r>
          </w:p>
        </w:tc>
        <w:tc>
          <w:tcPr>
            <w:tcW w:w="2190" w:type="dxa"/>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产出数量</w:t>
            </w:r>
          </w:p>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c>
          <w:tcPr>
            <w:tcW w:w="2100" w:type="dxa"/>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举办、参加会议活动数量完成率（6）</w:t>
            </w:r>
          </w:p>
        </w:tc>
        <w:tc>
          <w:tcPr>
            <w:tcW w:w="0" w:type="auto"/>
            <w:shd w:val="clear" w:color="auto" w:fill="auto"/>
            <w:noWrap/>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c>
          <w:tcPr>
            <w:tcW w:w="0" w:type="auto"/>
            <w:shd w:val="clear" w:color="auto" w:fill="auto"/>
            <w:noWrap/>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产出质量</w:t>
            </w:r>
          </w:p>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重大项目签约率（3）</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3</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涉及资金增长率（3）</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3</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产出时效</w:t>
            </w:r>
          </w:p>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重点工作及时完成率（3）</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3</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项目开工率</w:t>
            </w:r>
          </w:p>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产出成本</w:t>
            </w:r>
          </w:p>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招商引资专项资金成本控制率（6）</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restart"/>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效果</w:t>
            </w:r>
          </w:p>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（33）</w:t>
            </w:r>
          </w:p>
        </w:tc>
        <w:tc>
          <w:tcPr>
            <w:tcW w:w="2190" w:type="dxa"/>
            <w:vMerge w:val="restart"/>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经济效益</w:t>
            </w:r>
          </w:p>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（15）</w:t>
            </w:r>
          </w:p>
        </w:tc>
        <w:tc>
          <w:tcPr>
            <w:tcW w:w="2100" w:type="dxa"/>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涉及资金完成率（5）</w:t>
            </w:r>
          </w:p>
        </w:tc>
        <w:tc>
          <w:tcPr>
            <w:tcW w:w="0" w:type="auto"/>
            <w:shd w:val="clear" w:color="auto" w:fill="auto"/>
            <w:noWrap/>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5</w:t>
            </w:r>
          </w:p>
        </w:tc>
        <w:tc>
          <w:tcPr>
            <w:tcW w:w="0" w:type="auto"/>
            <w:shd w:val="clear" w:color="auto" w:fill="auto"/>
            <w:noWrap/>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利用市外资金完成率（5）</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5</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利用省外资金完成率（5）</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5</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环境效益</w:t>
            </w:r>
          </w:p>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产业发展优惠政策情况（6）</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可持续影响</w:t>
            </w:r>
          </w:p>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c>
          <w:tcPr>
            <w:tcW w:w="210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固定资产投资项目占比（6）</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服务对象满意度（6）</w:t>
            </w:r>
          </w:p>
        </w:tc>
        <w:tc>
          <w:tcPr>
            <w:tcW w:w="2100" w:type="dxa"/>
            <w:vMerge w:val="restart"/>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0" w:type="auto"/>
            <w:vMerge w:val="restart"/>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c>
          <w:tcPr>
            <w:tcW w:w="0" w:type="auto"/>
            <w:vMerge w:val="restart"/>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6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9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2100" w:type="dxa"/>
            <w:vMerge w:val="continue"/>
            <w:shd w:val="clear" w:color="auto" w:fill="auto"/>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0" w:type="auto"/>
            <w:vMerge w:val="continue"/>
            <w:shd w:val="clear" w:color="auto" w:fill="auto"/>
            <w:noWrap/>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c>
          <w:tcPr>
            <w:tcW w:w="0" w:type="auto"/>
            <w:vMerge w:val="continue"/>
            <w:shd w:val="clear" w:color="auto" w:fill="auto"/>
            <w:noWrap/>
            <w:vAlign w:val="center"/>
          </w:tcPr>
          <w:p>
            <w:pPr>
              <w:jc w:val="center"/>
              <w:rPr>
                <w:rFonts w:hint="eastAsia" w:ascii="仿宋" w:hAnsi="仿宋" w:eastAsia="仿宋" w:cs="仿宋"/>
                <w:color w:val="auto"/>
                <w:kern w:val="0"/>
                <w:sz w:val="24"/>
                <w:szCs w:val="24"/>
                <w:highlight w:val="none"/>
                <w:shd w:val="clear" w:color="auto" w:fill="FFFFFF"/>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60" w:type="dxa"/>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合计分值</w:t>
            </w:r>
          </w:p>
        </w:tc>
        <w:tc>
          <w:tcPr>
            <w:tcW w:w="2190" w:type="dxa"/>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p>
        </w:tc>
        <w:tc>
          <w:tcPr>
            <w:tcW w:w="2100" w:type="dxa"/>
            <w:shd w:val="clear" w:color="auto" w:fill="auto"/>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p>
        </w:tc>
        <w:tc>
          <w:tcPr>
            <w:tcW w:w="0" w:type="auto"/>
            <w:shd w:val="clear" w:color="auto" w:fill="auto"/>
            <w:noWrap/>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100</w:t>
            </w:r>
          </w:p>
        </w:tc>
        <w:tc>
          <w:tcPr>
            <w:tcW w:w="0" w:type="auto"/>
            <w:shd w:val="clear" w:color="auto" w:fill="auto"/>
            <w:noWrap/>
            <w:vAlign w:val="center"/>
          </w:tcPr>
          <w:p>
            <w:pPr>
              <w:numPr>
                <w:ilvl w:val="0"/>
                <w:numId w:val="0"/>
              </w:numPr>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85.65</w:t>
            </w:r>
          </w:p>
        </w:tc>
      </w:tr>
    </w:tbl>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r>
        <w:rPr>
          <w:rFonts w:hint="eastAsia" w:ascii="黑体" w:hAnsi="黑体" w:eastAsia="黑体" w:cs="黑体"/>
          <w:b/>
          <w:bCs/>
          <w:color w:val="auto"/>
          <w:kern w:val="0"/>
          <w:sz w:val="32"/>
          <w:szCs w:val="32"/>
          <w:highlight w:val="none"/>
          <w:shd w:val="clear" w:color="auto" w:fill="FFFFFF"/>
          <w:lang w:val="en-US" w:eastAsia="zh-CN"/>
        </w:rPr>
        <w:t>附件2：</w:t>
      </w:r>
    </w:p>
    <w:p>
      <w:pPr>
        <w:pStyle w:val="2"/>
        <w:rPr>
          <w:rFonts w:hint="eastAsia"/>
          <w:lang w:val="en-US" w:eastAsia="zh-CN"/>
        </w:rPr>
      </w:pPr>
    </w:p>
    <w:p>
      <w:pPr>
        <w:numPr>
          <w:ilvl w:val="0"/>
          <w:numId w:val="0"/>
        </w:numPr>
        <w:jc w:val="center"/>
        <w:outlineLvl w:val="9"/>
        <w:rPr>
          <w:rFonts w:hint="eastAsia" w:ascii="宋体" w:hAnsi="宋体" w:eastAsia="宋体" w:cs="宋体"/>
          <w:b/>
          <w:bCs/>
          <w:color w:val="auto"/>
          <w:kern w:val="0"/>
          <w:sz w:val="36"/>
          <w:szCs w:val="36"/>
          <w:highlight w:val="none"/>
          <w:shd w:val="clear" w:color="auto" w:fill="FFFFFF"/>
          <w:lang w:val="en-US" w:eastAsia="zh-CN"/>
        </w:rPr>
      </w:pPr>
      <w:r>
        <w:rPr>
          <w:rFonts w:hint="eastAsia" w:ascii="宋体" w:hAnsi="宋体" w:eastAsia="宋体" w:cs="宋体"/>
          <w:b/>
          <w:bCs/>
          <w:color w:val="auto"/>
          <w:kern w:val="0"/>
          <w:sz w:val="36"/>
          <w:szCs w:val="36"/>
          <w:highlight w:val="none"/>
          <w:shd w:val="clear" w:color="auto" w:fill="FFFFFF"/>
          <w:lang w:val="en-US" w:eastAsia="zh-CN"/>
        </w:rPr>
        <w:t>铜川市</w:t>
      </w:r>
      <w:r>
        <w:rPr>
          <w:rFonts w:hint="eastAsia" w:ascii="宋体" w:hAnsi="宋体" w:cs="宋体"/>
          <w:b/>
          <w:bCs/>
          <w:color w:val="auto"/>
          <w:kern w:val="0"/>
          <w:sz w:val="36"/>
          <w:szCs w:val="36"/>
          <w:highlight w:val="none"/>
          <w:shd w:val="clear" w:color="auto" w:fill="FFFFFF"/>
          <w:lang w:val="en-US" w:eastAsia="zh-CN"/>
        </w:rPr>
        <w:t>新区财政局</w:t>
      </w:r>
      <w:r>
        <w:rPr>
          <w:rFonts w:hint="eastAsia" w:ascii="宋体" w:hAnsi="宋体" w:eastAsia="宋体" w:cs="宋体"/>
          <w:b/>
          <w:bCs/>
          <w:color w:val="auto"/>
          <w:kern w:val="0"/>
          <w:sz w:val="36"/>
          <w:szCs w:val="36"/>
          <w:highlight w:val="none"/>
          <w:shd w:val="clear" w:color="auto" w:fill="FFFFFF"/>
          <w:lang w:val="en-US" w:eastAsia="zh-CN"/>
        </w:rPr>
        <w:t>2020年度</w:t>
      </w:r>
      <w:r>
        <w:rPr>
          <w:rFonts w:hint="eastAsia" w:ascii="宋体" w:hAnsi="宋体" w:cs="宋体"/>
          <w:b/>
          <w:bCs/>
          <w:color w:val="auto"/>
          <w:kern w:val="0"/>
          <w:sz w:val="36"/>
          <w:szCs w:val="36"/>
          <w:highlight w:val="none"/>
          <w:shd w:val="clear" w:color="auto" w:fill="FFFFFF"/>
          <w:lang w:val="en-US" w:eastAsia="zh-CN"/>
        </w:rPr>
        <w:t>招商引资重点财政支出</w:t>
      </w:r>
      <w:r>
        <w:rPr>
          <w:rFonts w:hint="eastAsia" w:ascii="宋体" w:hAnsi="宋体" w:eastAsia="宋体" w:cs="宋体"/>
          <w:b/>
          <w:bCs/>
          <w:color w:val="auto"/>
          <w:kern w:val="0"/>
          <w:sz w:val="36"/>
          <w:szCs w:val="36"/>
          <w:highlight w:val="none"/>
          <w:shd w:val="clear" w:color="auto" w:fill="FFFFFF"/>
          <w:lang w:val="en-US" w:eastAsia="zh-CN"/>
        </w:rPr>
        <w:t>项目问题清单</w:t>
      </w:r>
    </w:p>
    <w:tbl>
      <w:tblPr>
        <w:tblStyle w:val="7"/>
        <w:tblW w:w="5146" w:type="pct"/>
        <w:tblInd w:w="-257" w:type="dxa"/>
        <w:tblLayout w:type="autofit"/>
        <w:tblCellMar>
          <w:top w:w="0" w:type="dxa"/>
          <w:left w:w="108" w:type="dxa"/>
          <w:bottom w:w="0" w:type="dxa"/>
          <w:right w:w="108" w:type="dxa"/>
        </w:tblCellMar>
      </w:tblPr>
      <w:tblGrid>
        <w:gridCol w:w="2787"/>
        <w:gridCol w:w="808"/>
        <w:gridCol w:w="5731"/>
      </w:tblGrid>
      <w:tr>
        <w:tblPrEx>
          <w:tblCellMar>
            <w:top w:w="0" w:type="dxa"/>
            <w:left w:w="108" w:type="dxa"/>
            <w:bottom w:w="0" w:type="dxa"/>
            <w:right w:w="108" w:type="dxa"/>
          </w:tblCellMar>
        </w:tblPrEx>
        <w:trPr>
          <w:trHeight w:val="520" w:hRule="atLeast"/>
        </w:trPr>
        <w:tc>
          <w:tcPr>
            <w:tcW w:w="1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问题分类</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30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问题描述</w:t>
            </w:r>
          </w:p>
        </w:tc>
      </w:tr>
      <w:tr>
        <w:tblPrEx>
          <w:tblCellMar>
            <w:top w:w="0" w:type="dxa"/>
            <w:left w:w="108" w:type="dxa"/>
            <w:bottom w:w="0" w:type="dxa"/>
            <w:right w:w="108" w:type="dxa"/>
          </w:tblCellMar>
        </w:tblPrEx>
        <w:trPr>
          <w:trHeight w:val="570" w:hRule="atLeast"/>
        </w:trPr>
        <w:tc>
          <w:tcPr>
            <w:tcW w:w="1494"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项目过程存在的问题</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0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资金管理不够规范，缺乏制度支撑。</w:t>
            </w:r>
          </w:p>
        </w:tc>
      </w:tr>
      <w:tr>
        <w:tblPrEx>
          <w:tblCellMar>
            <w:top w:w="0" w:type="dxa"/>
            <w:left w:w="108" w:type="dxa"/>
            <w:bottom w:w="0" w:type="dxa"/>
            <w:right w:w="108" w:type="dxa"/>
          </w:tblCellMar>
        </w:tblPrEx>
        <w:trPr>
          <w:trHeight w:val="570" w:hRule="atLeast"/>
        </w:trPr>
        <w:tc>
          <w:tcPr>
            <w:tcW w:w="1494" w:type="pct"/>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0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项目管理不够科学，职责划分不够清晰。</w:t>
            </w:r>
          </w:p>
        </w:tc>
      </w:tr>
      <w:tr>
        <w:tblPrEx>
          <w:tblCellMar>
            <w:top w:w="0" w:type="dxa"/>
            <w:left w:w="108" w:type="dxa"/>
            <w:bottom w:w="0" w:type="dxa"/>
            <w:right w:w="108" w:type="dxa"/>
          </w:tblCellMar>
        </w:tblPrEx>
        <w:trPr>
          <w:trHeight w:val="570" w:hRule="atLeast"/>
        </w:trPr>
        <w:tc>
          <w:tcPr>
            <w:tcW w:w="1494" w:type="pct"/>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c>
          <w:tcPr>
            <w:tcW w:w="30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绩效自评报告质量有待改善。</w:t>
            </w:r>
          </w:p>
        </w:tc>
      </w:tr>
      <w:tr>
        <w:tblPrEx>
          <w:tblCellMar>
            <w:top w:w="0" w:type="dxa"/>
            <w:left w:w="108" w:type="dxa"/>
            <w:bottom w:w="0" w:type="dxa"/>
            <w:right w:w="108" w:type="dxa"/>
          </w:tblCellMar>
        </w:tblPrEx>
        <w:trPr>
          <w:trHeight w:val="570" w:hRule="atLeast"/>
        </w:trPr>
        <w:tc>
          <w:tcPr>
            <w:tcW w:w="1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项目产出存在的问题</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30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签约项目质量有待提高。</w:t>
            </w:r>
          </w:p>
        </w:tc>
      </w:tr>
    </w:tbl>
    <w:p>
      <w:pPr>
        <w:rPr>
          <w:rFonts w:hint="eastAsia" w:ascii="楷体_GB2312" w:hAnsi="宋体" w:eastAsia="楷体_GB2312" w:cs="仿宋"/>
          <w:color w:val="auto"/>
          <w:szCs w:val="27"/>
          <w:highlight w:val="none"/>
          <w:lang w:val="en-US" w:eastAsia="zh-CN"/>
        </w:rPr>
        <w:sectPr>
          <w:footerReference r:id="rId7" w:type="default"/>
          <w:pgSz w:w="11906" w:h="16838"/>
          <w:pgMar w:top="2098" w:right="1474" w:bottom="1984" w:left="1587" w:header="851" w:footer="992" w:gutter="0"/>
          <w:pgNumType w:fmt="decimal"/>
          <w:cols w:space="425" w:num="1"/>
          <w:docGrid w:type="lines" w:linePitch="312" w:charSpace="0"/>
        </w:sect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r>
        <w:rPr>
          <w:rFonts w:hint="eastAsia" w:ascii="黑体" w:hAnsi="黑体" w:eastAsia="黑体" w:cs="黑体"/>
          <w:b/>
          <w:bCs/>
          <w:color w:val="auto"/>
          <w:kern w:val="0"/>
          <w:sz w:val="32"/>
          <w:szCs w:val="32"/>
          <w:highlight w:val="none"/>
          <w:shd w:val="clear" w:color="auto" w:fill="FFFFFF"/>
          <w:lang w:val="en-US" w:eastAsia="zh-CN"/>
        </w:rPr>
        <w:t>附件3：</w:t>
      </w:r>
    </w:p>
    <w:p>
      <w:pPr>
        <w:numPr>
          <w:ilvl w:val="0"/>
          <w:numId w:val="0"/>
        </w:numPr>
        <w:jc w:val="both"/>
        <w:outlineLvl w:val="0"/>
        <w:rPr>
          <w:rFonts w:hint="eastAsia" w:ascii="黑体" w:hAnsi="黑体" w:eastAsia="黑体" w:cs="黑体"/>
          <w:b w:val="0"/>
          <w:bCs w:val="0"/>
          <w:color w:val="auto"/>
          <w:kern w:val="0"/>
          <w:sz w:val="32"/>
          <w:szCs w:val="32"/>
          <w:highlight w:val="none"/>
          <w:shd w:val="clear" w:color="auto" w:fill="FFFFFF"/>
          <w:lang w:val="en-US" w:eastAsia="zh-CN"/>
        </w:rPr>
      </w:pPr>
    </w:p>
    <w:p>
      <w:pPr>
        <w:numPr>
          <w:ilvl w:val="0"/>
          <w:numId w:val="0"/>
        </w:numPr>
        <w:jc w:val="center"/>
        <w:outlineLvl w:val="9"/>
        <w:rPr>
          <w:rFonts w:hint="default" w:ascii="宋体" w:hAnsi="宋体" w:eastAsia="宋体" w:cs="宋体"/>
          <w:b/>
          <w:bCs/>
          <w:color w:val="auto"/>
          <w:kern w:val="0"/>
          <w:sz w:val="36"/>
          <w:szCs w:val="36"/>
          <w:highlight w:val="none"/>
          <w:shd w:val="clear" w:color="auto" w:fill="FFFFFF"/>
          <w:lang w:val="en-US" w:eastAsia="zh-CN"/>
        </w:rPr>
      </w:pPr>
      <w:r>
        <w:rPr>
          <w:rFonts w:hint="eastAsia" w:ascii="宋体" w:hAnsi="宋体" w:eastAsia="宋体" w:cs="宋体"/>
          <w:b/>
          <w:bCs/>
          <w:color w:val="auto"/>
          <w:kern w:val="0"/>
          <w:sz w:val="36"/>
          <w:szCs w:val="36"/>
          <w:highlight w:val="none"/>
          <w:shd w:val="clear" w:color="auto" w:fill="FFFFFF"/>
          <w:lang w:val="en-US" w:eastAsia="zh-CN"/>
        </w:rPr>
        <w:t>铜川市</w:t>
      </w:r>
      <w:r>
        <w:rPr>
          <w:rFonts w:hint="eastAsia" w:ascii="宋体" w:hAnsi="宋体" w:cs="宋体"/>
          <w:b/>
          <w:bCs/>
          <w:color w:val="auto"/>
          <w:kern w:val="0"/>
          <w:sz w:val="36"/>
          <w:szCs w:val="36"/>
          <w:highlight w:val="none"/>
          <w:shd w:val="clear" w:color="auto" w:fill="FFFFFF"/>
          <w:lang w:val="en-US" w:eastAsia="zh-CN"/>
        </w:rPr>
        <w:t>新区财政局</w:t>
      </w:r>
      <w:r>
        <w:rPr>
          <w:rFonts w:hint="eastAsia" w:ascii="宋体" w:hAnsi="宋体" w:eastAsia="宋体" w:cs="宋体"/>
          <w:b/>
          <w:bCs/>
          <w:color w:val="auto"/>
          <w:kern w:val="0"/>
          <w:sz w:val="36"/>
          <w:szCs w:val="36"/>
          <w:highlight w:val="none"/>
          <w:shd w:val="clear" w:color="auto" w:fill="FFFFFF"/>
          <w:lang w:val="en-US" w:eastAsia="zh-CN"/>
        </w:rPr>
        <w:t>2020年度</w:t>
      </w:r>
      <w:r>
        <w:rPr>
          <w:rFonts w:hint="eastAsia" w:ascii="宋体" w:hAnsi="宋体" w:cs="宋体"/>
          <w:b/>
          <w:bCs/>
          <w:color w:val="auto"/>
          <w:kern w:val="0"/>
          <w:sz w:val="36"/>
          <w:szCs w:val="36"/>
          <w:highlight w:val="none"/>
          <w:shd w:val="clear" w:color="auto" w:fill="FFFFFF"/>
          <w:lang w:val="en-US" w:eastAsia="zh-CN"/>
        </w:rPr>
        <w:t>招商引资重点财政支出</w:t>
      </w:r>
      <w:r>
        <w:rPr>
          <w:rFonts w:hint="eastAsia" w:ascii="宋体" w:hAnsi="宋体" w:eastAsia="宋体" w:cs="宋体"/>
          <w:b/>
          <w:bCs/>
          <w:color w:val="auto"/>
          <w:kern w:val="0"/>
          <w:sz w:val="36"/>
          <w:szCs w:val="36"/>
          <w:highlight w:val="none"/>
          <w:shd w:val="clear" w:color="auto" w:fill="FFFFFF"/>
          <w:lang w:val="en-US" w:eastAsia="zh-CN"/>
        </w:rPr>
        <w:t>项目绩效评价指标体系</w:t>
      </w:r>
    </w:p>
    <w:tbl>
      <w:tblPr>
        <w:tblStyle w:val="7"/>
        <w:tblpPr w:leftFromText="180" w:rightFromText="180" w:vertAnchor="text" w:horzAnchor="page" w:tblpX="1523" w:tblpY="967"/>
        <w:tblOverlap w:val="never"/>
        <w:tblW w:w="14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260"/>
        <w:gridCol w:w="1860"/>
        <w:gridCol w:w="1965"/>
        <w:gridCol w:w="3225"/>
        <w:gridCol w:w="4875"/>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12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8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322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指标解释</w:t>
            </w:r>
          </w:p>
        </w:tc>
        <w:tc>
          <w:tcPr>
            <w:tcW w:w="487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评分标准</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trPr>
        <w:tc>
          <w:tcPr>
            <w:tcW w:w="12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决策</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8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项目立项</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立项依据充分性（5）</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项目立项是否符合法律法规、相关政策、发展规划以及部门职责，用以反映和考核项目立项依据情况</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1.是否符合法律法规（1）                  2.是否符合国家法律法规、经济社会发展规划和相关政策（1）                                3.是否符合中央、地方财政事权支出划分责任（1）                                       4.是否符合部门年度工作计划（1）                              5.是否针对某一具体问题和需求（1）</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0"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立项程序规范性（3）</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项目申请、设立过程是否符合相关要求，用以反映和考核项目立项的规范情况。</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1.项目是否按照规定的程序申请设立（1）</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2.审批文件、材料是否符合相关要求（1）              3.是否经过必要的集体决策和文件批复（1）</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绩效目标</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绩效目标合理性（3）</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所设定的绩效目标是否依据充分，是否符合客观实际，绩效目标是否明确，是否量化、细化，用以反映和考核项目绩效目标与项目实施的相符情况</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1.项目绩效目标设定是否完整（1）                          2.项目绩效目标设定是否明确（1）                               3.是否与预算资金规模相匹配（1）</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绩效指标明确性（3）</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依据绩效目标设定的绩效指标是否清晰、细化、可衡量等，用以反映和考核项目绩效目标的明细化情况</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1.是否将项目绩效目标细化分解为具体的绩效指标（1）</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2.是否通过清晰、可衡量的指标值予以体现（1）</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3.是否与项目目标任务数或计划数相对应（1）</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资金投入</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预算编制科学性（4）</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项目预算编制是否经过科学论证、有明确标准，资金额度与年度目标是否相适应，用以反映和考核项目预算编制的科学性、合理性情况。</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1.预算编制是否符合相关行业标准和政策（1）</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2.预算内容与项目内容是否匹配（1）</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3.预算额度测算依据是否充分，是否按照标准编制（1）</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4.预算确定的项目投资额或资金量是否与工作任务相匹配（1）</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资金到位率</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实际到位资金与预算资金的比率，用以反映和考核资金落实情况对项目实施的总体保障程度</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资金到位率=（实际到位资金/预算资金）*100%。                                   实际到位资金：一定时期内落实到具体项目的资金。                                       预算资金：一定时期内预算安排到具体项目的资金。                                      分值=资金到位率*2</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80" w:hRule="atLeast"/>
        </w:trPr>
        <w:tc>
          <w:tcPr>
            <w:tcW w:w="12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过程（20）</w:t>
            </w:r>
          </w:p>
        </w:tc>
        <w:tc>
          <w:tcPr>
            <w:tcW w:w="18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资金管理（9）</w:t>
            </w: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管理制度健全性（3）</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项目实施单位的财务和专项资金管理制度是否健全，用以反映和考核财务管理制度对项目顺利实施的保障情况</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1.单位是否有具有健全的资金管理制度（0.5）                                2.单位是否具有健全的预算管理制度（0.5）                               3.单位是否具有健全的资金拨付审批制度（0.5）                                4.单位是否具有成本核算制度（0.5）                   5.单位是否具有财务监督审计制度（0.5）                                     6.单位是否具有专项资金管理办法（0.5）</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80"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资金使用规范性（4）</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专项资金使用是否符合相应的制度规定和程序规范，用以反映和考核管理制度的有效执行情况</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1.是否遵守相关法律法规和相关管理制度规定（1）</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2.项目实施程序和相关手续是否合规、完备（1）</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3.预算执行中是否有监控，监控结果是否有效应用（1）</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4.相关资金的拨付是否有完整的审批手续和资料（1）</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预算执行率（2）</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项目预算资金是否按照计划执行，用以反映或考核项目预算执行情况。</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预算执行率=（实际支出资金/实际到位资金）×100%。</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实际支出资金：一定时期（本年度或项目期）内项目实际拨付的资金                             分值=预算执行率*2</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项目管理（11）</w:t>
            </w: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管理制度健全性（3）</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项目实施单位的业务管理制度是否健全，用以反映和考核业务管理制度对项目顺利实施的保障情况</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1.是否具有部门职能和岗位职责相关业务管理制度（1）                                        2.是否具有招商引资项目相关管理制度文件（1）                                           3.是否具有资料归档等相关管理制度（1）</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组织实施的完备性（2）</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项目实施的相关机构、人员是否完备，用以反映和考核项目实施过程中的组织保障情况。</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1.机构是否健全？职能是否清晰？（0.5）                                 2.人员是否完备？资料搜集、信息整理、资料核对、财务测算、资金申报等相关人员是否完备（0.5）                                      3.职责是否清晰（0.5）                                   4.是否有具体的项目实施计划和进度安排（0.5）</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80"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制度执行有效性（2）</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项目实施是否符合相关的业务制度规定，用以反映和考核业务管理制度的有效执行情况。</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1.是否遵守相关法律法规和业务管理规定（0.5）</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2.项目实施程序和相关手续是否合规、完备（0.5）</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3.项目实施中是否进行合理的工作分配（0.5）                                 4.项目相关工作是否按照工作计划和时间进度完成（0.5）</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绩效自评（4）</w:t>
            </w:r>
          </w:p>
        </w:tc>
        <w:tc>
          <w:tcPr>
            <w:tcW w:w="322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绩效自评报告完成情况</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1.绩效自评报告客观完整，问题分析全面，建议具有可操作性（4）                         2.绩效评价报告完整（2）                3.有绩效评价报告，但结构不完整（1）                            4.无绩效自评报告（0）</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trPr>
        <w:tc>
          <w:tcPr>
            <w:tcW w:w="12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产出（27）</w:t>
            </w:r>
          </w:p>
        </w:tc>
        <w:tc>
          <w:tcPr>
            <w:tcW w:w="18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产出数量（6）</w:t>
            </w: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举办、参加会议活动数量完成率（6）</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实际举办、参加会议活动的数量与计划举办、参加会议活动的数量的比率，用以反映和考核项目产出数量目标的实现程度</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完成率=实际举办、参加会议活动的数量/计划举办、参加会议活动的数量*100%                               分值=完成率*6</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0"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产出质量（6）</w:t>
            </w: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重大项目签约率（3）</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涉及资金在5000万以上的签约项目与总签约项目的比率，用以反映和考核项目产出质量目标的实现程度</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重大项目签约率=涉及资金在5000万以上的签约项目数量/签约总项目数量*100%                                  分值=重大项目签约率*3</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5"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涉及资金增长率（3）</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招商引资涉及资金较去年增长的比率，用以反映和考核项目产出质量目标的实现程度</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大于15%得3分，大于10%小于15%得2分，大于5%小于10%得1分，小于5%不得分</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产出时效（6）</w:t>
            </w: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重点工作及时完成率（3）</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按时举办的各项会议、活动数量与计划举办的各项会议、活动数量的比率，用以反映和考核项目产出时效目标的实现程度</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及时完成率=按时举办的各项会议、活动数量/计划举办的各项会议、活动数量*100%                                 分值=及时完成率*3</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项目开工率（6）</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已开工项目占总签约项目的比率，用以反映和考核项目产出时效目标的实现程度</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项目开工率=已开工项目数量/签约项目总数量*100%                                  分值=项目开工率*6</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0"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产出成本（6）</w:t>
            </w: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招商引资专项资金成本控制率（6）</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完成项目计划工作目标的实际成本与计划成本的比率，用以反映和考核项目的成本控制程度</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成本节约率=[（计划成本-实际成本）/计划成本]×100%。</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实际成本：项目实施单位如期、保质、保量完成既定工作目标实际所耗费的支出。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计划成本：项目实施单位为完成工作目标计划安排的支出，一般以项目预算为参考                  成本节约率&gt;10%得满分，10%&gt;成本节约率&gt;5%得4分，5%&gt;成本节约率&gt;0得2分，小于0不得分</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0" w:hRule="atLeast"/>
        </w:trPr>
        <w:tc>
          <w:tcPr>
            <w:tcW w:w="12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效果（33）</w:t>
            </w:r>
          </w:p>
        </w:tc>
        <w:tc>
          <w:tcPr>
            <w:tcW w:w="18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经济效益（15）</w:t>
            </w: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涉及资金完成率（5）</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实际签约项目涉及资金与计划涉及资金的比率，用以反应招商引资经费使用所带来的经济效益</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完成率=实际签约项目涉及资金/计划签约项目涉及资金*100%                                  分值=及时完成率*5</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0"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利用市外资金完成率（5）</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实际利用市域外项目资金量与计划利用市域外项目资金量的比率，用以反映和考核项目产出数量目标的实现程度</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完成率=实际利用市域外项目资金量/计划计划利用市域外项目资金量*100%                               分值=完成率*5</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0"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利用省外资金完成率（5）</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实际利用省域外项目资金量与计划利用省域外项目资金量的比率，用以反映和考核项目产出数量目标的实现程度</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完成率=实际利用省域外项目资金量/计划计划利用省域外项目资金量*100%                               分值=完成率*5</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5"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环境效益（6）</w:t>
            </w: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产业发展优惠政策情况（6）</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根据铜川市新区产业发展优惠政策情况，用以反应铜川市新区招商引资的环境效益</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有完善的产业发展优惠政策得6分          有产业发展优惠政策但不完善得3分         没有得0分</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5"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可持续影响（6）</w:t>
            </w:r>
          </w:p>
        </w:tc>
        <w:tc>
          <w:tcPr>
            <w:tcW w:w="19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固定资产投资项目占比（6）</w:t>
            </w:r>
          </w:p>
        </w:tc>
        <w:tc>
          <w:tcPr>
            <w:tcW w:w="3225" w:type="dxa"/>
            <w:shd w:val="clear" w:color="auto" w:fill="auto"/>
            <w:vAlign w:val="center"/>
          </w:tcPr>
          <w:p>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固定资产投资项目与总签约项目的比率，用以反映招商引资经费所带来的可持续性影响</w:t>
            </w:r>
          </w:p>
        </w:tc>
        <w:tc>
          <w:tcPr>
            <w:tcW w:w="4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固定资产投资占比=固定资产投资项目/签约项目*100%                                分值=固定投资资产占比*6</w:t>
            </w: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服务对象满意度（6）</w:t>
            </w:r>
          </w:p>
        </w:tc>
        <w:tc>
          <w:tcPr>
            <w:tcW w:w="1965" w:type="dxa"/>
            <w:vMerge w:val="restart"/>
            <w:shd w:val="clear" w:color="auto" w:fill="auto"/>
            <w:vAlign w:val="center"/>
          </w:tcPr>
          <w:p>
            <w:pPr>
              <w:jc w:val="center"/>
              <w:rPr>
                <w:rFonts w:hint="eastAsia" w:ascii="宋体" w:hAnsi="宋体" w:eastAsia="宋体" w:cs="宋体"/>
                <w:i w:val="0"/>
                <w:iCs w:val="0"/>
                <w:color w:val="000000"/>
                <w:sz w:val="24"/>
                <w:szCs w:val="24"/>
                <w:u w:val="none"/>
              </w:rPr>
            </w:pPr>
          </w:p>
        </w:tc>
        <w:tc>
          <w:tcPr>
            <w:tcW w:w="3225" w:type="dxa"/>
            <w:vMerge w:val="restart"/>
            <w:shd w:val="clear" w:color="auto" w:fill="auto"/>
            <w:vAlign w:val="center"/>
          </w:tcPr>
          <w:p>
            <w:pPr>
              <w:jc w:val="center"/>
              <w:rPr>
                <w:rFonts w:hint="eastAsia" w:ascii="宋体" w:hAnsi="宋体" w:eastAsia="宋体" w:cs="宋体"/>
                <w:i w:val="0"/>
                <w:iCs w:val="0"/>
                <w:color w:val="000000"/>
                <w:sz w:val="24"/>
                <w:szCs w:val="24"/>
                <w:u w:val="none"/>
              </w:rPr>
            </w:pPr>
          </w:p>
        </w:tc>
        <w:tc>
          <w:tcPr>
            <w:tcW w:w="4875" w:type="dxa"/>
            <w:vMerge w:val="restart"/>
            <w:shd w:val="clear" w:color="auto" w:fill="auto"/>
            <w:vAlign w:val="center"/>
          </w:tcPr>
          <w:p>
            <w:pPr>
              <w:keepNext w:val="0"/>
              <w:keepLines w:val="0"/>
              <w:widowControl/>
              <w:numPr>
                <w:ilvl w:val="0"/>
                <w:numId w:val="4"/>
              </w:numPr>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满意（6）       2.一般满意（4）      </w:t>
            </w:r>
          </w:p>
          <w:p>
            <w:pPr>
              <w:keepNext w:val="0"/>
              <w:keepLines w:val="0"/>
              <w:widowControl/>
              <w:numPr>
                <w:ilvl w:val="0"/>
                <w:numId w:val="0"/>
              </w:numPr>
              <w:suppressLineNumbers w:val="0"/>
              <w:ind w:firstLine="480" w:firstLineChars="20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3.一般（2）       4.不满意（0）</w:t>
            </w:r>
          </w:p>
        </w:tc>
        <w:tc>
          <w:tcPr>
            <w:tcW w:w="1155" w:type="dxa"/>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12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8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965"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3225"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4875"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15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2" w:hRule="atLeast"/>
        </w:trPr>
        <w:tc>
          <w:tcPr>
            <w:tcW w:w="12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合计分值</w:t>
            </w:r>
          </w:p>
        </w:tc>
        <w:tc>
          <w:tcPr>
            <w:tcW w:w="1860" w:type="dxa"/>
            <w:shd w:val="clear" w:color="auto" w:fill="auto"/>
            <w:vAlign w:val="center"/>
          </w:tcPr>
          <w:p>
            <w:pPr>
              <w:jc w:val="center"/>
              <w:rPr>
                <w:rFonts w:hint="eastAsia" w:ascii="宋体" w:hAnsi="宋体" w:eastAsia="宋体" w:cs="宋体"/>
                <w:i w:val="0"/>
                <w:iCs w:val="0"/>
                <w:color w:val="000000"/>
                <w:sz w:val="24"/>
                <w:szCs w:val="24"/>
                <w:u w:val="none"/>
              </w:rPr>
            </w:pPr>
          </w:p>
        </w:tc>
        <w:tc>
          <w:tcPr>
            <w:tcW w:w="1965" w:type="dxa"/>
            <w:shd w:val="clear" w:color="auto" w:fill="auto"/>
            <w:vAlign w:val="center"/>
          </w:tcPr>
          <w:p>
            <w:pPr>
              <w:jc w:val="center"/>
              <w:rPr>
                <w:rFonts w:hint="eastAsia" w:ascii="宋体" w:hAnsi="宋体" w:eastAsia="宋体" w:cs="宋体"/>
                <w:i w:val="0"/>
                <w:iCs w:val="0"/>
                <w:color w:val="000000"/>
                <w:sz w:val="24"/>
                <w:szCs w:val="24"/>
                <w:u w:val="none"/>
              </w:rPr>
            </w:pPr>
          </w:p>
        </w:tc>
        <w:tc>
          <w:tcPr>
            <w:tcW w:w="3225" w:type="dxa"/>
            <w:shd w:val="clear" w:color="auto" w:fill="auto"/>
            <w:vAlign w:val="center"/>
          </w:tcPr>
          <w:p>
            <w:pPr>
              <w:rPr>
                <w:rFonts w:hint="eastAsia" w:ascii="宋体" w:hAnsi="宋体" w:eastAsia="宋体" w:cs="宋体"/>
                <w:i w:val="0"/>
                <w:iCs w:val="0"/>
                <w:color w:val="000000"/>
                <w:sz w:val="24"/>
                <w:szCs w:val="24"/>
                <w:u w:val="none"/>
              </w:rPr>
            </w:pPr>
          </w:p>
        </w:tc>
        <w:tc>
          <w:tcPr>
            <w:tcW w:w="4875" w:type="dxa"/>
            <w:shd w:val="clear" w:color="auto" w:fill="auto"/>
            <w:vAlign w:val="center"/>
          </w:tcPr>
          <w:p>
            <w:pPr>
              <w:rPr>
                <w:rFonts w:hint="eastAsia" w:ascii="宋体" w:hAnsi="宋体" w:eastAsia="宋体" w:cs="宋体"/>
                <w:i w:val="0"/>
                <w:iCs w:val="0"/>
                <w:color w:val="000000"/>
                <w:sz w:val="24"/>
                <w:szCs w:val="24"/>
                <w:u w:val="none"/>
              </w:rPr>
            </w:pPr>
          </w:p>
        </w:tc>
        <w:tc>
          <w:tcPr>
            <w:tcW w:w="11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bl>
    <w:p>
      <w:pPr>
        <w:pStyle w:val="2"/>
        <w:rPr>
          <w:rFonts w:hint="eastAsia"/>
          <w:lang w:val="en-US" w:eastAsia="zh-CN"/>
        </w:rPr>
      </w:pPr>
    </w:p>
    <w:sectPr>
      <w:pgSz w:w="16838" w:h="11906" w:orient="landscape"/>
      <w:pgMar w:top="1587" w:right="2098" w:bottom="1474" w:left="198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3"/>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3360" behindDoc="0" locked="0" layoutInCell="1" allowOverlap="1">
              <wp:simplePos x="0" y="0"/>
              <wp:positionH relativeFrom="margin">
                <wp:align>inside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ascii="宋体" w:hAnsi="宋体" w:eastAsia="宋体" w:cs="宋体"/>
                              <w:sz w:val="28"/>
                              <w:szCs w:val="28"/>
                              <w:lang w:eastAsia="zh-CN"/>
                            </w:rPr>
                          </w:pPr>
                          <w:r>
                            <w:rPr>
                              <w:rFonts w:hint="eastAsia" w:ascii="宋体" w:hAnsi="宋体" w:cs="宋体"/>
                              <w:sz w:val="28"/>
                              <w:szCs w:val="28"/>
                              <w:lang w:eastAsia="zh-CN"/>
                            </w:rPr>
                            <w:t xml:space="preserve">— </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- 1 -</w:t>
                          </w:r>
                          <w:r>
                            <w:rPr>
                              <w:rFonts w:hint="eastAsia" w:ascii="宋体" w:hAnsi="宋体" w:cs="宋体"/>
                              <w:sz w:val="28"/>
                              <w:szCs w:val="28"/>
                              <w:lang w:eastAsia="zh-CN"/>
                            </w:rPr>
                            <w:fldChar w:fldCharType="end"/>
                          </w:r>
                          <w:r>
                            <w:rPr>
                              <w:rFonts w:hint="eastAsia" w:ascii="宋体" w:hAnsi="宋体" w:cs="宋体"/>
                              <w:sz w:val="28"/>
                              <w:szCs w:val="28"/>
                              <w:lang w:eastAsia="zh-CN"/>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pPr>
                      <w:pStyle w:val="3"/>
                      <w:rPr>
                        <w:rFonts w:hint="eastAsia" w:ascii="宋体" w:hAnsi="宋体" w:eastAsia="宋体" w:cs="宋体"/>
                        <w:sz w:val="28"/>
                        <w:szCs w:val="28"/>
                        <w:lang w:eastAsia="zh-CN"/>
                      </w:rPr>
                    </w:pPr>
                    <w:r>
                      <w:rPr>
                        <w:rFonts w:hint="eastAsia" w:ascii="宋体" w:hAnsi="宋体" w:cs="宋体"/>
                        <w:sz w:val="28"/>
                        <w:szCs w:val="28"/>
                        <w:lang w:eastAsia="zh-CN"/>
                      </w:rPr>
                      <w:t xml:space="preserve">— </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- 1 -</w:t>
                    </w:r>
                    <w:r>
                      <w:rPr>
                        <w:rFonts w:hint="eastAsia" w:ascii="宋体" w:hAnsi="宋体" w:cs="宋体"/>
                        <w:sz w:val="28"/>
                        <w:szCs w:val="28"/>
                        <w:lang w:eastAsia="zh-CN"/>
                      </w:rPr>
                      <w:fldChar w:fldCharType="end"/>
                    </w:r>
                    <w:r>
                      <w:rPr>
                        <w:rFonts w:hint="eastAsia" w:ascii="宋体" w:hAnsi="宋体" w:cs="宋体"/>
                        <w:sz w:val="28"/>
                        <w:szCs w:val="28"/>
                        <w:lang w:eastAsia="zh-CN"/>
                      </w:rPr>
                      <w:t xml:space="preserve"> —</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6350</wp:posOffset>
              </wp:positionV>
              <wp:extent cx="1828800" cy="13335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33350"/>
                      </a:xfrm>
                      <a:prstGeom prst="rect">
                        <a:avLst/>
                      </a:prstGeom>
                      <a:noFill/>
                      <a:ln>
                        <a:noFill/>
                      </a:ln>
                    </wps:spPr>
                    <wps:txbx>
                      <w:txbxContent>
                        <w:p>
                          <w:pPr>
                            <w:pStyle w:val="3"/>
                          </w:pPr>
                        </w:p>
                      </w:txbxContent>
                    </wps:txbx>
                    <wps:bodyPr wrap="none" lIns="0" tIns="0" rIns="0" bIns="0" upright="0"/>
                  </wps:wsp>
                </a:graphicData>
              </a:graphic>
            </wp:anchor>
          </w:drawing>
        </mc:Choice>
        <mc:Fallback>
          <w:pict>
            <v:shape id="_x0000_s1026" o:spid="_x0000_s1026" o:spt="202" type="#_x0000_t202" style="position:absolute;left:0pt;margin-top:0.5pt;height:10.5pt;width:144pt;mso-position-horizontal:center;mso-position-horizontal-relative:margin;mso-wrap-style:none;z-index:251659264;mso-width-relative:page;mso-height-relative:page;" filled="f" stroked="f" coordsize="21600,21600" o:gfxdata="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CqQu2tEAAAAFAQAADwAAAAAAAAABACAAAAAiAAAAZHJzL2Rvd25yZXYueG1sUEsB&#10;AhQAFAAAAAgAh07iQIE3Oa3DAQAAfgMAAA4AAAAAAAAAAQAgAAAAIAEAAGRycy9lMm9Eb2MueG1s&#10;UEsFBgAAAAAGAAYAWQEAAFUFAAAAAA==&#10;">
              <v:fill on="f" focussize="0,0"/>
              <v:stroke on="f"/>
              <v:imagedata o:title=""/>
              <o:lock v:ext="edit" aspectratio="f"/>
              <v:textbox inset="0mm,0mm,0mm,0mm">
                <w:txbxContent>
                  <w:p>
                    <w:pPr>
                      <w:pStyle w:val="3"/>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2336" behindDoc="0" locked="0" layoutInCell="1" allowOverlap="1">
              <wp:simplePos x="0" y="0"/>
              <wp:positionH relativeFrom="margin">
                <wp:align>inside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- 29 -</w:t>
                          </w:r>
                          <w:r>
                            <w:rPr>
                              <w:rFonts w:hint="eastAsia"/>
                              <w:lang w:eastAsia="zh-CN"/>
                            </w:rPr>
                            <w:fldChar w:fldCharType="end"/>
                          </w:r>
                          <w:r>
                            <w:rPr>
                              <w:rFonts w:hint="eastAsia"/>
                              <w:lang w:eastAsia="zh-CN"/>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- 29 -</w:t>
                    </w:r>
                    <w:r>
                      <w:rPr>
                        <w:rFonts w:hint="eastAsia"/>
                        <w:lang w:eastAsia="zh-CN"/>
                      </w:rPr>
                      <w:fldChar w:fldCharType="end"/>
                    </w:r>
                    <w:r>
                      <w:rPr>
                        <w:rFonts w:hint="eastAsia"/>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6CDF78"/>
    <w:multiLevelType w:val="singleLevel"/>
    <w:tmpl w:val="AC6CDF78"/>
    <w:lvl w:ilvl="0" w:tentative="0">
      <w:start w:val="1"/>
      <w:numFmt w:val="decimalEnclosedCircleChinese"/>
      <w:suff w:val="nothing"/>
      <w:lvlText w:val="%1　"/>
      <w:lvlJc w:val="left"/>
      <w:pPr>
        <w:ind w:left="0" w:firstLine="400"/>
      </w:pPr>
      <w:rPr>
        <w:rFonts w:hint="eastAsia"/>
      </w:rPr>
    </w:lvl>
  </w:abstractNum>
  <w:abstractNum w:abstractNumId="1">
    <w:nsid w:val="B22453A3"/>
    <w:multiLevelType w:val="singleLevel"/>
    <w:tmpl w:val="B22453A3"/>
    <w:lvl w:ilvl="0" w:tentative="0">
      <w:start w:val="1"/>
      <w:numFmt w:val="decimal"/>
      <w:lvlText w:val="%1."/>
      <w:lvlJc w:val="left"/>
      <w:pPr>
        <w:tabs>
          <w:tab w:val="left" w:pos="312"/>
        </w:tabs>
      </w:pPr>
    </w:lvl>
  </w:abstractNum>
  <w:abstractNum w:abstractNumId="2">
    <w:nsid w:val="C8AE2AA1"/>
    <w:multiLevelType w:val="singleLevel"/>
    <w:tmpl w:val="C8AE2AA1"/>
    <w:lvl w:ilvl="0" w:tentative="0">
      <w:start w:val="1"/>
      <w:numFmt w:val="decimal"/>
      <w:lvlText w:val="%1."/>
      <w:lvlJc w:val="left"/>
      <w:pPr>
        <w:tabs>
          <w:tab w:val="left" w:pos="312"/>
        </w:tabs>
      </w:pPr>
    </w:lvl>
  </w:abstractNum>
  <w:abstractNum w:abstractNumId="3">
    <w:nsid w:val="52DBE47B"/>
    <w:multiLevelType w:val="singleLevel"/>
    <w:tmpl w:val="52DBE47B"/>
    <w:lvl w:ilvl="0" w:tentative="0">
      <w:start w:val="2"/>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0577FD"/>
    <w:rsid w:val="019A7D00"/>
    <w:rsid w:val="0200176B"/>
    <w:rsid w:val="030A0AA4"/>
    <w:rsid w:val="036D31FE"/>
    <w:rsid w:val="04126E8A"/>
    <w:rsid w:val="042B7022"/>
    <w:rsid w:val="04383BE0"/>
    <w:rsid w:val="059C2BE7"/>
    <w:rsid w:val="063C0A21"/>
    <w:rsid w:val="064F789E"/>
    <w:rsid w:val="06D23F7B"/>
    <w:rsid w:val="078435F4"/>
    <w:rsid w:val="078F4AA4"/>
    <w:rsid w:val="08880AA6"/>
    <w:rsid w:val="0A2C1FDB"/>
    <w:rsid w:val="0A85238F"/>
    <w:rsid w:val="0AC633C2"/>
    <w:rsid w:val="0BA86F21"/>
    <w:rsid w:val="0D0577FD"/>
    <w:rsid w:val="0D2B6FC3"/>
    <w:rsid w:val="0F552C27"/>
    <w:rsid w:val="10843D6F"/>
    <w:rsid w:val="10E20895"/>
    <w:rsid w:val="1135023B"/>
    <w:rsid w:val="117B6EF6"/>
    <w:rsid w:val="11F952C0"/>
    <w:rsid w:val="145A1744"/>
    <w:rsid w:val="148F549D"/>
    <w:rsid w:val="16B0068C"/>
    <w:rsid w:val="171A746E"/>
    <w:rsid w:val="19362953"/>
    <w:rsid w:val="1996716E"/>
    <w:rsid w:val="19EC5760"/>
    <w:rsid w:val="1A0B67FA"/>
    <w:rsid w:val="1A474BAE"/>
    <w:rsid w:val="1B4F3070"/>
    <w:rsid w:val="1B847A0F"/>
    <w:rsid w:val="1BFC266F"/>
    <w:rsid w:val="1C782BB5"/>
    <w:rsid w:val="1C8A6ECD"/>
    <w:rsid w:val="1CCF0804"/>
    <w:rsid w:val="1E7572D3"/>
    <w:rsid w:val="1EEE6417"/>
    <w:rsid w:val="1FD461FF"/>
    <w:rsid w:val="21190559"/>
    <w:rsid w:val="22271B3E"/>
    <w:rsid w:val="22501BF0"/>
    <w:rsid w:val="228C721A"/>
    <w:rsid w:val="23F90624"/>
    <w:rsid w:val="24FD2345"/>
    <w:rsid w:val="250E4543"/>
    <w:rsid w:val="25874A9E"/>
    <w:rsid w:val="25FE13F9"/>
    <w:rsid w:val="26D16018"/>
    <w:rsid w:val="270040C4"/>
    <w:rsid w:val="27F6259C"/>
    <w:rsid w:val="28245856"/>
    <w:rsid w:val="2A5B46A5"/>
    <w:rsid w:val="2AE94FAF"/>
    <w:rsid w:val="2B00544B"/>
    <w:rsid w:val="2B076B6B"/>
    <w:rsid w:val="2CBB605E"/>
    <w:rsid w:val="2D741488"/>
    <w:rsid w:val="2DDB23D0"/>
    <w:rsid w:val="2F63117C"/>
    <w:rsid w:val="30671E52"/>
    <w:rsid w:val="30776D09"/>
    <w:rsid w:val="330466E5"/>
    <w:rsid w:val="34F42DB6"/>
    <w:rsid w:val="351A4A8F"/>
    <w:rsid w:val="35682F5B"/>
    <w:rsid w:val="35D4453E"/>
    <w:rsid w:val="381F3C4E"/>
    <w:rsid w:val="388020E6"/>
    <w:rsid w:val="389221DC"/>
    <w:rsid w:val="389F4BED"/>
    <w:rsid w:val="399C6F8B"/>
    <w:rsid w:val="39C75133"/>
    <w:rsid w:val="3AC97FDF"/>
    <w:rsid w:val="3AF92B9E"/>
    <w:rsid w:val="3B0E4454"/>
    <w:rsid w:val="3B414634"/>
    <w:rsid w:val="3C044480"/>
    <w:rsid w:val="3CC60C4A"/>
    <w:rsid w:val="3D1238D9"/>
    <w:rsid w:val="3D36115F"/>
    <w:rsid w:val="3DA7037F"/>
    <w:rsid w:val="3E2B4B0C"/>
    <w:rsid w:val="3E8932BE"/>
    <w:rsid w:val="3FEC55D2"/>
    <w:rsid w:val="40A84000"/>
    <w:rsid w:val="415B2D61"/>
    <w:rsid w:val="43820E36"/>
    <w:rsid w:val="43FC7E87"/>
    <w:rsid w:val="453B5C57"/>
    <w:rsid w:val="45A26FF6"/>
    <w:rsid w:val="46701819"/>
    <w:rsid w:val="46D5064C"/>
    <w:rsid w:val="4740748A"/>
    <w:rsid w:val="4750754C"/>
    <w:rsid w:val="47BC434B"/>
    <w:rsid w:val="48161EAE"/>
    <w:rsid w:val="481B74CF"/>
    <w:rsid w:val="483672D3"/>
    <w:rsid w:val="48BD52DE"/>
    <w:rsid w:val="4954437A"/>
    <w:rsid w:val="49E369C1"/>
    <w:rsid w:val="4A057E64"/>
    <w:rsid w:val="4A12125E"/>
    <w:rsid w:val="4A291DAB"/>
    <w:rsid w:val="4A661518"/>
    <w:rsid w:val="4AAF5788"/>
    <w:rsid w:val="4AD81553"/>
    <w:rsid w:val="4B1D5BC1"/>
    <w:rsid w:val="4B4F0EF3"/>
    <w:rsid w:val="4F616309"/>
    <w:rsid w:val="504C245E"/>
    <w:rsid w:val="506A6119"/>
    <w:rsid w:val="5102114B"/>
    <w:rsid w:val="52AB17BF"/>
    <w:rsid w:val="532E23B1"/>
    <w:rsid w:val="536D3C34"/>
    <w:rsid w:val="555A5E65"/>
    <w:rsid w:val="56E40B9B"/>
    <w:rsid w:val="59E947D5"/>
    <w:rsid w:val="5AD867BF"/>
    <w:rsid w:val="5B252562"/>
    <w:rsid w:val="5DA06CA4"/>
    <w:rsid w:val="5DCE7FAE"/>
    <w:rsid w:val="5EBD3D9F"/>
    <w:rsid w:val="5EFB4A8A"/>
    <w:rsid w:val="604A0FC8"/>
    <w:rsid w:val="60C81B1E"/>
    <w:rsid w:val="63AF269A"/>
    <w:rsid w:val="65EA4971"/>
    <w:rsid w:val="67002067"/>
    <w:rsid w:val="671318B5"/>
    <w:rsid w:val="67A11554"/>
    <w:rsid w:val="67FB18D1"/>
    <w:rsid w:val="68D41439"/>
    <w:rsid w:val="695B5AA7"/>
    <w:rsid w:val="69AB23A2"/>
    <w:rsid w:val="6A904280"/>
    <w:rsid w:val="6C104748"/>
    <w:rsid w:val="6CFB7DD0"/>
    <w:rsid w:val="6D5D2299"/>
    <w:rsid w:val="6DF72314"/>
    <w:rsid w:val="6E8D5EA6"/>
    <w:rsid w:val="6EED6B30"/>
    <w:rsid w:val="6F330E0C"/>
    <w:rsid w:val="6F997278"/>
    <w:rsid w:val="706327B4"/>
    <w:rsid w:val="71401445"/>
    <w:rsid w:val="717B0CBD"/>
    <w:rsid w:val="71B049CA"/>
    <w:rsid w:val="730E0A8D"/>
    <w:rsid w:val="74285A9A"/>
    <w:rsid w:val="761A455B"/>
    <w:rsid w:val="76250A9F"/>
    <w:rsid w:val="76393AE7"/>
    <w:rsid w:val="76397095"/>
    <w:rsid w:val="76FE7009"/>
    <w:rsid w:val="784735E6"/>
    <w:rsid w:val="786E1640"/>
    <w:rsid w:val="78CA1268"/>
    <w:rsid w:val="790C5EA9"/>
    <w:rsid w:val="7AB64FE2"/>
    <w:rsid w:val="7B532E03"/>
    <w:rsid w:val="7BAF2E0D"/>
    <w:rsid w:val="7C7D2571"/>
    <w:rsid w:val="7E7C6325"/>
    <w:rsid w:val="7FD86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rPr>
      <w:rFonts w:ascii="仿宋_GB2312" w:hAnsi="仿宋_GB2312" w:eastAsia="仿宋_GB2312" w:cs="仿宋_GB2312"/>
      <w:sz w:val="32"/>
      <w:szCs w:val="32"/>
      <w:lang w:val="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2021-10-24T07:46:00Z</dcterms:created>
  <dc:creator>圣虚子</dc:creator>
  <cp:lastModifiedBy>迷人的危险</cp:lastModifiedBy>
  <cp:lastPrinted>2021-11-18T02:03:00Z</cp:lastPrinted>
  <dcterms:modified xsi:type="dcterms:W3CDTF">2021-11-25T08:21:52Z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655005AFB4974C879A58D5C2A74C3170</vt:lpwstr>
  </property>
</Properties>
</file>