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default" w:ascii="黑体" w:hAnsi="黑体" w:eastAsia="楷体" w:cs="黑体"/>
          <w:b/>
          <w:color w:val="auto"/>
          <w:sz w:val="56"/>
          <w:szCs w:val="56"/>
          <w:highlight w:val="none"/>
          <w:lang w:val="en-US" w:eastAsia="zh-CN"/>
        </w:rPr>
      </w:pPr>
      <w:r>
        <w:rPr>
          <w:rFonts w:hint="eastAsia" w:ascii="楷体" w:hAnsi="楷体" w:eastAsia="楷体" w:cs="楷体"/>
          <w:b/>
          <w:color w:val="auto"/>
          <w:sz w:val="36"/>
          <w:szCs w:val="36"/>
          <w:highlight w:val="none"/>
        </w:rPr>
        <w:t>铜川市新区2020年</w:t>
      </w:r>
      <w:r>
        <w:rPr>
          <w:rFonts w:hint="eastAsia" w:ascii="楷体" w:hAnsi="楷体" w:eastAsia="楷体" w:cs="楷体"/>
          <w:b/>
          <w:color w:val="auto"/>
          <w:sz w:val="36"/>
          <w:szCs w:val="36"/>
          <w:highlight w:val="none"/>
          <w:lang w:val="en-US" w:eastAsia="zh-CN"/>
        </w:rPr>
        <w:t>度农村公路日常养护项目</w:t>
      </w: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ind w:left="319" w:leftChars="152" w:firstLine="320" w:firstLineChars="100"/>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铜川市新区住房建设与交通运输局</w:t>
      </w:r>
    </w:p>
    <w:p>
      <w:pPr>
        <w:ind w:firstLine="640" w:firstLineChars="200"/>
        <w:jc w:val="both"/>
        <w:rPr>
          <w:rFonts w:hint="default" w:ascii="仿宋_GB2312" w:hAnsi="仿宋_GB2312" w:eastAsia="仿宋_GB2312" w:cs="仿宋_GB2312"/>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报告编号：铜新评价2021-02</w:t>
      </w:r>
    </w:p>
    <w:p>
      <w:pPr>
        <w:ind w:firstLine="640" w:firstLineChars="200"/>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编制日期：2021年11月            </w:t>
      </w:r>
    </w:p>
    <w:p>
      <w:pPr>
        <w:ind w:firstLine="640" w:firstLineChars="200"/>
        <w:rPr>
          <w:rFonts w:hint="eastAsia" w:ascii="楷体" w:hAnsi="楷体" w:eastAsia="楷体" w:cs="楷体"/>
          <w:b w:val="0"/>
          <w:bCs/>
          <w:color w:val="auto"/>
          <w:sz w:val="32"/>
          <w:szCs w:val="32"/>
          <w:highlight w:val="none"/>
          <w:u w:val="none"/>
          <w:lang w:val="en-US" w:eastAsia="zh-CN"/>
        </w:rPr>
      </w:pPr>
    </w:p>
    <w:p>
      <w:pPr>
        <w:ind w:firstLine="640" w:firstLineChars="200"/>
        <w:rPr>
          <w:rFonts w:hint="eastAsia" w:ascii="楷体" w:hAnsi="楷体" w:eastAsia="楷体" w:cs="楷体"/>
          <w:b w:val="0"/>
          <w:bCs/>
          <w:color w:val="auto"/>
          <w:sz w:val="32"/>
          <w:szCs w:val="32"/>
          <w:highlight w:val="none"/>
          <w:u w:val="none"/>
          <w:lang w:val="en-US" w:eastAsia="zh-CN"/>
        </w:rPr>
      </w:pPr>
    </w:p>
    <w:p>
      <w:pPr>
        <w:pStyle w:val="2"/>
        <w:rPr>
          <w:rFonts w:hint="eastAsia" w:ascii="楷体" w:hAnsi="楷体" w:eastAsia="楷体" w:cs="楷体"/>
          <w:b w:val="0"/>
          <w:bCs/>
          <w:color w:val="auto"/>
          <w:sz w:val="32"/>
          <w:szCs w:val="32"/>
          <w:highlight w:val="none"/>
          <w:u w:val="none"/>
          <w:lang w:val="en-US" w:eastAsia="zh-CN"/>
        </w:rPr>
      </w:pPr>
    </w:p>
    <w:p>
      <w:pPr>
        <w:pStyle w:val="2"/>
        <w:rPr>
          <w:rFonts w:hint="eastAsia" w:ascii="楷体" w:hAnsi="楷体" w:eastAsia="楷体" w:cs="楷体"/>
          <w:b w:val="0"/>
          <w:bCs/>
          <w:color w:val="auto"/>
          <w:sz w:val="32"/>
          <w:szCs w:val="32"/>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before="480" w:beforeLines="0" w:after="360" w:afterLines="0" w:line="240" w:lineRule="auto"/>
        <w:ind w:left="0" w:leftChars="0" w:right="0" w:rightChars="0" w:firstLine="0" w:firstLineChars="0"/>
        <w:jc w:val="both"/>
        <w:textAlignment w:val="auto"/>
        <w:rPr>
          <w:rFonts w:ascii="宋体" w:hAnsi="宋体" w:eastAsia="宋体"/>
          <w:b/>
          <w:bCs/>
          <w:color w:val="auto"/>
          <w:sz w:val="36"/>
          <w:szCs w:val="36"/>
          <w:highlight w:val="none"/>
        </w:rPr>
        <w:sectPr>
          <w:headerReference r:id="rId3" w:type="even"/>
          <w:footerReference r:id="rId4" w:type="even"/>
          <w:pgSz w:w="11906" w:h="16838"/>
          <w:pgMar w:top="2098" w:right="1474" w:bottom="1984" w:left="1587" w:header="992" w:footer="992" w:gutter="0"/>
          <w:pgNumType w:fmt="numberInDash" w:start="1"/>
          <w:cols w:space="720" w:num="1"/>
          <w:docGrid w:type="lines" w:linePitch="312" w:charSpace="0"/>
        </w:sectPr>
      </w:pPr>
      <w:bookmarkStart w:id="18" w:name="_GoBack"/>
      <w:bookmarkEnd w:id="18"/>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铜川市新区2020年农村公路日常养护项目</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宋体" w:hAnsi="宋体"/>
          <w:b/>
          <w:bCs/>
          <w:color w:val="auto"/>
          <w:sz w:val="36"/>
          <w:szCs w:val="36"/>
          <w:highlight w:val="none"/>
          <w:lang w:val="en-US" w:eastAsia="zh-CN"/>
        </w:rPr>
        <w:t>绩效评价总览表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8"/>
        <w:gridCol w:w="1856"/>
        <w:gridCol w:w="1934"/>
        <w:gridCol w:w="3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铜川市新区财政局2020年农村公路日常养护项目支出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铜川市新区住房建设和交通运输局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铜川市新区财政局经建科</w:t>
            </w:r>
          </w:p>
        </w:tc>
        <w:tc>
          <w:tcPr>
            <w:tcW w:w="10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铜川市新区住房建设和交通运输局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107.66元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当年财政拨款101万元（94%）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年度支出992849.7元，占比98%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完成新区境内农村公路日常养护修缮，保障新区境内道路畅通。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道路养护里程完成率、养护计划完成率、农村公路养护验收情况、农村道路修缮验收合格率、农村道路正常使用率、</w:t>
            </w:r>
            <w:r>
              <w:rPr>
                <w:rFonts w:hint="eastAsia" w:ascii="仿宋" w:hAnsi="仿宋" w:eastAsia="仿宋" w:cs="仿宋"/>
                <w:i w:val="0"/>
                <w:iCs w:val="0"/>
                <w:color w:val="000000"/>
                <w:kern w:val="0"/>
                <w:sz w:val="24"/>
                <w:szCs w:val="24"/>
                <w:highlight w:val="none"/>
                <w:u w:val="none"/>
                <w:lang w:val="en-US" w:eastAsia="zh-CN" w:bidi="ar"/>
              </w:rPr>
              <w:t>农村道路养护修缮覆盖率。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numPr>
                <w:ilvl w:val="0"/>
                <w:numId w:val="0"/>
              </w:numPr>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kern w:val="0"/>
                <w:sz w:val="24"/>
                <w:szCs w:val="24"/>
                <w:highlight w:val="none"/>
                <w:u w:val="none"/>
                <w:lang w:val="en-US" w:eastAsia="zh-CN" w:bidi="ar"/>
              </w:rPr>
              <w:t>铜川市新区境内农村公路总里程为124.16公里，进行养护修缮的里程数为51.77公里，农村道路养护修缮覆盖率约为41.7%。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经综合评价表明，农村公路日常养护项目实施情况整体表现良好，综合评分为85.38分，绩效等级为“良”。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5000" w:type="pct"/>
            <w:gridSpan w:val="4"/>
            <w:noWrap w:val="0"/>
            <w:vAlign w:val="center"/>
          </w:tcPr>
          <w:p>
            <w:pPr>
              <w:keepNext w:val="0"/>
              <w:keepLines w:val="0"/>
              <w:widowControl/>
              <w:numPr>
                <w:ilvl w:val="0"/>
                <w:numId w:val="0"/>
              </w:numPr>
              <w:suppressLineNumbers w:val="0"/>
              <w:ind w:firstLine="480" w:firstLineChars="20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1.养护工作完成情况良好。。路面清洁基本无泥土、砂子、石块、积水、积雪和杂物；路肩表面平整、整洁、与路面协接平顺。</w:t>
            </w:r>
          </w:p>
          <w:p>
            <w:pPr>
              <w:keepNext w:val="0"/>
              <w:keepLines w:val="0"/>
              <w:widowControl/>
              <w:numPr>
                <w:ilvl w:val="0"/>
                <w:numId w:val="0"/>
              </w:numPr>
              <w:suppressLineNumbers w:val="0"/>
              <w:ind w:firstLine="480" w:firstLineChars="20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2.破损路段修缮及时彻底。咸丰汽车站至野狐坡与关庄界县道、210国道至鱼池乡道沥青路面出现破损，能够做到及时发现、及时决策、及时修缮、及时完工。</w:t>
            </w:r>
          </w:p>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3.境内农村公路保持畅通。对新区境内农村公路进行日常养护、对破损路面及时进行修缮、对楼安公路进行提升改造，时刻注意影响道路通畅的突发情况。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主要问题：1.项目缺乏统筹管理，资金使用缺乏管理。2.绩效自评工作开展不到位。3.农村道路日常养护覆盖率有待提高。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有关建议：1.完善制度建设，加强统筹管理。2.开展绩效管理培训，提高绩效管理水平。3.扩大农村公路日常养护范围。</w:t>
            </w:r>
          </w:p>
        </w:tc>
      </w:tr>
    </w:tbl>
    <w:tbl>
      <w:tblPr>
        <w:tblStyle w:val="9"/>
        <w:tblpPr w:leftFromText="180" w:rightFromText="180" w:vertAnchor="text" w:horzAnchor="page" w:tblpX="1575" w:tblpY="2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1856"/>
        <w:gridCol w:w="1934"/>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02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10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6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106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18.88</w:t>
            </w:r>
          </w:p>
        </w:tc>
        <w:tc>
          <w:tcPr>
            <w:tcW w:w="166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20</w:t>
            </w:r>
          </w:p>
        </w:tc>
        <w:tc>
          <w:tcPr>
            <w:tcW w:w="106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13.96</w:t>
            </w:r>
          </w:p>
        </w:tc>
        <w:tc>
          <w:tcPr>
            <w:tcW w:w="166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38</w:t>
            </w:r>
          </w:p>
        </w:tc>
        <w:tc>
          <w:tcPr>
            <w:tcW w:w="106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36</w:t>
            </w:r>
          </w:p>
        </w:tc>
        <w:tc>
          <w:tcPr>
            <w:tcW w:w="166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22</w:t>
            </w:r>
          </w:p>
        </w:tc>
        <w:tc>
          <w:tcPr>
            <w:tcW w:w="106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16.54</w:t>
            </w:r>
          </w:p>
        </w:tc>
        <w:tc>
          <w:tcPr>
            <w:tcW w:w="166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02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1067"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85.38</w:t>
            </w:r>
          </w:p>
        </w:tc>
        <w:tc>
          <w:tcPr>
            <w:tcW w:w="166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39"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02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85.38</w:t>
            </w:r>
          </w:p>
        </w:tc>
        <w:tc>
          <w:tcPr>
            <w:tcW w:w="1067"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69"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40" w:lineRule="exact"/>
        <w:ind w:right="0" w:rightChars="0"/>
        <w:jc w:val="both"/>
        <w:textAlignment w:val="auto"/>
        <w:outlineLvl w:val="9"/>
        <w:rPr>
          <w:rFonts w:hint="default" w:ascii="方正小标宋简体" w:hAnsi="方正小标宋简体" w:eastAsia="方正小标宋简体" w:cs="方正小标宋简体"/>
          <w:b w:val="0"/>
          <w:bCs w:val="0"/>
          <w:color w:val="auto"/>
          <w:kern w:val="0"/>
          <w:sz w:val="36"/>
          <w:szCs w:val="36"/>
          <w:highlight w:val="none"/>
          <w:lang w:val="en-US" w:eastAsia="zh-CN"/>
        </w:rPr>
        <w:sectPr>
          <w:footerReference r:id="rId5" w:type="default"/>
          <w:pgSz w:w="11906" w:h="16838"/>
          <w:pgMar w:top="2098" w:right="1474" w:bottom="1984" w:left="1587" w:header="992" w:footer="992" w:gutter="0"/>
          <w:pgNumType w:fmt="decimal" w:start="1"/>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40" w:lineRule="exact"/>
        <w:ind w:right="0" w:rightChars="0"/>
        <w:jc w:val="center"/>
        <w:textAlignment w:val="auto"/>
        <w:outlineLvl w:val="9"/>
        <w:rPr>
          <w:rFonts w:hint="eastAsia" w:ascii="方正小标宋简体" w:hAnsi="方正小标宋简体" w:eastAsia="方正小标宋简体" w:cs="方正小标宋简体"/>
          <w:b w:val="0"/>
          <w:bCs w:val="0"/>
          <w:color w:val="auto"/>
          <w:sz w:val="36"/>
          <w:szCs w:val="36"/>
          <w:highlight w:val="none"/>
          <w:lang w:val="en-US" w:eastAsia="zh-CN"/>
        </w:rPr>
      </w:pPr>
      <w:r>
        <w:rPr>
          <w:rFonts w:hint="eastAsia" w:ascii="方正小标宋简体" w:hAnsi="方正小标宋简体" w:eastAsia="方正小标宋简体" w:cs="方正小标宋简体"/>
          <w:b w:val="0"/>
          <w:bCs w:val="0"/>
          <w:color w:val="auto"/>
          <w:kern w:val="0"/>
          <w:sz w:val="36"/>
          <w:szCs w:val="36"/>
          <w:highlight w:val="none"/>
          <w:lang w:val="en-US" w:eastAsia="zh-CN"/>
        </w:rPr>
        <w:t>铜川市新区2020年农村公路日常养护项目</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40" w:lineRule="exact"/>
        <w:ind w:right="0" w:rightChars="0" w:firstLine="360" w:firstLineChars="100"/>
        <w:jc w:val="center"/>
        <w:textAlignment w:val="auto"/>
        <w:outlineLvl w:val="9"/>
        <w:rPr>
          <w:rFonts w:hint="eastAsia" w:ascii="方正小标宋简体" w:hAnsi="方正小标宋简体" w:eastAsia="方正小标宋简体" w:cs="方正小标宋简体"/>
          <w:b w:val="0"/>
          <w:bCs w:val="0"/>
          <w:color w:val="auto"/>
          <w:kern w:val="0"/>
          <w:sz w:val="36"/>
          <w:szCs w:val="36"/>
          <w:highlight w:val="none"/>
          <w:lang w:val="en-US" w:eastAsia="zh-CN"/>
        </w:rPr>
      </w:pPr>
      <w:r>
        <w:rPr>
          <w:rFonts w:hint="eastAsia" w:ascii="方正小标宋简体" w:hAnsi="方正小标宋简体" w:eastAsia="方正小标宋简体" w:cs="方正小标宋简体"/>
          <w:b w:val="0"/>
          <w:bCs w:val="0"/>
          <w:color w:val="auto"/>
          <w:kern w:val="0"/>
          <w:sz w:val="36"/>
          <w:szCs w:val="36"/>
          <w:highlight w:val="none"/>
          <w:lang w:val="en-US" w:eastAsia="zh-CN"/>
        </w:rPr>
        <w:t>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00" w:lineRule="exact"/>
        <w:ind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0" w:name="_Toc1726"/>
      <w:r>
        <w:rPr>
          <w:rFonts w:hint="eastAsia" w:ascii="黑体" w:hAnsi="黑体" w:eastAsia="黑体" w:cs="黑体"/>
          <w:b w:val="0"/>
          <w:bCs w:val="0"/>
          <w:color w:val="auto"/>
          <w:kern w:val="0"/>
          <w:sz w:val="32"/>
          <w:szCs w:val="32"/>
          <w:highlight w:val="none"/>
          <w:lang w:val="en-US" w:eastAsia="zh-CN"/>
        </w:rPr>
        <w:t>一、基本情况</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1" w:name="_Toc15366"/>
      <w:r>
        <w:rPr>
          <w:rFonts w:hint="eastAsia" w:ascii="楷体" w:hAnsi="楷体" w:eastAsia="楷体" w:cs="楷体"/>
          <w:b/>
          <w:bCs/>
          <w:color w:val="auto"/>
          <w:kern w:val="0"/>
          <w:sz w:val="32"/>
          <w:szCs w:val="32"/>
          <w:highlight w:val="none"/>
          <w:lang w:val="en-US" w:eastAsia="zh-CN"/>
        </w:rPr>
        <w:t>（一）项目概况</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1.项目背景。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农村公路是服务“三农”的公益性基础设施，是打赢脱贫攻坚战、实施乡村振兴战略的重要抓手。党的十八大以来，以习近平同志为核心的党中央高度重视农村公路工作，多次对“四好农村路”建设作出重要部署。《国务院办公厅关于深化农村公路管理养护体制改革的意见》</w:t>
      </w:r>
      <w:r>
        <w:rPr>
          <w:rFonts w:hint="eastAsia" w:ascii="仿宋" w:hAnsi="仿宋" w:eastAsia="仿宋" w:cs="仿宋"/>
          <w:color w:val="auto"/>
          <w:kern w:val="0"/>
          <w:sz w:val="32"/>
          <w:szCs w:val="32"/>
          <w:highlight w:val="none"/>
          <w:shd w:val="clear" w:color="auto" w:fill="FFFFFF"/>
          <w:lang w:val="en-US" w:eastAsia="zh-CN" w:bidi="ar-SA"/>
        </w:rPr>
        <w:t>（国办发〔2019〕45号）</w:t>
      </w:r>
      <w:r>
        <w:rPr>
          <w:rFonts w:hint="eastAsia" w:ascii="仿宋" w:hAnsi="仿宋" w:eastAsia="仿宋" w:cs="仿宋"/>
          <w:color w:val="auto"/>
          <w:kern w:val="0"/>
          <w:sz w:val="32"/>
          <w:szCs w:val="32"/>
          <w:highlight w:val="none"/>
          <w:shd w:val="clear" w:color="auto" w:fill="FFFFFF"/>
          <w:lang w:val="en-US" w:eastAsia="zh-CN"/>
        </w:rPr>
        <w:t>指出省级人民政府要制定相关部门和市、县级人民政府农村公路管理养护权力和责任清单，强化省级统筹和政策引导，建立健全规章制度，筹集养护补助资金；市级人民政府要发挥好承上启下作用，完善支持政策和养护资金补助机制，加强指导监督。县级人民政府要按照“县道县管、乡村道乡村管”的原则，建立健全农村公路管理养护责任制，明确相关部门、乡级人民政府农村公路管理养护权力和责任清单，并指导监督相关部门和乡级人民政府履职尽责。将农村公路养护资金及管理机构运行经费和人员支出纳入一般公共财政预算，加大履职能力建设和管理养护投入力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2.项目实施目的。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通过农村公路日常养护项目，对新区境内农村公路进行养护和修缮，促进新区农村公路建设、管理、养护、运营高质量发展，满足新时代人民对美好生活的需要，服务脱贫攻坚、乡村振兴和建设现代化经济体系。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default"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3.资金使用情况。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bookmarkStart w:id="2" w:name="_Toc7795"/>
      <w:r>
        <w:rPr>
          <w:rFonts w:hint="eastAsia" w:ascii="仿宋" w:hAnsi="仿宋" w:eastAsia="仿宋" w:cs="仿宋"/>
          <w:color w:val="auto"/>
          <w:kern w:val="0"/>
          <w:sz w:val="32"/>
          <w:szCs w:val="32"/>
          <w:highlight w:val="none"/>
          <w:shd w:val="clear" w:color="auto" w:fill="FFFFFF"/>
          <w:lang w:val="en-US" w:eastAsia="zh-CN"/>
        </w:rPr>
        <w:t>根据《铜川市新区财政局关于下达2020年度部门预算的通知》（铜新财预〔2020〕3号），公路养护费用预算为107.66万元，根据《铜川市交通运输局关于下达铜川市2020年第一批农村公路日常养护费市级补助资金的通知》（铜交函〔2020〕165号）、《铜川市公路管理处关于下达2020年铜川市第二批农村公路日常养护费市级补助资金的通知》（铜公发〔2020〕43号），共计下发资金101万元，根据《关于拨付新区农村公路养护和管理费用的请示》（铜六建司字〔2020〕50号）、《关于楼安路生命防护工程工程款的请示》（铜六建司字〔2020〕70号）、《关于农村公路养护工程（修补）工程款的请示》（铜六建司字〔2020〕71号）等文件及其相对应的国库集中支付凭证、财政授权支付凭证，2020年农村公路养护工程实际支出992849.7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r>
        <w:rPr>
          <w:rFonts w:hint="eastAsia" w:ascii="楷体" w:hAnsi="楷体" w:eastAsia="楷体" w:cs="楷体"/>
          <w:b/>
          <w:bCs/>
          <w:color w:val="auto"/>
          <w:kern w:val="0"/>
          <w:sz w:val="32"/>
          <w:szCs w:val="32"/>
          <w:highlight w:val="none"/>
          <w:lang w:val="en-US" w:eastAsia="zh-CN"/>
        </w:rPr>
        <w:t>（二）项目绩效目标</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1.项目总体目标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完成新区境内农村公路日常养护124.16公里。</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资金使用单位年度绩效目标</w:t>
      </w:r>
    </w:p>
    <w:p>
      <w:pPr>
        <w:pStyle w:val="2"/>
        <w:numPr>
          <w:ilvl w:val="0"/>
          <w:numId w:val="0"/>
        </w:numPr>
        <w:jc w:val="center"/>
        <w:rPr>
          <w:rFonts w:hint="default"/>
          <w:lang w:val="en-US" w:eastAsia="zh-CN"/>
        </w:rPr>
      </w:pPr>
      <w:r>
        <w:rPr>
          <w:rFonts w:hint="eastAsia" w:ascii="仿宋" w:hAnsi="仿宋" w:eastAsia="仿宋" w:cs="仿宋"/>
          <w:b/>
          <w:bCs/>
          <w:color w:val="auto"/>
          <w:kern w:val="0"/>
          <w:sz w:val="28"/>
          <w:szCs w:val="28"/>
          <w:highlight w:val="none"/>
          <w:shd w:val="clear" w:color="auto" w:fill="FFFFFF"/>
          <w:lang w:val="en-US" w:eastAsia="zh-CN"/>
        </w:rPr>
        <w:t>表1-1  铜川市新区2020年度农村公路日常养护项目年度绩效目标</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7"/>
        <w:gridCol w:w="1218"/>
        <w:gridCol w:w="4500"/>
        <w:gridCol w:w="2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bookmarkStart w:id="3" w:name="_Toc18830"/>
            <w:r>
              <w:rPr>
                <w:rFonts w:hint="eastAsia" w:ascii="仿宋" w:hAnsi="仿宋" w:eastAsia="仿宋" w:cs="仿宋"/>
                <w:i w:val="0"/>
                <w:iCs w:val="0"/>
                <w:color w:val="000000"/>
                <w:kern w:val="0"/>
                <w:sz w:val="24"/>
                <w:szCs w:val="24"/>
                <w:u w:val="none"/>
                <w:lang w:val="en-US" w:eastAsia="zh-CN" w:bidi="ar"/>
              </w:rPr>
              <w:t>一级指标</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二级指标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三级指标</w:t>
            </w: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67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产出指标</w:t>
            </w:r>
          </w:p>
        </w:tc>
        <w:tc>
          <w:tcPr>
            <w:tcW w:w="67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新区境内农村公路道路养护里程</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124.16公里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质量</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农村道路养护合格率</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新区境内农村道路正常使用率</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大于等于95%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道路养护资金发放合规性</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新区境内农村道路养护修缮覆盖率</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时效</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完成新区境内农村道路养护及时率</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大于等于95%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5"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农村公路日常养护期限</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2020年1月1日—2020年12月30日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冬雨季节通畅及时率</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2"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成本</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道路养护、修缮</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107.66万元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效益指标</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社会效益指标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保障新区境内村民出行畅通</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有效保障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 w:hRule="atLeast"/>
        </w:trPr>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可持续影响指标</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修补完善项目适应年限满足相关材料性能要求</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符合要求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服务对象满意度指标</w:t>
            </w:r>
          </w:p>
        </w:tc>
        <w:tc>
          <w:tcPr>
            <w:tcW w:w="2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辖区出行群众满意度</w:t>
            </w:r>
          </w:p>
        </w:tc>
        <w:tc>
          <w:tcPr>
            <w:tcW w:w="11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大于等于95%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4"/>
                <w:szCs w:val="24"/>
                <w:u w:val="none"/>
              </w:rPr>
            </w:pPr>
          </w:p>
        </w:tc>
        <w:tc>
          <w:tcPr>
            <w:tcW w:w="11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 w:hRule="atLeast"/>
        </w:trPr>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过境人员、司乘人员满意度</w:t>
            </w:r>
          </w:p>
        </w:tc>
        <w:tc>
          <w:tcPr>
            <w:tcW w:w="11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大于等于95%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48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辖区司乘人员满意度</w:t>
            </w: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大于等于95%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r>
        <w:rPr>
          <w:rFonts w:hint="eastAsia" w:ascii="黑体" w:hAnsi="黑体" w:eastAsia="黑体" w:cs="黑体"/>
          <w:b w:val="0"/>
          <w:bCs w:val="0"/>
          <w:color w:val="auto"/>
          <w:kern w:val="0"/>
          <w:sz w:val="32"/>
          <w:szCs w:val="32"/>
          <w:highlight w:val="none"/>
          <w:lang w:val="en-US" w:eastAsia="zh-CN"/>
        </w:rPr>
        <w:t>二、绩效评价工作开展情况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bookmarkStart w:id="4" w:name="_Toc1414"/>
      <w:r>
        <w:rPr>
          <w:rFonts w:hint="eastAsia" w:ascii="楷体" w:hAnsi="楷体" w:eastAsia="楷体" w:cs="楷体"/>
          <w:b/>
          <w:bCs/>
          <w:color w:val="auto"/>
          <w:kern w:val="0"/>
          <w:sz w:val="32"/>
          <w:szCs w:val="32"/>
          <w:highlight w:val="none"/>
          <w:lang w:val="en-US" w:eastAsia="zh-CN"/>
        </w:rPr>
        <w:t>（一）绩效评价目的与重点</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rPr>
        <w:t>通过对</w:t>
      </w:r>
      <w:r>
        <w:rPr>
          <w:rFonts w:hint="eastAsia" w:ascii="仿宋" w:hAnsi="仿宋" w:eastAsia="仿宋" w:cs="仿宋"/>
          <w:color w:val="auto"/>
          <w:kern w:val="0"/>
          <w:sz w:val="32"/>
          <w:szCs w:val="32"/>
          <w:highlight w:val="none"/>
          <w:shd w:val="clear" w:color="auto" w:fill="FFFFFF"/>
          <w:lang w:val="en-US" w:eastAsia="zh-CN"/>
        </w:rPr>
        <w:t>铜川市新区2020年农村公路日常养护项目开展绩效评价</w:t>
      </w:r>
      <w:r>
        <w:rPr>
          <w:rFonts w:hint="eastAsia" w:ascii="仿宋" w:hAnsi="仿宋" w:eastAsia="仿宋" w:cs="仿宋"/>
          <w:color w:val="auto"/>
          <w:kern w:val="0"/>
          <w:sz w:val="32"/>
          <w:szCs w:val="32"/>
          <w:highlight w:val="none"/>
          <w:shd w:val="clear" w:color="auto" w:fill="FFFFFF"/>
        </w:rPr>
        <w:t>，</w:t>
      </w:r>
      <w:r>
        <w:rPr>
          <w:rFonts w:hint="eastAsia" w:ascii="仿宋" w:hAnsi="仿宋" w:eastAsia="仿宋" w:cs="仿宋"/>
          <w:color w:val="auto"/>
          <w:kern w:val="0"/>
          <w:sz w:val="32"/>
          <w:szCs w:val="32"/>
          <w:highlight w:val="none"/>
          <w:shd w:val="clear" w:color="auto" w:fill="FFFFFF"/>
          <w:lang w:val="en-US" w:eastAsia="zh-CN"/>
        </w:rPr>
        <w:t>从项目的决策、过程、产出、效益等四个维度</w:t>
      </w:r>
      <w:r>
        <w:rPr>
          <w:rFonts w:hint="eastAsia" w:ascii="仿宋" w:hAnsi="仿宋" w:eastAsia="仿宋" w:cs="仿宋"/>
          <w:color w:val="auto"/>
          <w:kern w:val="0"/>
          <w:sz w:val="32"/>
          <w:szCs w:val="32"/>
          <w:highlight w:val="none"/>
          <w:shd w:val="clear" w:color="auto" w:fill="FFFFFF"/>
          <w:lang w:eastAsia="zh-CN"/>
        </w:rPr>
        <w:t>出发</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eastAsia="zh-CN"/>
        </w:rPr>
        <w:t>紧盯</w:t>
      </w:r>
      <w:r>
        <w:rPr>
          <w:rFonts w:hint="eastAsia" w:ascii="仿宋" w:hAnsi="仿宋" w:eastAsia="仿宋" w:cs="仿宋"/>
          <w:color w:val="auto"/>
          <w:kern w:val="0"/>
          <w:sz w:val="32"/>
          <w:szCs w:val="32"/>
          <w:highlight w:val="none"/>
          <w:shd w:val="clear" w:color="auto" w:fill="FFFFFF"/>
          <w:lang w:val="en-US" w:eastAsia="zh-CN"/>
        </w:rPr>
        <w:t>项目立项情况、资金使用情况、项目完成情况，分析2020年农村公路日常养护项目实施效果，从而评价项目带来的的产出和效益情况。针对项目实施过程中存在的问题，提出相应的对策建议。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15476"/>
      <w:r>
        <w:rPr>
          <w:rFonts w:hint="eastAsia" w:ascii="楷体" w:hAnsi="楷体" w:eastAsia="楷体" w:cs="楷体"/>
          <w:b/>
          <w:bCs/>
          <w:color w:val="auto"/>
          <w:kern w:val="0"/>
          <w:sz w:val="32"/>
          <w:szCs w:val="32"/>
          <w:highlight w:val="none"/>
          <w:shd w:val="clear" w:color="auto" w:fill="FFFFFF"/>
          <w:lang w:val="en-US" w:eastAsia="zh-CN"/>
        </w:rPr>
        <w:t>（二）评价依据</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1.《中共中央国务院关于全面实施预算绩效管理的意见》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（中发〔2018〕34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2.《财政部关于印发&lt;项目支出绩效评价管理办法&gt;的通知》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3.《财政支出绩效评价管理暂行办法》（财预〔2011〕285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4.《关于推进预算绩效管理的指导意见》（财预〔2011〕416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5.《陕西省人民政府关于深化预算管理制度改革的实施意见》（陕政发〔2015〕10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000000"/>
          <w:kern w:val="0"/>
          <w:sz w:val="32"/>
          <w:szCs w:val="32"/>
          <w:highlight w:val="none"/>
          <w:shd w:val="clear" w:color="auto" w:fill="FFFFFF"/>
          <w:lang w:val="en-US" w:eastAsia="zh-CN"/>
        </w:rPr>
        <w:t>《关于开展2020年度新区项目和部门整体支出绩效自评和重点项目绩效评价工作的通知》（铜新财评〔2021〕1号）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7.《关于全面实施预算绩效管理的实施意见》（铜发〔2019〕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8.《铜川市市级财政专项资金管理办法》（铜政发〔2019〕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9.《市级项目支出预算绩效评价指标及评分标准》（铜财预〔2017〕13号）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w:t>
      </w:r>
      <w:r>
        <w:rPr>
          <w:rFonts w:hint="default" w:ascii="仿宋" w:hAnsi="仿宋" w:eastAsia="仿宋" w:cs="仿宋"/>
          <w:color w:val="auto"/>
          <w:kern w:val="0"/>
          <w:sz w:val="32"/>
          <w:szCs w:val="32"/>
          <w:highlight w:val="none"/>
          <w:shd w:val="clear" w:color="auto" w:fill="FFFFFF"/>
          <w:lang w:val="en-US" w:eastAsia="zh-CN"/>
        </w:rPr>
        <w:t>《铜川市国民经济和社会发展第十三个五年规划纲要》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CN" w:bidi="ar-SA"/>
        </w:rPr>
        <w:t>《公路养护工程管理办法》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rPr>
        <w:t>12.</w:t>
      </w:r>
      <w:r>
        <w:rPr>
          <w:rFonts w:hint="eastAsia" w:ascii="仿宋" w:hAnsi="仿宋" w:eastAsia="仿宋" w:cs="仿宋"/>
          <w:color w:val="auto"/>
          <w:kern w:val="0"/>
          <w:sz w:val="32"/>
          <w:szCs w:val="32"/>
          <w:highlight w:val="none"/>
          <w:shd w:val="clear" w:color="auto" w:fill="FFFFFF"/>
          <w:lang w:val="en-US" w:eastAsia="zh-CN" w:bidi="ar-SA"/>
        </w:rPr>
        <w:t>《国务院办公厅关于深化农村公路管理养护体制改革的意见》（国办发〔2019〕45号）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rPr>
        <w:t>13.</w:t>
      </w:r>
      <w:r>
        <w:rPr>
          <w:rFonts w:hint="eastAsia" w:ascii="仿宋" w:hAnsi="仿宋" w:eastAsia="仿宋" w:cs="仿宋"/>
          <w:color w:val="auto"/>
          <w:kern w:val="0"/>
          <w:sz w:val="32"/>
          <w:szCs w:val="32"/>
          <w:highlight w:val="none"/>
          <w:shd w:val="clear" w:color="auto" w:fill="FFFFFF"/>
          <w:lang w:val="en-US" w:eastAsia="zh-CN" w:bidi="ar-SA"/>
        </w:rPr>
        <w:t xml:space="preserve">《交通运输部关于做好公路养护工程招标投标工作进一步推动优化营商环境政策落实的通知》（交公路规〔2020〕4号）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14.《陕西省交通运输厅关于进一步做好公路养护工程招标投标工作优化公路养护市场营商环境的通知》（陕交函〔2020〕1015号）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rPr>
        <w:t>15.</w:t>
      </w:r>
      <w:r>
        <w:rPr>
          <w:rFonts w:hint="eastAsia" w:ascii="仿宋" w:hAnsi="仿宋" w:eastAsia="仿宋" w:cs="仿宋"/>
          <w:color w:val="auto"/>
          <w:kern w:val="0"/>
          <w:sz w:val="32"/>
          <w:szCs w:val="32"/>
          <w:highlight w:val="none"/>
          <w:shd w:val="clear" w:color="auto" w:fill="FFFFFF"/>
          <w:lang w:val="en-US" w:eastAsia="zh-CN" w:bidi="ar-SA"/>
        </w:rPr>
        <w:t>《陕西省人民政府关于加快推进“四好农村路”建设的意见》（陕政发〔2018〕21号）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16.《关于推动“四好农村路”高质量发展的实施意见》（陕交发〔2019〕115号）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17.《陕西省人民政府办公厅关于加强全省农村道路交通安全工作的意见》（陕政办发〔2016〕73号）、《公路养护工程管理办法》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18.《关于加快推进铜川市“四好农村路”高质量发展的实施意见》（铜交发〔2019〕195号）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19.资金支持项目立项及批复相关文件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20.预算单位预、决算相关文件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21.预算单位财政资金拨付凭证和银行回执单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22.预算单位财务管理制度、资产管理制度、预算管理制度、专项资金管理制度、资金拨付审批管理制度、采购管理办法、薪酬制度、绩效工资分配方案等相关管理制度文件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23.预算单位项目管理及实施相关文件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24.预算单位项目完成相关验收文件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25.预算单位2020年度和2019年度财务报表、运营数据相关数据资料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6" w:name="_Toc12059"/>
      <w:r>
        <w:rPr>
          <w:rFonts w:hint="eastAsia" w:ascii="楷体" w:hAnsi="楷体" w:eastAsia="楷体" w:cs="楷体"/>
          <w:b/>
          <w:bCs/>
          <w:color w:val="auto"/>
          <w:kern w:val="0"/>
          <w:sz w:val="32"/>
          <w:szCs w:val="32"/>
          <w:highlight w:val="none"/>
          <w:shd w:val="clear" w:color="auto" w:fill="FFFFFF"/>
          <w:lang w:val="en-US" w:eastAsia="zh-CN"/>
        </w:rPr>
        <w:t>（三）绩效评价指标与方法</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1.评价指标设置原则。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评价指标作为年度任务目标实现程度的重要衡量标准，需综合考虑绩效指标与年度任务目标是否关联、同类评价对象之间的评价结果是否可比、绩效评价依据资料和数据是否可得等方面，因此本次评价依据相关性、关键性、可比性、系统性和经济性原则设置绩效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2.绩效评价指标及评分标准。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b w:val="0"/>
          <w:bCs w:val="0"/>
          <w:color w:val="auto"/>
          <w:kern w:val="0"/>
          <w:sz w:val="32"/>
          <w:szCs w:val="32"/>
          <w:highlight w:val="none"/>
          <w:shd w:val="clear" w:color="auto" w:fill="FFFFFF"/>
          <w:lang w:val="en-US" w:eastAsia="zh-CN"/>
        </w:rPr>
      </w:pPr>
      <w:r>
        <w:rPr>
          <w:rFonts w:hint="eastAsia" w:ascii="仿宋" w:hAnsi="仿宋" w:eastAsia="仿宋" w:cs="仿宋"/>
          <w:b w:val="0"/>
          <w:bCs w:val="0"/>
          <w:color w:val="auto"/>
          <w:kern w:val="0"/>
          <w:sz w:val="32"/>
          <w:szCs w:val="32"/>
          <w:highlight w:val="none"/>
          <w:shd w:val="clear" w:color="auto" w:fill="FFFFFF"/>
          <w:lang w:val="en-US" w:eastAsia="zh-CN"/>
        </w:rPr>
        <w:t>（1）绩效评价指标体系。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绩效评价指标体系以农村公路日常养护项目为评价对象，结合铜川市财政局关于《市级项目支出预算绩效评价指标及评分标准》（铜财预〔2017〕13号）文件内容，设立决策、过程、产出、效益四个一级指标，通过查阅各种相关资料和资金使用单位收集的资料，并与资金使用单位反复沟通之后，进一步完善设立了12个二级指标、24个三级指标（详见附件2）。并根据指标体系和资金使用情况设定了合理的分值权重，合计分值为100分，具体指标分值如下：</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决策（20分）：从项目立项、绩效目标和资金投入三个方面评价项目财政资金使用中，项目立项的充分性和规范性、绩效目标的合理性和明确性、预算编制科学性和资金到位率等内容。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过程（20分）：从资金管理和项目管理两方面评价组织实施完备性、绩效自评情况、管理制度健全性以及制度执行有效性等内容。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产出（38分）：用于评价项目投入产出数量、产出质量、产出时效、产出成本等内容。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效益（22分）：用于综合评价资金投入使用后产生的经济效益、环境效益和可持续影响等内容。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val="0"/>
          <w:bCs w:val="0"/>
          <w:color w:val="auto"/>
          <w:kern w:val="0"/>
          <w:sz w:val="32"/>
          <w:szCs w:val="32"/>
          <w:highlight w:val="none"/>
          <w:shd w:val="clear" w:color="auto" w:fill="FFFFFF"/>
          <w:lang w:val="en-US" w:eastAsia="zh-CN"/>
        </w:rPr>
        <w:t>（2）绩效评价等级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财政支出绩效评价结果分为优、良、中、差四个等级。根据评价结果的分值，确定项目绩效评价最终达到的层级。具体等级可分为：90分（含）-100分为优、80分（含）-90分为良、60分（含）-80分为中、60分以下为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3.绩效评价方法。</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绩效评价方法采用比较法、因素分析法、公众评判法等方法，结合农村公路日常实际情况，对农村公路养护目标实现程度和专线资金使用效果进行综合评价。比较法，是指将实施情况与绩效目标、历史情况、不同部门和地区同类支出情况进行比较的方法。因素分析法，是指综合分析影响绩效目标实现、实施效果的内外部因素的方法。公众评判法，是指通过专家评估、公众问卷及抽样调查等方式进行评判的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7" w:name="_Toc18692"/>
      <w:r>
        <w:rPr>
          <w:rFonts w:hint="eastAsia" w:ascii="楷体" w:hAnsi="楷体" w:eastAsia="楷体" w:cs="楷体"/>
          <w:b/>
          <w:bCs/>
          <w:color w:val="auto"/>
          <w:kern w:val="0"/>
          <w:sz w:val="32"/>
          <w:szCs w:val="32"/>
          <w:highlight w:val="none"/>
          <w:shd w:val="clear" w:color="auto" w:fill="FFFFFF"/>
          <w:lang w:val="en-US" w:eastAsia="zh-CN"/>
        </w:rPr>
        <w:t>（四）绩效评价工作过程</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首先，成立绩效评价工作组并进行相关培训和任务分配，在一周内收集原始资料进行工作方案制定和指标设计，形成方案初稿；其次，在第二周根据相关意见对指标体系进行完善，并根据指标体系完善资料；再者，在第三周根据相关资料进行评价，针对相关内容与被评价单位进行座谈和现场调研，完善评价依据；最终，在第四周形成绩效评价报告初稿，并修整完成定稿。</w:t>
      </w:r>
      <w:bookmarkStart w:id="8" w:name="_Toc1564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三、综合评价情况及评价结论</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（一）综合评价情况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评价在项目收集整理、数据测算分析、现场调研查证以及沟通协商论证的基础上，评价工作组根据绩效评价指标体系评分标准和评价依据进行评分，该项目综合评价分数为85.38分，评级为“良”。其中决策指标18.88分，过程指标13.96分，产出指标36分，效益指标16.54分。各指标得分情况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表3-1  铜川市新区2020年度农村公路日常养护绩效指标评分表</w:t>
      </w:r>
    </w:p>
    <w:tbl>
      <w:tblPr>
        <w:tblStyle w:val="9"/>
        <w:tblW w:w="4998" w:type="pct"/>
        <w:tblInd w:w="0" w:type="dxa"/>
        <w:tblLayout w:type="autofit"/>
        <w:tblCellMar>
          <w:top w:w="0" w:type="dxa"/>
          <w:left w:w="108" w:type="dxa"/>
          <w:bottom w:w="0" w:type="dxa"/>
          <w:right w:w="108" w:type="dxa"/>
        </w:tblCellMar>
      </w:tblPr>
      <w:tblGrid>
        <w:gridCol w:w="2195"/>
        <w:gridCol w:w="2109"/>
        <w:gridCol w:w="2229"/>
        <w:gridCol w:w="2524"/>
      </w:tblGrid>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CellMar>
            <w:top w:w="0" w:type="dxa"/>
            <w:left w:w="108" w:type="dxa"/>
            <w:bottom w:w="0" w:type="dxa"/>
            <w:right w:w="108" w:type="dxa"/>
          </w:tblCellMar>
        </w:tblPrEx>
        <w:trPr>
          <w:trHeight w:val="90"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2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22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18.88</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94.4%</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20</w:t>
            </w:r>
          </w:p>
        </w:tc>
        <w:tc>
          <w:tcPr>
            <w:tcW w:w="22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13.96</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69.8%</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38</w:t>
            </w:r>
          </w:p>
        </w:tc>
        <w:tc>
          <w:tcPr>
            <w:tcW w:w="22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36</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94.7%</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2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22</w:t>
            </w:r>
          </w:p>
        </w:tc>
        <w:tc>
          <w:tcPr>
            <w:tcW w:w="22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16.54</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75.2%</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1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22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85.38</w:t>
            </w:r>
          </w:p>
        </w:tc>
        <w:tc>
          <w:tcPr>
            <w:tcW w:w="25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85.38%</w:t>
            </w:r>
          </w:p>
        </w:tc>
      </w:tr>
      <w:tr>
        <w:tblPrEx>
          <w:tblCellMar>
            <w:top w:w="0" w:type="dxa"/>
            <w:left w:w="108" w:type="dxa"/>
            <w:bottom w:w="0" w:type="dxa"/>
            <w:right w:w="108" w:type="dxa"/>
          </w:tblCellMar>
        </w:tblPrEx>
        <w:trPr>
          <w:trHeight w:val="285" w:hRule="atLeast"/>
        </w:trPr>
        <w:tc>
          <w:tcPr>
            <w:tcW w:w="23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绩效评价得分：85.38</w:t>
            </w:r>
          </w:p>
        </w:tc>
        <w:tc>
          <w:tcPr>
            <w:tcW w:w="2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（二）评价结论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根据绩效评分结果，结合农村公路养护实际情况和农村公路日常养护项目年度绩效目标，农村公路日常项目</w:t>
      </w:r>
      <w:r>
        <w:rPr>
          <w:rFonts w:hint="eastAsia" w:ascii="仿宋" w:hAnsi="仿宋" w:eastAsia="仿宋" w:cs="仿宋"/>
          <w:color w:val="auto"/>
          <w:kern w:val="0"/>
          <w:sz w:val="32"/>
          <w:szCs w:val="32"/>
          <w:highlight w:val="none"/>
          <w:lang w:val="en-US" w:eastAsia="zh-CN"/>
        </w:rPr>
        <w:t>在2020年度使用中的主要产出为：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第一，各项养护工作保质保量按时完成，</w:t>
      </w:r>
      <w:r>
        <w:rPr>
          <w:rFonts w:hint="eastAsia" w:ascii="仿宋" w:hAnsi="仿宋" w:eastAsia="仿宋" w:cs="仿宋"/>
          <w:color w:val="auto"/>
          <w:kern w:val="0"/>
          <w:sz w:val="32"/>
          <w:szCs w:val="32"/>
          <w:highlight w:val="none"/>
          <w:shd w:val="clear" w:color="auto" w:fill="FFFFFF"/>
          <w:lang w:val="en-US" w:eastAsia="zh-CN"/>
        </w:rPr>
        <w:t>路面清洁基本无泥土、砂子、石块、积水、积雪和杂物；路肩表面平整、整洁、与路面协接平顺；边沟、排水沟等排水设施保持畅通，路基、路面、边沟基本无积水；沿线设施保持完好，路面标准清晰整洁；行道树、绿化带鲜活整洁。</w:t>
      </w:r>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lang w:val="en-US" w:eastAsia="zh-CN"/>
        </w:rPr>
        <w:t>第二，</w:t>
      </w:r>
      <w:r>
        <w:rPr>
          <w:rFonts w:hint="eastAsia" w:ascii="仿宋" w:hAnsi="仿宋" w:eastAsia="仿宋" w:cs="仿宋"/>
          <w:color w:val="auto"/>
          <w:kern w:val="0"/>
          <w:sz w:val="32"/>
          <w:szCs w:val="32"/>
          <w:highlight w:val="none"/>
          <w:shd w:val="clear" w:color="auto" w:fill="FFFFFF"/>
          <w:lang w:val="en-US" w:eastAsia="zh-CN"/>
        </w:rPr>
        <w:t>铜川市新区境内农村公路总里程为124.16公里，进行养护修缮的里程数为51.77公里，农村道路养护修缮覆盖率约为41.7%。</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rPr>
        <w:t>第三，实施了楼安公路生命防护工程和农村公路养护工程（修补），均验收合格。</w:t>
      </w:r>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2020年农村公路日常养护项目实施后，所带来的主要效益为：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lang w:val="en-US" w:eastAsia="zh-CN"/>
        </w:rPr>
        <w:t>第一，完善新区境内交通设施建设，保障人员、货物、资源运输，有利于促进经济发展，带来了可观的经济效益。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default" w:ascii="仿宋" w:hAnsi="仿宋" w:eastAsia="仿宋" w:cs="仿宋"/>
          <w:color w:val="auto"/>
          <w:kern w:val="0"/>
          <w:sz w:val="32"/>
          <w:szCs w:val="32"/>
          <w:highlight w:val="none"/>
          <w:shd w:val="clear" w:color="auto" w:fill="FFFFFF"/>
          <w:lang w:val="en-US" w:eastAsia="zh-CN"/>
        </w:rPr>
      </w:pPr>
      <w:bookmarkStart w:id="9" w:name="_Toc5389"/>
      <w:r>
        <w:rPr>
          <w:rFonts w:hint="eastAsia" w:ascii="仿宋" w:hAnsi="仿宋" w:eastAsia="仿宋" w:cs="仿宋"/>
          <w:color w:val="auto"/>
          <w:kern w:val="0"/>
          <w:sz w:val="32"/>
          <w:szCs w:val="32"/>
          <w:highlight w:val="none"/>
          <w:shd w:val="clear" w:color="auto" w:fill="FFFFFF"/>
          <w:lang w:val="en-US" w:eastAsia="zh-CN"/>
        </w:rPr>
        <w:t>第二，保障新区境内道路通畅，方便群众、车辆通行，带来了良好的社会效益。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outlineLvl w:val="0"/>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黑体" w:hAnsi="黑体" w:eastAsia="黑体" w:cs="黑体"/>
          <w:color w:val="auto"/>
          <w:kern w:val="0"/>
          <w:sz w:val="32"/>
          <w:szCs w:val="32"/>
          <w:highlight w:val="none"/>
          <w:shd w:val="clear" w:color="auto" w:fill="FFFFFF"/>
          <w:lang w:val="en-US" w:eastAsia="zh-CN"/>
        </w:rPr>
        <w:t>四、绩效评价指标分析</w:t>
      </w:r>
      <w:bookmarkEnd w:id="9"/>
      <w:r>
        <w:rPr>
          <w:rFonts w:hint="eastAsia" w:ascii="Times New Roman" w:hAnsi="Times New Roman" w:eastAsia="仿宋_GB2312" w:cs="Times New Roman"/>
          <w:color w:val="auto"/>
          <w:kern w:val="0"/>
          <w:sz w:val="30"/>
          <w:szCs w:val="30"/>
          <w:highlight w:val="none"/>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10" w:name="_Toc17280"/>
      <w:r>
        <w:rPr>
          <w:rFonts w:hint="eastAsia" w:ascii="楷体" w:hAnsi="楷体" w:eastAsia="楷体" w:cs="楷体"/>
          <w:b/>
          <w:bCs/>
          <w:color w:val="auto"/>
          <w:kern w:val="0"/>
          <w:sz w:val="32"/>
          <w:szCs w:val="32"/>
          <w:highlight w:val="none"/>
          <w:shd w:val="clear" w:color="auto" w:fill="FFFFFF"/>
          <w:lang w:val="en-US" w:eastAsia="zh-CN"/>
        </w:rPr>
        <w:t>（一）项目决策情况</w:t>
      </w:r>
      <w:bookmarkEnd w:id="10"/>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1.项目立项--7分。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_GB2312"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bidi="ar-SA"/>
        </w:rPr>
        <w:t>农村公路日常养护项目符合《中华人民共和国公路法》、《公路安全保护条例》、《收费公路管理条例》等法律、行政法规，符合《国务院办公厅关于深化农村公路管理养护体制改革的意见》（国办发〔2019〕45号）、《交通运输部关于做好公路养护工程招标投标工作进一步推动优化营商环境政策落实的通知》（交公路规〔2020〕4号）、《陕西省交通运输厅关于进一步做好公路养护工程招标投标工作优化公路养护市场营商环境的通知》（陕交函〔2020〕1015号）、《陕西省人民政府关于加快推进“四好农村路”建设的意见》（陕政发〔2018〕21号），《关于推动“四好农村路”高质量发展的实施意见》（陕交发〔2019〕115号）、《陕西省人民政府办公厅关于加强全省农村道路交通安全工作的意见》（陕政办发〔2016〕73号）、《公路养护工程管理办法》、《关于加快推进铜川市“四好农村路”高质量发展的实施意见》（铜交发〔2019〕195号）等政策文件的相关规定。符合《铜川市新区建设局关于2019年工作总结和2020年工作计划的报告》（铜新建字〔2019〕60号）中，“</w:t>
      </w:r>
      <w:r>
        <w:rPr>
          <w:rFonts w:hint="default" w:ascii="仿宋" w:hAnsi="仿宋" w:eastAsia="仿宋" w:cs="仿宋"/>
          <w:color w:val="auto"/>
          <w:kern w:val="0"/>
          <w:sz w:val="32"/>
          <w:szCs w:val="32"/>
          <w:highlight w:val="none"/>
          <w:shd w:val="clear" w:color="auto" w:fill="FFFFFF"/>
          <w:lang w:val="en-US" w:eastAsia="zh-CN" w:bidi="ar-SA"/>
        </w:rPr>
        <w:t>做好农村公路日常养护管理，完成路网结构改造和通村公路完善工程</w:t>
      </w:r>
      <w:r>
        <w:rPr>
          <w:rFonts w:hint="eastAsia" w:ascii="仿宋" w:hAnsi="仿宋" w:eastAsia="仿宋" w:cs="仿宋"/>
          <w:color w:val="auto"/>
          <w:kern w:val="0"/>
          <w:sz w:val="32"/>
          <w:szCs w:val="32"/>
          <w:highlight w:val="none"/>
          <w:shd w:val="clear" w:color="auto" w:fill="FFFFFF"/>
          <w:lang w:val="en-US" w:eastAsia="zh-CN" w:bidi="ar-SA"/>
        </w:rPr>
        <w:t>”的工作计划</w:t>
      </w:r>
      <w:r>
        <w:rPr>
          <w:rFonts w:hint="default" w:ascii="仿宋" w:hAnsi="仿宋" w:eastAsia="仿宋" w:cs="仿宋"/>
          <w:color w:val="auto"/>
          <w:kern w:val="0"/>
          <w:sz w:val="32"/>
          <w:szCs w:val="32"/>
          <w:highlight w:val="none"/>
          <w:shd w:val="clear" w:color="auto" w:fill="FFFFFF"/>
          <w:lang w:val="en-US" w:eastAsia="zh-CN" w:bidi="ar-SA"/>
        </w:rPr>
        <w:t>。</w:t>
      </w:r>
      <w:r>
        <w:rPr>
          <w:rFonts w:hint="eastAsia" w:ascii="仿宋" w:hAnsi="仿宋" w:eastAsia="仿宋" w:cs="仿宋"/>
          <w:color w:val="auto"/>
          <w:kern w:val="0"/>
          <w:sz w:val="32"/>
          <w:szCs w:val="32"/>
          <w:highlight w:val="none"/>
          <w:shd w:val="clear" w:color="auto" w:fill="FFFFFF"/>
          <w:lang w:val="en-US" w:eastAsia="zh-CN" w:bidi="ar-SA"/>
        </w:rPr>
        <w:t>所以，铜川新区2020年度农村公路日常养护项目，符合国家法律法</w:t>
      </w:r>
      <w:r>
        <w:rPr>
          <w:rFonts w:hint="eastAsia" w:ascii="仿宋" w:hAnsi="仿宋" w:eastAsia="仿宋" w:cs="仿宋"/>
          <w:color w:val="auto"/>
          <w:kern w:val="0"/>
          <w:sz w:val="32"/>
          <w:szCs w:val="32"/>
          <w:highlight w:val="none"/>
          <w:shd w:val="clear" w:color="auto" w:fill="FFFFFF"/>
          <w:lang w:val="en-US" w:eastAsia="zh-CN"/>
        </w:rPr>
        <w:t>规、经济社会发展规划和相关政策，符合中央、地方财政事权支出划分责任，符合部门年度工作计划，是针对农村公路养护的具体需求设定，按照规定的程序申请设立，审批文件、材料皆符合相关要求，立项依据充分且立项程序规范，但没有具体的集体决策文件和文件批复，所以项目立项这一指标得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2.绩效目标--6分。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村公路日常养护项目绩效目标表、绩效自评表和自评报告以及预算申报等相关文件，绩效目标设定了产出数量、产出质量、产出时效、产出成本、社会效益、可持续影响和服务对象满意度指标，绩效目标设置相对明确，目标设定完整，与预算资金规模相匹配，并细化成可量化</w:t>
      </w:r>
      <w:r>
        <w:rPr>
          <w:rFonts w:hint="eastAsia" w:ascii="仿宋" w:hAnsi="仿宋" w:eastAsia="仿宋" w:cs="仿宋"/>
          <w:color w:val="auto"/>
          <w:kern w:val="0"/>
          <w:sz w:val="32"/>
          <w:szCs w:val="32"/>
          <w:highlight w:val="none"/>
          <w:shd w:val="clear" w:color="auto" w:fill="FFFFFF"/>
          <w:lang w:eastAsia="zh-CN"/>
        </w:rPr>
        <w:t>的</w:t>
      </w:r>
      <w:r>
        <w:rPr>
          <w:rFonts w:hint="eastAsia" w:ascii="仿宋" w:hAnsi="仿宋" w:eastAsia="仿宋" w:cs="仿宋"/>
          <w:color w:val="auto"/>
          <w:kern w:val="0"/>
          <w:sz w:val="32"/>
          <w:szCs w:val="32"/>
          <w:highlight w:val="none"/>
          <w:shd w:val="clear" w:color="auto" w:fill="FFFFFF"/>
          <w:lang w:val="en-US" w:eastAsia="zh-CN"/>
        </w:rPr>
        <w:t>指标值，绩效指标值与项目目标任务数基本对应，绩效目标合理，绩效指标明确，所以绩效目标这一指标得6分。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3.资金投入--5.88分。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2020年度铜川市新区农村公路日常养护费根据</w:t>
      </w:r>
      <w:r>
        <w:rPr>
          <w:rFonts w:hint="eastAsia" w:ascii="仿宋" w:hAnsi="仿宋" w:eastAsia="仿宋" w:cs="仿宋"/>
          <w:color w:val="auto"/>
          <w:kern w:val="0"/>
          <w:sz w:val="32"/>
          <w:szCs w:val="32"/>
          <w:highlight w:val="none"/>
          <w:shd w:val="clear" w:color="auto" w:fill="FFFFFF"/>
          <w:lang w:val="en-US" w:eastAsia="zh-CN" w:bidi="ar-SA"/>
        </w:rPr>
        <w:t>《关于加快推进铜川市“四好农村路”高质量发展的实施意见》（铜交发〔2019〕195号）中：</w:t>
      </w:r>
      <w:r>
        <w:rPr>
          <w:rFonts w:hint="eastAsia" w:ascii="仿宋" w:hAnsi="仿宋" w:eastAsia="仿宋" w:cs="仿宋"/>
          <w:color w:val="auto"/>
          <w:kern w:val="0"/>
          <w:sz w:val="32"/>
          <w:szCs w:val="32"/>
          <w:highlight w:val="none"/>
          <w:shd w:val="clear" w:color="auto" w:fill="FFFFFF"/>
          <w:lang w:val="en-US" w:eastAsia="zh-CN"/>
        </w:rPr>
        <w:t>“农村公路日常养护费按照每年每公里县道10000元、乡道6000元、村道3000元的标准和市、区（县）按照2:8比例负担”，预算编制符合相关行业标准和政策，预算内容与项目内容匹配，预算额度测算依据充分，按照标准编制，预算确定的资金量与工作任务相匹配，所以预算编制科学性指标得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财政局关于下达2020年度部门预算的通知》（铜新财预〔2020〕3号），公路养护费用预算为1076600元，根据《铜川市交通运输局关于下达铜川市2020年第一批农村公路日常养护费市级补助资金的通知》（铜交函〔2020〕165号）、《铜川市公路管理处关于下达2020年铜川市第二批农村公路日常养护费市级补助资金的通知》（铜公发〔2020〕43号），共计下发资金101万元，资金到位率约为94%，资金到位率指标得1.88分，所以二级指标资金投入得5.88分。</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1" w:name="_Toc23681"/>
      <w:r>
        <w:rPr>
          <w:rFonts w:hint="eastAsia" w:ascii="楷体" w:hAnsi="楷体" w:eastAsia="楷体" w:cs="楷体"/>
          <w:b/>
          <w:bCs/>
          <w:color w:val="auto"/>
          <w:kern w:val="0"/>
          <w:sz w:val="32"/>
          <w:szCs w:val="32"/>
          <w:highlight w:val="none"/>
          <w:shd w:val="clear" w:color="auto" w:fill="FFFFFF"/>
          <w:lang w:val="en-US" w:eastAsia="zh-CN"/>
        </w:rPr>
        <w:t>项目过程情况</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1.资金管理--6.69分。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评价资金使用单位在专项资金使用过程中的管理情况，主要从管理制度健全性、资金使用规范性以及预算执行率三个方面进行综合评价，用以反映和考核专项资金使用过程中的规范性和管理制度的完善性，以方便资金使用单位和财务主管部门对于资金使用过程中存在的问题及时发现并强化管控。结合资金使用单位实际情况，专项资金的资金管理评价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铜川市新区住房建设和交通运输局作为资金使用单位，根据《中华人民共和国预算法》等有关法律法规规定，结合部门实际情况，制定了部门自身的支出管理制度和收入管理制度，对财务岗位的主要职责也有明确规定。在这些制度和规定中，对资金管理、预算管理、资金拨付审批、财务监督审计有严格的制度规定。但缺乏成本核算制度和专项资金管理办法。所以，管理制度健全性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资金使用过程中遵守相关法律法规和相关管理制度规定，项目实施程序和相关手续合规、完备，相关资金的拨付有完整的审批手续和资料。但预算执行中缺乏监控，所以资金使用规范性得3分。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交通运输局关于下达铜川市2020年第一批农村公路日常养护费市级补助资金的通知》（铜交函〔2020〕165号）、《铜川市公路管理处关于下达2020年铜川市第二批农村公路日常养护费市级补助资金的通知》（铜公发〔2020〕43号），实际到位资金101万元，根据《关于拨付新区农村公路养护和管理费用的请示》（铜六建司字〔2020〕50号）、《关于楼安路生命防护工程工程款的请示》（铜六建司字〔2020〕70号）、《关于农村公路养护工程（修补）工程款的请示》（铜六建司字〔2020〕71号）等文件及其相对应的国库集中支付凭证、财政授权支付凭证，2020年农村公路养护工程实际支出992849.7元，预算执行率约为98%。所以，预算执行率指标得分为1.96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所以，资金管理指标得6.96分。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2.项目管理--7分。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     项目管理指标主要评价资金使用单位在项目管理中的管理制度健全性、组织实施的完备性和制度执行有效性，以及绩效自评工作开展情况。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铜川市新区住房建设和交通运输局，对部门职能和岗位职责做出了相关规定。但不具备农村公路养护项目和资料归档相关管理制度文件。所以，管理制度健全性指标得1分。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建设局关于调整领导分工和科室职责的通知》（铜新建发〔2018〕81号），铜川市新区住房建设和交通运输局的主要职责比较明晰，机构健全，部门人员完备且职责划分明确，有具体的项目实施计划和进度安排。所以，组织实施的完备性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农村公路养护项目实施过程中，符合法律法规和业务规定，项目实施程序和相关手续合规、完备，各项工作进行了合理分配，项目相关工作按照农村公路养护计划进行。所以，制度执行有效性指标得2分。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绩效自评报告客观完整，但问题分析不够全面，建议可操作性有待提高。所以，绩效自评指标得2分。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所以，项目管理指标得7分。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2" w:name="_Toc3813"/>
      <w:r>
        <w:rPr>
          <w:rFonts w:hint="eastAsia" w:ascii="楷体" w:hAnsi="楷体" w:eastAsia="楷体" w:cs="楷体"/>
          <w:b/>
          <w:bCs/>
          <w:color w:val="auto"/>
          <w:kern w:val="0"/>
          <w:sz w:val="32"/>
          <w:szCs w:val="32"/>
          <w:highlight w:val="none"/>
          <w:shd w:val="clear" w:color="auto" w:fill="FFFFFF"/>
          <w:lang w:val="en-US" w:eastAsia="zh-CN"/>
        </w:rPr>
        <w:t>（三）项目产出情况</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项目支出绩效评价管理办法、项目实施方案和项目单位绩效目标申报情况，结合项目执行的实际情况，绩效评价产出指标细化为产出数量、产出质量、产出时效和产出成本四个二级指标，并根据不同项目内容将指标分值进行合理分配，通过各项目的产出情况结合分值分配情况对项目的产出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1.产出数量--12分。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根据铜川市新区建设局与铜川市第六建筑工程有限责任公司签订的《铜川市新区农村公路养护和管理采购项目承包合同》，约定的计划养护里程为51.77公里，实际养护里程为51.77，所以道路里程养护率指标得6分。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根据农村公路养护日常考核结果，计划的各项养护工作均按照养护计划完成，养护计划完成率指标得6分。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所以，产出数量指标得12分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2.产出质量--10分。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新区农村公路日常养护季度考核评定表，第一季度考核综合得分为88.1分，第二季度考核综合得分为90.1分，第三季度考核综合得分为91.7分，第四季度考核综合得分为90.9分,2020年农村公路养护考核评定综合得分为90.2分，在90分以上。所以，农村公路养护验收情况指标得分为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根据楼安公路生命防护工程和农村公路养护工程的审核报告，楼安公路生命防护工程和农村公路养护工程均验收合格。所以，农村道路修缮验收合格率指标得5分。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所以，产出质量指标得10分。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3.产出时效--10分。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 根据农村公路养护施工合同和养护道路修补验收单，农村公路养护工程（修补）按时完成；根据楼安公路生命防护工程钢板护栏安装施工合同和楼安公路生命防护工程竣工验收单，楼安公路生命防护工程按时完成；根据新区农村公路日常养护季度考核评定表，各项农村公路日常养护工作按时完成。所以，农村道路养护完成及时率指标得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住房建设和交通运输局关于部分破损路面及盖板维修养护的回复》（铜新建发〔2020〕174号），文件下达日期为2020年11月4日，根据养护道路修补验收单，农村公路养护工程（修补）开工日期为2020年11月6日，在三日内及时开始修缮。所以，农村公路修缮及时情况指标得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所以，产出时效指标得分为10分。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4.产出成本--4分。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2020年农村公路日常养护项目计划成本为1067700元，实际使用992849.7元，成本节约率约为7%，大于5%小于10%。所以，产出成本指标得4分。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3" w:name="_Toc48"/>
      <w:r>
        <w:rPr>
          <w:rFonts w:hint="eastAsia" w:ascii="楷体" w:hAnsi="楷体" w:eastAsia="楷体" w:cs="楷体"/>
          <w:b/>
          <w:bCs/>
          <w:color w:val="auto"/>
          <w:kern w:val="0"/>
          <w:sz w:val="32"/>
          <w:szCs w:val="32"/>
          <w:highlight w:val="none"/>
          <w:shd w:val="clear" w:color="auto" w:fill="FFFFFF"/>
          <w:lang w:val="en-US" w:eastAsia="zh-CN"/>
        </w:rPr>
        <w:t>（四）项目效益情况</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效益指标根据相关资料评价项目完成后所带来的资金使用效益，效益指标进一步细化为社会效益、环境效益和满意度指标4个方面。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1.社会效益--6分。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根据铜川市耀州区建制村通畅情况遥感审核明细表，铜川市新区境内农村公路均通畅，农村道路正常使用率为100%，所以社会效益指标得6分。</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2.环境效益--2.5分。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农村公路移交书和铜川新区坡头镇农村公路移交书，向铜川市新区经济发展局移交的农村公路总里程为124.16公里，即铜川市新区境内农村公路总里程为124.16公里，根据铜川市新区建设局与铜川市第六建筑工程有限责任公司签订的《铜川市新区农村公路养护和管理采购项目承包合同》，进行养护修缮的里程数为51.77公里，农村道路养护修缮覆盖率约为41.7%。所以，环境效益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3.服务对象满意度--8.04分。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农村公路日常养护项目收益的出行群众和司乘人员的满意度情况。针对出行群众发放10分调查问卷，回收10分，调查问卷有效率为100%，针对司乘人员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Ai=6*p1+4*p2+2*p3+0*p4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w:t>
      </w:r>
      <w:r>
        <w:rPr>
          <w:rFonts w:hint="default" w:ascii="Arial" w:hAnsi="Arial" w:eastAsia="仿宋" w:cs="Arial"/>
          <w:color w:val="auto"/>
          <w:kern w:val="0"/>
          <w:sz w:val="32"/>
          <w:szCs w:val="32"/>
          <w:highlight w:val="none"/>
          <w:shd w:val="clear" w:color="auto" w:fill="FFFFFF"/>
          <w:lang w:val="en-US" w:eastAsia="zh-CN"/>
        </w:rPr>
        <w:t>…</w:t>
      </w:r>
      <w:r>
        <w:rPr>
          <w:rFonts w:hint="eastAsia" w:ascii="Arial" w:hAnsi="Arial" w:eastAsia="仿宋" w:cs="Arial"/>
          <w:color w:val="auto"/>
          <w:kern w:val="0"/>
          <w:sz w:val="32"/>
          <w:szCs w:val="32"/>
          <w:highlight w:val="none"/>
          <w:shd w:val="clear" w:color="auto" w:fill="FFFFFF"/>
          <w:lang w:val="en-US" w:eastAsia="zh-CN"/>
        </w:rPr>
        <w:t>i</w:t>
      </w:r>
      <w:r>
        <w:rPr>
          <w:rFonts w:hint="eastAsia" w:ascii="仿宋" w:hAnsi="仿宋" w:eastAsia="仿宋" w:cs="仿宋"/>
          <w:color w:val="auto"/>
          <w:kern w:val="0"/>
          <w:sz w:val="32"/>
          <w:szCs w:val="32"/>
          <w:highlight w:val="none"/>
          <w:shd w:val="clear" w:color="auto" w:fill="FFFFFF"/>
          <w:lang w:val="en-US" w:eastAsia="zh-CN"/>
        </w:rPr>
        <w:t>）:调查问卷中的第i个问题分值。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M=(A1+A2+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+Ai)/i(i=1、2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10)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M:服务对象满意度调查分值。</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      i:调查问卷题项数量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表3-1  出行群众满意度调查问卷统计分析表</w:t>
      </w:r>
    </w:p>
    <w:tbl>
      <w:tblPr>
        <w:tblStyle w:val="9"/>
        <w:tblW w:w="5000" w:type="pct"/>
        <w:tblInd w:w="0" w:type="dxa"/>
        <w:tblLayout w:type="autofit"/>
        <w:tblCellMar>
          <w:top w:w="0" w:type="dxa"/>
          <w:left w:w="0" w:type="dxa"/>
          <w:bottom w:w="0" w:type="dxa"/>
          <w:right w:w="0" w:type="dxa"/>
        </w:tblCellMar>
      </w:tblPr>
      <w:tblGrid>
        <w:gridCol w:w="2939"/>
        <w:gridCol w:w="1180"/>
        <w:gridCol w:w="1183"/>
        <w:gridCol w:w="1183"/>
        <w:gridCol w:w="1183"/>
        <w:gridCol w:w="1197"/>
      </w:tblGrid>
      <w:tr>
        <w:tblPrEx>
          <w:tblCellMar>
            <w:top w:w="0" w:type="dxa"/>
            <w:left w:w="0" w:type="dxa"/>
            <w:bottom w:w="0" w:type="dxa"/>
            <w:right w:w="0" w:type="dxa"/>
          </w:tblCellMar>
        </w:tblPrEx>
        <w:trPr>
          <w:trHeight w:val="300"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问卷题项</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tblCellMar>
            <w:top w:w="0" w:type="dxa"/>
            <w:left w:w="0" w:type="dxa"/>
            <w:bottom w:w="0" w:type="dxa"/>
            <w:right w:w="0" w:type="dxa"/>
          </w:tblCellMar>
        </w:tblPrEx>
        <w:trPr>
          <w:trHeight w:val="600"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您对道路路面平整情况感觉怎么样？</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3.8</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0.5</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0.1</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您对道路旁绿化情况满意吗？</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sz w:val="24"/>
                <w:szCs w:val="24"/>
                <w:u w:val="none"/>
                <w:lang w:val="en-US" w:eastAsia="zh-CN"/>
              </w:rPr>
              <w:t>3.8</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0.5</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480"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您对道路卫生情况满意吗？</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4.2</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264"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您对道路排水情况满意吗？</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4.2</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460"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您对道路斑马线设置情况满意吗？</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86"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您对新区农村公路养护的整体感受怎么样？</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0.8</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0.2</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300" w:hRule="atLeast"/>
        </w:trPr>
        <w:tc>
          <w:tcPr>
            <w:tcW w:w="165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7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表3-2  司乘人员满意度调查问卷统计分析表</w:t>
      </w:r>
    </w:p>
    <w:tbl>
      <w:tblPr>
        <w:tblStyle w:val="9"/>
        <w:tblW w:w="5000" w:type="pct"/>
        <w:tblInd w:w="0" w:type="dxa"/>
        <w:tblLayout w:type="autofit"/>
        <w:tblCellMar>
          <w:top w:w="0" w:type="dxa"/>
          <w:left w:w="0" w:type="dxa"/>
          <w:bottom w:w="0" w:type="dxa"/>
          <w:right w:w="0" w:type="dxa"/>
        </w:tblCellMar>
      </w:tblPr>
      <w:tblGrid>
        <w:gridCol w:w="2941"/>
        <w:gridCol w:w="1181"/>
        <w:gridCol w:w="1183"/>
        <w:gridCol w:w="1183"/>
        <w:gridCol w:w="1183"/>
        <w:gridCol w:w="1194"/>
      </w:tblGrid>
      <w:tr>
        <w:tblPrEx>
          <w:tblCellMar>
            <w:top w:w="0" w:type="dxa"/>
            <w:left w:w="0" w:type="dxa"/>
            <w:bottom w:w="0" w:type="dxa"/>
            <w:right w:w="0" w:type="dxa"/>
          </w:tblCellMar>
        </w:tblPrEx>
        <w:trPr>
          <w:trHeight w:val="3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问卷题项</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tblCellMar>
            <w:top w:w="0" w:type="dxa"/>
            <w:left w:w="0" w:type="dxa"/>
            <w:bottom w:w="0" w:type="dxa"/>
            <w:right w:w="0" w:type="dxa"/>
          </w:tblCellMar>
        </w:tblPrEx>
        <w:trPr>
          <w:trHeight w:val="6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您对道路路面通畅情况满意吗？</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您对道路旁绿化情况满意吗？</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35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您对路面洁净整齐程度满意吗？</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3.8</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0.5</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0.1</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您对道路沿线防护设施满意吗？</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1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您对道路交通标志完好情况满意吗？</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3.8</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0.6</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6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您对破损路面及时修缮情况满意吗？</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47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您对在新区农村公路行驶感觉怎么样？</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4.4</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0.7</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0.3</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300" w:hRule="atLeast"/>
        </w:trPr>
        <w:tc>
          <w:tcPr>
            <w:tcW w:w="1658"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666"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4.01</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根据绩效评价指标体系和满意度调查问卷数据统计情况和分值计算公式，服务对象满意度指标得分为8.04分。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14" w:name="_Toc20698"/>
      <w:r>
        <w:rPr>
          <w:rFonts w:hint="eastAsia" w:ascii="黑体" w:hAnsi="黑体" w:eastAsia="黑体" w:cs="黑体"/>
          <w:color w:val="auto"/>
          <w:kern w:val="0"/>
          <w:sz w:val="32"/>
          <w:szCs w:val="32"/>
          <w:highlight w:val="none"/>
          <w:shd w:val="clear" w:color="auto" w:fill="FFFFFF"/>
          <w:lang w:val="en-US" w:eastAsia="zh-CN"/>
        </w:rPr>
        <w:t>五、主要经验和做法、存在的问题及原因分析</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（一）主要经验和做法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通过对于2020年度农村公路日常养护的绩效评价结果分析，农村公路日常养护工作在多个方面</w:t>
      </w:r>
      <w:r>
        <w:rPr>
          <w:rFonts w:hint="eastAsia" w:ascii="仿宋" w:hAnsi="仿宋" w:eastAsia="仿宋" w:cs="仿宋"/>
          <w:color w:val="auto"/>
          <w:kern w:val="0"/>
          <w:sz w:val="32"/>
          <w:szCs w:val="32"/>
          <w:highlight w:val="none"/>
          <w:shd w:val="clear" w:color="auto" w:fill="FFFFFF"/>
          <w:lang w:val="en-US" w:eastAsia="zh-Hans"/>
        </w:rPr>
        <w:t>有所突破</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养护工作完成情况良好。路面清洁基本无泥土、砂子、石块、积水、积雪和杂物；路肩表面平整、整洁、与路面协接平顺；边沟、排水沟等排水设施保持畅通，路基、路面、边沟基本无积水；沿线设施保持完好，路面标准清晰整洁；行道树、绿化带鲜活整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破损路段修缮及时彻底。咸丰汽车站至野狐坡与关庄界县道、210国道至鱼池乡道沥青路面出现破损，能够做到及时发现、及时决策、及时修缮、及时完工，保质保量完成修缮任务，为新区道路畅通、居民和车辆出行安全做出了贡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3.境内农村公路保持畅通。对新区境内农村公路进行日常养护、对破损路面及时进行修缮、对楼安公路进行提升改造，时刻注意影响道路通畅的突发情况，并及时处理解决，保持新区境内农村公路畅通。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 </w:t>
      </w:r>
      <w:r>
        <w:rPr>
          <w:rFonts w:hint="eastAsia" w:ascii="仿宋" w:hAnsi="仿宋" w:eastAsia="仿宋" w:cs="仿宋"/>
          <w:color w:val="auto"/>
          <w:kern w:val="0"/>
          <w:sz w:val="32"/>
          <w:szCs w:val="32"/>
          <w:highlight w:val="none"/>
          <w:shd w:val="clear" w:color="auto" w:fill="FFFFFF"/>
          <w:lang w:val="en-US" w:eastAsia="zh-CN"/>
        </w:rPr>
        <w:t>按照以资金使用为主线，以项目产出和效益情况为导向的绩效评价思路，对农村公路日常养护项目内容进行综合评价</w:t>
      </w:r>
      <w:r>
        <w:rPr>
          <w:rFonts w:hint="eastAsia" w:ascii="仿宋" w:hAnsi="仿宋" w:eastAsia="仿宋" w:cs="仿宋"/>
          <w:color w:val="auto"/>
          <w:kern w:val="0"/>
          <w:sz w:val="32"/>
          <w:szCs w:val="32"/>
          <w:highlight w:val="none"/>
          <w:shd w:val="clear" w:color="auto" w:fill="FFFFFF"/>
          <w:lang w:eastAsia="zh-CN"/>
        </w:rPr>
        <w:t>。主要存在以下问题</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1.项目缺乏统筹管理，资金使用缺乏管理。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没有制定具体的农村公路日常养护项目相关的管理制度，对资料归档也没有明确规定，对项目管理缺乏统筹规划，不利于农村道路日常养护工作开展。对下拨的农村公路日常养护费没有制定对应的管理办法，也没有成本核算的相关制度，资金使用缺乏管理依据和章程，容易导致资金使用混乱、效率低下。缺乏预算执行监控，导致预算执行率也不高。</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对部门自身制度建设不够重视，只沿袭上级制定的相关制度，没有依据自身实际情况制定具体的管理制度。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2.绩效自评工作开展不到位。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eastAsia="zh-CN"/>
        </w:rPr>
        <w:t>在绩效自评环节，</w:t>
      </w:r>
      <w:r>
        <w:rPr>
          <w:rFonts w:hint="eastAsia" w:ascii="仿宋" w:hAnsi="仿宋" w:eastAsia="仿宋" w:cs="仿宋"/>
          <w:color w:val="auto"/>
          <w:kern w:val="0"/>
          <w:sz w:val="32"/>
          <w:szCs w:val="32"/>
          <w:highlight w:val="none"/>
          <w:shd w:val="clear" w:color="auto" w:fill="FFFFFF"/>
          <w:lang w:val="en-US" w:eastAsia="zh-CN"/>
        </w:rPr>
        <w:t>农村公路日常养护项目缺乏单独的绩效自评报告，对项目开展存在的问题和改进措施不够切实具体，报告整体内容需要完善。</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部门对绩效自评工作不够重视。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3.农村道路日常养护覆盖率有待提高。</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铜川市新区境内农村公路总里程为124.16公里，进行日常养护的里程数只有51.77公里，农村道路养护修缮覆盖率只有41.7%，明显没有达到新区境内农村公路日常养护的要求。</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在一定程度上忽视了一些偏远、使用率低的农村公路养护。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15" w:name="_Toc30568"/>
      <w:r>
        <w:rPr>
          <w:rFonts w:hint="eastAsia" w:ascii="黑体" w:hAnsi="黑体" w:eastAsia="黑体" w:cs="黑体"/>
          <w:color w:val="auto"/>
          <w:kern w:val="0"/>
          <w:sz w:val="32"/>
          <w:szCs w:val="32"/>
          <w:highlight w:val="none"/>
          <w:shd w:val="clear" w:color="auto" w:fill="FFFFFF"/>
          <w:lang w:val="en-US" w:eastAsia="zh-CN"/>
        </w:rPr>
        <w:t>六、有关建议</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针对</w:t>
      </w:r>
      <w:r>
        <w:rPr>
          <w:rFonts w:hint="eastAsia" w:ascii="仿宋" w:hAnsi="仿宋" w:eastAsia="仿宋" w:cs="仿宋"/>
          <w:color w:val="auto"/>
          <w:kern w:val="0"/>
          <w:sz w:val="32"/>
          <w:szCs w:val="32"/>
          <w:highlight w:val="none"/>
          <w:shd w:val="clear" w:color="auto" w:fill="FFFFFF"/>
          <w:lang w:eastAsia="zh-CN"/>
        </w:rPr>
        <w:t>上述有关问题，</w:t>
      </w:r>
      <w:r>
        <w:rPr>
          <w:rFonts w:hint="eastAsia" w:ascii="仿宋" w:hAnsi="仿宋" w:eastAsia="仿宋" w:cs="仿宋"/>
          <w:color w:val="auto"/>
          <w:kern w:val="0"/>
          <w:sz w:val="32"/>
          <w:szCs w:val="32"/>
          <w:highlight w:val="none"/>
          <w:shd w:val="clear" w:color="auto" w:fill="FFFFFF"/>
          <w:lang w:val="en-US" w:eastAsia="zh-CN"/>
        </w:rPr>
        <w:t>结合农村公路日常养护基本目标</w:t>
      </w: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为进一步提升项目实施效果，推动农村公路日常养护目标实现</w:t>
      </w:r>
      <w:r>
        <w:rPr>
          <w:rFonts w:hint="eastAsia" w:ascii="仿宋" w:hAnsi="仿宋" w:eastAsia="仿宋" w:cs="仿宋"/>
          <w:color w:val="auto"/>
          <w:kern w:val="0"/>
          <w:sz w:val="32"/>
          <w:szCs w:val="32"/>
          <w:highlight w:val="none"/>
          <w:shd w:val="clear" w:color="auto" w:fill="FFFFFF"/>
          <w:lang w:eastAsia="zh-CN"/>
        </w:rPr>
        <w:t>，特提出如下建议：</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完善制度建设，加强统筹管理。以上级部门制定的制度为依据，结合上级部门或其他单位的成功经验，结合部门自身实际情况，制定科学完备的项目管理制度、资金管理制度、成本核算制度，开展预算执行监控，对项目实施和资金使用统筹管理，科学规划，确保每一笔资金的使用、每项工作的开展都合理合规，符合提前制定的科学计划安排，提高资金的使用效率项目的实施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二）开展绩效管理培训，提高绩效管理水平。加强绩效管理全过程的指导与培训，对事前绩效评估、绩效目标管理、绩效运行监控、绩效自评、自评结果应用等相关内容进行系统培训，提高绩效管理业务人员的绩效管理能力和认知水平。</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三</w:t>
      </w: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扩大农村公路日常养护范围。将新区境内所有农村公路纳入日常养护计划，确保新区境内所有农村公路都能得到全方面的养护，能够及时对破损路面进行修缮，保持道路通畅、道路清洁、相关设施完善，改善新区境内交通环境，便利群众、车辆出行。</w:t>
      </w:r>
      <w:bookmarkStart w:id="16" w:name="_Toc26504"/>
    </w:p>
    <w:bookmarkEnd w:id="16"/>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sectPr>
          <w:footerReference r:id="rId6" w:type="default"/>
          <w:pgSz w:w="11906" w:h="16838"/>
          <w:pgMar w:top="2098" w:right="1474" w:bottom="1984" w:left="1587" w:header="992" w:footer="992" w:gutter="0"/>
          <w:pgNumType w:fmt="decimal"/>
          <w:cols w:space="720" w:num="1"/>
          <w:docGrid w:type="lines" w:linePitch="312" w:charSpace="0"/>
        </w:sectPr>
      </w:pPr>
    </w:p>
    <w:p>
      <w:pPr>
        <w:numPr>
          <w:ilvl w:val="0"/>
          <w:numId w:val="0"/>
        </w:numPr>
        <w:jc w:val="both"/>
        <w:outlineLvl w:val="9"/>
        <w:rPr>
          <w:rFonts w:hint="default" w:ascii="黑体" w:hAnsi="黑体" w:eastAsia="黑体" w:cs="黑体"/>
          <w:b w:val="0"/>
          <w:bCs w:val="0"/>
          <w:color w:val="auto"/>
          <w:kern w:val="0"/>
          <w:sz w:val="32"/>
          <w:szCs w:val="32"/>
          <w:highlight w:val="none"/>
          <w:shd w:val="clear" w:color="auto" w:fill="FFFFFF"/>
          <w:lang w:val="en-US" w:eastAsia="zh-CN"/>
        </w:rPr>
      </w:pPr>
      <w:bookmarkStart w:id="17" w:name="_Toc9083"/>
      <w:r>
        <w:rPr>
          <w:rFonts w:hint="eastAsia" w:ascii="黑体" w:hAnsi="黑体" w:eastAsia="黑体" w:cs="黑体"/>
          <w:b w:val="0"/>
          <w:bCs w:val="0"/>
          <w:color w:val="auto"/>
          <w:kern w:val="0"/>
          <w:sz w:val="32"/>
          <w:szCs w:val="32"/>
          <w:highlight w:val="none"/>
          <w:shd w:val="clear" w:color="auto" w:fill="FFFFFF"/>
          <w:lang w:val="en-US" w:eastAsia="zh-CN"/>
        </w:rPr>
        <w:t>附件1：</w:t>
      </w:r>
      <w:bookmarkEnd w:id="17"/>
      <w:r>
        <w:rPr>
          <w:rFonts w:hint="eastAsia" w:ascii="黑体" w:hAnsi="黑体" w:eastAsia="黑体" w:cs="黑体"/>
          <w:b w:val="0"/>
          <w:bCs w:val="0"/>
          <w:color w:val="auto"/>
          <w:kern w:val="0"/>
          <w:sz w:val="32"/>
          <w:szCs w:val="32"/>
          <w:highlight w:val="none"/>
          <w:shd w:val="clear" w:color="auto" w:fill="FFFFFF"/>
          <w:lang w:val="en-US" w:eastAsia="zh-CN"/>
        </w:rPr>
        <w:t>工作底稿</w:t>
      </w:r>
    </w:p>
    <w:p>
      <w:pPr>
        <w:numPr>
          <w:ilvl w:val="0"/>
          <w:numId w:val="0"/>
        </w:numPr>
        <w:jc w:val="center"/>
        <w:outlineLvl w:val="9"/>
        <w:rPr>
          <w:rFonts w:hint="eastAsia" w:ascii="黑体" w:hAnsi="黑体" w:eastAsia="黑体" w:cs="黑体"/>
          <w:b w:val="0"/>
          <w:bCs w:val="0"/>
          <w:color w:val="auto"/>
          <w:kern w:val="0"/>
          <w:sz w:val="32"/>
          <w:szCs w:val="32"/>
          <w:highlight w:val="none"/>
          <w:shd w:val="clear" w:color="auto" w:fill="FFFFFF"/>
          <w:lang w:val="en-US" w:eastAsia="zh-CN"/>
        </w:rPr>
      </w:pPr>
    </w:p>
    <w:p>
      <w:pPr>
        <w:numPr>
          <w:ilvl w:val="0"/>
          <w:numId w:val="0"/>
        </w:numPr>
        <w:jc w:val="center"/>
        <w:outlineLvl w:val="9"/>
        <w:rPr>
          <w:rFonts w:hint="default" w:ascii="黑体" w:hAnsi="黑体" w:eastAsia="黑体" w:cs="黑体"/>
          <w:b w:val="0"/>
          <w:bCs w:val="0"/>
          <w:color w:val="auto"/>
          <w:kern w:val="0"/>
          <w:sz w:val="32"/>
          <w:szCs w:val="32"/>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铜川市新区2020年度农村公路日常养护项目绩效评价指标体系打分表</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26"/>
        <w:gridCol w:w="1734"/>
        <w:gridCol w:w="2085"/>
        <w:gridCol w:w="1802"/>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719"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一级指标</w:t>
            </w:r>
          </w:p>
        </w:tc>
        <w:tc>
          <w:tcPr>
            <w:tcW w:w="1017"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二级指标</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三级指标</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分值</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决策</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项目立项</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立项依据充分性（5）</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立项程序规范性（3）</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绩效目标</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绩效目标合理性（3）</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绩效指标明确性（3）</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资金投入</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预算编制科学性（4）</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资金到位率</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资金管理</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管理制度健全性（3）</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资金使用规范性（4）</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预算执行率</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项目管理</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管理制度健全性（3）</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组织实施的完备性（2）</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制度执行有效性（2）</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绩效自评</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9"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产出数量</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道路养护里程完成率（6）</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养护计划完成率（6）</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产出质量</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农村公路养护验收情况（5）</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农村道路修缮验收合格率（5）</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产出时效</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农村道路养护完成及时率（5）</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农村公路修缮及时情况（5）</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产出成本</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农村道路养护成本控制率（6）</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效益</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017"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社会效益</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农村道路正常使用率（6）</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环境效益</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农村道路养护修缮覆盖率（6）</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服务对象满意度（10）</w:t>
            </w:r>
          </w:p>
        </w:tc>
        <w:tc>
          <w:tcPr>
            <w:tcW w:w="1223" w:type="pct"/>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出行群众满意度（5）</w:t>
            </w:r>
          </w:p>
        </w:tc>
        <w:tc>
          <w:tcPr>
            <w:tcW w:w="1057" w:type="pct"/>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57" w:type="pct"/>
            <w:vMerge w:val="continue"/>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981" w:type="pct"/>
            <w:vMerge w:val="continue"/>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0" w:hRule="atLeast"/>
        </w:trPr>
        <w:tc>
          <w:tcPr>
            <w:tcW w:w="719"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017" w:type="pct"/>
            <w:vMerge w:val="continue"/>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司乘人员满意度（5）</w:t>
            </w: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2" w:hRule="atLeast"/>
        </w:trPr>
        <w:tc>
          <w:tcPr>
            <w:tcW w:w="719" w:type="pc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合计分值</w:t>
            </w:r>
          </w:p>
        </w:tc>
        <w:tc>
          <w:tcPr>
            <w:tcW w:w="1017" w:type="pct"/>
            <w:shd w:val="clear" w:color="auto" w:fill="auto"/>
            <w:vAlign w:val="center"/>
          </w:tcPr>
          <w:p>
            <w:pPr>
              <w:jc w:val="center"/>
              <w:rPr>
                <w:rFonts w:hint="eastAsia" w:ascii="仿宋" w:hAnsi="仿宋" w:eastAsia="仿宋" w:cs="仿宋"/>
                <w:i w:val="0"/>
                <w:iCs w:val="0"/>
                <w:color w:val="000000"/>
                <w:sz w:val="24"/>
                <w:szCs w:val="24"/>
                <w:u w:val="none"/>
              </w:rPr>
            </w:pPr>
          </w:p>
        </w:tc>
        <w:tc>
          <w:tcPr>
            <w:tcW w:w="1223" w:type="pct"/>
            <w:shd w:val="clear" w:color="auto" w:fill="auto"/>
            <w:vAlign w:val="center"/>
          </w:tcPr>
          <w:p>
            <w:pPr>
              <w:jc w:val="center"/>
              <w:rPr>
                <w:rFonts w:hint="eastAsia" w:ascii="仿宋" w:hAnsi="仿宋" w:eastAsia="仿宋" w:cs="仿宋"/>
                <w:i w:val="0"/>
                <w:iCs w:val="0"/>
                <w:color w:val="000000"/>
                <w:sz w:val="24"/>
                <w:szCs w:val="24"/>
                <w:u w:val="none"/>
              </w:rPr>
            </w:pPr>
          </w:p>
        </w:tc>
        <w:tc>
          <w:tcPr>
            <w:tcW w:w="1057"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981" w:type="pc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85.38</w:t>
            </w:r>
          </w:p>
        </w:tc>
      </w:tr>
    </w:tbl>
    <w:p>
      <w:pPr>
        <w:rPr>
          <w:rFonts w:hint="eastAsia" w:ascii="楷体_GB2312" w:hAnsi="宋体" w:eastAsia="楷体_GB2312" w:cs="仿宋"/>
          <w:color w:val="auto"/>
          <w:szCs w:val="27"/>
          <w:highlight w:val="none"/>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r>
        <w:rPr>
          <w:rFonts w:hint="eastAsia" w:ascii="黑体" w:hAnsi="黑体" w:eastAsia="黑体" w:cs="黑体"/>
          <w:b/>
          <w:bCs/>
          <w:color w:val="auto"/>
          <w:kern w:val="0"/>
          <w:sz w:val="32"/>
          <w:szCs w:val="32"/>
          <w:highlight w:val="none"/>
          <w:shd w:val="clear" w:color="auto" w:fill="FFFFFF"/>
          <w:lang w:val="en-US" w:eastAsia="zh-CN"/>
        </w:rPr>
        <w:t>附件2：</w:t>
      </w:r>
    </w:p>
    <w:p>
      <w:pPr>
        <w:pStyle w:val="2"/>
        <w:rPr>
          <w:rFonts w:hint="eastAsia" w:ascii="黑体" w:hAnsi="黑体" w:eastAsia="黑体" w:cs="黑体"/>
          <w:b/>
          <w:bCs/>
          <w:color w:val="auto"/>
          <w:kern w:val="0"/>
          <w:sz w:val="32"/>
          <w:szCs w:val="32"/>
          <w:highlight w:val="none"/>
          <w:shd w:val="clear" w:color="auto" w:fill="FFFFFF"/>
          <w:lang w:val="en-US" w:eastAsia="zh-CN"/>
        </w:rPr>
      </w:pPr>
    </w:p>
    <w:p>
      <w:pPr>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铜川市新区财政局2020年度农村公路日常养护项目</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9"/>
        <w:tblW w:w="5147" w:type="pct"/>
        <w:tblInd w:w="-257" w:type="dxa"/>
        <w:tblLayout w:type="autofit"/>
        <w:tblCellMar>
          <w:top w:w="0" w:type="dxa"/>
          <w:left w:w="108" w:type="dxa"/>
          <w:bottom w:w="0" w:type="dxa"/>
          <w:right w:w="108" w:type="dxa"/>
        </w:tblCellMar>
      </w:tblPr>
      <w:tblGrid>
        <w:gridCol w:w="2622"/>
        <w:gridCol w:w="760"/>
        <w:gridCol w:w="5391"/>
      </w:tblGrid>
      <w:tr>
        <w:tblPrEx>
          <w:tblCellMar>
            <w:top w:w="0" w:type="dxa"/>
            <w:left w:w="108" w:type="dxa"/>
            <w:bottom w:w="0" w:type="dxa"/>
            <w:right w:w="108" w:type="dxa"/>
          </w:tblCellMar>
        </w:tblPrEx>
        <w:trPr>
          <w:trHeight w:val="52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4"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项目过程存在的问题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项目缺乏统筹管理，资金使用缺乏管理。</w:t>
            </w:r>
          </w:p>
        </w:tc>
      </w:tr>
      <w:tr>
        <w:tblPrEx>
          <w:tblCellMar>
            <w:top w:w="0" w:type="dxa"/>
            <w:left w:w="108" w:type="dxa"/>
            <w:bottom w:w="0" w:type="dxa"/>
            <w:right w:w="108" w:type="dxa"/>
          </w:tblCellMar>
        </w:tblPrEx>
        <w:trPr>
          <w:trHeight w:val="570" w:hRule="atLeast"/>
        </w:trPr>
        <w:tc>
          <w:tcPr>
            <w:tcW w:w="1494"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绩效自评工作开展不到位。</w:t>
            </w:r>
          </w:p>
        </w:tc>
      </w:tr>
      <w:tr>
        <w:tblPrEx>
          <w:tblCellMar>
            <w:top w:w="0" w:type="dxa"/>
            <w:left w:w="108" w:type="dxa"/>
            <w:bottom w:w="0" w:type="dxa"/>
            <w:right w:w="108" w:type="dxa"/>
          </w:tblCellMar>
        </w:tblPrEx>
        <w:trPr>
          <w:trHeight w:val="57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项目效益存在的问题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农村道路日常养护覆盖率有待提高。</w:t>
            </w:r>
          </w:p>
        </w:tc>
      </w:tr>
    </w:tbl>
    <w:p>
      <w:pPr>
        <w:pStyle w:val="2"/>
        <w:rPr>
          <w:rFonts w:hint="eastAsia"/>
          <w:lang w:val="en-US" w:eastAsia="zh-CN"/>
        </w:rPr>
        <w:sectPr>
          <w:footerReference r:id="rId7" w:type="default"/>
          <w:pgSz w:w="11906" w:h="16838"/>
          <w:pgMar w:top="1440" w:right="1800" w:bottom="1440" w:left="1800" w:header="851" w:footer="992" w:gutter="0"/>
          <w:pgNumType w:fmt="decimal"/>
          <w:cols w:space="425" w:num="1"/>
          <w:docGrid w:type="lines" w:linePitch="312" w:charSpace="0"/>
        </w:sectPr>
      </w:pPr>
    </w:p>
    <w:p>
      <w:pPr>
        <w:numPr>
          <w:ilvl w:val="0"/>
          <w:numId w:val="0"/>
        </w:numPr>
        <w:jc w:val="both"/>
        <w:outlineLvl w:val="9"/>
        <w:rPr>
          <w:rFonts w:hint="eastAsia" w:ascii="黑体" w:hAnsi="黑体" w:eastAsia="黑体" w:cs="黑体"/>
          <w:b/>
          <w:bCs/>
          <w:color w:val="auto"/>
          <w:kern w:val="0"/>
          <w:sz w:val="32"/>
          <w:szCs w:val="32"/>
          <w:highlight w:val="none"/>
          <w:shd w:val="clear" w:color="auto" w:fill="FFFFFF"/>
          <w:lang w:val="en-US" w:eastAsia="zh-CN"/>
        </w:rPr>
      </w:pPr>
      <w:r>
        <w:rPr>
          <w:rFonts w:hint="eastAsia" w:ascii="黑体" w:hAnsi="黑体" w:eastAsia="黑体" w:cs="黑体"/>
          <w:b/>
          <w:bCs/>
          <w:color w:val="auto"/>
          <w:kern w:val="0"/>
          <w:sz w:val="32"/>
          <w:szCs w:val="32"/>
          <w:highlight w:val="none"/>
          <w:shd w:val="clear" w:color="auto" w:fill="FFFFFF"/>
          <w:lang w:val="en-US" w:eastAsia="zh-CN"/>
        </w:rPr>
        <w:t>附件3：</w:t>
      </w:r>
    </w:p>
    <w:p>
      <w:pPr>
        <w:numPr>
          <w:ilvl w:val="0"/>
          <w:numId w:val="0"/>
        </w:numPr>
        <w:jc w:val="center"/>
        <w:outlineLvl w:val="9"/>
        <w:rPr>
          <w:rFonts w:hint="eastAsia" w:ascii="黑体" w:hAnsi="黑体" w:eastAsia="黑体" w:cs="黑体"/>
          <w:b/>
          <w:bCs/>
          <w:color w:val="auto"/>
          <w:kern w:val="0"/>
          <w:sz w:val="32"/>
          <w:szCs w:val="32"/>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铜川市新区财政局2020年度农村公路日常养护项目绩效评价指标体系</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4"/>
        <w:gridCol w:w="1534"/>
        <w:gridCol w:w="2331"/>
        <w:gridCol w:w="3354"/>
        <w:gridCol w:w="4693"/>
        <w:gridCol w:w="10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一级指标</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二级指标</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三级指标</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指标解释</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评分标准</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分值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0" w:hRule="atLeast"/>
        </w:trPr>
        <w:tc>
          <w:tcPr>
            <w:tcW w:w="4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决策</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项目立项（8）</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立项依据充分性（5）</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项目立项是否符合法律法规、相关政策、发展规划以及部门职责，用以反映和考核项目立项依据情况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1.是否符合法律法规（1）                  2.是否符合国家法律法规、经济社会发展规划和相关政策（1）                                3.是否符合中央、地方财政事权支出划分责任（1）                                       4.是否符合部门年度工作计划（1）                              5.是否针对某一具体问题和需求（1）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立项程序规范性（3）</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项目申请、设立过程是否符合相关要求，用以反映和考核项目立项的规范情况。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1.项目是否按照规定的程序申请设立（1）</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2.审批文件、材料是否符合相关要求（1）              3.是否经过必要的集体决策和文件批复（1）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绩效目标（6）</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绩效目标合理性（3）</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所设定的绩效目标是否依据充分，是否符合客观实际，绩效目标是否明确，是否量化、细化，用以反映和考核项目绩效目标与项目实施的相符情况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1.项目绩效目标设定是否完整（1）                          2.项目绩效目标设定是否明确（1）                               3.是否与预算资金规模相匹配（1）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绩效指标明确性（3）</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依据绩效目标设定的绩效指标是否清晰、细化、可衡量等，用以反映和考核项目绩效目标的明细化情况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1.是否将项目绩效目标细化分解为具体的绩效指标（1）</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2.是否通过清晰、可衡量的指标值予以体现（1）</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3.是否与项目目标任务数或计划数相对应（1）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资金投入（6）</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预算编制科学性（4）</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项目预算编制是否经过科学论证、有明确标准，资金额度与年度目标是否相适应，用以反映和考核项目预算编制的科学性、合理性情况。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1.预算编制是否符合相关行业标准和政策（1）</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2.预算内容与项目内容是否匹配（1）</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3.预算额度测算依据是否充分，是否按照标准编制（1）</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4.预算确定的项目投资额或资金量是否与工作任务相匹配（1）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资金到位率</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实际到位资金与预算资金的比率，用以反映和考核资金落实情况对项目实施的总体保障程度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资金到位率=（实际到位资金/预算资金）*100%。                                   实际到位资金：一定时期内落实到具体项目的资金。                                       预算资金：一定时期内预算安排到具体项目的资金。                                      分值=资金到位率*2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4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资金管理（9）</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管理制度健全性（3）</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项目实施单位的财务和专项资金管理制度是否健全，用以反映和考核财务管理制度对项目顺利实施的保障情况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1.单位是否有具有健全的资金管理制度（0.5）                                2.单位是否具有健全的预算管理制度（0.5）                               3.单位是否具有健全的资金拨付审批制度（0.5）                                4.单位是否具有成本核算制度（0.5）                   5.单位是否具有财务监督审计制度（0.5）                                     6.单位是否具有专项资金管理办法（0.5）</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资金使用规范性（4）</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专项资金使用是否符合相应的制度规定和程序规范，用以反映和考核管理制度的有效执行情况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1.是否遵守相关法律法规和相关管理制度规定（1）</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2.项目实施程序和相关手续是否合规、完备（1）</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3.预算执行中是否有监控，监控结果是否有效应用（1）</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4.相关资金的拨付是否有完整的审批手续和资料（1）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预算执行率</w:t>
            </w:r>
          </w:p>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项目预算资金是否按照计划执行，用以反映或考核项目预算执行情况。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预算执行率=（实际支出资金/实际到位资金）×100%。</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实际支出资金：一定时期（本年度或项目期）内项目实际拨付的资金                             分值=预算执行率*2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项目管理（11）</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管理制度健全性（3）</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项目实施单位的业务管理制度是否健全，用以反映和考核业务管理制度对项目顺利实施的保障情况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1.是否具有部门职能和岗位职责相关业务管理制度（1）                                        2.是否具有项目相关管理制度文件（1）                                           3.是否具有资料归档等相关管理制度（1）</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组织实施的完备性（2）</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项目实施的相关机构、人员是否完备，用以反映和考核项目实施过程中的组织保障情况。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1.机构是否健全？职能是否清晰？（0.5）                                 2.人员是否完备？资料搜集、信息整理、资料核对、财务测算、资金申报等相关人员是否完备（0.5）                                      3.职责是否清晰（0.5）                                   4.是否有具体的项目实施计划和进度安排（0.5）</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制度执行有效性（2）</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项目实施是否符合相关的业务制度规定，用以反映和考核业务管理制度的有效执行情况。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1.是否遵守相关法律法规和业务管理规定（0.5）</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2.项目实施程序和相关手续是否合规、完备（0.5）</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3.项目实施中是否进行合理的工作分配（0.5）                                 4.项目相关工作是否按照工作计划和时间进度完成（0.5）</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绩效自评（4）</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绩效自评报告完成情况</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1.绩效自评报告客观完整，问题分析全面，建议具有可操作性（4）                         2.绩效评价报告完整（2）                3.有绩效评价报告，但结构不完整（1）                            4.无绩效自评报告（0）</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425"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产出（38）</w:t>
            </w:r>
          </w:p>
        </w:tc>
        <w:tc>
          <w:tcPr>
            <w:tcW w:w="54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产出数量（12）</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道路养护里程完成率（6）</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项目实施的实际产出数与计划产出数的比率，用以反映和考核项目产出数量目标的实现程度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实际完成率=（实际完成量/项目计划完成数量）×100%                                        实际产出数：一定时期（本年度或项目期）内项目实际产出的产品或提供的服务数量                             计划产出数：项目绩效目标确定的在一定时期（本年度或 项目期）内计划产出的产品或提供的服务数量                           分值=实际完成率*6</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42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养护计划完成率（6）</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项目实际各项养护工作完成数与项目计划各项养护完成数之间的比率，用以反映和考核项目产出数量目标的实现程度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实际完成率=（实际完成量/项目计划完成数量）×100%                                        分值=实际完成率*6</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42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产出质量（10）</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农村公路养护验收情况（5）</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根据公路养护考核评定情况，用以反映和考核项目产出质量目标的实现程度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综合分数在90以上得5分，80到90得3分，70到80得1分，70以下不得分</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5" w:hRule="atLeast"/>
        </w:trPr>
        <w:tc>
          <w:tcPr>
            <w:tcW w:w="42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农村道路修缮验收合格率（5）</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项目完成的质量达标产出数与实际产出数的比率，用以反映和考核项目产出质量目标的实现程度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质量达标率=（质量达标产出数/实际产出数）×100%                                 质量达标产出数：一定时期（本年度或项目期）内实际达到既定质量标准的产品或服务数量                                     既定质量标准是指项目实施单位设立绩效目标时依据计划标准、行业标准、历史标准或其他标准而设定的绩效指标值                 分值=质量达标率*5</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42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产出时效（10）</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农村道路养护完成及时率（5）</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项目工程实际完成时间与计划完成时间的比率，用以反映和考核项目产出时效目标的实现程度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完成及时率=[（计划完成时间-实际完成时间）/计划完成时间]×100%                              实际完成时间：项目实施单位完成该项目实际所耗用的时间                                            计划完成时间：按照项目实施计划或相关规定完成该项目所需的时间                   分值=完成及时率*5</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42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农村公路修缮及时情况（5）</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从发现农村公路受到损毁到对农村公路进行修缮的时间长短情况，用以反映和考核项目产出时效目标的实现程度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三日内开始修缮得满分，三日至七日开始修缮得3分，七日至十日得1分，超过十日不得分</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42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产出成本（6）</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农村道路养护成本控制率（6）</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完成项目计划工作目标的实际成本与计划成本的比率，用以反映和考核项目的成本控制程度</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成本节约率=[（计划成本-实际成本）/计划成本]×100%。</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实际成本：项目实施单位如期、保质、保量完成既定工作目标实际所耗费的支出。</w:t>
            </w:r>
          </w:p>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计划成本：项目实施单位为完成工作目标计划安排的支出，一般以项目预算为参考                               成本节约率&gt;10%得满分，10%&gt;成本节约率&gt;5%得4分，5%&gt;成本节约率&gt;0得2分，小于0不得分</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4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效益（22）</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社会效益（6）</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农村道路正常使用率（6）</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新区境内可正常使用的农村道路里程与农村道路总里程的比率，可衡量村民出行通畅情况，用以反映和考核项目的社会效益</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正常使用率=（可正常使用农村道路里程/农村道路总里程）*100%                      分值=正常使用率*6</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环境效益（6）</w:t>
            </w: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农村道路养护修缮覆盖率（6）</w:t>
            </w: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新区境内进行养护修缮的农村道路里程与农村道路总里程的比率，可衡量新区农村道路交通环境，用以反映和考核项目的环境效益</w:t>
            </w: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覆盖率=（进行养护修缮农村道路里程/农村道路总里程）*100%                        分值=覆盖使用率*6</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服务对象满意度（10）</w:t>
            </w:r>
          </w:p>
        </w:tc>
        <w:tc>
          <w:tcPr>
            <w:tcW w:w="8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出行群众满意度（5）</w:t>
            </w:r>
          </w:p>
        </w:tc>
        <w:tc>
          <w:tcPr>
            <w:tcW w:w="11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6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1.满意（5）       2.一般满意（3）          3.一般（1）       4.不满意（0）</w:t>
            </w:r>
          </w:p>
        </w:tc>
        <w:tc>
          <w:tcPr>
            <w:tcW w:w="37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6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4"/>
                <w:szCs w:val="24"/>
                <w:u w:val="none"/>
              </w:rPr>
            </w:pPr>
          </w:p>
        </w:tc>
        <w:tc>
          <w:tcPr>
            <w:tcW w:w="37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4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5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司乘人员满意度（5）</w:t>
            </w:r>
          </w:p>
        </w:tc>
        <w:tc>
          <w:tcPr>
            <w:tcW w:w="1183"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65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1.满意（5）       2.一般满意（3）          3.一般（1）       4.不满意（0）</w:t>
            </w:r>
          </w:p>
        </w:tc>
        <w:tc>
          <w:tcPr>
            <w:tcW w:w="371"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合计分值</w:t>
            </w:r>
          </w:p>
        </w:tc>
        <w:tc>
          <w:tcPr>
            <w:tcW w:w="54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65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 w:hAnsi="仿宋" w:eastAsia="仿宋" w:cs="仿宋"/>
                <w:i w:val="0"/>
                <w:iCs w:val="0"/>
                <w:color w:val="000000"/>
                <w:sz w:val="24"/>
                <w:szCs w:val="24"/>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r>
    </w:tbl>
    <w:p>
      <w:pPr>
        <w:pStyle w:val="2"/>
        <w:rPr>
          <w:rFonts w:hint="eastAsia" w:ascii="楷体_GB2312" w:hAnsi="宋体" w:eastAsia="楷体_GB2312" w:cs="仿宋"/>
          <w:color w:val="auto"/>
          <w:szCs w:val="27"/>
          <w:highlight w:val="none"/>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auto"/>
    <w:pitch w:val="default"/>
    <w:sig w:usb0="E00006FF" w:usb1="0000FCFF" w:usb2="00000001" w:usb3="00000000" w:csb0="6000019F" w:csb1="DFD7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6350</wp:posOffset>
              </wp:positionV>
              <wp:extent cx="1828800" cy="13335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33350"/>
                      </a:xfrm>
                      <a:prstGeom prst="rect">
                        <a:avLst/>
                      </a:prstGeom>
                      <a:noFill/>
                      <a:ln>
                        <a:noFill/>
                      </a:ln>
                    </wps:spPr>
                    <wps:txbx>
                      <w:txbxContent>
                        <w:p>
                          <w:pPr>
                            <w:pStyle w:val="4"/>
                          </w:pPr>
                        </w:p>
                      </w:txbxContent>
                    </wps:txbx>
                    <wps:bodyPr wrap="none" lIns="0" tIns="0" rIns="0" bIns="0" upright="0"/>
                  </wps:wsp>
                </a:graphicData>
              </a:graphic>
            </wp:anchor>
          </w:drawing>
        </mc:Choice>
        <mc:Fallback>
          <w:pict>
            <v:shape id="_x0000_s1026" o:spid="_x0000_s1026" o:spt="202" type="#_x0000_t202" style="position:absolute;left:0pt;margin-top:0.5pt;height:10.5pt;width:144pt;mso-position-horizontal:center;mso-position-horizontal-relative:margin;mso-wrap-style:none;z-index:251661312;mso-width-relative:page;mso-height-relative:page;" filled="f" stroked="f" coordsize="21600,21600" o:gfxdata="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CqQu2tEAAAAFAQAADwAAAAAAAAABACAAAAAiAAAAZHJzL2Rvd25yZXYueG1sUEsB&#10;AhQAFAAAAAgAh07iQPp/HsrDAQAAfgMAAA4AAAAAAAAAAQAgAAAAIAEAAGRycy9lMm9Eb2MueG1s&#10;UEsFBgAAAAAGAAYAWQEAAFUFAAAAAA==&#10;">
              <v:fill on="f" focussize="0,0"/>
              <v:stroke on="f"/>
              <v:imagedata o:title=""/>
              <o:lock v:ext="edit" aspectratio="f"/>
              <v:textbox inset="0mm,0mm,0mm,0mm">
                <w:txbxContent>
                  <w:p>
                    <w:pPr>
                      <w:pStyle w:val="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6350</wp:posOffset>
              </wp:positionV>
              <wp:extent cx="1828800" cy="13335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33350"/>
                      </a:xfrm>
                      <a:prstGeom prst="rect">
                        <a:avLst/>
                      </a:prstGeom>
                      <a:noFill/>
                      <a:ln>
                        <a:noFill/>
                      </a:ln>
                    </wps:spPr>
                    <wps:txbx>
                      <w:txbxContent>
                        <w:p>
                          <w:pPr>
                            <w:pStyle w:val="4"/>
                          </w:pPr>
                        </w:p>
                      </w:txbxContent>
                    </wps:txbx>
                    <wps:bodyPr wrap="none" lIns="0" tIns="0" rIns="0" bIns="0" upright="0"/>
                  </wps:wsp>
                </a:graphicData>
              </a:graphic>
            </wp:anchor>
          </w:drawing>
        </mc:Choice>
        <mc:Fallback>
          <w:pict>
            <v:shape id="_x0000_s1026" o:spid="_x0000_s1026" o:spt="202" type="#_x0000_t202" style="position:absolute;left:0pt;margin-top:0.5pt;height:10.5pt;width:144pt;mso-position-horizontal:center;mso-position-horizontal-relative:margin;mso-wrap-style:none;z-index:251660288;mso-width-relative:page;mso-height-relative:page;" filled="f" stroked="f" coordsize="21600,21600" o:gfxdata="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KpC7a0QAAAAUBAAAPAAAAAAAAAAEAIAAAACIAAABkcnMvZG93bnJldi54bWxQSwEC&#10;FAAUAAAACACHTuJAV1jyjcIBAAB+AwAADgAAAAAAAAABACAAAAAgAQAAZHJzL2Uyb0RvYy54bWxQ&#10;SwUGAAAAAAYABgBZAQAAVAUAAAAA&#10;">
              <v:fill on="f" focussize="0,0"/>
              <v:stroke on="f"/>
              <v:imagedata o:title=""/>
              <o:lock v:ext="edit" aspectratio="f"/>
              <v:textbox inset="0mm,0mm,0mm,0mm">
                <w:txbxContent>
                  <w:p>
                    <w:pPr>
                      <w:pStyle w:val="4"/>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5408" behindDoc="0" locked="0" layoutInCell="1" allowOverlap="1">
              <wp:simplePos x="0" y="0"/>
              <wp:positionH relativeFrom="margin">
                <wp:align>inside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- 25 -</w:t>
                    </w:r>
                    <w:r>
                      <w:fldChar w:fldCharType="end"/>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6350</wp:posOffset>
              </wp:positionV>
              <wp:extent cx="1828800" cy="13335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33350"/>
                      </a:xfrm>
                      <a:prstGeom prst="rect">
                        <a:avLst/>
                      </a:prstGeom>
                      <a:noFill/>
                      <a:ln>
                        <a:noFill/>
                      </a:ln>
                    </wps:spPr>
                    <wps:txbx>
                      <w:txbxContent>
                        <w:p>
                          <w:pPr>
                            <w:pStyle w:val="4"/>
                          </w:pPr>
                        </w:p>
                      </w:txbxContent>
                    </wps:txbx>
                    <wps:bodyPr wrap="none" lIns="0" tIns="0" rIns="0" bIns="0" upright="0"/>
                  </wps:wsp>
                </a:graphicData>
              </a:graphic>
            </wp:anchor>
          </w:drawing>
        </mc:Choice>
        <mc:Fallback>
          <w:pict>
            <v:shape id="_x0000_s1026" o:spid="_x0000_s1026" o:spt="202" type="#_x0000_t202" style="position:absolute;left:0pt;margin-top:0.5pt;height:10.5pt;width:144pt;mso-position-horizontal:center;mso-position-horizontal-relative:margin;mso-wrap-style:none;z-index:251663360;mso-width-relative:page;mso-height-relative:page;" filled="f" stroked="f" coordsize="21600,21600" o:gfxdata="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qkLtrRAAAABQEAAA8AAAAAAAAAAQAgAAAAIgAAAGRycy9kb3ducmV2LnhtbFBLAQIU&#10;ABQAAAAIAIdO4kAz9uCCwQEAAIADAAAOAAAAAAAAAAEAIAAAACABAABkcnMvZTJvRG9jLnhtbFBL&#10;BQYAAAAABgAGAFkBAABTBQAAAAA=&#10;">
              <v:fill on="f" focussize="0,0"/>
              <v:stroke on="f"/>
              <v:imagedata o:title=""/>
              <o:lock v:ext="edit" aspectratio="f"/>
              <v:textbox inset="0mm,0mm,0mm,0mm">
                <w:txbxContent>
                  <w:p>
                    <w:pPr>
                      <w:pStyle w:val="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D52FC"/>
    <w:multiLevelType w:val="singleLevel"/>
    <w:tmpl w:val="A4CD52FC"/>
    <w:lvl w:ilvl="0" w:tentative="0">
      <w:start w:val="1"/>
      <w:numFmt w:val="chineseCounting"/>
      <w:suff w:val="nothing"/>
      <w:lvlText w:val="（%1）"/>
      <w:lvlJc w:val="left"/>
      <w:rPr>
        <w:rFonts w:hint="eastAsia"/>
      </w:rPr>
    </w:lvl>
  </w:abstractNum>
  <w:abstractNum w:abstractNumId="1">
    <w:nsid w:val="AC6CDF78"/>
    <w:multiLevelType w:val="singleLevel"/>
    <w:tmpl w:val="AC6CDF78"/>
    <w:lvl w:ilvl="0" w:tentative="0">
      <w:start w:val="1"/>
      <w:numFmt w:val="decimalEnclosedCircleChinese"/>
      <w:suff w:val="nothing"/>
      <w:lvlText w:val="%1　"/>
      <w:lvlJc w:val="left"/>
      <w:pPr>
        <w:ind w:left="0" w:firstLine="400"/>
      </w:pPr>
      <w:rPr>
        <w:rFonts w:hint="eastAsia"/>
      </w:rPr>
    </w:lvl>
  </w:abstractNum>
  <w:abstractNum w:abstractNumId="2">
    <w:nsid w:val="49ECF5DF"/>
    <w:multiLevelType w:val="singleLevel"/>
    <w:tmpl w:val="49ECF5DF"/>
    <w:lvl w:ilvl="0" w:tentative="0">
      <w:start w:val="2"/>
      <w:numFmt w:val="decimal"/>
      <w:lvlText w:val="%1."/>
      <w:lvlJc w:val="left"/>
      <w:pPr>
        <w:tabs>
          <w:tab w:val="left" w:pos="312"/>
        </w:tabs>
      </w:pPr>
    </w:lvl>
  </w:abstractNum>
  <w:abstractNum w:abstractNumId="3">
    <w:nsid w:val="52DBE47B"/>
    <w:multiLevelType w:val="singleLevel"/>
    <w:tmpl w:val="52DBE47B"/>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D40D18"/>
    <w:rsid w:val="00050977"/>
    <w:rsid w:val="04000552"/>
    <w:rsid w:val="042E5675"/>
    <w:rsid w:val="04796DAC"/>
    <w:rsid w:val="050207AD"/>
    <w:rsid w:val="05535BA3"/>
    <w:rsid w:val="078D3FB6"/>
    <w:rsid w:val="080B4DCB"/>
    <w:rsid w:val="08B46133"/>
    <w:rsid w:val="0AC55A14"/>
    <w:rsid w:val="0BD015EE"/>
    <w:rsid w:val="0BDC0561"/>
    <w:rsid w:val="0F1E0F6D"/>
    <w:rsid w:val="116532D9"/>
    <w:rsid w:val="167366E1"/>
    <w:rsid w:val="170114CE"/>
    <w:rsid w:val="17241609"/>
    <w:rsid w:val="17F03E9F"/>
    <w:rsid w:val="1AF27FD5"/>
    <w:rsid w:val="1BD81BD5"/>
    <w:rsid w:val="1BDA5639"/>
    <w:rsid w:val="1C6C2A61"/>
    <w:rsid w:val="1E627965"/>
    <w:rsid w:val="234B76E0"/>
    <w:rsid w:val="265E3361"/>
    <w:rsid w:val="279129F9"/>
    <w:rsid w:val="2AAE5EF6"/>
    <w:rsid w:val="2C137C9E"/>
    <w:rsid w:val="2E5C3471"/>
    <w:rsid w:val="2EF049A1"/>
    <w:rsid w:val="2FBB4A57"/>
    <w:rsid w:val="2FDF2486"/>
    <w:rsid w:val="31152BA5"/>
    <w:rsid w:val="326A07D5"/>
    <w:rsid w:val="34960FB9"/>
    <w:rsid w:val="34D40D18"/>
    <w:rsid w:val="356552CB"/>
    <w:rsid w:val="3676487B"/>
    <w:rsid w:val="393335F9"/>
    <w:rsid w:val="394C5EF9"/>
    <w:rsid w:val="3DDD00E2"/>
    <w:rsid w:val="422F07EE"/>
    <w:rsid w:val="42B1084C"/>
    <w:rsid w:val="48DB6BDF"/>
    <w:rsid w:val="4F9D1E3F"/>
    <w:rsid w:val="4FB675DA"/>
    <w:rsid w:val="50666396"/>
    <w:rsid w:val="522D44E9"/>
    <w:rsid w:val="52905D6C"/>
    <w:rsid w:val="53CF28D0"/>
    <w:rsid w:val="55287737"/>
    <w:rsid w:val="55574006"/>
    <w:rsid w:val="58EA7F28"/>
    <w:rsid w:val="59127ED7"/>
    <w:rsid w:val="5975294A"/>
    <w:rsid w:val="5AD17E37"/>
    <w:rsid w:val="5D85744D"/>
    <w:rsid w:val="61956658"/>
    <w:rsid w:val="61F15A4D"/>
    <w:rsid w:val="62CD5C88"/>
    <w:rsid w:val="642926F3"/>
    <w:rsid w:val="642E1761"/>
    <w:rsid w:val="64C672C1"/>
    <w:rsid w:val="6EC82CA5"/>
    <w:rsid w:val="6FD02142"/>
    <w:rsid w:val="6FFA21E8"/>
    <w:rsid w:val="743D1C06"/>
    <w:rsid w:val="767371C4"/>
    <w:rsid w:val="7A093337"/>
    <w:rsid w:val="7AB7418A"/>
    <w:rsid w:val="7B38159A"/>
    <w:rsid w:val="7BBB19E6"/>
    <w:rsid w:val="7D2538E6"/>
    <w:rsid w:val="7EC6443C"/>
    <w:rsid w:val="7F762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41" w:beforeAutospacing="0" w:after="141" w:afterAutospacing="0" w:line="17" w:lineRule="atLeast"/>
      <w:ind w:left="0" w:right="0"/>
      <w:jc w:val="left"/>
    </w:pPr>
    <w:rPr>
      <w:rFonts w:hint="eastAsia" w:ascii="宋体" w:hAnsi="宋体" w:eastAsia="宋体" w:cs="宋体"/>
      <w:b/>
      <w:kern w:val="44"/>
      <w:sz w:val="42"/>
      <w:szCs w:val="42"/>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rFonts w:ascii="仿宋_GB2312" w:hAnsi="仿宋_GB2312" w:eastAsia="仿宋_GB2312" w:cs="仿宋_GB2312"/>
      <w:sz w:val="32"/>
      <w:szCs w:val="32"/>
      <w:lang w:val="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bCs/>
    </w:rPr>
  </w:style>
  <w:style w:type="character" w:styleId="12">
    <w:name w:val="FollowedHyperlink"/>
    <w:basedOn w:val="10"/>
    <w:qFormat/>
    <w:uiPriority w:val="0"/>
    <w:rPr>
      <w:color w:val="337AB7"/>
      <w:u w:val="none"/>
    </w:rPr>
  </w:style>
  <w:style w:type="character" w:styleId="13">
    <w:name w:val="HTML Definition"/>
    <w:basedOn w:val="10"/>
    <w:qFormat/>
    <w:uiPriority w:val="0"/>
    <w:rPr>
      <w:i/>
      <w:iCs/>
    </w:rPr>
  </w:style>
  <w:style w:type="character" w:styleId="14">
    <w:name w:val="Hyperlink"/>
    <w:basedOn w:val="10"/>
    <w:qFormat/>
    <w:uiPriority w:val="0"/>
    <w:rPr>
      <w:color w:val="337AB7"/>
      <w:u w:val="none"/>
    </w:rPr>
  </w:style>
  <w:style w:type="character" w:styleId="15">
    <w:name w:val="HTML Code"/>
    <w:basedOn w:val="10"/>
    <w:qFormat/>
    <w:uiPriority w:val="0"/>
    <w:rPr>
      <w:rFonts w:hint="default" w:ascii="Consolas" w:hAnsi="Consolas" w:eastAsia="Consolas" w:cs="Consolas"/>
      <w:color w:val="C7254E"/>
      <w:sz w:val="21"/>
      <w:szCs w:val="21"/>
      <w:shd w:val="clear" w:fill="F9F2F4"/>
    </w:rPr>
  </w:style>
  <w:style w:type="character" w:styleId="16">
    <w:name w:val="HTML Keyboard"/>
    <w:basedOn w:val="10"/>
    <w:qFormat/>
    <w:uiPriority w:val="0"/>
    <w:rPr>
      <w:rFonts w:hint="default" w:ascii="Consolas" w:hAnsi="Consolas" w:eastAsia="Consolas" w:cs="Consolas"/>
      <w:color w:val="FFFFFF"/>
      <w:sz w:val="21"/>
      <w:szCs w:val="21"/>
      <w:shd w:val="clear" w:fill="333333"/>
    </w:rPr>
  </w:style>
  <w:style w:type="character" w:styleId="17">
    <w:name w:val="HTML Sample"/>
    <w:basedOn w:val="10"/>
    <w:qFormat/>
    <w:uiPriority w:val="0"/>
    <w:rPr>
      <w:rFonts w:ascii="Consolas" w:hAnsi="Consolas" w:eastAsia="Consolas" w:cs="Consolas"/>
      <w:sz w:val="21"/>
      <w:szCs w:val="21"/>
    </w:rPr>
  </w:style>
  <w:style w:type="character" w:customStyle="1" w:styleId="18">
    <w:name w:val="badge18"/>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2021-10-27T02:32:00Z</dcterms:created>
  <dc:creator>圣虚子</dc:creator>
  <cp:lastModifiedBy>迷人的危险</cp:lastModifiedBy>
  <cp:lastPrinted>2021-11-18T01:52:00Z</cp:lastPrinted>
  <dcterms:modified xsi:type="dcterms:W3CDTF">2021-11-25T08:21:03Z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7DF4400AB550476992A71445E22223E0</vt:lpwstr>
  </property>
</Properties>
</file>