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b/>
          <w:bCs/>
          <w:sz w:val="36"/>
          <w:szCs w:val="36"/>
          <w:highlight w:val="none"/>
          <w:lang w:eastAsia="zh-CN"/>
        </w:rPr>
      </w:pPr>
      <w:r>
        <w:rPr>
          <w:rFonts w:hint="eastAsia" w:ascii="宋体" w:hAnsi="宋体" w:cs="宋体"/>
          <w:b/>
          <w:bCs/>
          <w:sz w:val="32"/>
          <w:szCs w:val="32"/>
          <w:highlight w:val="none"/>
        </w:rPr>
        <w:t>项目编号：SXHXZB2019-ZC-</w:t>
      </w:r>
      <w:r>
        <w:rPr>
          <w:rFonts w:hint="eastAsia" w:ascii="宋体" w:hAnsi="宋体" w:cs="宋体"/>
          <w:b/>
          <w:bCs/>
          <w:sz w:val="32"/>
          <w:szCs w:val="32"/>
          <w:highlight w:val="none"/>
          <w:lang w:eastAsia="zh-CN"/>
        </w:rPr>
        <w:t>CS1281</w:t>
      </w:r>
    </w:p>
    <w:p>
      <w:pPr>
        <w:rPr>
          <w:rFonts w:ascii="宋体" w:hAnsi="宋体" w:cs="宋体"/>
          <w:b/>
          <w:bCs/>
          <w:sz w:val="36"/>
          <w:szCs w:val="36"/>
          <w:highlight w:val="none"/>
        </w:rPr>
      </w:pPr>
    </w:p>
    <w:p>
      <w:pPr>
        <w:rPr>
          <w:rFonts w:ascii="宋体" w:hAnsi="宋体" w:cs="宋体"/>
          <w:b/>
          <w:bCs/>
          <w:sz w:val="56"/>
          <w:szCs w:val="56"/>
          <w:highlight w:val="none"/>
        </w:rPr>
      </w:pPr>
    </w:p>
    <w:p>
      <w:pPr>
        <w:spacing w:line="720" w:lineRule="auto"/>
        <w:jc w:val="center"/>
        <w:rPr>
          <w:rFonts w:hint="eastAsia" w:ascii="宋体" w:hAnsi="宋体" w:eastAsia="宋体" w:cs="宋体"/>
          <w:b/>
          <w:bCs/>
          <w:sz w:val="36"/>
          <w:szCs w:val="36"/>
          <w:highlight w:val="none"/>
          <w:lang w:eastAsia="zh-CN"/>
        </w:rPr>
      </w:pPr>
      <w:r>
        <w:rPr>
          <w:rFonts w:hint="eastAsia" w:ascii="宋体" w:hAnsi="宋体" w:cs="宋体"/>
          <w:b/>
          <w:bCs/>
          <w:sz w:val="52"/>
          <w:szCs w:val="52"/>
          <w:highlight w:val="none"/>
          <w:lang w:eastAsia="zh-CN"/>
        </w:rPr>
        <w:t>铜川市新区移民（脱贫）搬迁办公室宅基地腾退服务项目</w:t>
      </w:r>
    </w:p>
    <w:p>
      <w:pPr>
        <w:jc w:val="center"/>
        <w:rPr>
          <w:rFonts w:ascii="宋体" w:hAnsi="宋体" w:cs="宋体"/>
          <w:b/>
          <w:bCs/>
          <w:sz w:val="36"/>
          <w:szCs w:val="36"/>
          <w:highlight w:val="none"/>
        </w:rPr>
      </w:pPr>
    </w:p>
    <w:p>
      <w:pPr>
        <w:jc w:val="center"/>
        <w:rPr>
          <w:rFonts w:ascii="宋体" w:hAnsi="宋体" w:cs="宋体"/>
          <w:b/>
          <w:bCs/>
          <w:sz w:val="36"/>
          <w:szCs w:val="36"/>
          <w:highlight w:val="none"/>
        </w:rPr>
      </w:pPr>
    </w:p>
    <w:p>
      <w:pPr>
        <w:jc w:val="center"/>
        <w:rPr>
          <w:rFonts w:ascii="宋体" w:hAnsi="宋体" w:cs="宋体"/>
          <w:b/>
          <w:bCs/>
          <w:sz w:val="36"/>
          <w:szCs w:val="36"/>
          <w:highlight w:val="none"/>
        </w:rPr>
      </w:pPr>
    </w:p>
    <w:p>
      <w:pPr>
        <w:spacing w:line="780" w:lineRule="auto"/>
        <w:jc w:val="center"/>
        <w:rPr>
          <w:rFonts w:ascii="宋体" w:hAnsi="宋体" w:cs="宋体"/>
          <w:b/>
          <w:sz w:val="72"/>
          <w:szCs w:val="72"/>
          <w:highlight w:val="none"/>
        </w:rPr>
      </w:pPr>
      <w:bookmarkStart w:id="0" w:name="_Toc363463325"/>
      <w:r>
        <w:rPr>
          <w:rFonts w:hint="eastAsia" w:ascii="宋体" w:hAnsi="宋体" w:cs="宋体"/>
          <w:b/>
          <w:sz w:val="72"/>
          <w:szCs w:val="72"/>
          <w:highlight w:val="none"/>
        </w:rPr>
        <w:t>竞争性磋商文件</w:t>
      </w:r>
    </w:p>
    <w:p>
      <w:pPr>
        <w:jc w:val="center"/>
        <w:rPr>
          <w:rFonts w:ascii="宋体" w:hAnsi="宋体" w:cs="宋体"/>
          <w:b/>
          <w:bCs/>
          <w:sz w:val="96"/>
          <w:szCs w:val="96"/>
          <w:highlight w:val="none"/>
        </w:rPr>
      </w:pPr>
    </w:p>
    <w:p>
      <w:pPr>
        <w:rPr>
          <w:rFonts w:ascii="宋体" w:hAnsi="宋体" w:cs="宋体"/>
          <w:highlight w:val="none"/>
        </w:rPr>
      </w:pPr>
    </w:p>
    <w:p>
      <w:pPr>
        <w:rPr>
          <w:rFonts w:ascii="宋体" w:hAnsi="宋体" w:cs="宋体"/>
          <w:highlight w:val="none"/>
        </w:rPr>
      </w:pPr>
    </w:p>
    <w:bookmarkEnd w:id="0"/>
    <w:p>
      <w:pPr>
        <w:jc w:val="center"/>
        <w:rPr>
          <w:rFonts w:ascii="宋体" w:hAnsi="宋体" w:cs="宋体"/>
          <w:sz w:val="36"/>
          <w:szCs w:val="36"/>
          <w:highlight w:val="none"/>
        </w:rPr>
      </w:pPr>
    </w:p>
    <w:p>
      <w:pPr>
        <w:jc w:val="center"/>
        <w:rPr>
          <w:rFonts w:ascii="宋体" w:hAnsi="宋体" w:cs="宋体"/>
          <w:sz w:val="36"/>
          <w:szCs w:val="36"/>
          <w:highlight w:val="none"/>
        </w:rPr>
      </w:pPr>
    </w:p>
    <w:p>
      <w:pPr>
        <w:rPr>
          <w:rFonts w:ascii="宋体" w:hAnsi="宋体" w:cs="宋体"/>
          <w:sz w:val="18"/>
          <w:szCs w:val="18"/>
          <w:highlight w:val="none"/>
        </w:rPr>
      </w:pPr>
    </w:p>
    <w:p>
      <w:pPr>
        <w:pStyle w:val="2"/>
        <w:rPr>
          <w:rFonts w:ascii="宋体" w:hAnsi="宋体" w:cs="宋体"/>
          <w:highlight w:val="none"/>
        </w:rPr>
      </w:pP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jc w:val="center"/>
        <w:rPr>
          <w:rFonts w:ascii="宋体" w:hAnsi="宋体" w:cs="宋体"/>
          <w:b/>
          <w:bCs/>
          <w:sz w:val="32"/>
          <w:szCs w:val="32"/>
          <w:highlight w:val="none"/>
        </w:rPr>
      </w:pPr>
      <w:r>
        <w:rPr>
          <w:rFonts w:hint="eastAsia" w:ascii="宋体" w:hAnsi="宋体" w:cs="宋体"/>
          <w:b/>
          <w:bCs/>
          <w:sz w:val="32"/>
          <w:szCs w:val="32"/>
          <w:highlight w:val="none"/>
        </w:rPr>
        <w:t>华夏国际项目管理有限公司</w:t>
      </w:r>
    </w:p>
    <w:p>
      <w:pPr>
        <w:tabs>
          <w:tab w:val="left" w:pos="525"/>
        </w:tabs>
        <w:ind w:left="-2" w:leftChars="-1" w:firstLine="1"/>
        <w:jc w:val="center"/>
        <w:rPr>
          <w:rFonts w:ascii="宋体" w:hAnsi="宋体" w:cs="宋体"/>
          <w:b/>
          <w:bCs/>
          <w:sz w:val="32"/>
          <w:szCs w:val="32"/>
          <w:highlight w:val="none"/>
        </w:rPr>
      </w:pPr>
      <w:r>
        <w:rPr>
          <w:rFonts w:hint="eastAsia" w:ascii="宋体" w:hAnsi="宋体" w:cs="宋体"/>
          <w:b/>
          <w:bCs/>
          <w:sz w:val="32"/>
          <w:szCs w:val="32"/>
          <w:highlight w:val="none"/>
        </w:rPr>
        <w:t>二〇一九年</w:t>
      </w:r>
      <w:r>
        <w:rPr>
          <w:rFonts w:hint="eastAsia" w:ascii="宋体" w:hAnsi="宋体" w:cs="宋体"/>
          <w:b/>
          <w:bCs/>
          <w:sz w:val="32"/>
          <w:szCs w:val="32"/>
          <w:highlight w:val="none"/>
          <w:lang w:eastAsia="zh-CN"/>
        </w:rPr>
        <w:t>十二</w:t>
      </w:r>
      <w:r>
        <w:rPr>
          <w:rFonts w:hint="eastAsia" w:ascii="宋体" w:hAnsi="宋体" w:cs="宋体"/>
          <w:b/>
          <w:bCs/>
          <w:sz w:val="32"/>
          <w:szCs w:val="32"/>
          <w:highlight w:val="none"/>
        </w:rPr>
        <w:t>月</w:t>
      </w:r>
    </w:p>
    <w:p>
      <w:pPr>
        <w:pStyle w:val="2"/>
        <w:rPr>
          <w:rFonts w:ascii="宋体" w:hAnsi="宋体" w:cs="宋体"/>
          <w:highlight w:val="none"/>
        </w:rPr>
      </w:pPr>
    </w:p>
    <w:p>
      <w:pPr>
        <w:spacing w:after="156" w:afterLines="50"/>
        <w:jc w:val="center"/>
        <w:rPr>
          <w:rFonts w:ascii="宋体" w:hAnsi="宋体" w:cs="宋体"/>
          <w:b/>
          <w:bCs/>
          <w:sz w:val="36"/>
          <w:szCs w:val="36"/>
          <w:highlight w:val="none"/>
        </w:rPr>
      </w:pPr>
      <w:bookmarkStart w:id="1" w:name="_Toc20858"/>
      <w:bookmarkStart w:id="2" w:name="_Toc19886"/>
      <w:bookmarkStart w:id="3" w:name="_Toc16218"/>
      <w:bookmarkStart w:id="4" w:name="_Toc389582033"/>
      <w:bookmarkStart w:id="5" w:name="_Toc5293"/>
      <w:bookmarkStart w:id="6" w:name="_Toc21518"/>
      <w:bookmarkStart w:id="7" w:name="_Toc20652"/>
      <w:bookmarkStart w:id="8" w:name="_Toc438073527"/>
      <w:r>
        <w:rPr>
          <w:rFonts w:hint="eastAsia" w:ascii="宋体" w:hAnsi="宋体" w:cs="宋体"/>
          <w:b/>
          <w:bCs/>
          <w:sz w:val="36"/>
          <w:szCs w:val="36"/>
          <w:highlight w:val="none"/>
        </w:rPr>
        <w:t>特别提示</w:t>
      </w:r>
    </w:p>
    <w:p>
      <w:pPr>
        <w:spacing w:line="480" w:lineRule="exact"/>
        <w:rPr>
          <w:rFonts w:ascii="宋体" w:hAnsi="宋体" w:cs="宋体"/>
          <w:sz w:val="24"/>
          <w:szCs w:val="24"/>
          <w:highlight w:val="none"/>
        </w:rPr>
      </w:pPr>
      <w:r>
        <w:rPr>
          <w:rFonts w:hint="eastAsia" w:ascii="宋体" w:hAnsi="宋体" w:cs="宋体"/>
          <w:sz w:val="24"/>
          <w:szCs w:val="24"/>
          <w:highlight w:val="none"/>
        </w:rPr>
        <w:t>各供应商，在此我们特别提醒您注意以下事项：</w:t>
      </w:r>
    </w:p>
    <w:p>
      <w:pPr>
        <w:spacing w:line="480" w:lineRule="exact"/>
        <w:rPr>
          <w:rFonts w:ascii="宋体" w:hAnsi="宋体" w:cs="宋体"/>
          <w:sz w:val="24"/>
          <w:szCs w:val="24"/>
          <w:highlight w:val="none"/>
        </w:rPr>
      </w:pPr>
      <w:r>
        <w:rPr>
          <w:rFonts w:hint="eastAsia" w:ascii="宋体" w:hAnsi="宋体" w:cs="宋体"/>
          <w:sz w:val="24"/>
          <w:szCs w:val="24"/>
          <w:highlight w:val="none"/>
        </w:rPr>
        <w:t>一、有关磋商响应文件：</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1、请您仔细阅读磋商文件并正确理解磋商文件中各项具体要求。如您对磋商文件有疑问，请在磋商文件规定的时间内以书面形式提出，逾期将被拒绝受理。</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2、请您严格按照磋商文件载明的磋商响应文件的格式要求编制磋商响应文件，磋商响应文件须胶装成册。</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请您仔细核对您的磋商响应文件是否已按照磋商文件的要求签字、签章和加盖单位公章，您的实质性条款是否满足磋商文件要求，您的磋商响应文件中所附资格证明等资料是否齐全、有效且是否满足磋商文件要求。</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4、请于规定时间内按磋商文件要求递交保证金（保证金必须足额、必须在磋商响应文件递交截止时间前从您</w:t>
      </w:r>
      <w:r>
        <w:rPr>
          <w:rFonts w:hint="eastAsia" w:ascii="宋体" w:hAnsi="宋体" w:cs="宋体"/>
          <w:sz w:val="24"/>
          <w:szCs w:val="24"/>
          <w:highlight w:val="none"/>
          <w:lang w:eastAsia="zh-CN"/>
        </w:rPr>
        <w:t>公司</w:t>
      </w:r>
      <w:r>
        <w:rPr>
          <w:rFonts w:hint="eastAsia" w:ascii="宋体" w:hAnsi="宋体" w:cs="宋体"/>
          <w:sz w:val="24"/>
          <w:szCs w:val="24"/>
          <w:highlight w:val="none"/>
        </w:rPr>
        <w:t>账户转出且到账，保证金缴纳凭证须附在磋商响应文件中）。</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5、请您按照磋商文件要求密封磋商响应文件，并正确标记。</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提示：您的磋商响应文件若不满足以上条件将有被否决的风险。</w:t>
      </w:r>
    </w:p>
    <w:p>
      <w:pPr>
        <w:spacing w:line="480" w:lineRule="exact"/>
        <w:rPr>
          <w:rFonts w:ascii="宋体" w:hAnsi="宋体" w:cs="宋体"/>
          <w:sz w:val="24"/>
          <w:szCs w:val="24"/>
          <w:highlight w:val="none"/>
        </w:rPr>
      </w:pPr>
      <w:r>
        <w:rPr>
          <w:rFonts w:hint="eastAsia" w:ascii="宋体" w:hAnsi="宋体" w:cs="宋体"/>
          <w:sz w:val="24"/>
          <w:szCs w:val="24"/>
          <w:highlight w:val="none"/>
        </w:rPr>
        <w:t>二、有关磋商：</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1、除磋商文件要求递交的文件和资料外，请您随身携带磋商文件要求提供的其他备查文件原件。</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2、请您务必考虑天气情况、交通情况以及您对磋商地址的路线熟悉等情况于2019年12月20日14时30分前到西安市高新区科技五路8号数字大厦11楼递交磋商响应文件，磋商响应文件逾期到达，将被拒绝接收。</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3、请您到达文件递交地点后及时到磋商响应文件接收处签字登记。</w:t>
      </w:r>
    </w:p>
    <w:p>
      <w:pPr>
        <w:spacing w:line="480" w:lineRule="exact"/>
        <w:rPr>
          <w:rFonts w:ascii="宋体" w:hAnsi="宋体" w:cs="宋体"/>
          <w:sz w:val="24"/>
          <w:szCs w:val="24"/>
          <w:highlight w:val="none"/>
        </w:rPr>
      </w:pPr>
      <w:r>
        <w:rPr>
          <w:rFonts w:hint="eastAsia" w:ascii="宋体" w:hAnsi="宋体" w:cs="宋体"/>
          <w:sz w:val="24"/>
          <w:szCs w:val="24"/>
          <w:highlight w:val="none"/>
        </w:rPr>
        <w:t>三、关于弃标的说明</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若您因为一些特殊原因不能参加本次磋商活动，请您务必以书面形式告知我们，以便我们正常开展后期工作，同时也避免再次打扰您，感谢您的配合。</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请各供应商仔细阅读上述提示。如需帮助，请您与我们的工作人员联系（</w:t>
      </w:r>
      <w:r>
        <w:rPr>
          <w:rFonts w:hint="eastAsia" w:ascii="宋体" w:hAnsi="宋体" w:cs="宋体"/>
          <w:sz w:val="24"/>
          <w:szCs w:val="24"/>
          <w:highlight w:val="none"/>
          <w:lang w:eastAsia="zh-CN"/>
        </w:rPr>
        <w:t>丁</w:t>
      </w:r>
      <w:r>
        <w:rPr>
          <w:rFonts w:hint="eastAsia" w:ascii="宋体" w:hAnsi="宋体" w:cs="宋体"/>
          <w:sz w:val="24"/>
          <w:szCs w:val="24"/>
          <w:highlight w:val="none"/>
        </w:rPr>
        <w:t>工：029-88899970/73/75-81</w:t>
      </w:r>
      <w:r>
        <w:rPr>
          <w:rFonts w:hint="eastAsia" w:ascii="宋体" w:hAnsi="宋体" w:cs="宋体"/>
          <w:sz w:val="24"/>
          <w:szCs w:val="24"/>
          <w:highlight w:val="none"/>
          <w:lang w:val="en-US" w:eastAsia="zh-CN"/>
        </w:rPr>
        <w:t>6</w:t>
      </w:r>
      <w:r>
        <w:rPr>
          <w:rFonts w:hint="eastAsia" w:ascii="宋体" w:hAnsi="宋体" w:cs="宋体"/>
          <w:sz w:val="24"/>
          <w:szCs w:val="24"/>
          <w:highlight w:val="none"/>
        </w:rPr>
        <w:t>），我们将非常高兴地为您服务。</w:t>
      </w:r>
    </w:p>
    <w:p>
      <w:pPr>
        <w:spacing w:line="360" w:lineRule="auto"/>
        <w:jc w:val="center"/>
        <w:rPr>
          <w:rFonts w:ascii="宋体" w:hAnsi="宋体" w:cs="宋体"/>
          <w:b/>
          <w:bCs/>
          <w:sz w:val="28"/>
          <w:szCs w:val="28"/>
          <w:highlight w:val="none"/>
        </w:rPr>
        <w:sectPr>
          <w:headerReference r:id="rId4" w:type="first"/>
          <w:headerReference r:id="rId3" w:type="default"/>
          <w:footerReference r:id="rId5" w:type="default"/>
          <w:pgSz w:w="11906" w:h="16838"/>
          <w:pgMar w:top="1417" w:right="1417" w:bottom="1417" w:left="1701" w:header="851" w:footer="992" w:gutter="0"/>
          <w:cols w:space="0" w:num="1"/>
          <w:titlePg/>
          <w:docGrid w:type="lines" w:linePitch="312" w:charSpace="0"/>
        </w:sectPr>
      </w:pPr>
    </w:p>
    <w:p>
      <w:pPr>
        <w:spacing w:line="360" w:lineRule="auto"/>
        <w:jc w:val="center"/>
        <w:rPr>
          <w:rFonts w:hint="eastAsia" w:ascii="宋体" w:hAnsi="宋体" w:cs="宋体"/>
          <w:b/>
          <w:bCs/>
          <w:sz w:val="44"/>
          <w:szCs w:val="44"/>
          <w:highlight w:val="none"/>
        </w:rPr>
      </w:pPr>
      <w:r>
        <w:rPr>
          <w:rFonts w:hint="eastAsia" w:ascii="宋体" w:hAnsi="宋体" w:cs="宋体"/>
          <w:b/>
          <w:bCs/>
          <w:sz w:val="44"/>
          <w:szCs w:val="44"/>
          <w:highlight w:val="none"/>
        </w:rPr>
        <w:t>目  录</w:t>
      </w:r>
    </w:p>
    <w:p>
      <w:pPr>
        <w:pStyle w:val="2"/>
        <w:rPr>
          <w:rFonts w:hint="eastAsia" w:ascii="宋体" w:hAnsi="宋体" w:cs="宋体"/>
          <w:b/>
          <w:bCs/>
          <w:sz w:val="44"/>
          <w:szCs w:val="44"/>
          <w:highlight w:val="none"/>
        </w:rPr>
      </w:pPr>
    </w:p>
    <w:p>
      <w:pPr>
        <w:rPr>
          <w:highlight w:val="none"/>
        </w:rPr>
      </w:pP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600" w:lineRule="auto"/>
        <w:textAlignment w:val="auto"/>
        <w:rPr>
          <w:sz w:val="28"/>
          <w:szCs w:val="28"/>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TOC \o "1-3" \h \z \u </w:instrText>
      </w:r>
      <w:r>
        <w:rPr>
          <w:rFonts w:hint="eastAsia" w:ascii="宋体" w:hAnsi="宋体" w:cs="宋体"/>
          <w:sz w:val="24"/>
          <w:szCs w:val="24"/>
          <w:highlight w:val="none"/>
        </w:rPr>
        <w:fldChar w:fldCharType="separate"/>
      </w:r>
      <w:r>
        <w:rPr>
          <w:rFonts w:hint="eastAsia" w:ascii="宋体" w:hAnsi="宋体" w:cs="宋体"/>
          <w:sz w:val="28"/>
          <w:szCs w:val="40"/>
          <w:highlight w:val="none"/>
        </w:rPr>
        <w:fldChar w:fldCharType="begin"/>
      </w:r>
      <w:r>
        <w:rPr>
          <w:rFonts w:hint="eastAsia" w:ascii="宋体" w:hAnsi="宋体" w:cs="宋体"/>
          <w:sz w:val="28"/>
          <w:szCs w:val="40"/>
          <w:highlight w:val="none"/>
        </w:rPr>
        <w:instrText xml:space="preserve"> HYPERLINK \l _Toc32017 </w:instrText>
      </w:r>
      <w:r>
        <w:rPr>
          <w:rFonts w:hint="eastAsia" w:ascii="宋体" w:hAnsi="宋体" w:cs="宋体"/>
          <w:sz w:val="28"/>
          <w:szCs w:val="40"/>
          <w:highlight w:val="none"/>
        </w:rPr>
        <w:fldChar w:fldCharType="separate"/>
      </w:r>
      <w:r>
        <w:rPr>
          <w:rFonts w:hint="eastAsia" w:ascii="宋体" w:hAnsi="宋体" w:cs="宋体"/>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_Toc32017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ascii="宋体" w:hAnsi="宋体" w:cs="宋体"/>
          <w:sz w:val="28"/>
          <w:szCs w:val="40"/>
          <w:highlight w:val="none"/>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600" w:lineRule="auto"/>
        <w:textAlignment w:val="auto"/>
        <w:rPr>
          <w:sz w:val="28"/>
          <w:szCs w:val="28"/>
          <w:highlight w:val="none"/>
        </w:rPr>
      </w:pPr>
      <w:r>
        <w:rPr>
          <w:rFonts w:hint="eastAsia" w:ascii="宋体" w:hAnsi="宋体" w:cs="宋体"/>
          <w:sz w:val="28"/>
          <w:szCs w:val="40"/>
          <w:highlight w:val="none"/>
        </w:rPr>
        <w:fldChar w:fldCharType="begin"/>
      </w:r>
      <w:r>
        <w:rPr>
          <w:rFonts w:hint="eastAsia" w:ascii="宋体" w:hAnsi="宋体" w:cs="宋体"/>
          <w:sz w:val="28"/>
          <w:szCs w:val="40"/>
          <w:highlight w:val="none"/>
        </w:rPr>
        <w:instrText xml:space="preserve"> HYPERLINK \l _Toc27363 </w:instrText>
      </w:r>
      <w:r>
        <w:rPr>
          <w:rFonts w:hint="eastAsia" w:ascii="宋体" w:hAnsi="宋体" w:cs="宋体"/>
          <w:sz w:val="28"/>
          <w:szCs w:val="40"/>
          <w:highlight w:val="none"/>
        </w:rPr>
        <w:fldChar w:fldCharType="separate"/>
      </w:r>
      <w:r>
        <w:rPr>
          <w:rFonts w:hint="eastAsia" w:ascii="宋体" w:hAnsi="宋体" w:cs="宋体"/>
          <w:sz w:val="28"/>
          <w:szCs w:val="28"/>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_Toc27363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ascii="宋体" w:hAnsi="宋体" w:cs="宋体"/>
          <w:sz w:val="28"/>
          <w:szCs w:val="40"/>
          <w:highlight w:val="none"/>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600" w:lineRule="auto"/>
        <w:textAlignment w:val="auto"/>
        <w:rPr>
          <w:sz w:val="28"/>
          <w:szCs w:val="28"/>
          <w:highlight w:val="none"/>
        </w:rPr>
      </w:pPr>
      <w:r>
        <w:rPr>
          <w:rFonts w:hint="eastAsia" w:ascii="宋体" w:hAnsi="宋体" w:cs="宋体"/>
          <w:sz w:val="28"/>
          <w:szCs w:val="40"/>
          <w:highlight w:val="none"/>
        </w:rPr>
        <w:fldChar w:fldCharType="begin"/>
      </w:r>
      <w:r>
        <w:rPr>
          <w:rFonts w:hint="eastAsia" w:ascii="宋体" w:hAnsi="宋体" w:cs="宋体"/>
          <w:sz w:val="28"/>
          <w:szCs w:val="40"/>
          <w:highlight w:val="none"/>
        </w:rPr>
        <w:instrText xml:space="preserve"> HYPERLINK \l _Toc24634 </w:instrText>
      </w:r>
      <w:r>
        <w:rPr>
          <w:rFonts w:hint="eastAsia" w:ascii="宋体" w:hAnsi="宋体" w:cs="宋体"/>
          <w:sz w:val="28"/>
          <w:szCs w:val="40"/>
          <w:highlight w:val="none"/>
        </w:rPr>
        <w:fldChar w:fldCharType="separate"/>
      </w:r>
      <w:r>
        <w:rPr>
          <w:rFonts w:hint="eastAsia" w:ascii="宋体" w:hAnsi="宋体" w:cs="宋体"/>
          <w:sz w:val="28"/>
          <w:szCs w:val="28"/>
          <w:highlight w:val="none"/>
        </w:rPr>
        <w:t>第三章 评审方法</w:t>
      </w:r>
      <w:r>
        <w:rPr>
          <w:sz w:val="28"/>
          <w:szCs w:val="28"/>
          <w:highlight w:val="none"/>
        </w:rPr>
        <w:tab/>
      </w:r>
      <w:r>
        <w:rPr>
          <w:sz w:val="28"/>
          <w:szCs w:val="28"/>
          <w:highlight w:val="none"/>
        </w:rPr>
        <w:fldChar w:fldCharType="begin"/>
      </w:r>
      <w:r>
        <w:rPr>
          <w:sz w:val="28"/>
          <w:szCs w:val="28"/>
          <w:highlight w:val="none"/>
        </w:rPr>
        <w:instrText xml:space="preserve"> PAGEREF _Toc24634 </w:instrText>
      </w:r>
      <w:r>
        <w:rPr>
          <w:sz w:val="28"/>
          <w:szCs w:val="28"/>
          <w:highlight w:val="none"/>
        </w:rPr>
        <w:fldChar w:fldCharType="separate"/>
      </w:r>
      <w:r>
        <w:rPr>
          <w:sz w:val="28"/>
          <w:szCs w:val="28"/>
          <w:highlight w:val="none"/>
        </w:rPr>
        <w:t>24</w:t>
      </w:r>
      <w:r>
        <w:rPr>
          <w:sz w:val="28"/>
          <w:szCs w:val="28"/>
          <w:highlight w:val="none"/>
        </w:rPr>
        <w:fldChar w:fldCharType="end"/>
      </w:r>
      <w:r>
        <w:rPr>
          <w:rFonts w:hint="eastAsia" w:ascii="宋体" w:hAnsi="宋体" w:cs="宋体"/>
          <w:sz w:val="28"/>
          <w:szCs w:val="40"/>
          <w:highlight w:val="none"/>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600" w:lineRule="auto"/>
        <w:textAlignment w:val="auto"/>
        <w:rPr>
          <w:sz w:val="28"/>
          <w:szCs w:val="28"/>
          <w:highlight w:val="none"/>
        </w:rPr>
      </w:pPr>
      <w:r>
        <w:rPr>
          <w:rFonts w:hint="eastAsia" w:ascii="宋体" w:hAnsi="宋体" w:cs="宋体"/>
          <w:sz w:val="28"/>
          <w:szCs w:val="40"/>
          <w:highlight w:val="none"/>
        </w:rPr>
        <w:fldChar w:fldCharType="begin"/>
      </w:r>
      <w:r>
        <w:rPr>
          <w:rFonts w:hint="eastAsia" w:ascii="宋体" w:hAnsi="宋体" w:cs="宋体"/>
          <w:sz w:val="28"/>
          <w:szCs w:val="40"/>
          <w:highlight w:val="none"/>
        </w:rPr>
        <w:instrText xml:space="preserve"> HYPERLINK \l _Toc20520 </w:instrText>
      </w:r>
      <w:r>
        <w:rPr>
          <w:rFonts w:hint="eastAsia" w:ascii="宋体" w:hAnsi="宋体" w:cs="宋体"/>
          <w:sz w:val="28"/>
          <w:szCs w:val="40"/>
          <w:highlight w:val="none"/>
        </w:rPr>
        <w:fldChar w:fldCharType="separate"/>
      </w:r>
      <w:r>
        <w:rPr>
          <w:rFonts w:hint="eastAsia" w:ascii="宋体" w:hAnsi="宋体" w:cs="宋体"/>
          <w:sz w:val="28"/>
          <w:szCs w:val="28"/>
          <w:highlight w:val="none"/>
        </w:rPr>
        <w:t xml:space="preserve">第四章 </w:t>
      </w:r>
      <w:r>
        <w:rPr>
          <w:rFonts w:hint="eastAsia" w:ascii="宋体"/>
          <w:sz w:val="28"/>
          <w:szCs w:val="44"/>
          <w:highlight w:val="none"/>
        </w:rPr>
        <w:t>合同条款及格式</w:t>
      </w:r>
      <w:r>
        <w:rPr>
          <w:sz w:val="28"/>
          <w:szCs w:val="28"/>
          <w:highlight w:val="none"/>
        </w:rPr>
        <w:tab/>
      </w:r>
      <w:r>
        <w:rPr>
          <w:sz w:val="28"/>
          <w:szCs w:val="28"/>
          <w:highlight w:val="none"/>
        </w:rPr>
        <w:fldChar w:fldCharType="begin"/>
      </w:r>
      <w:r>
        <w:rPr>
          <w:sz w:val="28"/>
          <w:szCs w:val="28"/>
          <w:highlight w:val="none"/>
        </w:rPr>
        <w:instrText xml:space="preserve"> PAGEREF _Toc20520 </w:instrText>
      </w:r>
      <w:r>
        <w:rPr>
          <w:sz w:val="28"/>
          <w:szCs w:val="28"/>
          <w:highlight w:val="none"/>
        </w:rPr>
        <w:fldChar w:fldCharType="separate"/>
      </w:r>
      <w:r>
        <w:rPr>
          <w:sz w:val="28"/>
          <w:szCs w:val="28"/>
          <w:highlight w:val="none"/>
        </w:rPr>
        <w:t>31</w:t>
      </w:r>
      <w:r>
        <w:rPr>
          <w:sz w:val="28"/>
          <w:szCs w:val="28"/>
          <w:highlight w:val="none"/>
        </w:rPr>
        <w:fldChar w:fldCharType="end"/>
      </w:r>
      <w:r>
        <w:rPr>
          <w:rFonts w:hint="eastAsia" w:ascii="宋体" w:hAnsi="宋体" w:cs="宋体"/>
          <w:sz w:val="28"/>
          <w:szCs w:val="40"/>
          <w:highlight w:val="none"/>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600" w:lineRule="auto"/>
        <w:textAlignment w:val="auto"/>
        <w:rPr>
          <w:sz w:val="28"/>
          <w:szCs w:val="28"/>
          <w:highlight w:val="none"/>
        </w:rPr>
      </w:pPr>
      <w:r>
        <w:rPr>
          <w:rFonts w:hint="eastAsia" w:ascii="宋体" w:hAnsi="宋体" w:cs="宋体"/>
          <w:sz w:val="28"/>
          <w:szCs w:val="40"/>
          <w:highlight w:val="none"/>
        </w:rPr>
        <w:fldChar w:fldCharType="begin"/>
      </w:r>
      <w:r>
        <w:rPr>
          <w:rFonts w:hint="eastAsia" w:ascii="宋体" w:hAnsi="宋体" w:cs="宋体"/>
          <w:sz w:val="28"/>
          <w:szCs w:val="40"/>
          <w:highlight w:val="none"/>
        </w:rPr>
        <w:instrText xml:space="preserve"> HYPERLINK \l _Toc10251 </w:instrText>
      </w:r>
      <w:r>
        <w:rPr>
          <w:rFonts w:hint="eastAsia" w:ascii="宋体" w:hAnsi="宋体" w:cs="宋体"/>
          <w:sz w:val="28"/>
          <w:szCs w:val="40"/>
          <w:highlight w:val="none"/>
        </w:rPr>
        <w:fldChar w:fldCharType="separate"/>
      </w:r>
      <w:r>
        <w:rPr>
          <w:rFonts w:ascii="宋体" w:hAnsi="宋体" w:cs="宋体"/>
          <w:sz w:val="28"/>
          <w:szCs w:val="28"/>
          <w:highlight w:val="none"/>
        </w:rPr>
        <w:t>第</w:t>
      </w:r>
      <w:r>
        <w:rPr>
          <w:rFonts w:hint="eastAsia" w:ascii="宋体" w:hAnsi="宋体" w:cs="宋体"/>
          <w:sz w:val="28"/>
          <w:szCs w:val="28"/>
          <w:highlight w:val="none"/>
          <w:lang w:eastAsia="zh-CN"/>
        </w:rPr>
        <w:t>五</w:t>
      </w:r>
      <w:r>
        <w:rPr>
          <w:rFonts w:ascii="宋体" w:hAnsi="宋体" w:cs="宋体"/>
          <w:sz w:val="28"/>
          <w:szCs w:val="28"/>
          <w:highlight w:val="none"/>
        </w:rPr>
        <w:t xml:space="preserve">章 </w:t>
      </w:r>
      <w:r>
        <w:rPr>
          <w:rFonts w:hint="eastAsia" w:ascii="宋体" w:hAnsi="宋体" w:cs="宋体"/>
          <w:sz w:val="28"/>
          <w:szCs w:val="28"/>
          <w:highlight w:val="none"/>
        </w:rPr>
        <w:t>项目概况及技术要求</w:t>
      </w:r>
      <w:r>
        <w:rPr>
          <w:sz w:val="28"/>
          <w:szCs w:val="28"/>
          <w:highlight w:val="none"/>
        </w:rPr>
        <w:tab/>
      </w:r>
      <w:r>
        <w:rPr>
          <w:sz w:val="28"/>
          <w:szCs w:val="28"/>
          <w:highlight w:val="none"/>
        </w:rPr>
        <w:fldChar w:fldCharType="begin"/>
      </w:r>
      <w:r>
        <w:rPr>
          <w:sz w:val="28"/>
          <w:szCs w:val="28"/>
          <w:highlight w:val="none"/>
        </w:rPr>
        <w:instrText xml:space="preserve"> PAGEREF _Toc10251 </w:instrText>
      </w:r>
      <w:r>
        <w:rPr>
          <w:sz w:val="28"/>
          <w:szCs w:val="28"/>
          <w:highlight w:val="none"/>
        </w:rPr>
        <w:fldChar w:fldCharType="separate"/>
      </w:r>
      <w:r>
        <w:rPr>
          <w:sz w:val="28"/>
          <w:szCs w:val="28"/>
          <w:highlight w:val="none"/>
        </w:rPr>
        <w:t>36</w:t>
      </w:r>
      <w:r>
        <w:rPr>
          <w:sz w:val="28"/>
          <w:szCs w:val="28"/>
          <w:highlight w:val="none"/>
        </w:rPr>
        <w:fldChar w:fldCharType="end"/>
      </w:r>
      <w:r>
        <w:rPr>
          <w:rFonts w:hint="eastAsia" w:ascii="宋体" w:hAnsi="宋体" w:cs="宋体"/>
          <w:sz w:val="28"/>
          <w:szCs w:val="40"/>
          <w:highlight w:val="none"/>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600" w:lineRule="auto"/>
        <w:textAlignment w:val="auto"/>
        <w:rPr>
          <w:highlight w:val="none"/>
        </w:rPr>
      </w:pPr>
      <w:r>
        <w:rPr>
          <w:rFonts w:hint="eastAsia" w:ascii="宋体" w:hAnsi="宋体" w:cs="宋体"/>
          <w:sz w:val="28"/>
          <w:szCs w:val="40"/>
          <w:highlight w:val="none"/>
        </w:rPr>
        <w:fldChar w:fldCharType="begin"/>
      </w:r>
      <w:r>
        <w:rPr>
          <w:rFonts w:hint="eastAsia" w:ascii="宋体" w:hAnsi="宋体" w:cs="宋体"/>
          <w:sz w:val="28"/>
          <w:szCs w:val="40"/>
          <w:highlight w:val="none"/>
        </w:rPr>
        <w:instrText xml:space="preserve"> HYPERLINK \l _Toc490 </w:instrText>
      </w:r>
      <w:r>
        <w:rPr>
          <w:rFonts w:hint="eastAsia" w:ascii="宋体" w:hAnsi="宋体" w:cs="宋体"/>
          <w:sz w:val="28"/>
          <w:szCs w:val="40"/>
          <w:highlight w:val="none"/>
        </w:rPr>
        <w:fldChar w:fldCharType="separate"/>
      </w:r>
      <w:r>
        <w:rPr>
          <w:rFonts w:hint="eastAsia" w:ascii="宋体" w:hAnsi="宋体" w:cs="宋体"/>
          <w:sz w:val="28"/>
          <w:szCs w:val="28"/>
          <w:highlight w:val="none"/>
        </w:rPr>
        <w:t>第</w:t>
      </w:r>
      <w:r>
        <w:rPr>
          <w:rFonts w:hint="eastAsia" w:ascii="宋体" w:hAnsi="宋体" w:cs="宋体"/>
          <w:sz w:val="28"/>
          <w:szCs w:val="28"/>
          <w:highlight w:val="none"/>
          <w:lang w:eastAsia="zh-CN"/>
        </w:rPr>
        <w:t>六</w:t>
      </w:r>
      <w:r>
        <w:rPr>
          <w:rFonts w:hint="eastAsia" w:ascii="宋体" w:hAnsi="宋体" w:cs="宋体"/>
          <w:sz w:val="28"/>
          <w:szCs w:val="28"/>
          <w:highlight w:val="none"/>
        </w:rPr>
        <w:t>章 竞争性磋商响应文件构成及格式</w:t>
      </w:r>
      <w:r>
        <w:rPr>
          <w:sz w:val="28"/>
          <w:szCs w:val="28"/>
          <w:highlight w:val="none"/>
        </w:rPr>
        <w:tab/>
      </w:r>
      <w:r>
        <w:rPr>
          <w:sz w:val="28"/>
          <w:szCs w:val="28"/>
          <w:highlight w:val="none"/>
        </w:rPr>
        <w:fldChar w:fldCharType="begin"/>
      </w:r>
      <w:r>
        <w:rPr>
          <w:sz w:val="28"/>
          <w:szCs w:val="28"/>
          <w:highlight w:val="none"/>
        </w:rPr>
        <w:instrText xml:space="preserve"> PAGEREF _Toc490 </w:instrText>
      </w:r>
      <w:r>
        <w:rPr>
          <w:sz w:val="28"/>
          <w:szCs w:val="28"/>
          <w:highlight w:val="none"/>
        </w:rPr>
        <w:fldChar w:fldCharType="separate"/>
      </w:r>
      <w:r>
        <w:rPr>
          <w:sz w:val="28"/>
          <w:szCs w:val="28"/>
          <w:highlight w:val="none"/>
        </w:rPr>
        <w:t>37</w:t>
      </w:r>
      <w:r>
        <w:rPr>
          <w:sz w:val="28"/>
          <w:szCs w:val="28"/>
          <w:highlight w:val="none"/>
        </w:rPr>
        <w:fldChar w:fldCharType="end"/>
      </w:r>
      <w:r>
        <w:rPr>
          <w:rFonts w:hint="eastAsia" w:ascii="宋体" w:hAnsi="宋体" w:cs="宋体"/>
          <w:sz w:val="28"/>
          <w:szCs w:val="40"/>
          <w:highlight w:val="none"/>
        </w:rPr>
        <w:fldChar w:fldCharType="end"/>
      </w:r>
    </w:p>
    <w:p>
      <w:pPr>
        <w:pStyle w:val="16"/>
        <w:tabs>
          <w:tab w:val="right" w:leader="dot" w:pos="8788"/>
        </w:tabs>
        <w:rPr>
          <w:highlight w:val="none"/>
        </w:rPr>
      </w:pPr>
    </w:p>
    <w:p>
      <w:pPr>
        <w:pStyle w:val="24"/>
        <w:keepNext w:val="0"/>
        <w:keepLines w:val="0"/>
        <w:pageBreakBefore w:val="0"/>
        <w:widowControl w:val="0"/>
        <w:tabs>
          <w:tab w:val="right" w:leader="dot" w:pos="8787"/>
        </w:tabs>
        <w:kinsoku/>
        <w:wordWrap/>
        <w:overflowPunct/>
        <w:topLinePunct w:val="0"/>
        <w:autoSpaceDE/>
        <w:autoSpaceDN/>
        <w:bidi w:val="0"/>
        <w:adjustRightInd/>
        <w:snapToGrid/>
        <w:spacing w:before="0" w:after="0" w:line="480" w:lineRule="auto"/>
        <w:textAlignment w:val="auto"/>
        <w:rPr>
          <w:rFonts w:ascii="宋体" w:hAnsi="宋体" w:cs="宋体"/>
          <w:sz w:val="24"/>
          <w:szCs w:val="24"/>
          <w:highlight w:val="none"/>
        </w:rPr>
      </w:pPr>
      <w:r>
        <w:rPr>
          <w:rFonts w:hint="eastAsia" w:ascii="宋体" w:hAnsi="宋体" w:cs="宋体"/>
          <w:szCs w:val="24"/>
          <w:highlight w:val="none"/>
        </w:rPr>
        <w:fldChar w:fldCharType="end"/>
      </w:r>
    </w:p>
    <w:p>
      <w:pPr>
        <w:rPr>
          <w:rFonts w:ascii="宋体" w:hAnsi="宋体" w:cs="宋体"/>
          <w:highlight w:val="none"/>
        </w:rPr>
      </w:pPr>
    </w:p>
    <w:p>
      <w:pPr>
        <w:rPr>
          <w:rFonts w:ascii="宋体" w:hAnsi="宋体" w:cs="宋体"/>
          <w:sz w:val="36"/>
          <w:szCs w:val="36"/>
          <w:highlight w:val="none"/>
        </w:rPr>
      </w:pPr>
    </w:p>
    <w:p>
      <w:pPr>
        <w:rPr>
          <w:rFonts w:ascii="宋体" w:hAnsi="宋体" w:cs="宋体"/>
          <w:sz w:val="36"/>
          <w:szCs w:val="36"/>
          <w:highlight w:val="none"/>
        </w:rPr>
      </w:pPr>
    </w:p>
    <w:p>
      <w:pPr>
        <w:rPr>
          <w:rFonts w:ascii="宋体" w:hAnsi="宋体" w:cs="宋体"/>
          <w:sz w:val="36"/>
          <w:szCs w:val="36"/>
          <w:highlight w:val="none"/>
        </w:rPr>
      </w:pPr>
    </w:p>
    <w:p>
      <w:pPr>
        <w:rPr>
          <w:rFonts w:ascii="宋体" w:hAnsi="宋体" w:cs="宋体"/>
          <w:sz w:val="36"/>
          <w:szCs w:val="36"/>
          <w:highlight w:val="none"/>
        </w:rPr>
      </w:pPr>
    </w:p>
    <w:p>
      <w:pPr>
        <w:rPr>
          <w:rFonts w:ascii="宋体" w:hAnsi="宋体" w:cs="宋体"/>
          <w:sz w:val="36"/>
          <w:szCs w:val="36"/>
          <w:highlight w:val="none"/>
        </w:rPr>
      </w:pPr>
    </w:p>
    <w:p>
      <w:pPr>
        <w:rPr>
          <w:rFonts w:ascii="宋体" w:hAnsi="宋体" w:cs="宋体"/>
          <w:sz w:val="36"/>
          <w:szCs w:val="36"/>
          <w:highlight w:val="none"/>
        </w:rPr>
      </w:pPr>
    </w:p>
    <w:p>
      <w:pPr>
        <w:rPr>
          <w:rFonts w:ascii="宋体" w:hAnsi="宋体" w:cs="宋体"/>
          <w:sz w:val="36"/>
          <w:szCs w:val="36"/>
          <w:highlight w:val="none"/>
        </w:rPr>
      </w:pPr>
    </w:p>
    <w:bookmarkEnd w:id="1"/>
    <w:bookmarkEnd w:id="2"/>
    <w:bookmarkEnd w:id="3"/>
    <w:bookmarkEnd w:id="4"/>
    <w:bookmarkEnd w:id="5"/>
    <w:bookmarkEnd w:id="6"/>
    <w:bookmarkEnd w:id="7"/>
    <w:bookmarkEnd w:id="8"/>
    <w:p>
      <w:pPr>
        <w:pStyle w:val="3"/>
        <w:keepNext w:val="0"/>
        <w:pageBreakBefore/>
        <w:spacing w:before="156" w:beforeLines="50" w:after="156" w:afterLines="50"/>
        <w:jc w:val="center"/>
        <w:rPr>
          <w:rFonts w:ascii="宋体" w:hAnsi="宋体" w:cs="宋体"/>
          <w:highlight w:val="none"/>
        </w:rPr>
      </w:pPr>
      <w:bookmarkStart w:id="9" w:name="_Toc452384741"/>
      <w:bookmarkStart w:id="10" w:name="_Toc32017"/>
      <w:r>
        <w:rPr>
          <w:rFonts w:hint="eastAsia" w:ascii="宋体" w:hAnsi="宋体" w:cs="宋体"/>
          <w:highlight w:val="none"/>
        </w:rPr>
        <w:t>第一章</w:t>
      </w:r>
      <w:bookmarkEnd w:id="9"/>
      <w:r>
        <w:rPr>
          <w:rFonts w:hint="eastAsia" w:ascii="宋体" w:hAnsi="宋体" w:cs="宋体"/>
          <w:highlight w:val="none"/>
        </w:rPr>
        <w:t xml:space="preserve">  竞争性磋商公告</w:t>
      </w:r>
      <w:bookmarkEnd w:id="10"/>
    </w:p>
    <w:p>
      <w:pPr>
        <w:tabs>
          <w:tab w:val="left" w:pos="-200"/>
          <w:tab w:val="left" w:pos="0"/>
        </w:tabs>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rPr>
        <w:t>华夏国际项目管理有限公司受</w:t>
      </w:r>
      <w:r>
        <w:rPr>
          <w:rFonts w:hint="eastAsia" w:ascii="宋体" w:hAnsi="宋体" w:cs="宋体"/>
          <w:sz w:val="24"/>
          <w:szCs w:val="24"/>
          <w:highlight w:val="none"/>
          <w:lang w:eastAsia="zh-CN"/>
        </w:rPr>
        <w:t>铜川市新区移民（脱贫）搬迁办公室</w:t>
      </w:r>
      <w:r>
        <w:rPr>
          <w:rFonts w:hint="eastAsia" w:ascii="宋体" w:hAnsi="宋体" w:cs="宋体"/>
          <w:sz w:val="24"/>
          <w:szCs w:val="24"/>
          <w:highlight w:val="none"/>
        </w:rPr>
        <w:t>的委托，按照政府采购程序，对</w:t>
      </w:r>
      <w:r>
        <w:rPr>
          <w:rFonts w:hint="eastAsia" w:ascii="宋体" w:hAnsi="宋体" w:cs="宋体"/>
          <w:sz w:val="24"/>
          <w:szCs w:val="24"/>
          <w:highlight w:val="none"/>
          <w:lang w:eastAsia="zh-CN"/>
        </w:rPr>
        <w:t>铜川市新区移民（脱贫）搬迁办公室宅基地腾退服务项目</w:t>
      </w:r>
      <w:r>
        <w:rPr>
          <w:rFonts w:hint="eastAsia" w:ascii="宋体" w:hAnsi="宋体" w:cs="宋体"/>
          <w:sz w:val="24"/>
          <w:szCs w:val="24"/>
          <w:highlight w:val="none"/>
        </w:rPr>
        <w:t>进行竞争性磋商，欢迎符合资格条件的、有能力提供本项目所需货物和服务的供应商参加磋商。</w:t>
      </w:r>
    </w:p>
    <w:p>
      <w:pPr>
        <w:spacing w:line="520" w:lineRule="exact"/>
        <w:ind w:left="2040" w:hanging="2040" w:hangingChars="850"/>
        <w:rPr>
          <w:rFonts w:ascii="宋体" w:hAnsi="宋体" w:cs="宋体"/>
          <w:sz w:val="24"/>
          <w:szCs w:val="24"/>
          <w:highlight w:val="none"/>
        </w:rPr>
      </w:pPr>
      <w:r>
        <w:rPr>
          <w:rFonts w:hint="eastAsia" w:ascii="宋体" w:hAnsi="宋体" w:cs="宋体"/>
          <w:sz w:val="24"/>
          <w:szCs w:val="24"/>
          <w:highlight w:val="none"/>
        </w:rPr>
        <w:t>一、采购项目名称：</w:t>
      </w:r>
      <w:r>
        <w:rPr>
          <w:rFonts w:hint="eastAsia" w:ascii="宋体" w:hAnsi="宋体" w:cs="宋体"/>
          <w:sz w:val="24"/>
          <w:szCs w:val="24"/>
          <w:highlight w:val="none"/>
          <w:lang w:eastAsia="zh-CN"/>
        </w:rPr>
        <w:t>铜川市新区移民（脱贫）搬迁办公室宅基地腾退服务项目</w:t>
      </w:r>
    </w:p>
    <w:p>
      <w:pPr>
        <w:spacing w:line="520" w:lineRule="exact"/>
        <w:ind w:left="2040" w:hanging="2040" w:hangingChars="850"/>
        <w:rPr>
          <w:rFonts w:hint="eastAsia" w:ascii="宋体" w:hAnsi="宋体" w:eastAsia="宋体" w:cs="宋体"/>
          <w:sz w:val="24"/>
          <w:szCs w:val="24"/>
          <w:highlight w:val="none"/>
          <w:lang w:eastAsia="zh-CN"/>
        </w:rPr>
      </w:pPr>
      <w:r>
        <w:rPr>
          <w:rFonts w:hint="eastAsia" w:ascii="宋体" w:hAnsi="宋体" w:cs="宋体"/>
          <w:sz w:val="24"/>
          <w:szCs w:val="24"/>
          <w:highlight w:val="none"/>
        </w:rPr>
        <w:t>二、采购项目编号：SXHXZB2019-ZC-</w:t>
      </w:r>
      <w:r>
        <w:rPr>
          <w:rFonts w:hint="eastAsia" w:ascii="宋体" w:hAnsi="宋体" w:cs="宋体"/>
          <w:sz w:val="24"/>
          <w:szCs w:val="24"/>
          <w:highlight w:val="none"/>
          <w:lang w:eastAsia="zh-CN"/>
        </w:rPr>
        <w:t>CS1281</w:t>
      </w:r>
    </w:p>
    <w:p>
      <w:pPr>
        <w:spacing w:line="520" w:lineRule="exact"/>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三、采购人名称：</w:t>
      </w:r>
      <w:r>
        <w:rPr>
          <w:rFonts w:hint="eastAsia" w:ascii="宋体" w:hAnsi="宋体" w:cs="宋体"/>
          <w:sz w:val="24"/>
          <w:szCs w:val="24"/>
          <w:highlight w:val="none"/>
          <w:lang w:eastAsia="zh-CN"/>
        </w:rPr>
        <w:t>铜川市新区移民（脱贫）搬迁办公室</w:t>
      </w:r>
    </w:p>
    <w:p>
      <w:pPr>
        <w:spacing w:line="520" w:lineRule="exact"/>
        <w:ind w:firstLine="480"/>
        <w:jc w:val="left"/>
        <w:rPr>
          <w:rFonts w:ascii="宋体" w:hAnsi="宋体" w:cs="宋体"/>
          <w:sz w:val="24"/>
          <w:szCs w:val="24"/>
          <w:highlight w:val="none"/>
        </w:rPr>
      </w:pPr>
      <w:r>
        <w:rPr>
          <w:rFonts w:hint="eastAsia" w:ascii="宋体" w:hAnsi="宋体" w:cs="宋体"/>
          <w:sz w:val="24"/>
          <w:szCs w:val="24"/>
          <w:highlight w:val="none"/>
        </w:rPr>
        <w:t>地址： 铜川市新区长虹南路九号</w:t>
      </w:r>
    </w:p>
    <w:p>
      <w:pPr>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刘老师</w:t>
      </w:r>
    </w:p>
    <w:p>
      <w:pPr>
        <w:spacing w:line="50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电话：</w:t>
      </w:r>
      <w:r>
        <w:rPr>
          <w:rFonts w:hint="eastAsia" w:ascii="宋体" w:hAnsi="宋体" w:cs="宋体"/>
          <w:sz w:val="24"/>
          <w:szCs w:val="24"/>
          <w:highlight w:val="none"/>
          <w:lang w:val="en-US" w:eastAsia="zh-CN"/>
        </w:rPr>
        <w:t>0919-3281198</w:t>
      </w:r>
    </w:p>
    <w:p>
      <w:pPr>
        <w:spacing w:line="520" w:lineRule="exact"/>
        <w:jc w:val="left"/>
        <w:rPr>
          <w:rFonts w:ascii="宋体" w:hAnsi="宋体" w:cs="宋体"/>
          <w:sz w:val="24"/>
          <w:szCs w:val="24"/>
          <w:highlight w:val="none"/>
        </w:rPr>
      </w:pPr>
      <w:r>
        <w:rPr>
          <w:rFonts w:hint="eastAsia" w:ascii="宋体" w:hAnsi="宋体" w:cs="宋体"/>
          <w:sz w:val="24"/>
          <w:szCs w:val="24"/>
          <w:highlight w:val="none"/>
        </w:rPr>
        <w:t>四、采购代理机构名称：华夏国际项目管理有限公司</w:t>
      </w:r>
    </w:p>
    <w:p>
      <w:pPr>
        <w:spacing w:line="5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地址：西安市高新区科技五路8号数字大厦11楼</w:t>
      </w:r>
    </w:p>
    <w:p>
      <w:pPr>
        <w:spacing w:line="5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电话：029-88899970/72/73/75-816</w:t>
      </w:r>
    </w:p>
    <w:p>
      <w:pPr>
        <w:spacing w:line="560" w:lineRule="exact"/>
        <w:ind w:firstLine="480" w:firstLineChars="200"/>
        <w:jc w:val="left"/>
        <w:rPr>
          <w:rFonts w:hint="eastAsia"/>
          <w:highlight w:val="none"/>
          <w:lang w:eastAsia="zh-CN"/>
        </w:rPr>
      </w:pPr>
      <w:r>
        <w:rPr>
          <w:rFonts w:hint="eastAsia" w:ascii="宋体" w:hAnsi="宋体" w:cs="宋体"/>
          <w:sz w:val="24"/>
          <w:szCs w:val="24"/>
          <w:highlight w:val="none"/>
        </w:rPr>
        <w:t>联系人：丁</w:t>
      </w:r>
      <w:r>
        <w:rPr>
          <w:rFonts w:hint="eastAsia" w:ascii="宋体" w:hAnsi="宋体" w:cs="宋体"/>
          <w:sz w:val="24"/>
          <w:szCs w:val="24"/>
          <w:highlight w:val="none"/>
          <w:lang w:eastAsia="zh-CN"/>
        </w:rPr>
        <w:t>工、李莹、张艳萍</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五、采购内容和需求： </w:t>
      </w:r>
    </w:p>
    <w:p>
      <w:pPr>
        <w:spacing w:line="560" w:lineRule="exact"/>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项目概况：对全区三个办事处（坡头、咸丰、正阳）进行易地扶贫旧宅基地腾退拆迁，总面积为8697.44㎡</w:t>
      </w:r>
      <w:r>
        <w:rPr>
          <w:rFonts w:hint="eastAsia" w:ascii="宋体" w:hAnsi="宋体" w:cs="宋体"/>
          <w:sz w:val="24"/>
          <w:szCs w:val="24"/>
          <w:highlight w:val="none"/>
          <w:lang w:eastAsia="zh-CN"/>
        </w:rPr>
        <w:t>。</w:t>
      </w:r>
    </w:p>
    <w:p>
      <w:pPr>
        <w:spacing w:line="560" w:lineRule="exact"/>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项目用途：</w:t>
      </w:r>
      <w:r>
        <w:rPr>
          <w:rFonts w:hint="eastAsia" w:ascii="宋体" w:hAnsi="宋体" w:cs="宋体"/>
          <w:sz w:val="24"/>
          <w:szCs w:val="24"/>
          <w:highlight w:val="none"/>
          <w:lang w:eastAsia="zh-CN"/>
        </w:rPr>
        <w:t>宅基地腾退服务</w:t>
      </w:r>
    </w:p>
    <w:p>
      <w:pPr>
        <w:spacing w:line="5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采购预算：人民币689751.80元</w:t>
      </w:r>
    </w:p>
    <w:p>
      <w:pPr>
        <w:numPr>
          <w:ilvl w:val="0"/>
          <w:numId w:val="1"/>
        </w:numPr>
        <w:spacing w:line="520" w:lineRule="exact"/>
        <w:rPr>
          <w:rFonts w:ascii="宋体" w:hAnsi="宋体" w:cs="宋体"/>
          <w:sz w:val="24"/>
          <w:szCs w:val="24"/>
          <w:highlight w:val="none"/>
        </w:rPr>
      </w:pPr>
      <w:r>
        <w:rPr>
          <w:rFonts w:hint="eastAsia" w:ascii="宋体" w:hAnsi="宋体" w:cs="宋体"/>
          <w:sz w:val="24"/>
          <w:szCs w:val="24"/>
          <w:highlight w:val="none"/>
        </w:rPr>
        <w:t xml:space="preserve">供应商资格要求： </w:t>
      </w:r>
    </w:p>
    <w:p>
      <w:pPr>
        <w:spacing w:line="500" w:lineRule="exact"/>
        <w:ind w:firstLine="240" w:firstLineChars="100"/>
        <w:rPr>
          <w:rFonts w:ascii="宋体" w:hAnsi="宋体" w:cs="宋体"/>
          <w:sz w:val="24"/>
          <w:szCs w:val="24"/>
          <w:highlight w:val="none"/>
        </w:rPr>
      </w:pPr>
      <w:r>
        <w:rPr>
          <w:rFonts w:hint="eastAsia" w:ascii="宋体" w:hAnsi="宋体" w:cs="宋体"/>
          <w:sz w:val="24"/>
          <w:szCs w:val="24"/>
          <w:highlight w:val="none"/>
        </w:rPr>
        <w:t>（1）基本资格条件：符合《中华人民共和国政府采购法》第二十二条的规定；</w:t>
      </w:r>
    </w:p>
    <w:p>
      <w:pPr>
        <w:spacing w:line="500" w:lineRule="exact"/>
        <w:ind w:firstLine="240" w:firstLineChars="100"/>
        <w:rPr>
          <w:rFonts w:ascii="宋体" w:hAnsi="宋体" w:cs="宋体"/>
          <w:sz w:val="24"/>
          <w:szCs w:val="24"/>
          <w:highlight w:val="none"/>
        </w:rPr>
      </w:pPr>
      <w:r>
        <w:rPr>
          <w:rFonts w:hint="eastAsia" w:ascii="宋体" w:hAnsi="宋体" w:cs="宋体"/>
          <w:sz w:val="24"/>
          <w:szCs w:val="24"/>
          <w:highlight w:val="none"/>
        </w:rPr>
        <w:t>（2）特定资格条件：</w:t>
      </w:r>
    </w:p>
    <w:p>
      <w:pPr>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rPr>
        <w:t>1、提供合格有效的法人或者其他组织的营业执照等证明文件，自然人的身份证明；</w:t>
      </w:r>
    </w:p>
    <w:p>
      <w:pPr>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rPr>
        <w:t>2、法定代表人授权书（附法定代表人、被授权人身份证复印件）及被授权人身份证（法定代表人直接参加磋商，须提供法定代表人身份证明及身份证原件）；</w:t>
      </w:r>
    </w:p>
    <w:p>
      <w:pPr>
        <w:spacing w:line="500" w:lineRule="exact"/>
        <w:ind w:firstLine="480" w:firstLineChars="200"/>
        <w:rPr>
          <w:rFonts w:ascii="宋体" w:hAnsi="宋体" w:cs="宋体"/>
          <w:sz w:val="24"/>
          <w:szCs w:val="24"/>
          <w:highlight w:val="none"/>
          <w:shd w:val="clear" w:color="auto" w:fill="FFFFFF"/>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、财务状况报告：提供2018年度经审计的财务报告（成立时间至提交响应文件截止时间不足一年的可提供成立后任意时段的资产负债表），或其</w:t>
      </w:r>
      <w:r>
        <w:rPr>
          <w:rFonts w:hint="eastAsia" w:ascii="宋体" w:hAnsi="宋体" w:cs="宋体"/>
          <w:sz w:val="24"/>
          <w:szCs w:val="24"/>
          <w:highlight w:val="none"/>
          <w:lang w:eastAsia="zh-CN"/>
        </w:rPr>
        <w:t>公司</w:t>
      </w:r>
      <w:r>
        <w:rPr>
          <w:rFonts w:hint="eastAsia" w:ascii="宋体" w:hAnsi="宋体" w:cs="宋体"/>
          <w:sz w:val="24"/>
          <w:szCs w:val="24"/>
          <w:highlight w:val="none"/>
        </w:rPr>
        <w:t>存款账户开户银行出具的资信证明及基本存款账户开户许可证；</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、税收缴纳证明：提供磋商响应文件递交截止日前一年内已缴纳的至少一个月的</w:t>
      </w:r>
      <w:r>
        <w:rPr>
          <w:rFonts w:hint="eastAsia" w:ascii="宋体" w:hAnsi="宋体" w:cs="宋体"/>
          <w:sz w:val="24"/>
          <w:szCs w:val="24"/>
          <w:highlight w:val="none"/>
          <w:lang w:eastAsia="zh-CN"/>
        </w:rPr>
        <w:t>完整的</w:t>
      </w:r>
      <w:r>
        <w:rPr>
          <w:rFonts w:hint="eastAsia" w:ascii="宋体" w:hAnsi="宋体" w:cs="宋体"/>
          <w:sz w:val="24"/>
          <w:szCs w:val="24"/>
          <w:highlight w:val="none"/>
        </w:rPr>
        <w:t>纳税证明或完税证明，依法免税的单位应提供相关证明材料；</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社会保障资金缴纳证明：提供磋商响应文件递交截止日前一年内已缴存的至少一个月的社会保障资金缴存单据或社保机构开具的社会保险参保缴费情况证明，依法不需要缴纳社会保障资金的单位应提供相关证明材料；</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、提供具有履行合同所必需的设备和专业技术能力的承诺；</w:t>
      </w:r>
    </w:p>
    <w:p>
      <w:pPr>
        <w:spacing w:line="520" w:lineRule="exact"/>
        <w:ind w:firstLine="480"/>
        <w:rPr>
          <w:rFonts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、供应商不得为“信用中国”网站（</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http://www.creditchina.gov.cn%EF%BC%89%E4%B8%AD%E5%88%97%E5%85%A5%E5%A4%B1%E4%BF%A1%E8%A2%AB%E6%89%A7%E8%A1%8C%E4%BA%BA%E5%92%8C%E9%87%8D%E5%A4%A7%E7%A8%8E%E6%94%B6%E8%BF%9D%E6%B3%95%E6%A1%88%E4%BB%B6%E5%BD%93%E4%BA%8B%E4%BA%BA%E5%90%8D%E5%8D%95%E7%9A%84%E4%BE%9B%E5%BA%94%E5%95%86/" \t "_blank"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www.creditchina.gov.cn）中列入失信被执行人和重大税收违法案件当事人名单的供应商</w:t>
      </w:r>
      <w:r>
        <w:rPr>
          <w:rFonts w:hint="eastAsia" w:ascii="宋体" w:hAnsi="宋体" w:cs="宋体"/>
          <w:sz w:val="24"/>
          <w:szCs w:val="24"/>
          <w:highlight w:val="none"/>
        </w:rPr>
        <w:fldChar w:fldCharType="end"/>
      </w:r>
      <w:r>
        <w:rPr>
          <w:rFonts w:hint="eastAsia" w:ascii="宋体" w:hAnsi="宋体" w:cs="宋体"/>
          <w:sz w:val="24"/>
          <w:szCs w:val="24"/>
          <w:highlight w:val="none"/>
        </w:rPr>
        <w:t>，不得为中国政府采购网（</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http://www.ccgp.gov.cn%EF%BC%89%E6%94%BF%E5%BA%9C%E9%87%87%E8%B4%AD%E4%B8%A5%E9%87%8D%E8%BF%9D%E6%B3%95%E5%A4%B1%E4%BF%A1%E8%A1%8C%E4%B8%BA%E8%AE%B0%E5%BD%95%E5%90%8D%E5%8D%95%E4%B8%AD%E8%A2%AB%E8%B4%A2%E6%94%BF%E9%83%A8%E9%97%A8%E7%A6%81%E6%AD%A2%E5%8F%82%E5%8A%A0%E6%94%BF%E5%BA%9C%E9%87%87%E8%B4%AD%E6%B4%BB%E5%8A%A8%E7%9A%84%E4%BE%9B%E5%BA%94%E5%95%86/" \t "_blank"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www.ccgp.gov.cn）政府采购严重违法失信行为记录名单中被财政部门禁止参加政府采购活动的供应商</w:t>
      </w:r>
      <w:r>
        <w:rPr>
          <w:rFonts w:hint="eastAsia" w:ascii="宋体" w:hAnsi="宋体" w:cs="宋体"/>
          <w:sz w:val="24"/>
          <w:szCs w:val="24"/>
          <w:highlight w:val="none"/>
        </w:rPr>
        <w:fldChar w:fldCharType="end"/>
      </w:r>
      <w:r>
        <w:rPr>
          <w:rFonts w:hint="eastAsia" w:ascii="宋体" w:hAnsi="宋体" w:cs="宋体"/>
          <w:sz w:val="24"/>
          <w:szCs w:val="24"/>
          <w:highlight w:val="none"/>
          <w:lang w:eastAsia="zh-CN"/>
        </w:rPr>
        <w:t>。</w:t>
      </w:r>
    </w:p>
    <w:p>
      <w:pPr>
        <w:spacing w:line="520" w:lineRule="exact"/>
        <w:ind w:firstLine="480"/>
        <w:rPr>
          <w:rFonts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、参加政府采购活动前3年内，在经营活动中没有重大违法记录的书面声明；</w:t>
      </w:r>
    </w:p>
    <w:p>
      <w:pPr>
        <w:spacing w:line="520" w:lineRule="exact"/>
        <w:ind w:firstLine="480"/>
        <w:rPr>
          <w:rFonts w:ascii="宋体" w:hAnsi="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、磋商保证金缴纳凭证或担保机构出具的保函；</w:t>
      </w:r>
    </w:p>
    <w:p>
      <w:pPr>
        <w:spacing w:line="520" w:lineRule="exact"/>
        <w:rPr>
          <w:rFonts w:ascii="宋体" w:hAnsi="宋体" w:cs="宋体"/>
          <w:sz w:val="24"/>
          <w:szCs w:val="24"/>
          <w:highlight w:val="none"/>
        </w:rPr>
      </w:pPr>
      <w:r>
        <w:rPr>
          <w:rFonts w:hint="eastAsia" w:ascii="宋体" w:hAnsi="宋体" w:cs="宋体"/>
          <w:sz w:val="24"/>
          <w:szCs w:val="24"/>
          <w:highlight w:val="none"/>
        </w:rPr>
        <w:t xml:space="preserve">    1</w:t>
      </w:r>
      <w:r>
        <w:rPr>
          <w:rFonts w:hint="eastAsia" w:ascii="宋体" w:hAnsi="宋体" w:cs="宋体"/>
          <w:sz w:val="24"/>
          <w:szCs w:val="24"/>
          <w:highlight w:val="none"/>
          <w:lang w:val="en-US" w:eastAsia="zh-CN"/>
        </w:rPr>
        <w:t>0</w:t>
      </w:r>
      <w:r>
        <w:rPr>
          <w:rFonts w:hint="eastAsia" w:ascii="宋体" w:hAnsi="宋体" w:cs="宋体"/>
          <w:sz w:val="24"/>
          <w:szCs w:val="24"/>
          <w:highlight w:val="none"/>
        </w:rPr>
        <w:t>、本项目不接受联合体磋商。</w:t>
      </w:r>
    </w:p>
    <w:p>
      <w:pPr>
        <w:spacing w:line="520" w:lineRule="exact"/>
        <w:rPr>
          <w:rFonts w:ascii="宋体" w:hAnsi="宋体" w:cs="宋体"/>
          <w:sz w:val="24"/>
          <w:szCs w:val="24"/>
          <w:highlight w:val="none"/>
        </w:rPr>
      </w:pPr>
      <w:r>
        <w:rPr>
          <w:rFonts w:hint="eastAsia" w:ascii="宋体" w:hAnsi="宋体" w:cs="宋体"/>
          <w:kern w:val="15"/>
          <w:sz w:val="24"/>
          <w:szCs w:val="24"/>
          <w:highlight w:val="none"/>
        </w:rPr>
        <w:t>七、</w:t>
      </w:r>
      <w:r>
        <w:rPr>
          <w:rFonts w:hint="eastAsia" w:ascii="宋体" w:hAnsi="宋体" w:cs="宋体"/>
          <w:sz w:val="24"/>
          <w:szCs w:val="24"/>
          <w:highlight w:val="none"/>
        </w:rPr>
        <w:t>采购项目需要落实的政府采购政策：</w:t>
      </w:r>
    </w:p>
    <w:p>
      <w:pPr>
        <w:spacing w:line="520" w:lineRule="exact"/>
        <w:ind w:firstLine="480"/>
        <w:rPr>
          <w:rFonts w:ascii="宋体" w:hAnsi="宋体" w:cs="宋体"/>
          <w:sz w:val="24"/>
          <w:szCs w:val="24"/>
          <w:highlight w:val="none"/>
        </w:rPr>
      </w:pPr>
      <w:r>
        <w:rPr>
          <w:rFonts w:hint="eastAsia" w:ascii="宋体" w:hAnsi="宋体" w:cs="宋体"/>
          <w:sz w:val="24"/>
          <w:szCs w:val="24"/>
          <w:highlight w:val="none"/>
        </w:rPr>
        <w:t>依据《中华人民共和国政府采购法》和《中华人民共和国政府采购法实施条例》的有关规定，落实政府采购政策，详见竞争性磋商文件。</w:t>
      </w:r>
    </w:p>
    <w:p>
      <w:pPr>
        <w:numPr>
          <w:ilvl w:val="0"/>
          <w:numId w:val="2"/>
        </w:numPr>
        <w:spacing w:line="520" w:lineRule="exact"/>
        <w:ind w:firstLine="480"/>
        <w:rPr>
          <w:rFonts w:ascii="宋体" w:hAnsi="宋体" w:cs="宋体"/>
          <w:sz w:val="24"/>
          <w:szCs w:val="24"/>
          <w:highlight w:val="none"/>
        </w:rPr>
      </w:pPr>
      <w:r>
        <w:rPr>
          <w:rFonts w:hint="eastAsia" w:ascii="宋体" w:hAnsi="宋体" w:cs="宋体"/>
          <w:sz w:val="24"/>
          <w:szCs w:val="24"/>
          <w:highlight w:val="none"/>
        </w:rPr>
        <w:t>《政府采购促进中小企业发展暂行办法》（财库【2011】181号）；</w:t>
      </w:r>
    </w:p>
    <w:p>
      <w:pPr>
        <w:numPr>
          <w:ilvl w:val="0"/>
          <w:numId w:val="2"/>
        </w:numPr>
        <w:spacing w:line="520" w:lineRule="exact"/>
        <w:ind w:firstLine="480"/>
        <w:rPr>
          <w:rFonts w:ascii="宋体" w:hAnsi="宋体" w:cs="宋体"/>
          <w:sz w:val="24"/>
          <w:szCs w:val="24"/>
          <w:highlight w:val="none"/>
        </w:rPr>
      </w:pPr>
      <w:r>
        <w:rPr>
          <w:rFonts w:hint="eastAsia" w:ascii="宋体" w:hAnsi="宋体" w:cs="宋体"/>
          <w:sz w:val="24"/>
          <w:szCs w:val="24"/>
          <w:highlight w:val="none"/>
        </w:rPr>
        <w:t>《财政部 司法部关于政府采购支持监狱企业发展有关问题的通知》（财库【2014】68号）；</w:t>
      </w:r>
    </w:p>
    <w:p>
      <w:pPr>
        <w:numPr>
          <w:ilvl w:val="0"/>
          <w:numId w:val="2"/>
        </w:numPr>
        <w:spacing w:line="520" w:lineRule="exact"/>
        <w:ind w:firstLine="480"/>
        <w:rPr>
          <w:rFonts w:ascii="宋体" w:hAnsi="宋体" w:cs="宋体"/>
          <w:sz w:val="24"/>
          <w:szCs w:val="24"/>
          <w:highlight w:val="none"/>
        </w:rPr>
      </w:pPr>
      <w:r>
        <w:rPr>
          <w:rFonts w:hint="eastAsia" w:ascii="宋体" w:hAnsi="宋体" w:cs="宋体"/>
          <w:sz w:val="24"/>
          <w:szCs w:val="24"/>
          <w:highlight w:val="none"/>
        </w:rPr>
        <w:t>《国务院办公厅关于建立政府强制采购节能产品制度的通知》（国发办【2007】51号）；</w:t>
      </w:r>
    </w:p>
    <w:p>
      <w:pPr>
        <w:numPr>
          <w:ilvl w:val="0"/>
          <w:numId w:val="2"/>
        </w:numPr>
        <w:spacing w:line="560" w:lineRule="exact"/>
        <w:ind w:firstLine="480"/>
        <w:rPr>
          <w:rFonts w:ascii="宋体" w:hAnsi="宋体" w:cs="宋体"/>
          <w:sz w:val="24"/>
          <w:szCs w:val="24"/>
          <w:highlight w:val="none"/>
        </w:rPr>
      </w:pPr>
      <w:r>
        <w:rPr>
          <w:rFonts w:hint="eastAsia" w:ascii="宋体" w:hAnsi="宋体" w:cs="宋体"/>
          <w:sz w:val="24"/>
          <w:szCs w:val="24"/>
          <w:highlight w:val="none"/>
        </w:rPr>
        <w:t xml:space="preserve">《节能产品政府采购实施意见》（财库【2004】185号）； </w:t>
      </w:r>
    </w:p>
    <w:p>
      <w:pPr>
        <w:spacing w:line="520" w:lineRule="exact"/>
        <w:ind w:firstLine="480" w:firstLineChars="200"/>
        <w:rPr>
          <w:rFonts w:ascii="宋体" w:hAnsi="宋体" w:cs="宋体"/>
          <w:kern w:val="15"/>
          <w:sz w:val="24"/>
          <w:szCs w:val="24"/>
          <w:highlight w:val="none"/>
        </w:rPr>
      </w:pPr>
      <w:r>
        <w:rPr>
          <w:rFonts w:hint="eastAsia" w:ascii="宋体" w:hAnsi="宋体" w:cs="宋体"/>
          <w:sz w:val="24"/>
          <w:szCs w:val="24"/>
          <w:highlight w:val="none"/>
        </w:rPr>
        <w:t>5、《环境标志产品政府采购实施的意见》（财库【2006】90号）；</w:t>
      </w:r>
    </w:p>
    <w:p>
      <w:pPr>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rPr>
        <w:t>6、《三部门联合发布关于促进残疾人就业政府采购政策的通知》（财库【2017】141号）。</w:t>
      </w:r>
    </w:p>
    <w:p>
      <w:pPr>
        <w:spacing w:line="520" w:lineRule="exact"/>
        <w:jc w:val="left"/>
        <w:rPr>
          <w:rFonts w:ascii="宋体" w:hAnsi="宋体" w:cs="宋体"/>
          <w:sz w:val="24"/>
          <w:szCs w:val="24"/>
          <w:highlight w:val="none"/>
        </w:rPr>
      </w:pPr>
      <w:r>
        <w:rPr>
          <w:rFonts w:hint="eastAsia" w:ascii="宋体" w:hAnsi="宋体" w:cs="宋体"/>
          <w:sz w:val="24"/>
          <w:szCs w:val="24"/>
          <w:highlight w:val="none"/>
        </w:rPr>
        <w:t>八、竞争性磋商文件发售：</w:t>
      </w:r>
    </w:p>
    <w:p>
      <w:pPr>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rPr>
        <w:t>1、发售时间：2019年</w:t>
      </w:r>
      <w:r>
        <w:rPr>
          <w:rFonts w:hint="eastAsia" w:ascii="宋体" w:hAnsi="宋体" w:cs="宋体"/>
          <w:sz w:val="24"/>
          <w:szCs w:val="24"/>
          <w:highlight w:val="none"/>
          <w:lang w:val="en-US" w:eastAsia="zh-CN"/>
        </w:rPr>
        <w:t>12</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sz w:val="24"/>
          <w:szCs w:val="24"/>
          <w:highlight w:val="none"/>
        </w:rPr>
        <w:t>时</w:t>
      </w:r>
      <w:r>
        <w:rPr>
          <w:rFonts w:hint="eastAsia" w:ascii="宋体" w:hAnsi="宋体" w:cs="宋体"/>
          <w:sz w:val="24"/>
          <w:szCs w:val="24"/>
          <w:highlight w:val="none"/>
          <w:lang w:val="en-US" w:eastAsia="zh-CN"/>
        </w:rPr>
        <w:t>00</w:t>
      </w:r>
      <w:r>
        <w:rPr>
          <w:rFonts w:hint="eastAsia" w:ascii="宋体" w:hAnsi="宋体" w:cs="宋体"/>
          <w:sz w:val="24"/>
          <w:szCs w:val="24"/>
          <w:highlight w:val="none"/>
        </w:rPr>
        <w:t>分至2019年</w:t>
      </w:r>
      <w:r>
        <w:rPr>
          <w:rFonts w:hint="eastAsia" w:ascii="宋体" w:hAnsi="宋体" w:cs="宋体"/>
          <w:sz w:val="24"/>
          <w:szCs w:val="24"/>
          <w:highlight w:val="none"/>
          <w:lang w:val="en-US" w:eastAsia="zh-CN"/>
        </w:rPr>
        <w:t>12</w:t>
      </w:r>
      <w:r>
        <w:rPr>
          <w:rFonts w:hint="eastAsia" w:ascii="宋体" w:hAnsi="宋体" w:cs="宋体"/>
          <w:sz w:val="24"/>
          <w:szCs w:val="24"/>
          <w:highlight w:val="none"/>
        </w:rPr>
        <w:t>月</w:t>
      </w:r>
      <w:r>
        <w:rPr>
          <w:rFonts w:hint="eastAsia" w:ascii="宋体" w:hAnsi="宋体" w:cs="宋体"/>
          <w:sz w:val="24"/>
          <w:szCs w:val="24"/>
          <w:highlight w:val="none"/>
          <w:lang w:val="en-US" w:eastAsia="zh-CN"/>
        </w:rPr>
        <w:t>16</w:t>
      </w:r>
      <w:r>
        <w:rPr>
          <w:rFonts w:hint="eastAsia" w:ascii="宋体" w:hAnsi="宋体" w:cs="宋体"/>
          <w:sz w:val="24"/>
          <w:szCs w:val="24"/>
          <w:highlight w:val="none"/>
        </w:rPr>
        <w:t>日</w:t>
      </w:r>
      <w:r>
        <w:rPr>
          <w:rFonts w:hint="eastAsia" w:ascii="宋体" w:hAnsi="宋体" w:cs="宋体"/>
          <w:sz w:val="24"/>
          <w:szCs w:val="24"/>
          <w:highlight w:val="none"/>
          <w:lang w:val="en-US" w:eastAsia="zh-CN"/>
        </w:rPr>
        <w:t>17</w:t>
      </w:r>
      <w:r>
        <w:rPr>
          <w:rFonts w:hint="eastAsia" w:ascii="宋体" w:hAnsi="宋体" w:cs="宋体"/>
          <w:sz w:val="24"/>
          <w:szCs w:val="24"/>
          <w:highlight w:val="none"/>
        </w:rPr>
        <w:t>时</w:t>
      </w:r>
      <w:r>
        <w:rPr>
          <w:rFonts w:hint="eastAsia" w:ascii="宋体" w:hAnsi="宋体" w:cs="宋体"/>
          <w:sz w:val="24"/>
          <w:szCs w:val="24"/>
          <w:highlight w:val="none"/>
          <w:lang w:val="en-US" w:eastAsia="zh-CN"/>
        </w:rPr>
        <w:t>00</w:t>
      </w:r>
      <w:r>
        <w:rPr>
          <w:rFonts w:hint="eastAsia" w:ascii="宋体" w:hAnsi="宋体" w:cs="宋体"/>
          <w:sz w:val="24"/>
          <w:szCs w:val="24"/>
          <w:highlight w:val="none"/>
        </w:rPr>
        <w:t xml:space="preserve">分（双休日及法定节假日除外）。 </w:t>
      </w:r>
    </w:p>
    <w:p>
      <w:pPr>
        <w:spacing w:line="520" w:lineRule="exact"/>
        <w:ind w:firstLine="424" w:firstLineChars="177"/>
        <w:jc w:val="left"/>
        <w:rPr>
          <w:rFonts w:ascii="宋体" w:hAnsi="宋体" w:cs="宋体"/>
          <w:sz w:val="24"/>
          <w:szCs w:val="24"/>
          <w:highlight w:val="none"/>
        </w:rPr>
      </w:pPr>
      <w:r>
        <w:rPr>
          <w:rFonts w:hint="eastAsia" w:ascii="宋体" w:hAnsi="宋体" w:cs="宋体"/>
          <w:sz w:val="24"/>
          <w:szCs w:val="24"/>
          <w:highlight w:val="none"/>
        </w:rPr>
        <w:t>2、发售地点:西安市高新区科技五路8号数字大厦11楼。</w:t>
      </w:r>
    </w:p>
    <w:p>
      <w:pPr>
        <w:spacing w:line="520" w:lineRule="exact"/>
        <w:ind w:firstLine="424" w:firstLineChars="177"/>
        <w:jc w:val="left"/>
        <w:rPr>
          <w:rFonts w:ascii="宋体" w:hAnsi="宋体" w:cs="宋体"/>
          <w:sz w:val="24"/>
          <w:szCs w:val="24"/>
          <w:highlight w:val="none"/>
        </w:rPr>
      </w:pPr>
      <w:r>
        <w:rPr>
          <w:rFonts w:hint="eastAsia" w:ascii="宋体" w:hAnsi="宋体" w:cs="宋体"/>
          <w:sz w:val="24"/>
          <w:szCs w:val="24"/>
          <w:highlight w:val="none"/>
        </w:rPr>
        <w:t>3、文件售价:人民币500元/份，售后不退。</w:t>
      </w:r>
    </w:p>
    <w:p>
      <w:pPr>
        <w:spacing w:line="520" w:lineRule="exact"/>
        <w:ind w:firstLine="424" w:firstLineChars="177"/>
        <w:jc w:val="left"/>
        <w:rPr>
          <w:rFonts w:ascii="宋体" w:hAnsi="宋体" w:cs="宋体"/>
          <w:sz w:val="24"/>
          <w:szCs w:val="24"/>
          <w:highlight w:val="none"/>
        </w:rPr>
      </w:pPr>
      <w:r>
        <w:rPr>
          <w:rFonts w:hint="eastAsia" w:ascii="宋体" w:hAnsi="宋体" w:cs="宋体"/>
          <w:sz w:val="24"/>
          <w:szCs w:val="24"/>
          <w:highlight w:val="none"/>
        </w:rPr>
        <w:t>4、购买竞争性磋商文件请携带单位介绍信原件,经办人身份证原件及加盖供应商公章的复印件。</w:t>
      </w:r>
    </w:p>
    <w:p>
      <w:pPr>
        <w:spacing w:line="520" w:lineRule="exact"/>
        <w:jc w:val="left"/>
        <w:rPr>
          <w:rFonts w:ascii="宋体" w:hAnsi="宋体" w:cs="宋体"/>
          <w:sz w:val="24"/>
          <w:szCs w:val="24"/>
          <w:highlight w:val="none"/>
        </w:rPr>
      </w:pPr>
      <w:r>
        <w:rPr>
          <w:rFonts w:hint="eastAsia" w:ascii="宋体" w:hAnsi="宋体" w:cs="宋体"/>
          <w:sz w:val="24"/>
          <w:szCs w:val="24"/>
          <w:highlight w:val="none"/>
        </w:rPr>
        <w:t>九、磋商响应文件递交截止时间及磋商时间和地点：</w:t>
      </w:r>
    </w:p>
    <w:p>
      <w:pPr>
        <w:spacing w:line="52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1、磋商响应文件递交截止时间: 2019年</w:t>
      </w:r>
      <w:r>
        <w:rPr>
          <w:rFonts w:hint="eastAsia" w:ascii="宋体" w:hAnsi="宋体" w:cs="宋体"/>
          <w:sz w:val="24"/>
          <w:szCs w:val="24"/>
          <w:highlight w:val="none"/>
          <w:lang w:val="en-US" w:eastAsia="zh-CN"/>
        </w:rPr>
        <w:t>12</w:t>
      </w:r>
      <w:r>
        <w:rPr>
          <w:rFonts w:hint="eastAsia" w:ascii="宋体" w:hAnsi="宋体" w:cs="宋体"/>
          <w:sz w:val="24"/>
          <w:szCs w:val="24"/>
          <w:highlight w:val="none"/>
        </w:rPr>
        <w:t>月</w:t>
      </w:r>
      <w:r>
        <w:rPr>
          <w:rFonts w:hint="eastAsia" w:ascii="宋体" w:hAnsi="宋体" w:cs="宋体"/>
          <w:sz w:val="24"/>
          <w:szCs w:val="24"/>
          <w:highlight w:val="none"/>
          <w:lang w:val="en-US" w:eastAsia="zh-CN"/>
        </w:rPr>
        <w:t>20</w:t>
      </w:r>
      <w:r>
        <w:rPr>
          <w:rFonts w:hint="eastAsia" w:ascii="宋体" w:hAnsi="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cs="宋体"/>
          <w:sz w:val="24"/>
          <w:szCs w:val="24"/>
          <w:highlight w:val="none"/>
        </w:rPr>
        <w:t>时</w:t>
      </w:r>
      <w:r>
        <w:rPr>
          <w:rFonts w:hint="eastAsia" w:ascii="宋体" w:hAnsi="宋体" w:cs="宋体"/>
          <w:sz w:val="24"/>
          <w:szCs w:val="24"/>
          <w:highlight w:val="none"/>
          <w:lang w:val="en-US" w:eastAsia="zh-CN"/>
        </w:rPr>
        <w:t>30</w:t>
      </w:r>
      <w:r>
        <w:rPr>
          <w:rFonts w:hint="eastAsia" w:ascii="宋体" w:hAnsi="宋体" w:cs="宋体"/>
          <w:sz w:val="24"/>
          <w:szCs w:val="24"/>
          <w:highlight w:val="none"/>
        </w:rPr>
        <w:t>分</w:t>
      </w:r>
    </w:p>
    <w:p>
      <w:pPr>
        <w:spacing w:line="52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2、磋商时间: 2019年12月20日14时30分</w:t>
      </w:r>
    </w:p>
    <w:p>
      <w:pPr>
        <w:spacing w:line="52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3、磋商地点:西安市高新区科技五路8号数字大厦11楼</w:t>
      </w:r>
    </w:p>
    <w:p>
      <w:pPr>
        <w:spacing w:line="520" w:lineRule="exact"/>
        <w:jc w:val="left"/>
        <w:rPr>
          <w:rFonts w:ascii="宋体" w:hAnsi="宋体" w:cs="宋体"/>
          <w:sz w:val="24"/>
          <w:szCs w:val="24"/>
          <w:highlight w:val="none"/>
        </w:rPr>
      </w:pPr>
      <w:r>
        <w:rPr>
          <w:rFonts w:hint="eastAsia" w:ascii="宋体" w:hAnsi="宋体" w:cs="宋体"/>
          <w:sz w:val="24"/>
          <w:szCs w:val="24"/>
          <w:highlight w:val="none"/>
        </w:rPr>
        <w:t>十、其他应说明的事项：</w:t>
      </w:r>
    </w:p>
    <w:p>
      <w:pPr>
        <w:spacing w:line="5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1、采购代理机构联系方式：029-88899970/72/73/75-816</w:t>
      </w:r>
    </w:p>
    <w:p>
      <w:pPr>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2、开户名称：华夏国际项目管理有限公司</w:t>
      </w:r>
    </w:p>
    <w:p>
      <w:pPr>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3、开户银行：工行西安城南科技支行</w:t>
      </w:r>
    </w:p>
    <w:p>
      <w:pPr>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4、账 号：3700024819200130193</w:t>
      </w:r>
    </w:p>
    <w:p>
      <w:pPr>
        <w:spacing w:line="560" w:lineRule="exact"/>
        <w:jc w:val="left"/>
        <w:rPr>
          <w:rFonts w:ascii="宋体" w:hAnsi="宋体" w:cs="宋体"/>
          <w:sz w:val="24"/>
          <w:szCs w:val="24"/>
          <w:highlight w:val="none"/>
        </w:rPr>
      </w:pPr>
      <w:r>
        <w:rPr>
          <w:rFonts w:hint="eastAsia" w:ascii="宋体" w:hAnsi="宋体" w:cs="宋体"/>
          <w:sz w:val="24"/>
          <w:szCs w:val="24"/>
          <w:highlight w:val="none"/>
        </w:rPr>
        <w:t>十一、本公告期限为自发布之日起3个工作日。</w:t>
      </w:r>
    </w:p>
    <w:p>
      <w:pPr>
        <w:kinsoku w:val="0"/>
        <w:spacing w:line="52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                                                  </w:t>
      </w:r>
    </w:p>
    <w:p>
      <w:pPr>
        <w:kinsoku w:val="0"/>
        <w:spacing w:line="348"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                                         华夏国际项目管理有限公司</w:t>
      </w:r>
    </w:p>
    <w:p>
      <w:pPr>
        <w:spacing w:line="348" w:lineRule="auto"/>
        <w:ind w:right="119"/>
        <w:jc w:val="center"/>
        <w:rPr>
          <w:rFonts w:ascii="宋体" w:hAnsi="宋体" w:cs="宋体"/>
          <w:sz w:val="24"/>
          <w:szCs w:val="24"/>
          <w:highlight w:val="none"/>
        </w:rPr>
      </w:pPr>
      <w:r>
        <w:rPr>
          <w:rFonts w:hint="eastAsia" w:ascii="宋体" w:hAnsi="宋体" w:cs="宋体"/>
          <w:sz w:val="24"/>
          <w:szCs w:val="24"/>
          <w:highlight w:val="none"/>
        </w:rPr>
        <w:t xml:space="preserve">                                         二零一九年</w:t>
      </w:r>
      <w:r>
        <w:rPr>
          <w:rFonts w:hint="eastAsia" w:ascii="宋体" w:hAnsi="宋体" w:cs="宋体"/>
          <w:sz w:val="24"/>
          <w:szCs w:val="24"/>
          <w:highlight w:val="none"/>
          <w:lang w:val="en-US" w:eastAsia="zh-CN"/>
        </w:rPr>
        <w:t>十二</w:t>
      </w:r>
      <w:r>
        <w:rPr>
          <w:rFonts w:hint="eastAsia" w:ascii="宋体" w:hAnsi="宋体" w:cs="宋体"/>
          <w:sz w:val="24"/>
          <w:szCs w:val="24"/>
          <w:highlight w:val="none"/>
        </w:rPr>
        <w:t>月</w:t>
      </w:r>
      <w:r>
        <w:rPr>
          <w:rFonts w:hint="eastAsia" w:ascii="宋体" w:hAnsi="宋体" w:cs="宋体"/>
          <w:sz w:val="24"/>
          <w:szCs w:val="24"/>
          <w:highlight w:val="none"/>
          <w:lang w:val="en-US" w:eastAsia="zh-CN"/>
        </w:rPr>
        <w:t>九</w:t>
      </w:r>
      <w:r>
        <w:rPr>
          <w:rFonts w:hint="eastAsia" w:ascii="宋体" w:hAnsi="宋体" w:cs="宋体"/>
          <w:sz w:val="24"/>
          <w:szCs w:val="24"/>
          <w:highlight w:val="none"/>
        </w:rPr>
        <w:t>日</w:t>
      </w:r>
    </w:p>
    <w:p>
      <w:pPr>
        <w:spacing w:line="360" w:lineRule="auto"/>
        <w:ind w:firstLine="6000" w:firstLineChars="2500"/>
        <w:rPr>
          <w:rFonts w:ascii="宋体" w:hAnsi="宋体" w:cs="宋体"/>
          <w:sz w:val="24"/>
          <w:szCs w:val="24"/>
          <w:highlight w:val="none"/>
        </w:rPr>
      </w:pPr>
    </w:p>
    <w:p>
      <w:pPr>
        <w:rPr>
          <w:rFonts w:ascii="宋体" w:hAnsi="宋体" w:cs="宋体"/>
          <w:highlight w:val="none"/>
        </w:rPr>
      </w:pPr>
    </w:p>
    <w:p>
      <w:pPr>
        <w:pStyle w:val="3"/>
        <w:keepNext w:val="0"/>
        <w:pageBreakBefore/>
        <w:spacing w:line="350" w:lineRule="auto"/>
        <w:jc w:val="center"/>
        <w:rPr>
          <w:rFonts w:ascii="宋体" w:hAnsi="宋体" w:cs="宋体"/>
          <w:highlight w:val="none"/>
        </w:rPr>
      </w:pPr>
      <w:bookmarkStart w:id="11" w:name="_Toc421778363"/>
      <w:bookmarkStart w:id="12" w:name="_Toc27363"/>
      <w:r>
        <w:rPr>
          <w:rFonts w:hint="eastAsia" w:ascii="宋体" w:hAnsi="宋体" w:cs="宋体"/>
          <w:highlight w:val="none"/>
        </w:rPr>
        <w:t>第二章</w:t>
      </w:r>
      <w:bookmarkEnd w:id="11"/>
      <w:r>
        <w:rPr>
          <w:rFonts w:hint="eastAsia" w:ascii="宋体" w:hAnsi="宋体" w:cs="宋体"/>
          <w:highlight w:val="none"/>
        </w:rPr>
        <w:t xml:space="preserve">  供应商须知</w:t>
      </w:r>
      <w:bookmarkEnd w:id="12"/>
    </w:p>
    <w:p>
      <w:pPr>
        <w:spacing w:line="360" w:lineRule="auto"/>
        <w:jc w:val="center"/>
        <w:outlineLvl w:val="1"/>
        <w:rPr>
          <w:rFonts w:ascii="宋体" w:hAnsi="宋体" w:cs="宋体"/>
          <w:b/>
          <w:bCs/>
          <w:sz w:val="28"/>
          <w:szCs w:val="28"/>
          <w:highlight w:val="none"/>
        </w:rPr>
      </w:pPr>
      <w:bookmarkStart w:id="13" w:name="_Toc11361"/>
      <w:bookmarkStart w:id="14" w:name="_Toc420591642"/>
      <w:bookmarkStart w:id="15" w:name="_Toc421778364"/>
      <w:r>
        <w:rPr>
          <w:rFonts w:hint="eastAsia" w:ascii="宋体" w:hAnsi="宋体" w:cs="宋体"/>
          <w:b/>
          <w:bCs/>
          <w:sz w:val="28"/>
          <w:szCs w:val="28"/>
          <w:highlight w:val="none"/>
        </w:rPr>
        <w:t>供应商须知前附表</w:t>
      </w:r>
      <w:bookmarkEnd w:id="13"/>
      <w:bookmarkEnd w:id="14"/>
      <w:bookmarkEnd w:id="15"/>
    </w:p>
    <w:tbl>
      <w:tblPr>
        <w:tblStyle w:val="33"/>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493"/>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条款号</w:t>
            </w:r>
          </w:p>
        </w:tc>
        <w:tc>
          <w:tcPr>
            <w:tcW w:w="2493" w:type="dxa"/>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条款名称</w:t>
            </w:r>
          </w:p>
        </w:tc>
        <w:tc>
          <w:tcPr>
            <w:tcW w:w="6240" w:type="dxa"/>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1.1.2</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240" w:type="dxa"/>
            <w:vAlign w:val="center"/>
          </w:tcPr>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eastAsia="zh-CN"/>
              </w:rPr>
              <w:t>铜川市新区移民（脱贫）搬迁办公室</w:t>
            </w:r>
          </w:p>
          <w:p>
            <w:pPr>
              <w:spacing w:line="520" w:lineRule="exact"/>
              <w:jc w:val="left"/>
              <w:rPr>
                <w:rFonts w:hint="eastAsia" w:ascii="宋体" w:hAnsi="宋体" w:eastAsia="宋体" w:cs="宋体"/>
                <w:szCs w:val="24"/>
                <w:highlight w:val="none"/>
              </w:rPr>
            </w:pPr>
            <w:r>
              <w:rPr>
                <w:rFonts w:hint="eastAsia" w:ascii="宋体" w:hAnsi="宋体" w:eastAsia="宋体" w:cs="宋体"/>
                <w:sz w:val="24"/>
                <w:szCs w:val="24"/>
                <w:highlight w:val="none"/>
              </w:rPr>
              <w:t>地　址：陕西省西安市未央区东兴路与兴隆路交汇处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1.1.3</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称：华夏国际项目管理有限公司</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址：西安市高新区科技五路8号数字大厦11楼</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32"/>
                <w:highlight w:val="none"/>
              </w:rPr>
              <w:t>丁</w:t>
            </w:r>
            <w:r>
              <w:rPr>
                <w:rFonts w:hint="eastAsia" w:ascii="宋体" w:hAnsi="宋体" w:eastAsia="宋体" w:cs="宋体"/>
                <w:sz w:val="24"/>
                <w:szCs w:val="32"/>
                <w:highlight w:val="none"/>
                <w:lang w:eastAsia="zh-CN"/>
              </w:rPr>
              <w:t>工</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电话：029-88899970/72/73/75-816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1.1.5</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建设地点</w:t>
            </w:r>
          </w:p>
        </w:tc>
        <w:tc>
          <w:tcPr>
            <w:tcW w:w="6240" w:type="dxa"/>
            <w:vAlign w:val="center"/>
          </w:tcPr>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1.2.1</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1.2.2</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资金落实情况</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1.3.1</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磋商范围</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铜川市新区移民（脱贫）搬迁办公室宅基地腾退服务项目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1.3.2</w:t>
            </w:r>
          </w:p>
        </w:tc>
        <w:tc>
          <w:tcPr>
            <w:tcW w:w="2493" w:type="dxa"/>
            <w:vAlign w:val="center"/>
          </w:tcPr>
          <w:p>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计划工期</w:t>
            </w:r>
          </w:p>
        </w:tc>
        <w:tc>
          <w:tcPr>
            <w:tcW w:w="6240" w:type="dxa"/>
            <w:vAlign w:val="center"/>
          </w:tcPr>
          <w:p>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1.4.1</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资质证明文件</w:t>
            </w:r>
          </w:p>
        </w:tc>
        <w:tc>
          <w:tcPr>
            <w:tcW w:w="6240" w:type="dxa"/>
            <w:vAlign w:val="center"/>
          </w:tcPr>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（1）基本资格条件：符合《中华人民共和国政府采购法》第二十二条的规定；</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（2）特定资格条件：</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2、法定代表人授权书（附法定代表人、被授权人身份证复印件）及被授权人身份证（法定代表人参加投标只需提供本人身份证）；</w:t>
            </w:r>
          </w:p>
          <w:p>
            <w:pPr>
              <w:pStyle w:val="113"/>
              <w:widowControl/>
              <w:adjustRightInd w:val="0"/>
              <w:snapToGrid w:val="0"/>
              <w:spacing w:before="0" w:line="440" w:lineRule="exact"/>
              <w:ind w:firstLine="480" w:firstLineChars="200"/>
              <w:jc w:val="both"/>
              <w:rPr>
                <w:rFonts w:hint="eastAsia" w:ascii="宋体" w:hAnsi="宋体" w:eastAsia="宋体" w:cs="宋体"/>
                <w:b w:val="0"/>
                <w:kern w:val="2"/>
                <w:highlight w:val="none"/>
              </w:rPr>
            </w:pPr>
            <w:r>
              <w:rPr>
                <w:rFonts w:hint="eastAsia" w:ascii="宋体" w:hAnsi="宋体" w:eastAsia="宋体" w:cs="宋体"/>
                <w:b w:val="0"/>
                <w:kern w:val="2"/>
                <w:highlight w:val="none"/>
                <w:lang w:val="en-US" w:eastAsia="zh-CN"/>
              </w:rPr>
              <w:t>3</w:t>
            </w:r>
            <w:r>
              <w:rPr>
                <w:rFonts w:hint="eastAsia" w:ascii="宋体" w:hAnsi="宋体" w:eastAsia="宋体" w:cs="宋体"/>
                <w:b w:val="0"/>
                <w:kern w:val="2"/>
                <w:highlight w:val="none"/>
              </w:rPr>
              <w:t>、财务状况报告：提供2018年度经审计的财务报告（成立时间至提交响应文件截止时间不足一年的可提供成立后任意时段的资产负债表），或其基本存款账户开户银行出具的资信证明及基本存款账户开户许可证；</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、税收缴纳证明：提供磋商响应文件递交截止日前一年内已缴纳的至少一个月的纳税证明或完税证明（任意税种），依法免税的单位应提供相关证明材料；</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社会保障资金缴纳证明：提供磋商响应文件递交截止日前一年内已缴存的至少一个月的社会保障资金缴存单据或社保机构开具的社会保险参保缴费情况证明，依法不需要缴纳社会保障资金的单位应提供相关证明材料；</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、提供具有履行合同所必需的设备和专业技术能力的承诺；（格式自拟）</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、供应商不得为“信用中国”网站（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reditchina.gov.cn%EF%BC%89%E4%B8%AD%E5%88%97%E5%85%A5%E5%A4%B1%E4%BF%A1%E8%A2%AB%E6%89%A7%E8%A1%8C%E4%BA%BA%E5%92%8C%E9%87%8D%E5%A4%A7%E7%A8%8E%E6%94%B6%E8%BF%9D%E6%B3%95%E6%A1%88%E4%BB%B6%E5%BD%93%E4%BA%8B%E4%BA%BA%E5%90%8D%E5%8D%95%E7%9A%84%E4%BE%9B%E5%BA%94%E5%95%86/"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www.creditchina.gov.cn）中列入失信被执行人和重大税收违法案件当事人名单的供应商</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，不得为中国政府采购网（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gov.cn%EF%BC%89%E6%94%BF%E5%BA%9C%E9%87%87%E8%B4%AD%E4%B8%A5%E9%87%8D%E8%BF%9D%E6%B3%95%E5%A4%B1%E4%BF%A1%E8%A1%8C%E4%B8%BA%E8%AE%B0%E5%BD%95%E5%90%8D%E5%8D%95%E4%B8%AD%E8%A2%AB%E8%B4%A2%E6%94%BF%E9%83%A8%E9%97%A8%E7%A6%81%E6%AD%A2%E5%8F%82%E5%8A%A0%E6%94%BF%E5%BA%9C%E9%87%87%E8%B4%AD%E6%B4%BB%E5%8A%A8%E7%9A%84%E4%BE%9B%E5%BA%94%E5%95%86/"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www.ccgp.gov.cn）政府采购严重违法失信行为记录名单中被财政部门禁止参加政府采购活动的供应商</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、参加政府采购活动前3年内，在经营活动中没有重大违法记录的书面声明；（格式自拟）</w:t>
            </w:r>
          </w:p>
          <w:p>
            <w:pPr>
              <w:pStyle w:val="2"/>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、磋商保证金缴纳凭证或担保机构出具的保函。</w:t>
            </w:r>
          </w:p>
          <w:p>
            <w:pPr>
              <w:spacing w:line="440" w:lineRule="exact"/>
              <w:ind w:firstLine="482" w:firstLineChars="200"/>
              <w:rPr>
                <w:rFonts w:hint="eastAsia" w:ascii="宋体" w:hAnsi="宋体" w:eastAsia="宋体" w:cs="宋体"/>
                <w:sz w:val="24"/>
                <w:szCs w:val="24"/>
                <w:highlight w:val="none"/>
              </w:rPr>
            </w:pPr>
            <w:r>
              <w:rPr>
                <w:rFonts w:hint="eastAsia" w:ascii="宋体" w:hAnsi="宋体" w:eastAsia="宋体" w:cs="宋体"/>
                <w:b/>
                <w:bCs/>
                <w:color w:val="auto"/>
                <w:kern w:val="0"/>
                <w:sz w:val="24"/>
                <w:szCs w:val="24"/>
                <w:highlight w:val="none"/>
                <w:lang w:val="en-US" w:eastAsia="zh-CN" w:bidi="ar-SA"/>
              </w:rPr>
              <w:t>以上为必备资质，缺一项或某项达不到要求，按无效磋商处理。资格审查时以磋商响应文件中所附证明材料为准（信用记录可不提供，由代理机构查询并留存），原件备查。磋商响应文件正副本中各附一套复印件加盖公章（其中磋商响应文件正本中的法定代表人身份证明或法定代表人授权书及相关声明或承诺均为原件）</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采购代理机构不组织统一踏勘，各供应商自行踏勘，相关费用及安全由供应商自行承担，踏勘时不得扰民，如有疑问请以书面的形式提交给采购代理机构。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1.10</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磋商答疑会</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不召开；若有疑问，均应在磋商响应文件递交截止时间3日前以书面形式向采购代理机构提出。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1.11</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构成竞争性磋商文件的其他材料</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澄清、修改、答疑文件等相关材料。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2.2.1</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供应商对竞争性磋商文件的疑问</w:t>
            </w:r>
          </w:p>
        </w:tc>
        <w:tc>
          <w:tcPr>
            <w:tcW w:w="6240" w:type="dxa"/>
            <w:vAlign w:val="center"/>
          </w:tcPr>
          <w:p>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磋商响应文件递交截止时间3日前。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2.2.2</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采购人澄清</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竞争性磋商文件的截止时间</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3.1.1</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构成竞争性磋商响应文件的其他材料</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供应商按照竞争性磋商文件的要求认为有利于磋商的材料。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3.3.1</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6240" w:type="dxa"/>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90日历天（从磋商截止之日算起）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3.4.1</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本次磋商活动供应商需交纳的磋商保证金为: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人民币</w:t>
            </w:r>
            <w:r>
              <w:rPr>
                <w:rFonts w:hint="eastAsia" w:ascii="宋体" w:hAnsi="宋体" w:eastAsia="宋体" w:cs="宋体"/>
                <w:sz w:val="24"/>
                <w:szCs w:val="24"/>
                <w:highlight w:val="none"/>
                <w:lang w:eastAsia="zh-CN"/>
              </w:rPr>
              <w:t>壹万叁仟元整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13000</w:t>
            </w:r>
            <w:r>
              <w:rPr>
                <w:rFonts w:hint="eastAsia" w:ascii="宋体" w:hAnsi="宋体" w:eastAsia="宋体" w:cs="宋体"/>
                <w:sz w:val="24"/>
                <w:szCs w:val="24"/>
                <w:highlight w:val="none"/>
              </w:rPr>
              <w:t>.00元）</w:t>
            </w:r>
            <w:bookmarkStart w:id="16" w:name="OLE_LINK45"/>
            <w:r>
              <w:rPr>
                <w:rFonts w:hint="eastAsia" w:ascii="宋体" w:hAnsi="宋体" w:eastAsia="宋体" w:cs="宋体"/>
                <w:sz w:val="24"/>
                <w:szCs w:val="24"/>
                <w:highlight w:val="none"/>
              </w:rPr>
              <w:t>。</w:t>
            </w:r>
            <w:bookmarkEnd w:id="16"/>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磋商保证金的有效期与磋商有效期一致。担保机构出具的保函的有效期为磋商有效期延长一个月。</w:t>
            </w: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磋商保证金的交纳形式：转账、电汇、担保机构保函。</w:t>
            </w:r>
          </w:p>
          <w:p>
            <w:pPr>
              <w:spacing w:line="500" w:lineRule="exact"/>
              <w:ind w:firstLine="480"/>
              <w:rPr>
                <w:rFonts w:hint="eastAsia" w:ascii="宋体" w:hAnsi="宋体" w:eastAsia="宋体" w:cs="宋体"/>
                <w:b/>
                <w:bCs/>
                <w:sz w:val="24"/>
                <w:szCs w:val="24"/>
                <w:highlight w:val="none"/>
              </w:rPr>
            </w:pPr>
            <w:r>
              <w:rPr>
                <w:rFonts w:hint="eastAsia" w:ascii="宋体" w:hAnsi="宋体" w:eastAsia="宋体" w:cs="宋体"/>
                <w:sz w:val="24"/>
                <w:szCs w:val="24"/>
                <w:highlight w:val="none"/>
              </w:rPr>
              <w:t>供应商以银行转账、电汇形式交纳磋商保证金的，须从基本账户转出，并且在磋商响应文件递交截止前</w:t>
            </w:r>
            <w:r>
              <w:rPr>
                <w:rFonts w:hint="eastAsia" w:ascii="宋体" w:hAnsi="宋体" w:eastAsia="宋体" w:cs="宋体"/>
                <w:b/>
                <w:bCs/>
                <w:sz w:val="24"/>
                <w:szCs w:val="24"/>
                <w:highlight w:val="none"/>
              </w:rPr>
              <w:t>到达</w:t>
            </w:r>
            <w:r>
              <w:rPr>
                <w:rFonts w:hint="eastAsia" w:ascii="宋体" w:hAnsi="宋体" w:eastAsia="宋体" w:cs="宋体"/>
                <w:sz w:val="24"/>
                <w:szCs w:val="24"/>
                <w:highlight w:val="none"/>
              </w:rPr>
              <w:t>采购代理机构指定账户（转账时请注明</w:t>
            </w:r>
            <w:r>
              <w:rPr>
                <w:rFonts w:hint="eastAsia" w:ascii="宋体" w:hAnsi="宋体" w:eastAsia="宋体" w:cs="宋体"/>
                <w:b/>
                <w:bCs/>
                <w:sz w:val="24"/>
                <w:szCs w:val="24"/>
                <w:highlight w:val="none"/>
              </w:rPr>
              <w:t>项目编号：</w:t>
            </w:r>
            <w:r>
              <w:rPr>
                <w:rFonts w:hint="eastAsia" w:ascii="宋体" w:hAnsi="宋体" w:eastAsia="宋体" w:cs="宋体"/>
                <w:b/>
                <w:bCs/>
                <w:sz w:val="24"/>
                <w:szCs w:val="24"/>
                <w:highlight w:val="none"/>
                <w:lang w:eastAsia="zh-CN"/>
              </w:rPr>
              <w:t>CS1281</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保证金到达采购代理机构指定账户后，供应商须与华夏国际项目管理有限公司财务部联系确认到账后（联系电话88899970/73/75-846），将磋商保证金缴纳凭证复印件粘贴于招标文件规定处。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供应商以保函形式缴纳磋商保证金的，须在磋商响应文件递交截止时间前将担保机构保函</w:t>
            </w:r>
            <w:r>
              <w:rPr>
                <w:rFonts w:hint="eastAsia" w:ascii="宋体" w:hAnsi="宋体" w:eastAsia="宋体" w:cs="宋体"/>
                <w:b/>
                <w:bCs/>
                <w:sz w:val="24"/>
                <w:szCs w:val="24"/>
                <w:highlight w:val="none"/>
              </w:rPr>
              <w:t>正本原件</w:t>
            </w:r>
            <w:r>
              <w:rPr>
                <w:rFonts w:hint="eastAsia" w:ascii="宋体" w:hAnsi="宋体" w:eastAsia="宋体" w:cs="宋体"/>
                <w:sz w:val="24"/>
                <w:szCs w:val="24"/>
                <w:highlight w:val="none"/>
              </w:rPr>
              <w:t>提交至采购代理机构备案，并将保函正本复印件附在磋商响应文件规定处。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是否允许递交</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备选磋商方案</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3.6.3</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签字或盖章要求</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竞争性磋商响应文件封面、磋商响应函及其它有要求处必须加盖供应商公章并经法定代表人或其委托代理人签字或盖章。</w:t>
            </w:r>
            <w:bookmarkStart w:id="17" w:name="_Toc343511347"/>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竞争性磋商响应文件应无涂改或行间插字和增删。如确需修改，修改处必须由供应商加盖供应商公章并经法定代表人或其委托代理人签字或盖章。</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3.6.4</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竞争性磋商响应文件份数</w:t>
            </w:r>
          </w:p>
        </w:tc>
        <w:tc>
          <w:tcPr>
            <w:tcW w:w="6240" w:type="dxa"/>
            <w:vAlign w:val="center"/>
          </w:tcPr>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正本的份数：壹份；副本的份数：贰份；报价一览表：壹份；电子版（U盘）：贰份，需在盘面上标注供应商全称、项目名称、编号）。</w:t>
            </w:r>
          </w:p>
          <w:p>
            <w:pPr>
              <w:pStyle w:val="2"/>
              <w:spacing w:line="5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电子版包括：</w:t>
            </w:r>
          </w:p>
          <w:p>
            <w:pPr>
              <w:pStyle w:val="2"/>
              <w:numPr>
                <w:ilvl w:val="0"/>
                <w:numId w:val="3"/>
              </w:numPr>
              <w:spacing w:line="500" w:lineRule="exact"/>
              <w:jc w:val="left"/>
              <w:rPr>
                <w:rFonts w:hint="eastAsia" w:ascii="宋体" w:hAnsi="宋体" w:eastAsia="宋体" w:cs="宋体"/>
                <w:highlight w:val="none"/>
                <w:lang w:val="en-US" w:eastAsia="zh-CN"/>
              </w:rPr>
            </w:pPr>
            <w:r>
              <w:rPr>
                <w:rFonts w:hint="eastAsia" w:ascii="宋体" w:hAnsi="宋体" w:eastAsia="宋体" w:cs="宋体"/>
                <w:sz w:val="24"/>
                <w:szCs w:val="24"/>
                <w:highlight w:val="none"/>
              </w:rPr>
              <w:t>磋商响应文件正本签字盖章后的PDF格式扫描件。（与正本具有同等法律效力）</w:t>
            </w:r>
          </w:p>
          <w:p>
            <w:pPr>
              <w:pStyle w:val="2"/>
              <w:numPr>
                <w:ilvl w:val="0"/>
                <w:numId w:val="3"/>
              </w:numPr>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word版磋商响应文件；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4.1.2</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封套上写明</w:t>
            </w:r>
          </w:p>
        </w:tc>
        <w:tc>
          <w:tcPr>
            <w:tcW w:w="6240" w:type="dxa"/>
            <w:vAlign w:val="center"/>
          </w:tcPr>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1、采购人名称：</w:t>
            </w:r>
            <w:r>
              <w:rPr>
                <w:rFonts w:hint="eastAsia" w:ascii="宋体" w:hAnsi="宋体" w:eastAsia="宋体" w:cs="宋体"/>
                <w:sz w:val="24"/>
                <w:szCs w:val="24"/>
                <w:highlight w:val="none"/>
                <w:lang w:eastAsia="zh-CN"/>
              </w:rPr>
              <w:t>铜川市新区移民（脱贫）搬迁办公室</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2、供应商名称以及标注“正本”、“副本”、“磋商报价表”“电子版”字样，密封处应加盖供应商公章。</w:t>
            </w:r>
          </w:p>
          <w:p>
            <w:pPr>
              <w:spacing w:line="360" w:lineRule="auto"/>
              <w:ind w:left="480" w:hanging="480" w:hanging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竞争性磋商响应文件在2019年</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时</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4.2.2</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递交竞争性磋商响应文件截止时间、地点</w:t>
            </w:r>
          </w:p>
        </w:tc>
        <w:tc>
          <w:tcPr>
            <w:tcW w:w="6240" w:type="dxa"/>
            <w:vAlign w:val="center"/>
          </w:tcPr>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时间：2019年</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时</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地点：西安市高新区科技五路8号数字大厦11楼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4.2.3</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是否退还竞争性磋商响应文件</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5.1</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磋商时间和地点</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磋商时间：2019年</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时</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磋商地点: 西安市高新区科技五路8号数字大厦11楼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7.1</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是否授权磋商小组</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确定成交人</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bookmarkStart w:id="18" w:name="OLE_LINK6"/>
            <w:r>
              <w:rPr>
                <w:rFonts w:hint="eastAsia" w:ascii="宋体" w:hAnsi="宋体" w:eastAsia="宋体" w:cs="宋体"/>
                <w:sz w:val="24"/>
                <w:szCs w:val="24"/>
                <w:highlight w:val="none"/>
              </w:rPr>
              <w:t>推荐3名成交候选人</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7.3.1</w:t>
            </w:r>
          </w:p>
        </w:tc>
        <w:tc>
          <w:tcPr>
            <w:tcW w:w="249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合同签订</w:t>
            </w:r>
          </w:p>
        </w:tc>
        <w:tc>
          <w:tcPr>
            <w:tcW w:w="6240"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自成交通知书发出之日起三十日内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06" w:type="dxa"/>
            <w:gridSpan w:val="3"/>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9706" w:type="dxa"/>
            <w:gridSpan w:val="3"/>
            <w:vAlign w:val="center"/>
          </w:tcPr>
          <w:p>
            <w:pPr>
              <w:spacing w:line="360" w:lineRule="auto"/>
              <w:ind w:left="110" w:leftChars="52" w:hanging="1"/>
              <w:rPr>
                <w:rFonts w:hint="eastAsia" w:ascii="宋体" w:hAnsi="宋体" w:eastAsia="宋体" w:cs="宋体"/>
                <w:sz w:val="24"/>
                <w:szCs w:val="24"/>
                <w:highlight w:val="none"/>
              </w:rPr>
            </w:pPr>
            <w:r>
              <w:rPr>
                <w:rFonts w:hint="eastAsia" w:ascii="宋体" w:hAnsi="宋体" w:eastAsia="宋体" w:cs="宋体"/>
                <w:sz w:val="24"/>
                <w:szCs w:val="24"/>
                <w:highlight w:val="none"/>
              </w:rPr>
              <w:t>构成本竞争性磋商文件各个组成部分的文件，未经采购人书面同意，供应商不得擅自复印和用于非本招标项目所需的其他目的。采购人全部或者部分使用未成交人竞争性磋商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06" w:type="dxa"/>
            <w:gridSpan w:val="3"/>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9706" w:type="dxa"/>
            <w:gridSpan w:val="3"/>
            <w:vAlign w:val="center"/>
          </w:tcPr>
          <w:p>
            <w:pPr>
              <w:spacing w:line="360" w:lineRule="auto"/>
              <w:ind w:left="110" w:leftChars="52" w:hanging="1"/>
              <w:rPr>
                <w:rFonts w:hint="eastAsia" w:ascii="宋体" w:hAnsi="宋体" w:eastAsia="宋体" w:cs="宋体"/>
                <w:sz w:val="24"/>
                <w:szCs w:val="24"/>
                <w:highlight w:val="none"/>
              </w:rPr>
            </w:pPr>
            <w:r>
              <w:rPr>
                <w:rFonts w:hint="eastAsia" w:ascii="宋体" w:hAnsi="宋体" w:eastAsia="宋体" w:cs="宋体"/>
                <w:sz w:val="24"/>
                <w:szCs w:val="24"/>
                <w:highlight w:val="none"/>
              </w:rPr>
              <w:t>构成竞争性磋商文件组成部分的“通用合同条款”、“专用合同条款”、“技术标准和要求”和“工程量清单”等章节中出现的措辞“发包人”和“承包人”，在磋商阶段应当分别按“采购人”和“供应商”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9706" w:type="dxa"/>
            <w:gridSpan w:val="3"/>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9706" w:type="dxa"/>
            <w:gridSpan w:val="3"/>
            <w:vAlign w:val="center"/>
          </w:tcPr>
          <w:p>
            <w:pPr>
              <w:spacing w:line="360" w:lineRule="auto"/>
              <w:ind w:left="68" w:leftChars="-2" w:hanging="72" w:hangingChars="30"/>
              <w:rPr>
                <w:rFonts w:hint="eastAsia" w:ascii="宋体" w:hAnsi="宋体" w:eastAsia="宋体" w:cs="宋体"/>
                <w:sz w:val="24"/>
                <w:szCs w:val="24"/>
                <w:highlight w:val="none"/>
              </w:rPr>
            </w:pPr>
            <w:r>
              <w:rPr>
                <w:rFonts w:hint="eastAsia" w:ascii="宋体" w:hAnsi="宋体" w:eastAsia="宋体" w:cs="宋体"/>
                <w:sz w:val="24"/>
                <w:szCs w:val="24"/>
                <w:highlight w:val="none"/>
              </w:rPr>
              <w:t>本竞争性磋商文件由采购人和采购代理机构负责解释。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9706" w:type="dxa"/>
            <w:gridSpan w:val="3"/>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银行账户信息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1" w:hRule="exact"/>
          <w:jc w:val="center"/>
        </w:trPr>
        <w:tc>
          <w:tcPr>
            <w:tcW w:w="9706" w:type="dxa"/>
            <w:gridSpan w:val="3"/>
            <w:vAlign w:val="center"/>
          </w:tcPr>
          <w:p>
            <w:pPr>
              <w:numPr>
                <w:ilvl w:val="0"/>
                <w:numId w:val="4"/>
              </w:numPr>
              <w:spacing w:line="52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ab/>
            </w:r>
            <w:r>
              <w:rPr>
                <w:rFonts w:hint="eastAsia" w:ascii="宋体" w:hAnsi="宋体" w:eastAsia="宋体" w:cs="宋体"/>
                <w:b/>
                <w:bCs/>
                <w:sz w:val="24"/>
                <w:szCs w:val="24"/>
                <w:highlight w:val="none"/>
              </w:rPr>
              <w:t>保证金账户：</w:t>
            </w:r>
          </w:p>
          <w:p>
            <w:pPr>
              <w:spacing w:line="52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户名：华夏国际项目管理有限公司</w:t>
            </w:r>
          </w:p>
          <w:p>
            <w:pPr>
              <w:spacing w:line="52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开户行名称：工行西安城南科技支行</w:t>
            </w:r>
          </w:p>
          <w:p>
            <w:pPr>
              <w:spacing w:line="52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账号：3700024819200130193</w:t>
            </w:r>
          </w:p>
          <w:p>
            <w:pPr>
              <w:numPr>
                <w:ilvl w:val="0"/>
                <w:numId w:val="4"/>
              </w:numPr>
              <w:spacing w:line="52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招标代理服务费账户：</w:t>
            </w:r>
          </w:p>
          <w:p>
            <w:pPr>
              <w:spacing w:line="52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户名：华夏国际项目管理有限公司</w:t>
            </w:r>
          </w:p>
          <w:p>
            <w:pPr>
              <w:spacing w:line="52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开户行：中国光大银行西安南二环支行</w:t>
            </w:r>
          </w:p>
          <w:p>
            <w:pPr>
              <w:spacing w:line="52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账号：78620188000097418</w:t>
            </w:r>
          </w:p>
          <w:p>
            <w:pPr>
              <w:spacing w:line="360" w:lineRule="auto"/>
              <w:ind w:left="68" w:leftChars="-2" w:hanging="72" w:hangingChars="30"/>
              <w:rPr>
                <w:rFonts w:hint="eastAsia" w:ascii="宋体" w:hAnsi="宋体" w:eastAsia="宋体" w:cs="宋体"/>
                <w:sz w:val="24"/>
                <w:szCs w:val="24"/>
                <w:highlight w:val="none"/>
              </w:rPr>
            </w:pPr>
            <w:r>
              <w:rPr>
                <w:rFonts w:hint="eastAsia" w:ascii="宋体" w:hAnsi="宋体" w:eastAsia="宋体" w:cs="宋体"/>
                <w:b/>
                <w:bCs/>
                <w:sz w:val="24"/>
                <w:szCs w:val="24"/>
                <w:highlight w:val="none"/>
              </w:rPr>
              <w:t>请各供应商按照要求分别将保证金和招标代理服务费汇入以上指定账户，如因自身原因发生错误，产生的不利后果均由供应商自行承担。</w:t>
            </w:r>
          </w:p>
        </w:tc>
      </w:tr>
    </w:tbl>
    <w:p>
      <w:pPr>
        <w:spacing w:line="360" w:lineRule="auto"/>
        <w:jc w:val="left"/>
        <w:rPr>
          <w:rFonts w:ascii="宋体" w:hAnsi="宋体" w:cs="宋体"/>
          <w:highlight w:val="none"/>
        </w:rPr>
        <w:sectPr>
          <w:footerReference r:id="rId6" w:type="default"/>
          <w:pgSz w:w="11906" w:h="16838"/>
          <w:pgMar w:top="1417" w:right="1417" w:bottom="1417" w:left="1701" w:header="851" w:footer="992" w:gutter="0"/>
          <w:pgNumType w:start="1"/>
          <w:cols w:space="0" w:num="1"/>
          <w:docGrid w:type="lines" w:linePitch="312" w:charSpace="0"/>
        </w:sectPr>
      </w:pPr>
    </w:p>
    <w:p>
      <w:pPr>
        <w:spacing w:before="120" w:beforeLines="50" w:after="120" w:afterLines="50"/>
        <w:jc w:val="center"/>
        <w:rPr>
          <w:rFonts w:ascii="宋体" w:hAnsi="宋体" w:cs="宋体"/>
          <w:b/>
          <w:kern w:val="0"/>
          <w:sz w:val="32"/>
          <w:szCs w:val="32"/>
          <w:highlight w:val="none"/>
        </w:rPr>
      </w:pPr>
      <w:bookmarkStart w:id="19" w:name="_Toc421778365"/>
      <w:bookmarkStart w:id="20" w:name="_Toc420591643"/>
      <w:bookmarkStart w:id="21" w:name="_Toc425240464"/>
      <w:r>
        <w:rPr>
          <w:rFonts w:hint="eastAsia" w:ascii="宋体" w:hAnsi="宋体" w:cs="宋体"/>
          <w:b/>
          <w:sz w:val="32"/>
          <w:szCs w:val="32"/>
          <w:highlight w:val="none"/>
        </w:rPr>
        <w:t>1</w:t>
      </w:r>
      <w:r>
        <w:rPr>
          <w:rFonts w:hint="eastAsia" w:ascii="宋体" w:hAnsi="宋体" w:cs="宋体"/>
          <w:b/>
          <w:kern w:val="0"/>
          <w:sz w:val="32"/>
          <w:szCs w:val="32"/>
          <w:highlight w:val="none"/>
        </w:rPr>
        <w:t>．总则</w:t>
      </w:r>
      <w:bookmarkEnd w:id="19"/>
      <w:bookmarkEnd w:id="20"/>
      <w:bookmarkEnd w:id="21"/>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 项目概况</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1.1.1 根据《中华人民共和国政府采购法》及实施条例和关于印发《政府采购竞争性磋商采购方式管理暂行办法》的通知（财库【2014】214号）的规定，本项目已具备磋商条件，现对本项目施工进行竞争性磋商。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1.1.2 本项目采购人：见供应商须知前附表。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1.1.3 本项目采购代理机构：见供应商须知前附表。</w:t>
      </w:r>
    </w:p>
    <w:p>
      <w:pPr>
        <w:tabs>
          <w:tab w:val="left" w:pos="7665"/>
        </w:tabs>
        <w:spacing w:line="360" w:lineRule="auto"/>
        <w:ind w:firstLine="480" w:firstLineChars="200"/>
        <w:rPr>
          <w:rFonts w:hint="eastAsia"/>
          <w:highlight w:val="none"/>
          <w:lang w:eastAsia="zh-CN"/>
        </w:rPr>
      </w:pPr>
      <w:r>
        <w:rPr>
          <w:rFonts w:hint="eastAsia" w:ascii="宋体" w:hAnsi="宋体" w:cs="宋体"/>
          <w:sz w:val="24"/>
          <w:szCs w:val="24"/>
          <w:highlight w:val="none"/>
        </w:rPr>
        <w:t>1.1.4本项目</w:t>
      </w:r>
      <w:r>
        <w:rPr>
          <w:rFonts w:hint="eastAsia" w:ascii="宋体" w:hAnsi="宋体" w:cs="宋体"/>
          <w:sz w:val="24"/>
          <w:highlight w:val="none"/>
        </w:rPr>
        <w:t>监督机构：</w:t>
      </w:r>
      <w:r>
        <w:rPr>
          <w:rFonts w:hint="eastAsia" w:ascii="宋体" w:hAnsi="宋体" w:cs="宋体"/>
          <w:sz w:val="24"/>
          <w:highlight w:val="none"/>
          <w:lang w:eastAsia="zh-CN"/>
        </w:rPr>
        <w:t>西安市未央区财政局</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1.1.5本项目建设地点：见供应商须知前附表。</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1.2 资金来源和落实情况</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 本项目的资金来源：见供应商须知前附表。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1.2.2 本项目的资金落实情况：见供应商须知前附表。</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1.3 招标范围、计划工期和质量要求</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1.3.1 本次磋商范围：见供应商须知前附表。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1.3.2 本项目的计划工期：</w:t>
      </w:r>
      <w:bookmarkStart w:id="22" w:name="OLE_LINK8"/>
      <w:r>
        <w:rPr>
          <w:rFonts w:hint="eastAsia" w:ascii="宋体" w:hAnsi="宋体" w:cs="宋体"/>
          <w:sz w:val="24"/>
          <w:szCs w:val="24"/>
          <w:highlight w:val="none"/>
        </w:rPr>
        <w:t>见供应商须知前附表。</w:t>
      </w:r>
      <w:bookmarkEnd w:id="22"/>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1.3.3 本项目的质量要求：见供应商须知前附表。</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1.4 供应商资格要求及竞争性磋商文件发售时间</w:t>
      </w:r>
    </w:p>
    <w:p>
      <w:pPr>
        <w:pStyle w:val="12"/>
        <w:ind w:firstLine="480" w:firstLineChars="200"/>
        <w:rPr>
          <w:rFonts w:ascii="宋体" w:hAnsi="宋体" w:cs="宋体"/>
          <w:sz w:val="24"/>
          <w:szCs w:val="24"/>
          <w:highlight w:val="none"/>
        </w:rPr>
      </w:pPr>
      <w:r>
        <w:rPr>
          <w:rFonts w:hint="eastAsia" w:ascii="宋体" w:hAnsi="宋体" w:cs="宋体"/>
          <w:sz w:val="24"/>
          <w:szCs w:val="24"/>
          <w:highlight w:val="none"/>
        </w:rPr>
        <w:t>1.4.1资格审查条件：见供应商须知前附表。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1.4.2竞争性磋商文件发售时间：见供应商须知前附表。</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1.5 费用承担</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供应商准备和参加磋商活动所发生的一切费用自理。</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 保密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参与磋商活动的各方应对竞争性磋商文件和竞争性磋商响应文件中的商业和技术等秘密保密，违者应对由此造成的后果承担法律责任。</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1.7 语言文字</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除专用术语外，与磋商有关的语言均使用中文。必要时专用术语应附有中文注释。</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1.8 计量单位</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1.9 踏勘现场</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1.9.1采购代理机构不组织统一踏勘现场，由供应商自行安排。</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1.9.2 供应商踏勘现场发生的一切费用自理，并自行负责在踏勘现场中所发生的人员伤亡和财产损失。</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1.9.3 供应商应对工程现场及周围环境进行踏勘，充分了解现场环境、总体布置情况、工程地形地貌、工程现场道路、工程总体进度情况、储存空间、场内运输、装卸等限制条件及其它任何足以影响磋商报价的情况，以便各供应商获取须自主考虑的有关竞争性磋商响应文件编制和合同签署所需的相关资料和数据，任何因忽视或误解工地情况而导致的索赔或工期延长申请将不获批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1.9.4 采购人在踏勘现场中介绍的工程场地和相关的周边环境情况，供供应商在编制竞争性磋商响应文件时参考，采购人不对供应商据此作出的判断和决策负责。</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1.10 竞争性磋商答疑会</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项目不召开答疑会，供应商对竞争性磋商文件以及施工现场条件等的疑问和要求澄清的内容，均应在磋商响应文件递交截止时间3日前以书面形式向采购代理机构提出，采购人和采购代理机构做出统一解答和必要澄清后在磋商前2天以书面的《答疑纪要》发送所有供应商。答疑纪要为竞争性磋商文件的组成部分，与竞争性磋商文件具有同等法律效力。</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1.11 分包</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不允许。</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1.12 偏离</w:t>
      </w:r>
    </w:p>
    <w:p>
      <w:pPr>
        <w:spacing w:before="120" w:beforeLines="50" w:after="120" w:afterLines="50" w:line="360" w:lineRule="auto"/>
        <w:ind w:firstLine="480" w:firstLineChars="200"/>
        <w:rPr>
          <w:rFonts w:ascii="宋体" w:hAnsi="宋体" w:cs="宋体"/>
          <w:sz w:val="24"/>
          <w:szCs w:val="24"/>
          <w:highlight w:val="none"/>
        </w:rPr>
      </w:pPr>
      <w:bookmarkStart w:id="23" w:name="_Toc421778366"/>
      <w:bookmarkStart w:id="24" w:name="_Toc420591644"/>
      <w:bookmarkStart w:id="25" w:name="_Toc425240465"/>
      <w:r>
        <w:rPr>
          <w:rFonts w:hint="eastAsia" w:ascii="宋体" w:hAnsi="宋体" w:cs="宋体"/>
          <w:sz w:val="24"/>
          <w:szCs w:val="24"/>
          <w:highlight w:val="none"/>
        </w:rPr>
        <w:t>不满足评审方法中初步评审标准的，视为发生重大偏离，其磋商被否决。其余偏离视为细微偏离，磋商小组将通过澄清方式对细微偏离进行澄清或修改。</w:t>
      </w:r>
    </w:p>
    <w:p>
      <w:pPr>
        <w:spacing w:before="120" w:beforeLines="50" w:after="120" w:afterLines="50" w:line="360" w:lineRule="auto"/>
        <w:rPr>
          <w:rFonts w:ascii="宋体" w:hAnsi="宋体" w:cs="宋体"/>
          <w:b/>
          <w:bCs/>
          <w:sz w:val="24"/>
          <w:szCs w:val="24"/>
          <w:highlight w:val="none"/>
        </w:rPr>
      </w:pPr>
      <w:r>
        <w:rPr>
          <w:rFonts w:hint="eastAsia" w:ascii="宋体" w:hAnsi="宋体" w:cs="宋体"/>
          <w:b/>
          <w:bCs/>
          <w:sz w:val="24"/>
          <w:szCs w:val="24"/>
          <w:highlight w:val="none"/>
        </w:rPr>
        <w:t>2．</w:t>
      </w:r>
      <w:bookmarkEnd w:id="23"/>
      <w:bookmarkEnd w:id="24"/>
      <w:bookmarkEnd w:id="25"/>
      <w:r>
        <w:rPr>
          <w:rFonts w:hint="eastAsia" w:ascii="宋体" w:hAnsi="宋体" w:cs="宋体"/>
          <w:b/>
          <w:bCs/>
          <w:sz w:val="24"/>
          <w:szCs w:val="24"/>
          <w:highlight w:val="none"/>
        </w:rPr>
        <w:t>竞争性磋商文件</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2.1 竞争性磋商文件的组成</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本竞争性磋商文件包括：</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(1）竞争性磋商公告；</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(2）供应商须知前附表及供应商须知；</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(3）评审方法；</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eastAsia="zh-CN"/>
        </w:rPr>
        <w:t>项目</w:t>
      </w:r>
      <w:r>
        <w:rPr>
          <w:rFonts w:hint="eastAsia" w:ascii="宋体" w:hAnsi="宋体" w:cs="宋体"/>
          <w:sz w:val="24"/>
          <w:szCs w:val="24"/>
          <w:highlight w:val="none"/>
        </w:rPr>
        <w:t>合同；</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）项目概况及技术要求；</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）竞争性磋商响应文件格式。</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根据本章第1.10 款和第2.2 款对竞争性磋商文件所作的澄清、修改，构成竞争性磋商文件的组成部分。</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2.2 竞争性磋商文件的澄清及修改</w:t>
      </w:r>
    </w:p>
    <w:p>
      <w:pPr>
        <w:spacing w:before="120" w:beforeLines="50" w:after="120" w:afterLines="50" w:line="360" w:lineRule="auto"/>
        <w:ind w:firstLine="480" w:firstLineChars="200"/>
        <w:rPr>
          <w:rFonts w:ascii="宋体" w:hAnsi="宋体" w:cs="宋体"/>
          <w:sz w:val="24"/>
          <w:szCs w:val="24"/>
          <w:highlight w:val="none"/>
        </w:rPr>
      </w:pPr>
      <w:bookmarkStart w:id="26" w:name="_Toc420591645"/>
      <w:bookmarkStart w:id="27" w:name="_Toc425240466"/>
      <w:bookmarkStart w:id="28" w:name="_Toc421778367"/>
      <w:r>
        <w:rPr>
          <w:rFonts w:hint="eastAsia" w:ascii="宋体" w:hAnsi="宋体" w:cs="宋体"/>
          <w:sz w:val="24"/>
          <w:szCs w:val="24"/>
          <w:highlight w:val="none"/>
        </w:rPr>
        <w:t>2.2.1在磋商响应文件截止时间前，采购代理机构可以视采购具体情况，延长竞争性磋商响应文件递交截止时间和磋商时间并在财政部门指定的媒体上发布变更公告，同时将变更时间书面通知所有获取竞争性磋商文件的供应商。</w:t>
      </w:r>
    </w:p>
    <w:p>
      <w:pPr>
        <w:spacing w:before="120" w:beforeLines="50" w:after="120" w:after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2.2.2采购代理机构如果对已发出的竞争性磋商文件进行必要的澄清或者修改，将在竞争性磋商文件要求提交竞争性磋商响应文件截止时间5日前，以书面形式通知所有获取竞争性磋商文件的供应商。不足5日的，应当顺延提交响应文件截止时间。该澄清或者修改的内容为竞争性磋商文件的组成部分。</w:t>
      </w:r>
    </w:p>
    <w:p>
      <w:pPr>
        <w:spacing w:before="120" w:beforeLines="50" w:after="120" w:after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2.2.3已经购买竞争性磋商文件的供应商对竞争性磋商文件有疑问的，均应在磋商截止日期3日前以书面形式向采购代理机构提出。采购代理机构视情况必要时将书面答复传送给所有获取竞争性磋商文件的供应商。</w:t>
      </w:r>
    </w:p>
    <w:p>
      <w:pPr>
        <w:spacing w:before="120" w:beforeLines="50" w:after="120" w:after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2.2.4供应商在收到上述通知后，应立即向采购代理机构回函确认。</w:t>
      </w:r>
    </w:p>
    <w:p>
      <w:pPr>
        <w:spacing w:before="120" w:beforeLines="50" w:after="120" w:afterLines="50" w:line="360" w:lineRule="auto"/>
        <w:rPr>
          <w:rFonts w:ascii="宋体" w:hAnsi="宋体" w:cs="宋体"/>
          <w:b/>
          <w:bCs/>
          <w:sz w:val="24"/>
          <w:szCs w:val="24"/>
          <w:highlight w:val="none"/>
        </w:rPr>
      </w:pPr>
      <w:r>
        <w:rPr>
          <w:rFonts w:hint="eastAsia" w:ascii="宋体" w:hAnsi="宋体" w:cs="宋体"/>
          <w:b/>
          <w:bCs/>
          <w:sz w:val="24"/>
          <w:szCs w:val="24"/>
          <w:highlight w:val="none"/>
        </w:rPr>
        <w:t>3．</w:t>
      </w:r>
      <w:bookmarkEnd w:id="26"/>
      <w:bookmarkEnd w:id="27"/>
      <w:bookmarkEnd w:id="28"/>
      <w:r>
        <w:rPr>
          <w:rFonts w:hint="eastAsia" w:ascii="宋体" w:hAnsi="宋体" w:cs="宋体"/>
          <w:b/>
          <w:bCs/>
          <w:sz w:val="24"/>
          <w:szCs w:val="24"/>
          <w:highlight w:val="none"/>
        </w:rPr>
        <w:t>竞争性磋商响应文件</w:t>
      </w:r>
    </w:p>
    <w:p>
      <w:pPr>
        <w:pStyle w:val="12"/>
        <w:rPr>
          <w:rFonts w:ascii="宋体" w:hAnsi="宋体" w:cs="宋体"/>
          <w:b/>
          <w:bCs/>
          <w:sz w:val="24"/>
          <w:szCs w:val="24"/>
          <w:highlight w:val="none"/>
        </w:rPr>
      </w:pPr>
      <w:r>
        <w:rPr>
          <w:rFonts w:hint="eastAsia" w:ascii="宋体" w:hAnsi="宋体" w:cs="宋体"/>
          <w:b/>
          <w:bCs/>
          <w:sz w:val="24"/>
          <w:szCs w:val="24"/>
          <w:highlight w:val="none"/>
        </w:rPr>
        <w:t>3.1 竞争性磋商响应文件纸质版及竞争性磋商响应文件电子版的要求</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3.1.1 竞争性磋商响应文件应包括下列内容：</w:t>
      </w:r>
    </w:p>
    <w:p>
      <w:pPr>
        <w:spacing w:before="120" w:beforeLines="50" w:after="120" w:after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1）磋商响应函</w:t>
      </w:r>
    </w:p>
    <w:p>
      <w:pPr>
        <w:spacing w:before="120" w:beforeLines="50" w:after="120" w:after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2）磋商一览表</w:t>
      </w:r>
    </w:p>
    <w:p>
      <w:pPr>
        <w:spacing w:before="120" w:beforeLines="50" w:after="120" w:after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3）法人授权委托书</w:t>
      </w:r>
    </w:p>
    <w:p>
      <w:pPr>
        <w:spacing w:before="120" w:beforeLines="50" w:after="120" w:after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4）磋商保证金</w:t>
      </w:r>
    </w:p>
    <w:p>
      <w:pPr>
        <w:spacing w:before="120" w:beforeLines="50" w:after="120" w:after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5）磋商方案说明书</w:t>
      </w:r>
    </w:p>
    <w:p>
      <w:pPr>
        <w:spacing w:before="120" w:beforeLines="50" w:after="120" w:after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）陕西省政府采购供应商拒绝政府采购领域商业贿赂承诺书</w:t>
      </w:r>
    </w:p>
    <w:p>
      <w:pPr>
        <w:spacing w:before="120" w:beforeLines="50" w:after="120" w:after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）资格证明文件</w:t>
      </w:r>
    </w:p>
    <w:p>
      <w:pPr>
        <w:spacing w:before="120" w:beforeLines="50" w:after="120" w:after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9）其它资料</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3.2 磋商报价</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3.2.3磋商报价应按照、补充通知、答疑纪要、合同条款、施工现场实际情况、拟定的施工方案或施工组织设计的相关内容及要求，并在满足竞争性磋商文件要求的前提下，结合企业自身技术力量、设备装备水平、企业管理水平、市场价格行情自主报价。组价时应充分考虑相关费用在施工期间的政策调整、市场变动幅度、自然灾害、停电、停水、停工、窝工、施工现场条件及施工过程中发生的不可预见的风险因素。</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3.2.</w:t>
      </w:r>
      <w:r>
        <w:rPr>
          <w:rFonts w:ascii="宋体" w:hAnsi="宋体" w:cs="宋体"/>
          <w:sz w:val="24"/>
          <w:szCs w:val="24"/>
          <w:highlight w:val="none"/>
        </w:rPr>
        <w:t>4</w:t>
      </w:r>
      <w:r>
        <w:rPr>
          <w:rFonts w:hint="eastAsia" w:ascii="宋体" w:hAnsi="宋体" w:cs="宋体"/>
          <w:sz w:val="24"/>
          <w:szCs w:val="24"/>
          <w:highlight w:val="none"/>
        </w:rPr>
        <w:t>除非采购人或采购代理机构对竞争性磋商文件予以修改，供应商应按本竞争性磋商文件要求，</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w:t>
      </w:r>
      <w:r>
        <w:rPr>
          <w:rFonts w:ascii="宋体" w:hAnsi="宋体" w:cs="宋体"/>
          <w:sz w:val="24"/>
          <w:szCs w:val="24"/>
          <w:highlight w:val="none"/>
        </w:rPr>
        <w:t>5</w:t>
      </w:r>
      <w:r>
        <w:rPr>
          <w:rFonts w:hint="eastAsia" w:ascii="宋体" w:hAnsi="宋体" w:cs="宋体"/>
          <w:sz w:val="24"/>
          <w:szCs w:val="24"/>
          <w:highlight w:val="none"/>
        </w:rPr>
        <w:t>供应商应先到工地踏勘以充分了解项目位置、现状、道路、储存空间、装卸限制及任何其他足以影响磋商价的情况，任何因供应商忽视或误解工地情况而导致的其提出的任何索赔或工期延长申请将不被批准。凡因供应商对竞争性磋商文件阅读疏忽或误解，或因对施工现场、施工环境、市场行情等了解不清而造成的后果和风险，均由供应商负责。</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w:t>
      </w:r>
      <w:r>
        <w:rPr>
          <w:rFonts w:ascii="宋体" w:hAnsi="宋体" w:cs="宋体"/>
          <w:sz w:val="24"/>
          <w:szCs w:val="24"/>
          <w:highlight w:val="none"/>
        </w:rPr>
        <w:t>6</w:t>
      </w:r>
      <w:r>
        <w:rPr>
          <w:rFonts w:hint="eastAsia" w:ascii="宋体" w:hAnsi="宋体" w:cs="宋体"/>
          <w:sz w:val="24"/>
          <w:szCs w:val="24"/>
          <w:highlight w:val="none"/>
        </w:rPr>
        <w:t>编制磋商报价的其他约定</w:t>
      </w:r>
    </w:p>
    <w:p>
      <w:pPr>
        <w:spacing w:line="360" w:lineRule="auto"/>
        <w:ind w:firstLine="480" w:firstLineChars="200"/>
        <w:rPr>
          <w:rFonts w:ascii="宋体" w:hAnsi="宋体" w:cs="宋体"/>
          <w:sz w:val="24"/>
          <w:szCs w:val="24"/>
          <w:highlight w:val="none"/>
        </w:rPr>
      </w:pPr>
      <w:bookmarkStart w:id="29" w:name="OLE_LINK21"/>
      <w:r>
        <w:rPr>
          <w:rFonts w:hint="eastAsia" w:ascii="宋体" w:hAnsi="宋体" w:cs="宋体"/>
          <w:sz w:val="24"/>
          <w:szCs w:val="24"/>
          <w:highlight w:val="none"/>
        </w:rPr>
        <w:t>3.2.</w:t>
      </w:r>
      <w:r>
        <w:rPr>
          <w:rFonts w:ascii="宋体" w:hAnsi="宋体" w:cs="宋体"/>
          <w:sz w:val="24"/>
          <w:szCs w:val="24"/>
          <w:highlight w:val="none"/>
        </w:rPr>
        <w:t>6</w:t>
      </w:r>
      <w:r>
        <w:rPr>
          <w:rFonts w:hint="eastAsia" w:ascii="宋体" w:hAnsi="宋体" w:cs="宋体"/>
          <w:sz w:val="24"/>
          <w:szCs w:val="24"/>
          <w:highlight w:val="none"/>
        </w:rPr>
        <w:t>.</w:t>
      </w:r>
      <w:bookmarkEnd w:id="29"/>
      <w:r>
        <w:rPr>
          <w:rFonts w:hint="eastAsia" w:ascii="宋体" w:hAnsi="宋体" w:cs="宋体"/>
          <w:sz w:val="24"/>
          <w:szCs w:val="24"/>
          <w:highlight w:val="none"/>
        </w:rPr>
        <w:t>1供应商根据自行确定的施工组织设计或施工方案进行自主报价。</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3.2.</w:t>
      </w:r>
      <w:r>
        <w:rPr>
          <w:rFonts w:ascii="宋体" w:hAnsi="宋体" w:cs="宋体"/>
          <w:sz w:val="24"/>
          <w:szCs w:val="24"/>
          <w:highlight w:val="none"/>
        </w:rPr>
        <w:t>6</w:t>
      </w:r>
      <w:r>
        <w:rPr>
          <w:rFonts w:hint="eastAsia" w:ascii="宋体" w:hAnsi="宋体" w:cs="宋体"/>
          <w:sz w:val="24"/>
          <w:szCs w:val="24"/>
          <w:highlight w:val="none"/>
        </w:rPr>
        <w:t>.2供应商应针对拟建工程编制保证安全施工、文明施工和环境保护的技术措施方案，并按竞争性磋商文件的措施项目清单提供的数量报价。</w:t>
      </w:r>
    </w:p>
    <w:p>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3.2.6.</w:t>
      </w:r>
      <w:r>
        <w:rPr>
          <w:rFonts w:hint="eastAsia" w:ascii="宋体" w:hAnsi="宋体" w:cs="宋体"/>
          <w:sz w:val="24"/>
          <w:szCs w:val="24"/>
          <w:highlight w:val="none"/>
          <w:lang w:val="en-US" w:eastAsia="zh-CN"/>
        </w:rPr>
        <w:t>3本项目报价为包钥匙总价；</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3.2.6.5供应商因承包本合同工程需缴纳的一切税费均由供应商自行承担，并包含在所报的单价或总价内。</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w:t>
      </w:r>
      <w:r>
        <w:rPr>
          <w:rFonts w:ascii="宋体" w:hAnsi="宋体" w:cs="宋体"/>
          <w:sz w:val="24"/>
          <w:szCs w:val="24"/>
          <w:highlight w:val="none"/>
        </w:rPr>
        <w:t>6</w:t>
      </w:r>
      <w:r>
        <w:rPr>
          <w:rFonts w:hint="eastAsia" w:ascii="宋体" w:hAnsi="宋体" w:cs="宋体"/>
          <w:sz w:val="24"/>
          <w:szCs w:val="24"/>
          <w:highlight w:val="none"/>
        </w:rPr>
        <w:t>.6供应商应为建设工程和施工场地内自有人员及第三方人员生命财产及运至施工场地内用于工程的材料和待安装设备办理保险，供应商的磋商价中应含的保险费，承包人装备险和承包人职工的（人身）事故险由供应商在其他项目清单保险费栏内自主列报，成交后包干使用。施工期间在施工区域内因非采购人原因发生的设备、材料、人员等的损害、伤害，采购人不再承担任何责任和费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w:t>
      </w:r>
      <w:r>
        <w:rPr>
          <w:rFonts w:ascii="宋体" w:hAnsi="宋体" w:cs="宋体"/>
          <w:sz w:val="24"/>
          <w:szCs w:val="24"/>
          <w:highlight w:val="none"/>
        </w:rPr>
        <w:t>6</w:t>
      </w: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磋商响应函中的磋商报价应与“磋商总价”表中的磋商总价数字相符，不允许在竞争性磋商响应文件中出现两个报价。任何有选择的报价将不予接受,否则按无效磋商处理。</w:t>
      </w:r>
      <w:bookmarkStart w:id="30" w:name="OLE_LINK74"/>
      <w:bookmarkStart w:id="31" w:name="OLE_LINK63"/>
      <w:bookmarkStart w:id="32" w:name="OLE_LINK114"/>
      <w:bookmarkStart w:id="33" w:name="OLE_LINK20"/>
      <w:bookmarkStart w:id="34" w:name="OLE_LINK113"/>
      <w:bookmarkStart w:id="35" w:name="OLE_LINK64"/>
    </w:p>
    <w:bookmarkEnd w:id="30"/>
    <w:bookmarkEnd w:id="31"/>
    <w:bookmarkEnd w:id="32"/>
    <w:bookmarkEnd w:id="33"/>
    <w:bookmarkEnd w:id="34"/>
    <w:bookmarkEnd w:id="35"/>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w:t>
      </w:r>
      <w:r>
        <w:rPr>
          <w:rFonts w:ascii="宋体" w:hAnsi="宋体" w:cs="宋体"/>
          <w:sz w:val="24"/>
          <w:szCs w:val="24"/>
          <w:highlight w:val="none"/>
        </w:rPr>
        <w:t>7</w:t>
      </w:r>
      <w:r>
        <w:rPr>
          <w:rFonts w:hint="eastAsia" w:ascii="宋体" w:hAnsi="宋体" w:cs="宋体"/>
          <w:sz w:val="24"/>
          <w:szCs w:val="24"/>
          <w:highlight w:val="none"/>
        </w:rPr>
        <w:t>供应商报价应包含招标代理服务费，招标代理服务费按国家计委颁发的《招标代理服务收费管理暂行办法》（计价格[2002]1980号）和国家发展改革委员会办公厅颁发的《关于招标代理服务收费有关问题的通知》（发改办价格[2003]857号）的有关标准执行。</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3.3 磋商有效期</w:t>
      </w:r>
    </w:p>
    <w:p>
      <w:pPr>
        <w:spacing w:line="360" w:lineRule="auto"/>
        <w:ind w:firstLine="480" w:firstLineChars="200"/>
        <w:rPr>
          <w:rFonts w:ascii="宋体" w:hAnsi="宋体" w:cs="宋体"/>
          <w:sz w:val="24"/>
          <w:szCs w:val="24"/>
          <w:highlight w:val="none"/>
        </w:rPr>
      </w:pPr>
      <w:bookmarkStart w:id="36" w:name="OLE_LINK4"/>
      <w:r>
        <w:rPr>
          <w:rFonts w:hint="eastAsia" w:ascii="宋体" w:hAnsi="宋体" w:cs="宋体"/>
          <w:sz w:val="24"/>
          <w:szCs w:val="24"/>
          <w:highlight w:val="none"/>
        </w:rPr>
        <w:t>3.3.1磋商响应文件应在“供应商须知前附表”中规定的期限内保持有效。磋商有效期不满足规定有效期的磋商响应文件将被视为非响应性磋商而予以拒绝。</w:t>
      </w:r>
      <w:bookmarkEnd w:id="36"/>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3.4 条有关磋商保证金的退还和没收的规定将在延长了的有效期内继续有效。</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3.4 磋商保证金</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3.4.1供应商在磋商时应向华夏国际项目管理有限公司提交“供应商须知前附表”规定数额的磋商保证金,并作为其磋商的一部分。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3.4.2磋商保证金是为了保护采购人和采购代理机构免遭因供应商的行为而蒙受损失。采购人和采购代理机构在因供应商的行为受到损害时可根据本须知的规定第3.4.</w:t>
      </w:r>
      <w:r>
        <w:rPr>
          <w:rFonts w:ascii="宋体" w:hAnsi="宋体" w:cs="宋体"/>
          <w:sz w:val="24"/>
          <w:szCs w:val="24"/>
          <w:highlight w:val="none"/>
        </w:rPr>
        <w:t>8</w:t>
      </w:r>
      <w:r>
        <w:rPr>
          <w:rFonts w:hint="eastAsia" w:ascii="宋体" w:hAnsi="宋体" w:cs="宋体"/>
          <w:sz w:val="24"/>
          <w:szCs w:val="24"/>
          <w:highlight w:val="none"/>
        </w:rPr>
        <w:t>条没收供应商的磋商保证金。</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3.4.3磋商保证金的缴纳形式：转账、电汇、担保机构保函</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3.4.4磋商保证金必须按照竞争性磋商文件“供应商须知前附表”中规定的缴纳金额及方式办理。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3.4.5磋商后经审查，未提交磋商保证金、未按时间提交磋商保证金、磋商保证金金额不足或磋商保证金缴纳凭证复印件未附在竞争性磋商响应文件内的磋商将按无效磋商处理。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3.4.6未成交单位的磋商保证金，将在成交通知书发出后五个工作日内退还；成交单位的磋商保证金，在施工合同签订并按规定交纳招标代理服务费后五个工作日内退还</w:t>
      </w:r>
      <w:r>
        <w:rPr>
          <w:rFonts w:hint="eastAsia" w:ascii="宋体" w:hAnsi="宋体" w:cs="宋体"/>
          <w:b/>
          <w:sz w:val="24"/>
          <w:szCs w:val="24"/>
          <w:highlight w:val="none"/>
        </w:rPr>
        <w:t>（退还时，须向采购代理机构提供采购合同</w:t>
      </w:r>
      <w:r>
        <w:rPr>
          <w:rFonts w:hint="eastAsia" w:ascii="宋体" w:hAnsi="宋体" w:cs="宋体"/>
          <w:b/>
          <w:bCs/>
          <w:sz w:val="24"/>
          <w:szCs w:val="24"/>
          <w:highlight w:val="none"/>
        </w:rPr>
        <w:t>原件壹份及保证金缴纳凭证复印件</w:t>
      </w:r>
      <w:r>
        <w:rPr>
          <w:rFonts w:hint="eastAsia" w:ascii="宋体" w:hAnsi="宋体" w:cs="宋体"/>
          <w:b/>
          <w:sz w:val="24"/>
          <w:szCs w:val="24"/>
          <w:highlight w:val="none"/>
        </w:rPr>
        <w:t>）</w:t>
      </w:r>
      <w:r>
        <w:rPr>
          <w:rFonts w:hint="eastAsia" w:ascii="宋体" w:hAnsi="宋体" w:cs="宋体"/>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3.4.7供应商以担保机构保函形式缴纳磋商保证金的，磋商结束之后将担保机构保函原件退回（退换时间参照3.4.6条款）；</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3.4.8下列任何情况发生时，视为供应商违约，其磋商保证金将被没收：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 供应商在磋商有效期内撤回其磋商；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 供应商成交后放弃成交、未能按规定签订合同</w:t>
      </w:r>
      <w:bookmarkStart w:id="37" w:name="OLE_LINK3"/>
      <w:r>
        <w:rPr>
          <w:rFonts w:hint="eastAsia" w:ascii="宋体" w:hAnsi="宋体" w:cs="宋体"/>
          <w:sz w:val="24"/>
          <w:szCs w:val="24"/>
          <w:highlight w:val="none"/>
        </w:rPr>
        <w:t>、</w:t>
      </w:r>
      <w:bookmarkEnd w:id="37"/>
      <w:r>
        <w:rPr>
          <w:rFonts w:hint="eastAsia" w:ascii="宋体" w:hAnsi="宋体" w:cs="宋体"/>
          <w:sz w:val="24"/>
          <w:szCs w:val="24"/>
          <w:highlight w:val="none"/>
        </w:rPr>
        <w:t>未按竞争性磋商文件规定提交履约担保、未能按规定交纳招标代理服务费；</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3）供应商成交后将成交项目转让给他人，或者在竞争性磋商响应文件中未说明，且未经采购人同意，将成交项目分包给他人的；</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4）供应商事先未通告无故不参加磋商活动的；</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5）供应商在竞争性磋商响应文件中提供伪造、套改、虚假资料参加磋商的；</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6）供应商不按法定程序进行质疑和投诉,捏造事实，查无实据，造成恶劣影响导致采购活动无法正常进行的；</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3.4.9磋商保证金的有</w:t>
      </w:r>
      <w:bookmarkStart w:id="38" w:name="OLE_LINK47"/>
      <w:r>
        <w:rPr>
          <w:rFonts w:hint="eastAsia" w:ascii="宋体" w:hAnsi="宋体" w:cs="宋体"/>
          <w:sz w:val="24"/>
          <w:szCs w:val="24"/>
          <w:highlight w:val="none"/>
        </w:rPr>
        <w:t>效</w:t>
      </w:r>
      <w:bookmarkEnd w:id="38"/>
      <w:r>
        <w:rPr>
          <w:rFonts w:hint="eastAsia" w:ascii="宋体" w:hAnsi="宋体" w:cs="宋体"/>
          <w:sz w:val="24"/>
          <w:szCs w:val="24"/>
          <w:highlight w:val="none"/>
        </w:rPr>
        <w:t>期与磋商有效期一致，担保机构出具的保函有效期为磋商有效期延长一个月。</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3.5备选磋商方案</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除供应商须知前附表另有规定外，供应商不得递交备选磋商方案。</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3.6竞争性磋商响应文件的编制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3.6.1 竞争性磋商响应文件应按“竞争性磋商响应文件格式”进行编写，如有必要，可以增加附页，作为竞争性磋商响应文件的组成部分。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3.6.2 竞争性磋商响应文件应当对竞争性磋商文件有关工期、磋商有效期、质量要求、技术标准和要求、招标范围等实质性内容作出响应。</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3.6.3 竞争性磋商响应文件应用不褪色的材料书写或打印，并由供应商的法定代表人或其委托代理人签字或盖章。委托代理人签字的，竞争性磋商响应文件应附法定代表人签署的授权委托书。竞争性磋商响应文件应尽量避免涂改、行间插字或删除。如果出现上述情况，改动之处应加盖供应商公章或由供应商的法定代表人或其授权的代理人签字确认。所有要求签字（名）处，均须由签字（名）者本人用不褪色的蓝(黑)色墨水(汁)书写，不得用任何形式的图章代替。</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3.6.4 正本的份数：壹份；副本的份数：贰份；</w:t>
      </w:r>
      <w:r>
        <w:rPr>
          <w:rFonts w:hint="eastAsia" w:ascii="宋体" w:hAnsi="宋体" w:cs="宋体"/>
          <w:sz w:val="24"/>
          <w:szCs w:val="24"/>
          <w:highlight w:val="none"/>
          <w:lang w:eastAsia="zh-CN"/>
        </w:rPr>
        <w:t>磋商报价表</w:t>
      </w:r>
      <w:r>
        <w:rPr>
          <w:rFonts w:hint="eastAsia" w:ascii="宋体" w:hAnsi="宋体" w:cs="宋体"/>
          <w:sz w:val="24"/>
          <w:szCs w:val="24"/>
          <w:highlight w:val="none"/>
        </w:rPr>
        <w:t>：壹份；电子版（U盘）：贰份，需在盘面上标注供应商全称、项目名称、编号）。</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电子版包括：</w:t>
      </w:r>
    </w:p>
    <w:p>
      <w:pPr>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（1）磋商响应文件正本签字盖章后的PDF格式扫描件。（与正本具有同等法律效力）</w:t>
      </w:r>
    </w:p>
    <w:p>
      <w:pPr>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（2）word版磋商响应文件；</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3.6.5 所有竞争性磋商响应文件正本和副本须按第八章规定的顺序编排、编制目录、除封面、封底、目录、分隔页外，其余每一页必须加盖供应商公章。每一页的正下方清楚标明共几页、第几页等字样，并分别胶装成册。</w:t>
      </w:r>
    </w:p>
    <w:p>
      <w:pPr>
        <w:spacing w:before="120" w:beforeLines="50" w:after="120" w:afterLines="50" w:line="360" w:lineRule="auto"/>
        <w:rPr>
          <w:rFonts w:ascii="宋体" w:hAnsi="宋体" w:cs="宋体"/>
          <w:b/>
          <w:bCs/>
          <w:sz w:val="24"/>
          <w:szCs w:val="24"/>
          <w:highlight w:val="none"/>
        </w:rPr>
      </w:pPr>
      <w:bookmarkStart w:id="39" w:name="_Toc420591646"/>
      <w:bookmarkStart w:id="40" w:name="_Toc421778368"/>
      <w:bookmarkStart w:id="41" w:name="_Toc425240467"/>
      <w:r>
        <w:rPr>
          <w:rFonts w:hint="eastAsia" w:ascii="宋体" w:hAnsi="宋体" w:cs="宋体"/>
          <w:b/>
          <w:bCs/>
          <w:sz w:val="24"/>
          <w:szCs w:val="24"/>
          <w:highlight w:val="none"/>
        </w:rPr>
        <w:t>4．</w:t>
      </w:r>
      <w:bookmarkEnd w:id="39"/>
      <w:bookmarkEnd w:id="40"/>
      <w:bookmarkEnd w:id="41"/>
      <w:r>
        <w:rPr>
          <w:rFonts w:hint="eastAsia" w:ascii="宋体" w:hAnsi="宋体" w:cs="宋体"/>
          <w:b/>
          <w:bCs/>
          <w:sz w:val="24"/>
          <w:szCs w:val="24"/>
          <w:highlight w:val="none"/>
        </w:rPr>
        <w:t>磋商</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4.1 竞争性磋商响应文件的密封和标记</w:t>
      </w:r>
    </w:p>
    <w:p>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 xml:space="preserve"> 4.1.1竞争性磋商响应文件的密封：竞争性磋商响应文件须胶装成套且须用密封袋密封，包括竞争性磋商响应文件正本、副本、竞争性磋商响应文件电子版，磋商报价表（供应商需另外单独准备一份与正本内容一致的磋商报价表）须单独分别密封，若不一致，则按单独密封的磋商报价表为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4.1.2竞争性磋商响应文件的正本须单独包装，副本可以包装在一个封套内或分别包装，竞争性磋商文件中需提供的原件应按竞争性磋商文件要求单独密封并同竞争性磋商响应文件一并递交（监标人现场查验的证件原件除外，如有），所有封套均应加贴封条，并在封套的封口处加盖供应商公章及法定代表人或其委托代理人签字或盖章。</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4.1.3 竞争性磋商响应文件的封套上应清楚地标记“正本”、“副本”、“磋商报价表”“电子版”字样，封套上应写明的其他内容见供应商须知前附表。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4.1.4未按本章第3.6.4、第3.6.5项和第4.1.2 、第4.1.3项要求密封和加写标记的竞争性磋商响应文件，采购代理机构不予受理。</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4.2 竞争性磋商响应文件的递交</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4.2.1 供应商应在供应商须知前附表第4.2.2 项规定的磋商截止时间前递交竞争性磋商响应文件。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4.2.2 供应商递交竞争性磋商响应文件的地点：见供应商须知前附表。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4.2.3 供应商所递交的竞争性磋商响应文件不予退还。</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4.2.4逾期送达的或者未送达指定地点的竞争性磋商响应文件，采购代理机构不予受理。</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4.3 竞争性磋商响应文件的修改与撤回</w:t>
      </w:r>
    </w:p>
    <w:p>
      <w:pPr>
        <w:spacing w:line="360" w:lineRule="auto"/>
        <w:ind w:firstLine="480" w:firstLineChars="200"/>
        <w:rPr>
          <w:rFonts w:ascii="宋体" w:hAnsi="宋体" w:cs="宋体"/>
          <w:sz w:val="24"/>
          <w:szCs w:val="24"/>
          <w:highlight w:val="none"/>
        </w:rPr>
      </w:pPr>
      <w:bookmarkStart w:id="42" w:name="_Toc425240468"/>
      <w:bookmarkStart w:id="43" w:name="_Toc421778369"/>
      <w:bookmarkStart w:id="44" w:name="_Toc420591647"/>
      <w:r>
        <w:rPr>
          <w:rFonts w:hint="eastAsia" w:ascii="宋体" w:hAnsi="宋体" w:cs="宋体"/>
          <w:sz w:val="24"/>
          <w:szCs w:val="24"/>
          <w:highlight w:val="none"/>
        </w:rPr>
        <w:t>4.3.1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4.3.2 供应商的修改或撤回或变动价格的通知应按本须知的规定编制、密封、标记和递交。</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4.3.3 在磋商截止时间之后，供应商不得对其竞争性磋商响应文件做任何修改或撤回。</w:t>
      </w:r>
    </w:p>
    <w:p>
      <w:pPr>
        <w:spacing w:before="120" w:beforeLines="50" w:after="120" w:afterLines="50" w:line="360" w:lineRule="auto"/>
        <w:rPr>
          <w:rFonts w:ascii="宋体" w:hAnsi="宋体" w:cs="宋体"/>
          <w:b/>
          <w:bCs/>
          <w:sz w:val="24"/>
          <w:szCs w:val="24"/>
          <w:highlight w:val="none"/>
        </w:rPr>
      </w:pPr>
      <w:r>
        <w:rPr>
          <w:rFonts w:hint="eastAsia" w:ascii="宋体" w:hAnsi="宋体" w:cs="宋体"/>
          <w:b/>
          <w:bCs/>
          <w:sz w:val="24"/>
          <w:szCs w:val="24"/>
          <w:highlight w:val="none"/>
        </w:rPr>
        <w:t>5．</w:t>
      </w:r>
      <w:bookmarkEnd w:id="42"/>
      <w:bookmarkEnd w:id="43"/>
      <w:bookmarkEnd w:id="44"/>
      <w:r>
        <w:rPr>
          <w:rFonts w:hint="eastAsia" w:ascii="宋体" w:hAnsi="宋体" w:cs="宋体"/>
          <w:b/>
          <w:bCs/>
          <w:sz w:val="24"/>
          <w:szCs w:val="24"/>
          <w:highlight w:val="none"/>
        </w:rPr>
        <w:t>磋商</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5.1 磋商时间和地点</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见供应商须知前附表。</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5.2磋商程序</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主持人按下列程序进行磋商：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（1）宣布磋商项目名称及竞争性磋商响应文件接收截止时间，终止一切竞争性磋商响应文件的接收工作，并宣布磋商会议开始；</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（2）介绍采购人、采购代理机构、采购监督管理部门和采购工作人员；</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（3）宣布本项目供应商签到名单；</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（4）宣布磋商会议纪律；</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（5）按照供应商须知前附表规定检查竞争性磋商响应文件的密封情况；</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（6）在采购人（监标人）的监督下，将竞争性磋商响应文件送交磋商小组评审；</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（7）磋商会议结束。</w:t>
      </w:r>
    </w:p>
    <w:p>
      <w:pPr>
        <w:spacing w:before="120" w:beforeLines="50" w:after="120" w:afterLines="50" w:line="360" w:lineRule="auto"/>
        <w:rPr>
          <w:rFonts w:ascii="宋体" w:hAnsi="宋体" w:cs="宋体"/>
          <w:b/>
          <w:bCs/>
          <w:sz w:val="24"/>
          <w:szCs w:val="24"/>
          <w:highlight w:val="none"/>
        </w:rPr>
      </w:pPr>
      <w:bookmarkStart w:id="45" w:name="_Toc425240469"/>
      <w:bookmarkStart w:id="46" w:name="_Toc420591648"/>
      <w:bookmarkStart w:id="47" w:name="_Toc421778370"/>
      <w:r>
        <w:rPr>
          <w:rFonts w:hint="eastAsia" w:ascii="宋体" w:hAnsi="宋体" w:cs="宋体"/>
          <w:b/>
          <w:bCs/>
          <w:sz w:val="24"/>
          <w:szCs w:val="24"/>
          <w:highlight w:val="none"/>
        </w:rPr>
        <w:t>6．</w:t>
      </w:r>
      <w:bookmarkEnd w:id="45"/>
      <w:bookmarkEnd w:id="46"/>
      <w:bookmarkEnd w:id="47"/>
      <w:r>
        <w:rPr>
          <w:rFonts w:hint="eastAsia" w:ascii="宋体" w:hAnsi="宋体" w:cs="宋体"/>
          <w:b/>
          <w:bCs/>
          <w:sz w:val="24"/>
          <w:szCs w:val="24"/>
          <w:highlight w:val="none"/>
        </w:rPr>
        <w:t>评审</w:t>
      </w:r>
    </w:p>
    <w:p>
      <w:pPr>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6.1 磋商小组</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评审由采购人依法组建的磋商小组负责。磋商小组由采购人代表和具备相关专业的专家成员组成，人数应当为3人以上单数，其中采购人代表须持有授权书。磋商小组按照竞争性磋商文件规定的评审方法独立进行评审工作。</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6.2 评审原则</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评审活动遵循公平、公正、科学和择优的原则。</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6.3 评审</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6.3.1竞争性磋商文件和竞争性磋商响应文件是评审的依据。在评审中，不得改变竞争性磋商文件中规定的评审标准、方法和成交条件。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6.3.2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6.3.3如果供应商在澄清规定期限内，未能答复或拒绝答复磋商小组提出的澄清要求，将由磋商小组根据其竞争性磋商响应文件按最大风险进行评审。</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6.3.4磋商过程中的实质性变动：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6.3.4.1在磋商过程中，磋商小组可以根据竞争性磋商文件和磋商情况在最终报价之前实质性变动采购需求中的技术、服务要求以及合同草案条款，但不得变动竞争性磋商文件中的其他内容。实质性变动的内容，须经采购人代表确认。</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6.3.4.2对竞争性磋商文件做出的实质性变动是竞争性磋商文件的有效组成部分，磋商小组应当及时以书面形式通知所有参加磋商的供应商。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6.3.5竞争性磋商响应文件的初审（含资格性检查和符合性检查）</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6.3.5.1磋商小组将审查竞争性磋商响应文件是否完整、资格证明文件是否齐全，磋商保证金是否合格、有无计算上的错误等。</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6.3.5.2计算错误将按以下方法更正：</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竞争性磋商响应文件中磋商报价表(报价表)内容与竞争性磋商响应文件中相应内容不一致的，以磋商报价表(报价表)为准；如果单独密封的磋商报价表(报价表)与竞争性磋商响应文件正本的磋商报价表(报价表)不一致，以单独密封的磋商报价表(报价表)为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（2）竞争性磋商响应文件的大写金额和小写金额不一致的，以大写金额为准；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（3）单价金额小数点或者百分比有明显错位的，以单独密封的磋商报价表的总价为准，并修改单价；</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（4）总价金额与按单价汇总金额不一致的，以单价金额计算结果为准；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按上述修正的顺序和方法调整的报价应对供应商具有约束力。如果供应商不接受修正后的价格，其响应文件将按无效响应处理。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6.3.5.3对于竞争性磋商响应文件中明显的标点符号错误或不构成实质性偏差的不正规、不一致或不规则，采购人可以接受。</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6.3.5.4在详细评审之前，根据本须知第6.3.5.5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竞争性磋商响应文件本身的内容，而不寻求外部的证据。</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6.3.5.5实质上没有响应竞争性磋商文件要求的磋商将被拒绝。供应商不得通过修正或撤销不合要求的偏离从而使其磋商成为实质性响应的磋商。如发现下列情况之一的，其磋商将构成非实质性响应，按无效磋商处理：</w:t>
      </w:r>
    </w:p>
    <w:p>
      <w:pPr>
        <w:tabs>
          <w:tab w:val="left" w:pos="126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1）没有按照竞争性磋商文件要求提供的竞争性磋商响应文件或竞争性磋商响应文件构成有重大缺项；</w:t>
      </w:r>
    </w:p>
    <w:p>
      <w:pPr>
        <w:tabs>
          <w:tab w:val="left" w:pos="126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2）竞争性磋商响应文件未按竞争性磋商文件要求密封、签署、盖章的；</w:t>
      </w:r>
    </w:p>
    <w:p>
      <w:pPr>
        <w:tabs>
          <w:tab w:val="left" w:pos="126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3）供应商未按竞争性磋商文件要求提交磋商保证金或保函的；</w:t>
      </w:r>
    </w:p>
    <w:p>
      <w:pPr>
        <w:tabs>
          <w:tab w:val="left" w:pos="126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4）资格证明文件不全的或无效的，或不符合国家规定的；</w:t>
      </w:r>
    </w:p>
    <w:p>
      <w:pPr>
        <w:tabs>
          <w:tab w:val="left" w:pos="126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spacing w:val="-6"/>
          <w:sz w:val="24"/>
          <w:szCs w:val="24"/>
          <w:highlight w:val="none"/>
        </w:rPr>
        <w:t>无磋商有效期或有效期达不到竞争性磋商文件要求的</w:t>
      </w:r>
      <w:r>
        <w:rPr>
          <w:rFonts w:hint="eastAsia" w:ascii="宋体" w:hAnsi="宋体" w:cs="宋体"/>
          <w:sz w:val="24"/>
          <w:szCs w:val="24"/>
          <w:highlight w:val="none"/>
        </w:rPr>
        <w:t>；</w:t>
      </w:r>
    </w:p>
    <w:p>
      <w:pPr>
        <w:tabs>
          <w:tab w:val="left" w:pos="126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6）供应商有串通磋商、以他人名义磋商、行贿、提供虚假证明（包括第三方提供的虚假证明），开具虚假资质，出现虚假应答的，除按无效文件处理外，还将按照政府采购的有关规定进行处罚；</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7）磋商总报价超过竞争性磋商文件公布的采购预算的。</w:t>
      </w:r>
    </w:p>
    <w:p>
      <w:pPr>
        <w:pStyle w:val="31"/>
        <w:spacing w:before="0" w:beforeAutospacing="0" w:after="0" w:afterAutospacing="0" w:line="500" w:lineRule="exact"/>
        <w:ind w:firstLine="480" w:firstLineChars="200"/>
        <w:jc w:val="both"/>
        <w:rPr>
          <w:highlight w:val="none"/>
        </w:rPr>
      </w:pPr>
      <w:r>
        <w:rPr>
          <w:rFonts w:hint="eastAsia"/>
          <w:highlight w:val="none"/>
        </w:rPr>
        <w:t>8）竞争性磋商响应文件含有采购人不能接受的附加条件的；</w:t>
      </w:r>
    </w:p>
    <w:p>
      <w:pPr>
        <w:pStyle w:val="31"/>
        <w:spacing w:before="0" w:beforeAutospacing="0" w:after="0" w:afterAutospacing="0" w:line="500" w:lineRule="exact"/>
        <w:ind w:firstLine="480" w:firstLineChars="200"/>
        <w:jc w:val="both"/>
        <w:rPr>
          <w:highlight w:val="none"/>
        </w:rPr>
      </w:pPr>
      <w:r>
        <w:rPr>
          <w:rFonts w:hint="eastAsia"/>
          <w:highlight w:val="none"/>
        </w:rPr>
        <w:t>9）供应商被列入失信被执行人、重大税收违法案件当事人名单、政府采购严重违法失信行为记录名单的；</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10）法律、法规规定的其他无效情形。</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6.3.6竞争性磋商响应文件的详细评审</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6.3.6.1磋商小组将按照本须知第6.3.5.5条规定，只对确定为实质性响应竞争性磋商文件要求的竞争性磋商响应文件进行详细评审。</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6.3.6.2详细评审按照“供应商须知前附表”的评审方法进行。</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6.3.7成交候选人的确定</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磋商小组完成评审后，向采购人提出书面评审，并推荐1-3名成交候选人，标明排列顺序。</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6.3.8评审过程的保密</w:t>
      </w:r>
    </w:p>
    <w:p>
      <w:pPr>
        <w:spacing w:line="360" w:lineRule="auto"/>
        <w:ind w:firstLine="480" w:firstLineChars="200"/>
        <w:rPr>
          <w:rFonts w:ascii="宋体" w:hAnsi="宋体" w:cs="宋体"/>
          <w:sz w:val="24"/>
          <w:szCs w:val="24"/>
          <w:highlight w:val="none"/>
        </w:rPr>
      </w:pPr>
      <w:bookmarkStart w:id="48" w:name="_Toc425240470"/>
      <w:bookmarkStart w:id="49" w:name="_Toc421778371"/>
      <w:bookmarkStart w:id="50" w:name="_Toc420591649"/>
      <w:r>
        <w:rPr>
          <w:rFonts w:hint="eastAsia" w:ascii="宋体" w:hAnsi="宋体" w:cs="宋体"/>
          <w:sz w:val="24"/>
          <w:szCs w:val="24"/>
          <w:highlight w:val="none"/>
        </w:rPr>
        <w:t>磋商小组成员和与评审活动有关的工作人员不得泄露有关竞争性磋商响应文件的评审和比较、成交候选人的推荐以及与评审有关的其他情况。</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6.3.9评审程序</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按照竞争性磋商响应文件初审、澄清有关问题、分别磋商、二次报价、比较与评审、推荐成交候选人名单的工作程序进行评审。在上一步评审中被认定为无效磋商者，不进入下一步的评审。</w:t>
      </w:r>
    </w:p>
    <w:p>
      <w:pPr>
        <w:spacing w:before="120" w:beforeLines="50" w:after="120" w:afterLines="50" w:line="360" w:lineRule="auto"/>
        <w:rPr>
          <w:rFonts w:ascii="宋体" w:hAnsi="宋体" w:cs="宋体"/>
          <w:b/>
          <w:bCs/>
          <w:sz w:val="24"/>
          <w:szCs w:val="24"/>
          <w:highlight w:val="none"/>
        </w:rPr>
      </w:pPr>
      <w:r>
        <w:rPr>
          <w:rFonts w:hint="eastAsia" w:ascii="宋体" w:hAnsi="宋体" w:cs="宋体"/>
          <w:b/>
          <w:bCs/>
          <w:sz w:val="24"/>
          <w:szCs w:val="24"/>
          <w:highlight w:val="none"/>
        </w:rPr>
        <w:t>7．合同授予</w:t>
      </w:r>
      <w:bookmarkEnd w:id="48"/>
      <w:bookmarkEnd w:id="49"/>
      <w:bookmarkEnd w:id="50"/>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7.1 定标方式</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7.1.1磋商小组根据评审方法的规定对供应商进行评审排序，推荐1-3名成交候选人，作为评审结果。评审结果由全体磋商小组成员签字确认。</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7.1.2采购人根据评审报告中推荐的成交候选人排列顺序，确定排名第一的为成交供应商。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7.1.4采购人也可以授权磋商小组评审后直接确定成交供应商。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7.1.5成交供应商确定之后，成交结果将在财政部门指定的政府采购信息发布媒体上公告。</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7.1.6供应商或者其他利害关系人对评审结果有异议的，应当在法律规定的时间内提出。</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7.2 成交通知</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7.2.1采购代理机构向成交供应商发出《成交通知书》。 </w:t>
      </w:r>
      <w:r>
        <w:rPr>
          <w:rFonts w:hint="eastAsia" w:ascii="宋体" w:hAnsi="宋体" w:cs="宋体"/>
          <w:b/>
          <w:bCs/>
          <w:sz w:val="24"/>
          <w:szCs w:val="24"/>
          <w:highlight w:val="none"/>
        </w:rPr>
        <w:t>成交供应商在领取成交通知书时须携带法定代表人授权书及加盖单位公章的被授权人身份证复印件。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7.2.2成交通知书对采购人和成交供应商具有同等法律效力。成交通知书发出之后，采购人改变成交结果，或者成交供应商放弃成交，应当承担相应的法律责任。</w:t>
      </w:r>
    </w:p>
    <w:p>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7.3 签订合同</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7.3.1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7.3.2采购人自采购合同签订之日起七个工作日内，将采购合同副本报同级人民政府财政部门备案。</w:t>
      </w:r>
    </w:p>
    <w:p>
      <w:pPr>
        <w:spacing w:before="120" w:beforeLines="50" w:after="120" w:afterLines="50" w:line="360" w:lineRule="auto"/>
        <w:rPr>
          <w:rFonts w:ascii="宋体" w:hAnsi="宋体" w:cs="宋体"/>
          <w:b/>
          <w:bCs/>
          <w:sz w:val="24"/>
          <w:szCs w:val="24"/>
          <w:highlight w:val="none"/>
        </w:rPr>
      </w:pPr>
      <w:bookmarkStart w:id="51" w:name="_Toc420591652"/>
      <w:bookmarkStart w:id="52" w:name="_Toc425240473"/>
      <w:bookmarkStart w:id="53" w:name="_Toc421778374"/>
      <w:r>
        <w:rPr>
          <w:rFonts w:hint="eastAsia" w:ascii="宋体" w:hAnsi="宋体" w:cs="宋体"/>
          <w:b/>
          <w:bCs/>
          <w:sz w:val="24"/>
          <w:szCs w:val="24"/>
          <w:highlight w:val="none"/>
        </w:rPr>
        <w:t>8、需要补充的其他内容：</w:t>
      </w:r>
      <w:bookmarkStart w:id="54" w:name="_Toc356305901"/>
      <w:r>
        <w:rPr>
          <w:rFonts w:hint="eastAsia" w:ascii="宋体" w:hAnsi="宋体" w:cs="宋体"/>
          <w:b/>
          <w:bCs/>
          <w:sz w:val="24"/>
          <w:szCs w:val="24"/>
          <w:highlight w:val="none"/>
        </w:rPr>
        <w:t>详见供应商须知前附表</w:t>
      </w:r>
      <w:bookmarkEnd w:id="54"/>
      <w:r>
        <w:rPr>
          <w:rFonts w:hint="eastAsia" w:ascii="宋体" w:hAnsi="宋体" w:cs="宋体"/>
          <w:b/>
          <w:bCs/>
          <w:sz w:val="24"/>
          <w:szCs w:val="24"/>
          <w:highlight w:val="none"/>
        </w:rPr>
        <w:t>。</w:t>
      </w:r>
      <w:bookmarkEnd w:id="51"/>
      <w:bookmarkEnd w:id="52"/>
      <w:bookmarkEnd w:id="53"/>
    </w:p>
    <w:p>
      <w:pPr>
        <w:spacing w:before="120" w:beforeLines="50" w:after="120" w:afterLines="50" w:line="360" w:lineRule="auto"/>
        <w:rPr>
          <w:rFonts w:ascii="宋体" w:hAnsi="宋体" w:cs="宋体"/>
          <w:b/>
          <w:bCs/>
          <w:sz w:val="24"/>
          <w:szCs w:val="24"/>
          <w:highlight w:val="none"/>
        </w:rPr>
      </w:pPr>
      <w:bookmarkStart w:id="55" w:name="_Toc420591653"/>
      <w:bookmarkStart w:id="56" w:name="_Toc425240474"/>
      <w:bookmarkStart w:id="57" w:name="_Toc421778375"/>
      <w:r>
        <w:rPr>
          <w:rFonts w:hint="eastAsia" w:ascii="宋体" w:hAnsi="宋体" w:cs="宋体"/>
          <w:b/>
          <w:bCs/>
          <w:sz w:val="24"/>
          <w:szCs w:val="24"/>
          <w:highlight w:val="none"/>
        </w:rPr>
        <w:t>9、招标代理服务费</w:t>
      </w:r>
      <w:bookmarkEnd w:id="55"/>
      <w:bookmarkEnd w:id="56"/>
      <w:bookmarkEnd w:id="57"/>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9.1按国家计委颁发的《招标代理服务收费管理暂行办法》（计价格[2002]1980号）和国家发展改革委员会办公厅颁发的《关于招标代理服务收费有关问题的通知》（发改办价格[2003]857号）的有关规定执行。</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9.2成交单位在领取成交通知书前，须向采购代理机构一次性支付招标代理服务费。</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10、质疑</w:t>
      </w:r>
    </w:p>
    <w:p>
      <w:pPr>
        <w:spacing w:line="500" w:lineRule="exact"/>
        <w:ind w:right="12" w:firstLine="480"/>
        <w:rPr>
          <w:rFonts w:ascii="宋体" w:hAnsi="宋体" w:cs="宋体"/>
          <w:sz w:val="24"/>
          <w:szCs w:val="24"/>
          <w:highlight w:val="none"/>
        </w:rPr>
      </w:pPr>
      <w:bookmarkStart w:id="58" w:name="_Toc421778376"/>
      <w:r>
        <w:rPr>
          <w:rFonts w:hint="eastAsia" w:ascii="宋体" w:hAnsi="宋体" w:cs="宋体"/>
          <w:sz w:val="24"/>
          <w:szCs w:val="24"/>
          <w:highlight w:val="none"/>
        </w:rPr>
        <w:t>10.1供应商认为磋商文件、采购过程、成交结果使自己的权益受到损害的，可以在知道或者应知其权益受到损害之日起7个工作日内，以书面形式向采购人、采购代理机构提出质疑。</w:t>
      </w:r>
    </w:p>
    <w:p>
      <w:pPr>
        <w:spacing w:line="500" w:lineRule="exact"/>
        <w:ind w:right="12" w:firstLine="480"/>
        <w:rPr>
          <w:rStyle w:val="36"/>
          <w:rFonts w:ascii="宋体" w:hAnsi="宋体" w:cs="宋体"/>
          <w:bCs w:val="0"/>
          <w:sz w:val="24"/>
          <w:szCs w:val="24"/>
          <w:highlight w:val="none"/>
          <w:shd w:val="clear" w:color="auto" w:fill="FFFFFF"/>
        </w:rPr>
      </w:pPr>
      <w:r>
        <w:rPr>
          <w:rFonts w:hint="eastAsia" w:ascii="宋体" w:hAnsi="宋体" w:cs="宋体"/>
          <w:sz w:val="24"/>
          <w:szCs w:val="24"/>
          <w:highlight w:val="none"/>
        </w:rPr>
        <w:t>10.2供应商必须在法定质疑期内一次性提出针对同一采购程序环节的质疑。</w:t>
      </w:r>
    </w:p>
    <w:p>
      <w:pPr>
        <w:spacing w:line="500" w:lineRule="exact"/>
        <w:ind w:left="3" w:firstLine="518" w:firstLineChars="216"/>
        <w:rPr>
          <w:rStyle w:val="36"/>
          <w:rFonts w:ascii="宋体" w:hAnsi="宋体" w:cs="宋体"/>
          <w:b w:val="0"/>
          <w:sz w:val="24"/>
          <w:szCs w:val="24"/>
          <w:highlight w:val="none"/>
          <w:shd w:val="clear" w:color="auto" w:fill="FFFFFF"/>
        </w:rPr>
      </w:pPr>
      <w:r>
        <w:rPr>
          <w:rFonts w:hint="eastAsia" w:ascii="宋体" w:hAnsi="宋体" w:cs="宋体"/>
          <w:sz w:val="24"/>
          <w:szCs w:val="24"/>
          <w:highlight w:val="none"/>
        </w:rPr>
        <w:t>10</w:t>
      </w:r>
      <w:r>
        <w:rPr>
          <w:rStyle w:val="36"/>
          <w:rFonts w:hint="eastAsia" w:ascii="宋体" w:hAnsi="宋体" w:cs="宋体"/>
          <w:b w:val="0"/>
          <w:sz w:val="24"/>
          <w:szCs w:val="24"/>
          <w:highlight w:val="none"/>
          <w:shd w:val="clear" w:color="auto" w:fill="FFFFFF"/>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500" w:lineRule="exact"/>
        <w:ind w:left="3" w:firstLine="518" w:firstLineChars="216"/>
        <w:rPr>
          <w:rStyle w:val="36"/>
          <w:rFonts w:ascii="宋体" w:hAnsi="宋体" w:cs="宋体"/>
          <w:b w:val="0"/>
          <w:sz w:val="24"/>
          <w:szCs w:val="24"/>
          <w:highlight w:val="none"/>
          <w:shd w:val="clear" w:color="auto" w:fill="FFFFFF"/>
        </w:rPr>
      </w:pPr>
      <w:r>
        <w:rPr>
          <w:rFonts w:hint="eastAsia" w:ascii="宋体" w:hAnsi="宋体" w:cs="宋体"/>
          <w:sz w:val="24"/>
          <w:szCs w:val="24"/>
          <w:highlight w:val="none"/>
        </w:rPr>
        <w:t>10</w:t>
      </w:r>
      <w:r>
        <w:rPr>
          <w:rStyle w:val="36"/>
          <w:rFonts w:hint="eastAsia" w:ascii="宋体" w:hAnsi="宋体" w:cs="宋体"/>
          <w:b w:val="0"/>
          <w:sz w:val="24"/>
          <w:szCs w:val="24"/>
          <w:highlight w:val="none"/>
          <w:shd w:val="clear" w:color="auto" w:fill="FFFFFF"/>
        </w:rPr>
        <w:t>.4以联合体形式参加政府采购活动的，其质疑应当由组成联合体的所有供应商共同提出。</w:t>
      </w:r>
    </w:p>
    <w:p>
      <w:pPr>
        <w:spacing w:line="500" w:lineRule="exact"/>
        <w:ind w:right="12" w:firstLine="480" w:firstLineChars="200"/>
        <w:rPr>
          <w:rFonts w:ascii="宋体" w:hAnsi="宋体" w:cs="宋体"/>
          <w:sz w:val="24"/>
          <w:szCs w:val="24"/>
          <w:highlight w:val="none"/>
        </w:rPr>
      </w:pPr>
      <w:r>
        <w:rPr>
          <w:rFonts w:hint="eastAsia" w:ascii="宋体" w:hAnsi="宋体" w:cs="宋体"/>
          <w:sz w:val="24"/>
          <w:szCs w:val="24"/>
          <w:highlight w:val="none"/>
        </w:rPr>
        <w:t>10.5供应商提出质疑应当提交质疑函和必要的证明材料。质疑函应当包括下列内容：</w:t>
      </w:r>
    </w:p>
    <w:p>
      <w:pPr>
        <w:spacing w:line="500" w:lineRule="exact"/>
        <w:ind w:right="12" w:firstLine="480" w:firstLineChars="200"/>
        <w:rPr>
          <w:rFonts w:ascii="宋体" w:hAnsi="宋体" w:cs="宋体"/>
          <w:sz w:val="24"/>
          <w:szCs w:val="24"/>
          <w:highlight w:val="none"/>
        </w:rPr>
      </w:pPr>
      <w:r>
        <w:rPr>
          <w:rFonts w:hint="eastAsia" w:ascii="宋体" w:hAnsi="宋体" w:cs="宋体"/>
          <w:sz w:val="24"/>
          <w:szCs w:val="24"/>
          <w:highlight w:val="none"/>
        </w:rPr>
        <w:t>10.5.1供应商的姓名或者名称、地址、邮编、联系人及联系电话；</w:t>
      </w:r>
    </w:p>
    <w:p>
      <w:pPr>
        <w:spacing w:line="500" w:lineRule="exact"/>
        <w:ind w:right="12" w:firstLine="480" w:firstLineChars="200"/>
        <w:rPr>
          <w:rFonts w:ascii="宋体" w:hAnsi="宋体" w:cs="宋体"/>
          <w:sz w:val="24"/>
          <w:szCs w:val="24"/>
          <w:highlight w:val="none"/>
        </w:rPr>
      </w:pPr>
      <w:r>
        <w:rPr>
          <w:rFonts w:hint="eastAsia" w:ascii="宋体" w:hAnsi="宋体" w:cs="宋体"/>
          <w:sz w:val="24"/>
          <w:szCs w:val="24"/>
          <w:highlight w:val="none"/>
        </w:rPr>
        <w:t>10.5.2质疑项目的名称、编号；</w:t>
      </w:r>
    </w:p>
    <w:p>
      <w:pPr>
        <w:spacing w:line="500" w:lineRule="exact"/>
        <w:ind w:right="12" w:firstLine="480" w:firstLineChars="200"/>
        <w:rPr>
          <w:rFonts w:ascii="宋体" w:hAnsi="宋体" w:cs="宋体"/>
          <w:sz w:val="24"/>
          <w:szCs w:val="24"/>
          <w:highlight w:val="none"/>
        </w:rPr>
      </w:pPr>
      <w:r>
        <w:rPr>
          <w:rFonts w:hint="eastAsia" w:ascii="宋体" w:hAnsi="宋体" w:cs="宋体"/>
          <w:sz w:val="24"/>
          <w:szCs w:val="24"/>
          <w:highlight w:val="none"/>
        </w:rPr>
        <w:t>10.5.3具体、明确的质疑事项和与质疑事项相关的请求；</w:t>
      </w:r>
    </w:p>
    <w:p>
      <w:pPr>
        <w:spacing w:line="500" w:lineRule="exact"/>
        <w:ind w:right="12" w:firstLine="480" w:firstLineChars="200"/>
        <w:rPr>
          <w:rFonts w:ascii="宋体" w:hAnsi="宋体" w:cs="宋体"/>
          <w:sz w:val="24"/>
          <w:szCs w:val="24"/>
          <w:highlight w:val="none"/>
        </w:rPr>
      </w:pPr>
      <w:r>
        <w:rPr>
          <w:rFonts w:hint="eastAsia" w:ascii="宋体" w:hAnsi="宋体" w:cs="宋体"/>
          <w:sz w:val="24"/>
          <w:szCs w:val="24"/>
          <w:highlight w:val="none"/>
        </w:rPr>
        <w:t>10.5.4事实依据；</w:t>
      </w:r>
    </w:p>
    <w:p>
      <w:pPr>
        <w:spacing w:line="500" w:lineRule="exact"/>
        <w:ind w:right="12" w:firstLine="480" w:firstLineChars="200"/>
        <w:rPr>
          <w:rFonts w:ascii="宋体" w:hAnsi="宋体" w:cs="宋体"/>
          <w:sz w:val="24"/>
          <w:szCs w:val="24"/>
          <w:highlight w:val="none"/>
        </w:rPr>
      </w:pPr>
      <w:r>
        <w:rPr>
          <w:rFonts w:hint="eastAsia" w:ascii="宋体" w:hAnsi="宋体" w:cs="宋体"/>
          <w:sz w:val="24"/>
          <w:szCs w:val="24"/>
          <w:highlight w:val="none"/>
        </w:rPr>
        <w:t>10.5.5必要的法律依据；</w:t>
      </w:r>
    </w:p>
    <w:p>
      <w:pPr>
        <w:spacing w:line="500" w:lineRule="exact"/>
        <w:ind w:right="12" w:firstLine="480" w:firstLineChars="200"/>
        <w:rPr>
          <w:rStyle w:val="36"/>
          <w:rFonts w:ascii="宋体" w:hAnsi="宋体" w:cs="宋体"/>
          <w:b w:val="0"/>
          <w:sz w:val="24"/>
          <w:szCs w:val="24"/>
          <w:highlight w:val="none"/>
          <w:shd w:val="clear" w:color="auto" w:fill="FFFFFF"/>
        </w:rPr>
      </w:pPr>
      <w:r>
        <w:rPr>
          <w:rFonts w:hint="eastAsia" w:ascii="宋体" w:hAnsi="宋体" w:cs="宋体"/>
          <w:sz w:val="24"/>
          <w:szCs w:val="24"/>
          <w:highlight w:val="none"/>
        </w:rPr>
        <w:t>10.5.6提出质疑的日期。</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10.6有下列情形之一的，属于无效质疑，采购代理机构和采购人不予受理；</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10.6.1质疑供应商不是参与本次政府采购项目的供应商；</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10.6.2质疑供应商与质疑事项不存在利害关系的；</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10.6.3未在法定期限内提出质疑的；</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10.6.4质疑未以书面形式提出，或质疑函主要内容构成不完整的；</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10.6.5应当提交授权书而未提交的；</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10.6.6以非法手段取得证据、材料的；</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10.6.7质疑答复后，同一质疑人就同一事项或同一采购程序环节再次提出质疑的；</w:t>
      </w:r>
    </w:p>
    <w:p>
      <w:pPr>
        <w:widowControl/>
        <w:spacing w:line="360" w:lineRule="auto"/>
        <w:ind w:firstLine="480" w:firstLineChars="200"/>
        <w:rPr>
          <w:rStyle w:val="36"/>
          <w:rFonts w:ascii="宋体" w:hAnsi="宋体" w:cs="宋体"/>
          <w:b w:val="0"/>
          <w:sz w:val="24"/>
          <w:szCs w:val="24"/>
          <w:highlight w:val="none"/>
          <w:shd w:val="clear" w:color="auto" w:fill="FFFFFF"/>
        </w:rPr>
      </w:pPr>
      <w:r>
        <w:rPr>
          <w:rFonts w:hint="eastAsia" w:ascii="宋体" w:hAnsi="宋体" w:cs="宋体"/>
          <w:sz w:val="24"/>
          <w:szCs w:val="24"/>
          <w:highlight w:val="none"/>
        </w:rPr>
        <w:t>10.6.8不符合法律、法规、规章和政府采购监管机构规定的其他条件的。</w:t>
      </w:r>
    </w:p>
    <w:p>
      <w:pPr>
        <w:spacing w:line="500" w:lineRule="exact"/>
        <w:ind w:right="12"/>
        <w:rPr>
          <w:rFonts w:ascii="宋体" w:hAnsi="宋体" w:cs="宋体"/>
          <w:sz w:val="24"/>
          <w:szCs w:val="24"/>
          <w:highlight w:val="none"/>
        </w:rPr>
      </w:pPr>
      <w:r>
        <w:rPr>
          <w:rFonts w:hint="eastAsia" w:ascii="宋体" w:hAnsi="宋体" w:cs="宋体"/>
          <w:sz w:val="24"/>
          <w:szCs w:val="24"/>
          <w:highlight w:val="none"/>
        </w:rPr>
        <w:t xml:space="preserve">    10.7质疑答复</w:t>
      </w:r>
    </w:p>
    <w:p>
      <w:pPr>
        <w:pStyle w:val="110"/>
        <w:spacing w:line="500" w:lineRule="exact"/>
        <w:ind w:firstLine="480"/>
        <w:jc w:val="left"/>
        <w:rPr>
          <w:rFonts w:ascii="宋体" w:hAnsi="宋体" w:cs="宋体"/>
          <w:sz w:val="24"/>
          <w:szCs w:val="24"/>
          <w:highlight w:val="none"/>
        </w:rPr>
      </w:pPr>
      <w:r>
        <w:rPr>
          <w:rFonts w:hint="eastAsia" w:ascii="宋体" w:hAnsi="宋体" w:cs="宋体"/>
          <w:sz w:val="24"/>
          <w:szCs w:val="24"/>
          <w:highlight w:val="none"/>
        </w:rPr>
        <w:t>10.7.1采购人或采购代理机构在收到质疑函后7个工作日内作出答复，并以书面形式通知质疑供应商和其他有关供应商。</w:t>
      </w:r>
    </w:p>
    <w:p>
      <w:pPr>
        <w:pStyle w:val="110"/>
        <w:spacing w:line="500" w:lineRule="exact"/>
        <w:ind w:firstLine="480" w:firstLineChars="0"/>
        <w:jc w:val="left"/>
        <w:rPr>
          <w:rFonts w:ascii="宋体" w:hAnsi="宋体" w:cs="宋体"/>
          <w:sz w:val="24"/>
          <w:szCs w:val="24"/>
          <w:highlight w:val="none"/>
        </w:rPr>
      </w:pPr>
      <w:r>
        <w:rPr>
          <w:rFonts w:hint="eastAsia" w:ascii="宋体" w:hAnsi="宋体" w:cs="宋体"/>
          <w:sz w:val="24"/>
          <w:szCs w:val="24"/>
          <w:highlight w:val="none"/>
        </w:rPr>
        <w:t>10.7.2质疑供应商对采购人、采购代理机构的答复不满意，或者采购人、采购代理机构未在规定时间内作出答复的，可以在答复期满后15个工作日内向</w:t>
      </w:r>
      <w:r>
        <w:rPr>
          <w:rFonts w:hint="eastAsia" w:ascii="宋体" w:hAnsi="宋体" w:cs="宋体"/>
          <w:b/>
          <w:bCs/>
          <w:sz w:val="24"/>
          <w:szCs w:val="24"/>
          <w:highlight w:val="none"/>
          <w:lang w:eastAsia="zh-CN"/>
        </w:rPr>
        <w:t>铜川市新区财政局</w:t>
      </w:r>
      <w:r>
        <w:rPr>
          <w:rFonts w:hint="eastAsia" w:ascii="宋体" w:hAnsi="宋体" w:cs="宋体"/>
          <w:sz w:val="24"/>
          <w:szCs w:val="24"/>
          <w:highlight w:val="none"/>
        </w:rPr>
        <w:t>提起投诉。</w:t>
      </w:r>
    </w:p>
    <w:p>
      <w:pPr>
        <w:pStyle w:val="110"/>
        <w:spacing w:line="500" w:lineRule="exact"/>
        <w:ind w:firstLine="480" w:firstLineChars="0"/>
        <w:jc w:val="left"/>
        <w:rPr>
          <w:rFonts w:ascii="宋体" w:hAnsi="宋体" w:cs="宋体"/>
          <w:sz w:val="24"/>
          <w:szCs w:val="24"/>
          <w:highlight w:val="none"/>
        </w:rPr>
      </w:pPr>
      <w:r>
        <w:rPr>
          <w:rFonts w:hint="eastAsia" w:ascii="宋体" w:hAnsi="宋体" w:cs="宋体"/>
          <w:sz w:val="24"/>
          <w:szCs w:val="24"/>
          <w:highlight w:val="none"/>
        </w:rPr>
        <w:t>10.8其他需要说明的事项</w:t>
      </w:r>
    </w:p>
    <w:p>
      <w:pPr>
        <w:pStyle w:val="110"/>
        <w:spacing w:line="500" w:lineRule="exact"/>
        <w:ind w:firstLine="480" w:firstLineChars="0"/>
        <w:jc w:val="left"/>
        <w:rPr>
          <w:rFonts w:ascii="宋体" w:hAnsi="宋体" w:cs="宋体"/>
          <w:sz w:val="24"/>
          <w:szCs w:val="24"/>
          <w:highlight w:val="none"/>
        </w:rPr>
      </w:pPr>
      <w:r>
        <w:rPr>
          <w:rFonts w:hint="eastAsia" w:ascii="宋体" w:hAnsi="宋体" w:cs="宋体"/>
          <w:sz w:val="24"/>
          <w:szCs w:val="24"/>
          <w:highlight w:val="none"/>
        </w:rPr>
        <w:t>10.8.1质疑函须按财政部《质疑函范本》给定的格式进行填写，范本下载详见【财政部国库司（gks.mof.gov.cn）】网站〖首页·政府采购管理〗栏目中的《政府采购供应商质疑函范本》。《政府采购供应商质疑函范本》链接地址：</w:t>
      </w:r>
    </w:p>
    <w:p>
      <w:pPr>
        <w:pStyle w:val="110"/>
        <w:spacing w:line="500" w:lineRule="exact"/>
        <w:ind w:firstLine="480" w:firstLineChars="0"/>
        <w:jc w:val="left"/>
        <w:rPr>
          <w:rFonts w:ascii="宋体" w:hAnsi="宋体" w:cs="宋体"/>
          <w:sz w:val="24"/>
          <w:szCs w:val="24"/>
          <w:highlight w:val="none"/>
        </w:rPr>
      </w:pPr>
      <w:r>
        <w:rPr>
          <w:rFonts w:hint="eastAsia" w:ascii="宋体" w:hAnsi="宋体" w:cs="宋体"/>
          <w:sz w:val="24"/>
          <w:szCs w:val="24"/>
          <w:highlight w:val="none"/>
        </w:rPr>
        <w:t>http://gks.mof.gov.cn/zhengfucaigouguanli/201802/t20180201_2804589.html</w:t>
      </w:r>
    </w:p>
    <w:p>
      <w:pPr>
        <w:pStyle w:val="110"/>
        <w:spacing w:line="500" w:lineRule="exact"/>
        <w:ind w:firstLine="480" w:firstLineChars="0"/>
        <w:jc w:val="left"/>
        <w:rPr>
          <w:rFonts w:ascii="宋体" w:hAnsi="宋体" w:cs="宋体"/>
          <w:sz w:val="24"/>
          <w:szCs w:val="24"/>
          <w:highlight w:val="none"/>
        </w:rPr>
      </w:pPr>
      <w:r>
        <w:rPr>
          <w:rFonts w:hint="eastAsia" w:ascii="宋体" w:hAnsi="宋体" w:cs="宋体"/>
          <w:sz w:val="24"/>
          <w:szCs w:val="24"/>
          <w:highlight w:val="none"/>
        </w:rPr>
        <w:t>10.8.2接收质疑函的方式：书面形式</w:t>
      </w:r>
    </w:p>
    <w:p>
      <w:pPr>
        <w:pStyle w:val="110"/>
        <w:spacing w:line="500" w:lineRule="exact"/>
        <w:ind w:firstLine="480" w:firstLineChars="0"/>
        <w:jc w:val="left"/>
        <w:rPr>
          <w:rFonts w:ascii="宋体" w:hAnsi="宋体" w:cs="宋体"/>
          <w:sz w:val="24"/>
          <w:szCs w:val="24"/>
          <w:highlight w:val="none"/>
        </w:rPr>
      </w:pPr>
      <w:r>
        <w:rPr>
          <w:rFonts w:hint="eastAsia" w:ascii="宋体" w:hAnsi="宋体" w:cs="宋体"/>
          <w:sz w:val="24"/>
          <w:szCs w:val="24"/>
          <w:highlight w:val="none"/>
        </w:rPr>
        <w:t>10.8.3联系部门：华夏国际项目管理有限公司前台</w:t>
      </w:r>
    </w:p>
    <w:p>
      <w:pPr>
        <w:pStyle w:val="110"/>
        <w:spacing w:line="500" w:lineRule="exact"/>
        <w:ind w:firstLine="480" w:firstLineChars="0"/>
        <w:jc w:val="left"/>
        <w:rPr>
          <w:rFonts w:ascii="宋体" w:hAnsi="宋体" w:cs="宋体"/>
          <w:sz w:val="24"/>
          <w:szCs w:val="24"/>
          <w:highlight w:val="none"/>
        </w:rPr>
      </w:pPr>
      <w:r>
        <w:rPr>
          <w:rFonts w:hint="eastAsia" w:ascii="宋体" w:hAnsi="宋体" w:cs="宋体"/>
          <w:sz w:val="24"/>
          <w:szCs w:val="24"/>
          <w:highlight w:val="none"/>
        </w:rPr>
        <w:t>10.8.4联系电话：029-88899970</w:t>
      </w:r>
    </w:p>
    <w:p>
      <w:pPr>
        <w:pStyle w:val="110"/>
        <w:spacing w:line="500" w:lineRule="exact"/>
        <w:ind w:firstLine="480" w:firstLineChars="0"/>
        <w:jc w:val="left"/>
        <w:rPr>
          <w:rFonts w:ascii="宋体" w:hAnsi="宋体" w:cs="宋体"/>
          <w:sz w:val="24"/>
          <w:szCs w:val="24"/>
          <w:highlight w:val="none"/>
        </w:rPr>
      </w:pPr>
      <w:r>
        <w:rPr>
          <w:rFonts w:hint="eastAsia" w:ascii="宋体" w:hAnsi="宋体" w:cs="宋体"/>
          <w:sz w:val="24"/>
          <w:szCs w:val="24"/>
          <w:highlight w:val="none"/>
        </w:rPr>
        <w:t>10.8.5通讯地址：西安市高新区科技五路8号数字大厦11楼</w:t>
      </w:r>
    </w:p>
    <w:p>
      <w:pPr>
        <w:spacing w:line="500" w:lineRule="exact"/>
        <w:rPr>
          <w:rFonts w:ascii="宋体" w:hAnsi="宋体" w:cs="宋体"/>
          <w:b/>
          <w:bCs/>
          <w:sz w:val="24"/>
          <w:szCs w:val="24"/>
          <w:highlight w:val="none"/>
        </w:rPr>
      </w:pPr>
      <w:r>
        <w:rPr>
          <w:rFonts w:hint="eastAsia" w:ascii="宋体" w:hAnsi="宋体" w:cs="宋体"/>
          <w:b/>
          <w:bCs/>
          <w:sz w:val="24"/>
          <w:szCs w:val="24"/>
          <w:highlight w:val="none"/>
        </w:rPr>
        <w:t>11.其他</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111磋商步骤为：第一次报价---初步评审---分别磋商---第二次报价---综合评审推荐成交候选人。（以供应商递交的磋商响应文件中的总报价为第一次报价。分别磋商后，供应商现场填报的磋商响应总报价为第二次报价）</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pPr>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11.3采用竞争性磋商采购方式采购的政府购买服务项目（含政府和社会资本合作项目），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2"/>
        <w:rPr>
          <w:highlight w:val="none"/>
        </w:rPr>
      </w:pPr>
    </w:p>
    <w:p>
      <w:pPr>
        <w:rPr>
          <w:highlight w:val="none"/>
        </w:rPr>
      </w:pPr>
    </w:p>
    <w:p>
      <w:pPr>
        <w:pStyle w:val="2"/>
        <w:rPr>
          <w:highlight w:val="none"/>
        </w:rPr>
      </w:pPr>
    </w:p>
    <w:p/>
    <w:p>
      <w:pPr>
        <w:rPr>
          <w:highlight w:val="none"/>
        </w:rPr>
      </w:pPr>
    </w:p>
    <w:p>
      <w:pPr>
        <w:rPr>
          <w:rFonts w:ascii="宋体" w:hAnsi="宋体" w:cs="宋体"/>
          <w:highlight w:val="none"/>
        </w:rPr>
      </w:pPr>
    </w:p>
    <w:p>
      <w:pPr>
        <w:pStyle w:val="3"/>
        <w:spacing w:after="120" w:afterLines="50"/>
        <w:jc w:val="center"/>
        <w:rPr>
          <w:rFonts w:ascii="宋体" w:hAnsi="宋体" w:cs="宋体"/>
          <w:highlight w:val="none"/>
        </w:rPr>
      </w:pPr>
      <w:bookmarkStart w:id="59" w:name="_Toc24634"/>
      <w:r>
        <w:rPr>
          <w:rFonts w:hint="eastAsia" w:ascii="宋体" w:hAnsi="宋体" w:cs="宋体"/>
          <w:highlight w:val="none"/>
        </w:rPr>
        <w:t>第三章</w:t>
      </w:r>
      <w:bookmarkEnd w:id="58"/>
      <w:r>
        <w:rPr>
          <w:rFonts w:hint="eastAsia" w:ascii="宋体" w:hAnsi="宋体" w:cs="宋体"/>
          <w:highlight w:val="none"/>
        </w:rPr>
        <w:t xml:space="preserve">  评审方法</w:t>
      </w:r>
      <w:bookmarkEnd w:id="59"/>
    </w:p>
    <w:p>
      <w:pPr>
        <w:spacing w:line="360" w:lineRule="auto"/>
        <w:rPr>
          <w:rFonts w:ascii="宋体" w:hAnsi="宋体" w:cs="宋体"/>
          <w:b/>
          <w:sz w:val="24"/>
          <w:szCs w:val="24"/>
          <w:highlight w:val="none"/>
        </w:rPr>
      </w:pPr>
      <w:bookmarkStart w:id="60" w:name="_Toc363463333"/>
      <w:r>
        <w:rPr>
          <w:rFonts w:hint="eastAsia" w:ascii="宋体" w:hAnsi="宋体" w:cs="宋体"/>
          <w:b/>
          <w:sz w:val="24"/>
          <w:szCs w:val="24"/>
          <w:highlight w:val="none"/>
        </w:rPr>
        <w:t>一．评审方法：</w:t>
      </w:r>
    </w:p>
    <w:p>
      <w:pPr>
        <w:spacing w:line="500" w:lineRule="exact"/>
        <w:ind w:firstLine="520" w:firstLineChars="217"/>
        <w:rPr>
          <w:rFonts w:ascii="宋体" w:hAnsi="宋体" w:cs="宋体"/>
          <w:spacing w:val="4"/>
          <w:sz w:val="24"/>
          <w:szCs w:val="24"/>
          <w:highlight w:val="none"/>
        </w:rPr>
      </w:pPr>
      <w:r>
        <w:rPr>
          <w:rFonts w:hint="eastAsia" w:ascii="宋体" w:hAnsi="宋体" w:cs="宋体"/>
          <w:sz w:val="24"/>
          <w:szCs w:val="24"/>
          <w:highlight w:val="none"/>
        </w:rPr>
        <w:t>按照《中华人民共和国政府采购法》及实施条例和关于印发《政府采购竞争性磋商采购方式管理暂行办法》的通知（财库【2014】214号）</w:t>
      </w:r>
      <w:r>
        <w:rPr>
          <w:rFonts w:hint="eastAsia" w:ascii="宋体" w:hAnsi="宋体" w:cs="宋体"/>
          <w:spacing w:val="4"/>
          <w:sz w:val="2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pPr>
        <w:spacing w:line="500" w:lineRule="exact"/>
        <w:rPr>
          <w:rFonts w:ascii="宋体" w:hAnsi="宋体" w:cs="宋体"/>
          <w:b/>
          <w:sz w:val="24"/>
          <w:szCs w:val="24"/>
          <w:highlight w:val="none"/>
        </w:rPr>
      </w:pPr>
      <w:r>
        <w:rPr>
          <w:rFonts w:hint="eastAsia" w:ascii="宋体" w:hAnsi="宋体" w:cs="宋体"/>
          <w:b/>
          <w:sz w:val="24"/>
          <w:szCs w:val="24"/>
          <w:highlight w:val="none"/>
        </w:rPr>
        <w:t>二、评审标准</w:t>
      </w:r>
    </w:p>
    <w:p>
      <w:pPr>
        <w:tabs>
          <w:tab w:val="left" w:pos="0"/>
        </w:tabs>
        <w:adjustRightInd w:val="0"/>
        <w:snapToGrid w:val="0"/>
        <w:spacing w:line="500" w:lineRule="exact"/>
        <w:ind w:firstLine="472" w:firstLineChars="196"/>
        <w:rPr>
          <w:rFonts w:ascii="宋体" w:hAnsi="宋体" w:cs="宋体"/>
          <w:b/>
          <w:sz w:val="24"/>
          <w:szCs w:val="24"/>
          <w:highlight w:val="none"/>
        </w:rPr>
      </w:pPr>
      <w:r>
        <w:rPr>
          <w:rFonts w:hint="eastAsia" w:ascii="宋体" w:hAnsi="宋体" w:cs="宋体"/>
          <w:b/>
          <w:sz w:val="24"/>
          <w:szCs w:val="24"/>
          <w:highlight w:val="none"/>
        </w:rPr>
        <w:t>2.1初步评审标准</w:t>
      </w:r>
    </w:p>
    <w:p>
      <w:pPr>
        <w:tabs>
          <w:tab w:val="left" w:pos="0"/>
        </w:tabs>
        <w:adjustRightInd w:val="0"/>
        <w:snapToGrid w:val="0"/>
        <w:spacing w:line="500" w:lineRule="exact"/>
        <w:ind w:firstLine="470" w:firstLineChars="196"/>
        <w:rPr>
          <w:rFonts w:ascii="宋体" w:hAnsi="宋体" w:cs="宋体"/>
          <w:sz w:val="24"/>
          <w:szCs w:val="24"/>
          <w:highlight w:val="none"/>
        </w:rPr>
      </w:pPr>
      <w:r>
        <w:rPr>
          <w:rFonts w:hint="eastAsia" w:ascii="宋体" w:hAnsi="宋体" w:cs="宋体"/>
          <w:sz w:val="24"/>
          <w:szCs w:val="24"/>
          <w:highlight w:val="none"/>
        </w:rPr>
        <w:t>2.1.1资格性审查标准：见附件1初步审查要素表</w:t>
      </w:r>
    </w:p>
    <w:p>
      <w:pPr>
        <w:tabs>
          <w:tab w:val="left" w:pos="0"/>
        </w:tabs>
        <w:adjustRightInd w:val="0"/>
        <w:snapToGrid w:val="0"/>
        <w:spacing w:line="500" w:lineRule="exact"/>
        <w:ind w:firstLine="470" w:firstLineChars="196"/>
        <w:rPr>
          <w:rFonts w:ascii="宋体" w:hAnsi="宋体" w:cs="宋体"/>
          <w:sz w:val="24"/>
          <w:szCs w:val="24"/>
          <w:highlight w:val="none"/>
        </w:rPr>
      </w:pPr>
      <w:r>
        <w:rPr>
          <w:rFonts w:hint="eastAsia" w:ascii="宋体" w:hAnsi="宋体" w:cs="宋体"/>
          <w:sz w:val="24"/>
          <w:szCs w:val="24"/>
          <w:highlight w:val="none"/>
        </w:rPr>
        <w:t>2.1.2符合性审查标准：见附件1初步审查要素表</w:t>
      </w:r>
    </w:p>
    <w:p>
      <w:pPr>
        <w:tabs>
          <w:tab w:val="left" w:pos="0"/>
        </w:tabs>
        <w:adjustRightInd w:val="0"/>
        <w:snapToGrid w:val="0"/>
        <w:spacing w:line="500" w:lineRule="exact"/>
        <w:ind w:firstLine="472" w:firstLineChars="196"/>
        <w:rPr>
          <w:rFonts w:ascii="宋体" w:hAnsi="宋体" w:cs="宋体"/>
          <w:b/>
          <w:sz w:val="24"/>
          <w:szCs w:val="24"/>
          <w:highlight w:val="none"/>
        </w:rPr>
      </w:pPr>
      <w:r>
        <w:rPr>
          <w:rFonts w:hint="eastAsia" w:ascii="宋体" w:hAnsi="宋体" w:cs="宋体"/>
          <w:b/>
          <w:sz w:val="24"/>
          <w:szCs w:val="24"/>
          <w:highlight w:val="none"/>
        </w:rPr>
        <w:t>2.2分值构成与评分标准</w:t>
      </w:r>
    </w:p>
    <w:p>
      <w:pPr>
        <w:tabs>
          <w:tab w:val="left" w:pos="0"/>
        </w:tabs>
        <w:adjustRightInd w:val="0"/>
        <w:snapToGrid w:val="0"/>
        <w:spacing w:line="500" w:lineRule="exact"/>
        <w:ind w:firstLine="470" w:firstLineChars="196"/>
        <w:rPr>
          <w:rFonts w:ascii="宋体" w:hAnsi="宋体" w:cs="宋体"/>
          <w:bCs/>
          <w:sz w:val="24"/>
          <w:szCs w:val="24"/>
          <w:highlight w:val="none"/>
        </w:rPr>
      </w:pPr>
      <w:r>
        <w:rPr>
          <w:rFonts w:hint="eastAsia" w:ascii="宋体" w:hAnsi="宋体" w:cs="宋体"/>
          <w:bCs/>
          <w:sz w:val="24"/>
          <w:szCs w:val="24"/>
          <w:highlight w:val="none"/>
        </w:rPr>
        <w:t>2.2.1 分值构成</w:t>
      </w:r>
    </w:p>
    <w:p>
      <w:pPr>
        <w:tabs>
          <w:tab w:val="left" w:pos="0"/>
        </w:tabs>
        <w:adjustRightInd w:val="0"/>
        <w:snapToGrid w:val="0"/>
        <w:spacing w:line="500" w:lineRule="exact"/>
        <w:ind w:firstLine="470" w:firstLineChars="196"/>
        <w:rPr>
          <w:rFonts w:ascii="宋体" w:hAnsi="宋体" w:cs="宋体"/>
          <w:bCs/>
          <w:sz w:val="24"/>
          <w:szCs w:val="24"/>
          <w:highlight w:val="none"/>
        </w:rPr>
      </w:pPr>
      <w:r>
        <w:rPr>
          <w:rFonts w:hint="eastAsia" w:ascii="宋体" w:hAnsi="宋体" w:cs="宋体"/>
          <w:bCs/>
          <w:sz w:val="24"/>
          <w:szCs w:val="24"/>
          <w:highlight w:val="none"/>
        </w:rPr>
        <w:t>（1）投标价格：见附件2评标因素及权重分值表</w:t>
      </w:r>
    </w:p>
    <w:p>
      <w:pPr>
        <w:tabs>
          <w:tab w:val="left" w:pos="0"/>
        </w:tabs>
        <w:adjustRightInd w:val="0"/>
        <w:snapToGrid w:val="0"/>
        <w:spacing w:line="500" w:lineRule="exact"/>
        <w:ind w:firstLine="470" w:firstLineChars="196"/>
        <w:rPr>
          <w:rFonts w:ascii="宋体" w:hAnsi="宋体" w:cs="宋体"/>
          <w:bCs/>
          <w:sz w:val="24"/>
          <w:szCs w:val="24"/>
          <w:highlight w:val="none"/>
        </w:rPr>
      </w:pPr>
      <w:r>
        <w:rPr>
          <w:rFonts w:hint="eastAsia" w:ascii="宋体" w:hAnsi="宋体" w:cs="宋体"/>
          <w:bCs/>
          <w:sz w:val="24"/>
          <w:szCs w:val="24"/>
          <w:highlight w:val="none"/>
        </w:rPr>
        <w:t>（2）施工组织设计评审：见附件2评标因素及权重分值表</w:t>
      </w:r>
    </w:p>
    <w:p>
      <w:pPr>
        <w:spacing w:line="5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（3）业绩评审：见附件2评标因素及权重分值表</w:t>
      </w:r>
    </w:p>
    <w:p>
      <w:pPr>
        <w:spacing w:line="500" w:lineRule="exact"/>
        <w:rPr>
          <w:rFonts w:ascii="宋体" w:hAnsi="宋体" w:cs="宋体"/>
          <w:b/>
          <w:spacing w:val="4"/>
          <w:sz w:val="24"/>
          <w:szCs w:val="24"/>
          <w:highlight w:val="none"/>
        </w:rPr>
      </w:pPr>
      <w:r>
        <w:rPr>
          <w:rFonts w:hint="eastAsia" w:ascii="宋体" w:hAnsi="宋体" w:cs="宋体"/>
          <w:b/>
          <w:spacing w:val="4"/>
          <w:sz w:val="24"/>
          <w:szCs w:val="24"/>
          <w:highlight w:val="none"/>
        </w:rPr>
        <w:t>三、评审程序：</w:t>
      </w:r>
    </w:p>
    <w:p>
      <w:pPr>
        <w:pStyle w:val="27"/>
        <w:spacing w:line="500" w:lineRule="exact"/>
        <w:ind w:left="0" w:firstLineChars="200"/>
        <w:rPr>
          <w:highlight w:val="none"/>
        </w:rPr>
      </w:pPr>
      <w:r>
        <w:rPr>
          <w:rFonts w:hint="eastAsia"/>
          <w:highlight w:val="none"/>
        </w:rPr>
        <w:t>按照竞争性磋商响应文件初审、澄清有关问题、分别磋商、二次报价、比较与评审、推荐成交候选人名单。在上一步评审中被认定为无效磋商者，不进入下一步的评审。</w:t>
      </w:r>
    </w:p>
    <w:p>
      <w:pPr>
        <w:numPr>
          <w:ilvl w:val="0"/>
          <w:numId w:val="5"/>
        </w:numPr>
        <w:spacing w:line="500" w:lineRule="exact"/>
        <w:ind w:firstLine="498" w:firstLineChars="200"/>
        <w:rPr>
          <w:rFonts w:ascii="宋体" w:hAnsi="宋体" w:cs="宋体"/>
          <w:b/>
          <w:bCs/>
          <w:spacing w:val="4"/>
          <w:sz w:val="24"/>
          <w:szCs w:val="24"/>
          <w:highlight w:val="none"/>
        </w:rPr>
      </w:pPr>
      <w:r>
        <w:rPr>
          <w:rFonts w:hint="eastAsia" w:ascii="宋体" w:hAnsi="宋体" w:cs="宋体"/>
          <w:b/>
          <w:bCs/>
          <w:spacing w:val="4"/>
          <w:sz w:val="24"/>
          <w:szCs w:val="24"/>
          <w:highlight w:val="none"/>
        </w:rPr>
        <w:t>对磋商响应文件的初审：</w:t>
      </w:r>
    </w:p>
    <w:p>
      <w:pPr>
        <w:tabs>
          <w:tab w:val="left" w:pos="0"/>
        </w:tabs>
        <w:adjustRightInd w:val="0"/>
        <w:snapToGrid w:val="0"/>
        <w:spacing w:line="500" w:lineRule="exact"/>
        <w:ind w:firstLine="472" w:firstLineChars="196"/>
        <w:rPr>
          <w:rFonts w:ascii="宋体" w:hAnsi="宋体" w:cs="宋体"/>
          <w:b/>
          <w:bCs/>
          <w:sz w:val="24"/>
          <w:szCs w:val="24"/>
          <w:highlight w:val="none"/>
        </w:rPr>
      </w:pPr>
      <w:r>
        <w:rPr>
          <w:rFonts w:hint="eastAsia" w:ascii="宋体" w:hAnsi="宋体" w:cs="宋体"/>
          <w:b/>
          <w:bCs/>
          <w:sz w:val="24"/>
          <w:szCs w:val="24"/>
          <w:highlight w:val="none"/>
        </w:rPr>
        <w:t>1.1资格性审查：磋商小组将依据本章第 2.1.1 项规定的评审标准对磋商响应文件进行资格性审查。有一项不符合评审标准的，将被视为未实质性响应磋商文件，其磋商响应文件将按无效文件处理。</w:t>
      </w:r>
    </w:p>
    <w:p>
      <w:pPr>
        <w:spacing w:line="500" w:lineRule="exact"/>
        <w:ind w:firstLine="482" w:firstLineChars="200"/>
        <w:rPr>
          <w:rFonts w:ascii="宋体" w:hAnsi="宋体" w:cs="宋体"/>
          <w:sz w:val="24"/>
          <w:szCs w:val="24"/>
          <w:highlight w:val="none"/>
        </w:rPr>
      </w:pPr>
      <w:r>
        <w:rPr>
          <w:rFonts w:hint="eastAsia" w:ascii="宋体" w:hAnsi="宋体" w:cs="宋体"/>
          <w:b/>
          <w:bCs/>
          <w:sz w:val="24"/>
          <w:szCs w:val="24"/>
          <w:highlight w:val="none"/>
        </w:rPr>
        <w:t>1.2符合性审查：磋商小组根据本章第 2.1.2 项规定的评审标准对磋商响应文件进行符合性评审。有一项不符合评审标准的，将被视为未实质性响应磋商文件，其磋商响应文件将按无效文件处理。</w:t>
      </w:r>
    </w:p>
    <w:p>
      <w:pPr>
        <w:spacing w:line="5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在资格性审查阶段，不符合磋商文件要求的，不得进入符合性审查，在符合性审查时未通过的，不得进入后续评审环节。</w:t>
      </w:r>
    </w:p>
    <w:p>
      <w:pPr>
        <w:spacing w:before="120" w:beforeLines="50" w:after="120" w:afterLines="50" w:line="5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2、磋商响应文件的澄清</w:t>
      </w:r>
    </w:p>
    <w:p>
      <w:pPr>
        <w:spacing w:line="500" w:lineRule="exact"/>
        <w:ind w:firstLine="496" w:firstLineChars="200"/>
        <w:rPr>
          <w:rFonts w:ascii="宋体" w:hAnsi="宋体" w:cs="宋体"/>
          <w:bCs/>
          <w:spacing w:val="4"/>
          <w:sz w:val="24"/>
          <w:szCs w:val="24"/>
          <w:highlight w:val="none"/>
        </w:rPr>
      </w:pPr>
      <w:r>
        <w:rPr>
          <w:rFonts w:hint="eastAsia" w:ascii="宋体" w:hAnsi="宋体" w:cs="宋体"/>
          <w:bCs/>
          <w:spacing w:val="4"/>
          <w:sz w:val="24"/>
          <w:szCs w:val="24"/>
          <w:highlight w:val="none"/>
        </w:rPr>
        <w:t>2.1磋商小组发现供应商的报价明显低于其他通过符合性审查的供应商的报价，有可能影响产品质量或者不能诚信履约的，应当要求其在磋商现场合理的时间内做出书面说明，必要时提交相关证明材料。供应商不能证明其报价合理性的，磋商小组应当将其作为无效响应处理。</w:t>
      </w:r>
    </w:p>
    <w:p>
      <w:pPr>
        <w:spacing w:line="500" w:lineRule="exact"/>
        <w:ind w:firstLine="480" w:firstLineChars="200"/>
        <w:rPr>
          <w:rFonts w:ascii="宋体" w:hAnsi="宋体" w:cs="宋体"/>
          <w:bCs/>
          <w:spacing w:val="4"/>
          <w:sz w:val="24"/>
          <w:szCs w:val="24"/>
          <w:highlight w:val="none"/>
        </w:rPr>
      </w:pPr>
      <w:r>
        <w:rPr>
          <w:rFonts w:hint="eastAsia" w:ascii="宋体" w:hAnsi="宋体" w:cs="宋体"/>
          <w:sz w:val="24"/>
          <w:szCs w:val="24"/>
          <w:highlight w:val="none"/>
        </w:rPr>
        <w:t>2.2有效的书面澄清材料，是磋商响应文件的补充材料，成为磋商响应文件的组成部分。</w:t>
      </w:r>
    </w:p>
    <w:p>
      <w:pPr>
        <w:spacing w:line="500" w:lineRule="exact"/>
        <w:ind w:firstLine="482" w:firstLineChars="200"/>
        <w:rPr>
          <w:rFonts w:ascii="宋体" w:hAnsi="宋体" w:cs="宋体"/>
          <w:sz w:val="24"/>
          <w:szCs w:val="24"/>
          <w:highlight w:val="none"/>
        </w:rPr>
      </w:pPr>
      <w:r>
        <w:rPr>
          <w:rFonts w:hint="eastAsia" w:ascii="宋体" w:hAnsi="宋体" w:cs="宋体"/>
          <w:b/>
          <w:bCs/>
          <w:sz w:val="24"/>
          <w:szCs w:val="24"/>
          <w:highlight w:val="none"/>
        </w:rPr>
        <w:t>3、磋商：</w:t>
      </w:r>
      <w:r>
        <w:rPr>
          <w:rFonts w:hint="eastAsia" w:ascii="宋体" w:hAnsi="宋体" w:cs="宋体"/>
          <w:sz w:val="24"/>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pPr>
        <w:spacing w:line="500" w:lineRule="exact"/>
        <w:ind w:firstLine="482" w:firstLineChars="200"/>
        <w:rPr>
          <w:rFonts w:ascii="宋体" w:hAnsi="宋体" w:cs="宋体"/>
          <w:sz w:val="24"/>
          <w:szCs w:val="24"/>
          <w:highlight w:val="none"/>
        </w:rPr>
      </w:pPr>
      <w:r>
        <w:rPr>
          <w:rFonts w:hint="eastAsia" w:ascii="宋体" w:hAnsi="宋体" w:cs="宋体"/>
          <w:b/>
          <w:bCs/>
          <w:sz w:val="24"/>
          <w:szCs w:val="24"/>
          <w:highlight w:val="none"/>
        </w:rPr>
        <w:t>4、综合评审：</w:t>
      </w:r>
      <w:r>
        <w:rPr>
          <w:rFonts w:hint="eastAsia" w:ascii="宋体" w:hAnsi="宋体" w:cs="宋体"/>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成交候选人。</w:t>
      </w:r>
    </w:p>
    <w:p>
      <w:pPr>
        <w:spacing w:line="500" w:lineRule="exact"/>
        <w:jc w:val="left"/>
        <w:rPr>
          <w:rFonts w:ascii="宋体" w:hAnsi="宋体" w:cs="宋体"/>
          <w:b/>
          <w:sz w:val="24"/>
          <w:szCs w:val="24"/>
          <w:highlight w:val="none"/>
        </w:rPr>
      </w:pPr>
      <w:r>
        <w:rPr>
          <w:rFonts w:hint="eastAsia" w:ascii="宋体" w:hAnsi="宋体" w:cs="宋体"/>
          <w:b/>
          <w:sz w:val="24"/>
          <w:szCs w:val="24"/>
          <w:highlight w:val="none"/>
        </w:rPr>
        <w:t>四、政策性扣减</w:t>
      </w:r>
    </w:p>
    <w:p>
      <w:pPr>
        <w:spacing w:line="50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1政策性扣减范围</w:t>
      </w:r>
    </w:p>
    <w:p>
      <w:pPr>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1.1供应商符合小型、微型企业或监狱企业、残疾人福利性单位条件的，其磋商报价价格评审时将按相应比例进行扣减。</w:t>
      </w:r>
    </w:p>
    <w:p>
      <w:pPr>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1.2依照&lt;关于印发《政府采购促进中小企业发展暂行办法》的通知&gt;（财库(2011〕181号）的规定，小型、微型企业应当同时符合以下条件：</w:t>
      </w:r>
    </w:p>
    <w:p>
      <w:pPr>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1.2.1符合中小企业划分标准（中小企业划分标准是指国务院有关部门根据企业从业人员、营业收入、资产总额等指标制定的中小企业划型标准（工信部联企业〔2011〕300号））。</w:t>
      </w:r>
    </w:p>
    <w:p>
      <w:pPr>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1.2.2提供本企业制造的货物、承担的工程或者服务，或者提供其他中小企业制造的货物，不包括提供或使用大型企业注册商标的货物。</w:t>
      </w:r>
    </w:p>
    <w:p>
      <w:pPr>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1.2.3小型、微型企业提供中型企业制造的货物的，视同为中型企业；小型、微型、中型企业提供大型企业制造的货物的，视同为大型企业。</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1.3采购人拟采购产品属于优先采购节能、环境标志产品范围的，应当优先采购节能、环境标志产品；拟采购产品符合政府采购强制采购政策的，实行强制采购。</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1.3.1采购人依据节能产品、环境标志产品品目清单和节能、环境标志产品认证证书实施政府优先采购和强制采购。</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spacing w:line="50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2、政策性扣减方式：</w:t>
      </w:r>
    </w:p>
    <w:p>
      <w:pPr>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2.1供应商为非联合体参与磋商的情况：</w:t>
      </w:r>
    </w:p>
    <w:p>
      <w:pPr>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在磋商最终报价的基础上，对小微企业、监狱企业、残疾人福利性单位，按“投标报价×6%”进行扣减；</w:t>
      </w:r>
    </w:p>
    <w:p>
      <w:pPr>
        <w:spacing w:line="600" w:lineRule="exact"/>
        <w:ind w:firstLine="480" w:firstLineChars="200"/>
        <w:rPr>
          <w:rFonts w:ascii="宋体" w:hAnsi="宋体" w:cs="宋体"/>
          <w:sz w:val="24"/>
          <w:szCs w:val="24"/>
          <w:highlight w:val="none"/>
        </w:rPr>
      </w:pPr>
      <w:r>
        <w:rPr>
          <w:rFonts w:hint="eastAsia" w:ascii="宋体" w:hAnsi="宋体" w:cs="宋体"/>
          <w:sz w:val="24"/>
          <w:szCs w:val="24"/>
          <w:highlight w:val="none"/>
        </w:rPr>
        <w:t>2.2供应商为联合体参与磋商，且联合协议中约定小型或微型企业的协议合同金额占到联合体协议合同总金额30％以上的，按“投标报价×2%”进行扣减；</w:t>
      </w:r>
    </w:p>
    <w:p>
      <w:pPr>
        <w:spacing w:line="600" w:lineRule="exact"/>
        <w:ind w:firstLine="480" w:firstLineChars="200"/>
        <w:rPr>
          <w:rFonts w:ascii="宋体" w:hAnsi="宋体" w:cs="宋体"/>
          <w:sz w:val="24"/>
          <w:szCs w:val="24"/>
          <w:highlight w:val="none"/>
        </w:rPr>
      </w:pPr>
      <w:r>
        <w:rPr>
          <w:rFonts w:hint="eastAsia" w:ascii="宋体" w:hAnsi="宋体" w:cs="宋体"/>
          <w:sz w:val="24"/>
          <w:szCs w:val="24"/>
          <w:highlight w:val="none"/>
        </w:rPr>
        <w:t>2.3小微企业、监狱企业、残疾人福利性单位不重复享受优惠政策；</w:t>
      </w:r>
    </w:p>
    <w:p>
      <w:pPr>
        <w:spacing w:line="600" w:lineRule="exact"/>
        <w:ind w:firstLine="480" w:firstLineChars="200"/>
        <w:rPr>
          <w:rFonts w:ascii="宋体" w:hAnsi="宋体" w:cs="宋体"/>
          <w:sz w:val="24"/>
          <w:szCs w:val="24"/>
          <w:highlight w:val="none"/>
        </w:rPr>
      </w:pPr>
      <w:r>
        <w:rPr>
          <w:rFonts w:hint="eastAsia" w:ascii="宋体" w:hAnsi="宋体" w:cs="宋体"/>
          <w:sz w:val="24"/>
          <w:szCs w:val="24"/>
          <w:highlight w:val="none"/>
        </w:rPr>
        <w:t>2.4供应商享受支持中小型企业发展政策优惠的，可以同时享受节能、环境标志产品优先采购政策。</w:t>
      </w:r>
    </w:p>
    <w:p>
      <w:pPr>
        <w:pStyle w:val="2"/>
        <w:jc w:val="both"/>
        <w:rPr>
          <w:rFonts w:hint="eastAsia" w:eastAsia="宋体"/>
          <w:highlight w:val="none"/>
          <w:lang w:eastAsia="zh-CN"/>
        </w:rPr>
      </w:pPr>
      <w:r>
        <w:rPr>
          <w:rFonts w:hint="eastAsia" w:ascii="宋体" w:hAnsi="宋体" w:cs="宋体"/>
          <w:sz w:val="24"/>
          <w:szCs w:val="24"/>
          <w:highlight w:val="none"/>
        </w:rPr>
        <w:t xml:space="preserve">      注*:磋商响应文件后附中小型企业相应证明材料格式</w:t>
      </w:r>
      <w:r>
        <w:rPr>
          <w:rFonts w:hint="eastAsia" w:ascii="宋体" w:hAnsi="宋体" w:cs="宋体"/>
          <w:sz w:val="24"/>
          <w:szCs w:val="24"/>
          <w:highlight w:val="none"/>
          <w:lang w:eastAsia="zh-CN"/>
        </w:rPr>
        <w:t>。</w:t>
      </w:r>
    </w:p>
    <w:p>
      <w:pPr>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3、成交价格=成交供应商的有效磋商报价。</w:t>
      </w:r>
    </w:p>
    <w:p>
      <w:pPr>
        <w:pStyle w:val="2"/>
        <w:jc w:val="both"/>
        <w:rPr>
          <w:rFonts w:ascii="宋体" w:hAnsi="宋体" w:cs="宋体"/>
          <w:szCs w:val="24"/>
          <w:highlight w:val="none"/>
        </w:rPr>
      </w:pPr>
      <w:r>
        <w:rPr>
          <w:rFonts w:hint="eastAsia" w:ascii="宋体" w:hAnsi="宋体" w:cs="宋体"/>
          <w:b/>
          <w:bCs/>
          <w:sz w:val="24"/>
          <w:szCs w:val="24"/>
          <w:highlight w:val="none"/>
        </w:rPr>
        <w:t>附件1：</w:t>
      </w:r>
    </w:p>
    <w:p>
      <w:pPr>
        <w:pStyle w:val="2"/>
        <w:rPr>
          <w:rFonts w:ascii="宋体" w:hAnsi="宋体" w:cs="宋体"/>
          <w:b/>
          <w:bCs/>
          <w:sz w:val="24"/>
          <w:szCs w:val="24"/>
          <w:highlight w:val="none"/>
        </w:rPr>
      </w:pPr>
      <w:r>
        <w:rPr>
          <w:rFonts w:hint="eastAsia" w:ascii="宋体" w:hAnsi="宋体" w:cs="宋体"/>
          <w:b/>
          <w:bCs/>
          <w:sz w:val="24"/>
          <w:szCs w:val="24"/>
          <w:highlight w:val="none"/>
        </w:rPr>
        <w:t>初步审查要素表</w:t>
      </w:r>
    </w:p>
    <w:tbl>
      <w:tblPr>
        <w:tblStyle w:val="33"/>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2269"/>
        <w:gridCol w:w="5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blHeader/>
        </w:trPr>
        <w:tc>
          <w:tcPr>
            <w:tcW w:w="1364" w:type="dxa"/>
            <w:gridSpan w:val="2"/>
            <w:vAlign w:val="center"/>
          </w:tcPr>
          <w:p>
            <w:pPr>
              <w:tabs>
                <w:tab w:val="left" w:pos="0"/>
              </w:tabs>
              <w:adjustRightInd w:val="0"/>
              <w:snapToGrid w:val="0"/>
              <w:jc w:val="center"/>
              <w:rPr>
                <w:rFonts w:ascii="宋体" w:hAnsi="宋体" w:cs="宋体"/>
                <w:bCs/>
                <w:highlight w:val="none"/>
              </w:rPr>
            </w:pPr>
            <w:r>
              <w:rPr>
                <w:rFonts w:hint="eastAsia" w:ascii="宋体" w:hAnsi="宋体" w:cs="宋体"/>
                <w:bCs/>
                <w:highlight w:val="none"/>
              </w:rPr>
              <w:t>条款号</w:t>
            </w:r>
          </w:p>
        </w:tc>
        <w:tc>
          <w:tcPr>
            <w:tcW w:w="2836" w:type="dxa"/>
            <w:gridSpan w:val="2"/>
            <w:vAlign w:val="center"/>
          </w:tcPr>
          <w:p>
            <w:pPr>
              <w:tabs>
                <w:tab w:val="left" w:pos="0"/>
              </w:tabs>
              <w:adjustRightInd w:val="0"/>
              <w:snapToGrid w:val="0"/>
              <w:jc w:val="center"/>
              <w:rPr>
                <w:rFonts w:ascii="宋体" w:hAnsi="宋体" w:cs="宋体"/>
                <w:bCs/>
                <w:highlight w:val="none"/>
              </w:rPr>
            </w:pPr>
            <w:r>
              <w:rPr>
                <w:rFonts w:hint="eastAsia" w:ascii="宋体" w:hAnsi="宋体" w:cs="宋体"/>
                <w:bCs/>
                <w:highlight w:val="none"/>
              </w:rPr>
              <w:t>评审因素</w:t>
            </w:r>
          </w:p>
        </w:tc>
        <w:tc>
          <w:tcPr>
            <w:tcW w:w="5319" w:type="dxa"/>
            <w:vAlign w:val="center"/>
          </w:tcPr>
          <w:p>
            <w:pPr>
              <w:tabs>
                <w:tab w:val="left" w:pos="0"/>
              </w:tabs>
              <w:adjustRightInd w:val="0"/>
              <w:snapToGrid w:val="0"/>
              <w:jc w:val="center"/>
              <w:rPr>
                <w:rFonts w:ascii="宋体" w:hAnsi="宋体" w:cs="宋体"/>
                <w:bCs/>
                <w:highlight w:val="none"/>
              </w:rPr>
            </w:pPr>
            <w:r>
              <w:rPr>
                <w:rFonts w:hint="eastAsia" w:ascii="宋体" w:hAnsi="宋体" w:cs="宋体"/>
                <w:bCs/>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64" w:type="dxa"/>
            <w:vMerge w:val="restart"/>
            <w:vAlign w:val="center"/>
          </w:tcPr>
          <w:p>
            <w:pPr>
              <w:tabs>
                <w:tab w:val="left" w:pos="0"/>
              </w:tabs>
              <w:adjustRightInd w:val="0"/>
              <w:snapToGrid w:val="0"/>
              <w:jc w:val="center"/>
              <w:rPr>
                <w:rFonts w:ascii="宋体" w:hAnsi="宋体" w:cs="宋体"/>
                <w:bCs/>
                <w:highlight w:val="none"/>
              </w:rPr>
            </w:pPr>
            <w:r>
              <w:rPr>
                <w:rFonts w:hint="eastAsia" w:ascii="宋体" w:hAnsi="宋体" w:cs="宋体"/>
                <w:bCs/>
                <w:highlight w:val="none"/>
              </w:rPr>
              <w:t>2.1.1</w:t>
            </w:r>
          </w:p>
        </w:tc>
        <w:tc>
          <w:tcPr>
            <w:tcW w:w="600" w:type="dxa"/>
            <w:vMerge w:val="restart"/>
            <w:vAlign w:val="center"/>
          </w:tcPr>
          <w:p>
            <w:pPr>
              <w:tabs>
                <w:tab w:val="left" w:pos="0"/>
              </w:tabs>
              <w:adjustRightInd w:val="0"/>
              <w:snapToGrid w:val="0"/>
              <w:jc w:val="center"/>
              <w:rPr>
                <w:rFonts w:ascii="宋体" w:hAnsi="宋体" w:cs="宋体"/>
                <w:bCs/>
                <w:highlight w:val="none"/>
              </w:rPr>
            </w:pPr>
            <w:r>
              <w:rPr>
                <w:rFonts w:hint="eastAsia" w:ascii="宋体" w:hAnsi="宋体" w:cs="宋体"/>
                <w:bCs/>
                <w:highlight w:val="none"/>
              </w:rPr>
              <w:t>资格评审</w:t>
            </w:r>
          </w:p>
          <w:p>
            <w:pPr>
              <w:tabs>
                <w:tab w:val="left" w:pos="0"/>
              </w:tabs>
              <w:adjustRightInd w:val="0"/>
              <w:snapToGrid w:val="0"/>
              <w:jc w:val="center"/>
              <w:rPr>
                <w:rFonts w:ascii="宋体" w:hAnsi="宋体" w:cs="宋体"/>
                <w:bCs/>
                <w:highlight w:val="none"/>
              </w:rPr>
            </w:pPr>
            <w:r>
              <w:rPr>
                <w:rFonts w:hint="eastAsia" w:ascii="宋体" w:hAnsi="宋体" w:cs="宋体"/>
                <w:bCs/>
                <w:highlight w:val="none"/>
              </w:rPr>
              <w:t>标准</w:t>
            </w:r>
          </w:p>
        </w:tc>
        <w:tc>
          <w:tcPr>
            <w:tcW w:w="2836" w:type="dxa"/>
            <w:gridSpan w:val="2"/>
            <w:vAlign w:val="center"/>
          </w:tcPr>
          <w:p>
            <w:pPr>
              <w:tabs>
                <w:tab w:val="left" w:pos="0"/>
              </w:tabs>
              <w:adjustRightInd w:val="0"/>
              <w:snapToGrid w:val="0"/>
              <w:jc w:val="center"/>
              <w:rPr>
                <w:rFonts w:ascii="宋体" w:hAnsi="宋体" w:cs="宋体"/>
                <w:bCs/>
                <w:highlight w:val="none"/>
              </w:rPr>
            </w:pPr>
            <w:r>
              <w:rPr>
                <w:rFonts w:hint="eastAsia" w:ascii="宋体" w:hAnsi="宋体" w:cs="宋体"/>
                <w:bCs/>
                <w:highlight w:val="none"/>
              </w:rPr>
              <w:t>营业执照等主体资格证明文件</w:t>
            </w:r>
          </w:p>
        </w:tc>
        <w:tc>
          <w:tcPr>
            <w:tcW w:w="5319" w:type="dxa"/>
            <w:vAlign w:val="center"/>
          </w:tcPr>
          <w:p>
            <w:pPr>
              <w:tabs>
                <w:tab w:val="left" w:pos="0"/>
              </w:tabs>
              <w:adjustRightInd w:val="0"/>
              <w:snapToGrid w:val="0"/>
              <w:jc w:val="left"/>
              <w:rPr>
                <w:rFonts w:ascii="宋体" w:hAnsi="宋体" w:cs="宋体"/>
                <w:bCs/>
                <w:highlight w:val="none"/>
              </w:rPr>
            </w:pPr>
            <w:r>
              <w:rPr>
                <w:rFonts w:hint="eastAsia" w:ascii="宋体" w:hAnsi="宋体" w:cs="宋体"/>
                <w:bCs/>
                <w:highlight w:val="none"/>
              </w:rPr>
              <w:t>有效的法人或者其他组织的营业执照等证明文件，自然人的身份证明；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64" w:type="dxa"/>
            <w:vMerge w:val="continue"/>
            <w:vAlign w:val="center"/>
          </w:tcPr>
          <w:p>
            <w:pPr>
              <w:tabs>
                <w:tab w:val="left" w:pos="0"/>
              </w:tabs>
              <w:adjustRightInd w:val="0"/>
              <w:snapToGrid w:val="0"/>
              <w:jc w:val="center"/>
              <w:rPr>
                <w:rFonts w:ascii="宋体" w:hAnsi="宋体" w:cs="宋体"/>
                <w:bCs/>
                <w:highlight w:val="none"/>
              </w:rPr>
            </w:pPr>
          </w:p>
        </w:tc>
        <w:tc>
          <w:tcPr>
            <w:tcW w:w="600" w:type="dxa"/>
            <w:vMerge w:val="continue"/>
            <w:vAlign w:val="center"/>
          </w:tcPr>
          <w:p>
            <w:pPr>
              <w:tabs>
                <w:tab w:val="left" w:pos="0"/>
              </w:tabs>
              <w:adjustRightInd w:val="0"/>
              <w:snapToGrid w:val="0"/>
              <w:jc w:val="center"/>
              <w:rPr>
                <w:rFonts w:ascii="宋体" w:hAnsi="宋体" w:cs="宋体"/>
                <w:bCs/>
                <w:highlight w:val="none"/>
              </w:rPr>
            </w:pPr>
          </w:p>
        </w:tc>
        <w:tc>
          <w:tcPr>
            <w:tcW w:w="2836" w:type="dxa"/>
            <w:gridSpan w:val="2"/>
            <w:vAlign w:val="center"/>
          </w:tcPr>
          <w:p>
            <w:pPr>
              <w:tabs>
                <w:tab w:val="left" w:pos="0"/>
              </w:tabs>
              <w:adjustRightInd w:val="0"/>
              <w:snapToGrid w:val="0"/>
              <w:jc w:val="center"/>
              <w:rPr>
                <w:rFonts w:ascii="宋体" w:hAnsi="宋体" w:cs="宋体"/>
                <w:bCs/>
                <w:highlight w:val="none"/>
              </w:rPr>
            </w:pPr>
            <w:r>
              <w:rPr>
                <w:rFonts w:hint="eastAsia" w:ascii="宋体" w:hAnsi="宋体" w:cs="宋体"/>
                <w:bCs/>
                <w:highlight w:val="none"/>
              </w:rPr>
              <w:t>法定代表人授权书/法定</w:t>
            </w:r>
          </w:p>
          <w:p>
            <w:pPr>
              <w:tabs>
                <w:tab w:val="left" w:pos="0"/>
              </w:tabs>
              <w:adjustRightInd w:val="0"/>
              <w:snapToGrid w:val="0"/>
              <w:jc w:val="center"/>
              <w:rPr>
                <w:rFonts w:ascii="宋体" w:hAnsi="宋体" w:cs="宋体"/>
                <w:bCs/>
                <w:highlight w:val="none"/>
              </w:rPr>
            </w:pPr>
            <w:r>
              <w:rPr>
                <w:rFonts w:hint="eastAsia" w:ascii="宋体" w:hAnsi="宋体" w:cs="宋体"/>
                <w:bCs/>
                <w:highlight w:val="none"/>
              </w:rPr>
              <w:t>代表人身份证明</w:t>
            </w:r>
          </w:p>
        </w:tc>
        <w:tc>
          <w:tcPr>
            <w:tcW w:w="5319" w:type="dxa"/>
            <w:vAlign w:val="center"/>
          </w:tcPr>
          <w:p>
            <w:pPr>
              <w:tabs>
                <w:tab w:val="left" w:pos="0"/>
              </w:tabs>
              <w:adjustRightInd w:val="0"/>
              <w:snapToGrid w:val="0"/>
              <w:jc w:val="left"/>
              <w:rPr>
                <w:rFonts w:ascii="宋体" w:hAnsi="宋体" w:cs="宋体"/>
                <w:bCs/>
                <w:highlight w:val="none"/>
              </w:rPr>
            </w:pPr>
            <w:r>
              <w:rPr>
                <w:rFonts w:hint="eastAsia" w:ascii="宋体" w:hAnsi="宋体" w:cs="宋体"/>
                <w:bCs/>
                <w:highlight w:val="none"/>
              </w:rPr>
              <w:t>法定代表人授权书（附法定代表人、被授权人身份证复印件）及被授权人身份证（法定代表人参加投标只需提供本人身份证）；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64" w:type="dxa"/>
            <w:vMerge w:val="continue"/>
            <w:vAlign w:val="center"/>
          </w:tcPr>
          <w:p>
            <w:pPr>
              <w:tabs>
                <w:tab w:val="left" w:pos="0"/>
              </w:tabs>
              <w:adjustRightInd w:val="0"/>
              <w:snapToGrid w:val="0"/>
              <w:jc w:val="center"/>
              <w:rPr>
                <w:rFonts w:ascii="宋体" w:hAnsi="宋体" w:cs="宋体"/>
                <w:bCs/>
                <w:highlight w:val="none"/>
              </w:rPr>
            </w:pPr>
          </w:p>
        </w:tc>
        <w:tc>
          <w:tcPr>
            <w:tcW w:w="600" w:type="dxa"/>
            <w:vMerge w:val="continue"/>
            <w:vAlign w:val="center"/>
          </w:tcPr>
          <w:p>
            <w:pPr>
              <w:tabs>
                <w:tab w:val="left" w:pos="0"/>
              </w:tabs>
              <w:adjustRightInd w:val="0"/>
              <w:snapToGrid w:val="0"/>
              <w:jc w:val="center"/>
              <w:rPr>
                <w:rFonts w:ascii="宋体" w:hAnsi="宋体" w:cs="宋体"/>
                <w:bCs/>
                <w:highlight w:val="none"/>
              </w:rPr>
            </w:pPr>
          </w:p>
        </w:tc>
        <w:tc>
          <w:tcPr>
            <w:tcW w:w="2836" w:type="dxa"/>
            <w:gridSpan w:val="2"/>
            <w:vAlign w:val="center"/>
          </w:tcPr>
          <w:p>
            <w:pPr>
              <w:pStyle w:val="2"/>
              <w:rPr>
                <w:rFonts w:ascii="宋体" w:hAnsi="宋体" w:cs="宋体"/>
                <w:highlight w:val="none"/>
              </w:rPr>
            </w:pPr>
            <w:r>
              <w:rPr>
                <w:rFonts w:hint="eastAsia" w:ascii="宋体" w:hAnsi="宋体" w:cs="宋体"/>
                <w:highlight w:val="none"/>
              </w:rPr>
              <w:t>财务状况报告</w:t>
            </w:r>
          </w:p>
        </w:tc>
        <w:tc>
          <w:tcPr>
            <w:tcW w:w="5319" w:type="dxa"/>
            <w:vAlign w:val="center"/>
          </w:tcPr>
          <w:p>
            <w:pPr>
              <w:pStyle w:val="2"/>
              <w:jc w:val="left"/>
              <w:rPr>
                <w:rFonts w:ascii="宋体" w:hAnsi="宋体" w:cs="宋体"/>
                <w:highlight w:val="none"/>
              </w:rPr>
            </w:pPr>
            <w:r>
              <w:rPr>
                <w:rFonts w:hint="eastAsia" w:ascii="宋体" w:hAnsi="宋体" w:cs="宋体"/>
                <w:highlight w:val="none"/>
              </w:rPr>
              <w:t>提供2018年度的财务审计报告（至少包括资产负债表和利润表，成立时间至提交响应文件截止时间不足一年的可提供成立后任意时段的资产负债表），或其基本存款账户开户银行出具的资信证明及基本存款账户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64" w:type="dxa"/>
            <w:vMerge w:val="continue"/>
            <w:vAlign w:val="center"/>
          </w:tcPr>
          <w:p>
            <w:pPr>
              <w:tabs>
                <w:tab w:val="left" w:pos="0"/>
              </w:tabs>
              <w:adjustRightInd w:val="0"/>
              <w:snapToGrid w:val="0"/>
              <w:jc w:val="center"/>
              <w:rPr>
                <w:rFonts w:ascii="宋体" w:hAnsi="宋体" w:cs="宋体"/>
                <w:bCs/>
                <w:highlight w:val="none"/>
              </w:rPr>
            </w:pPr>
          </w:p>
        </w:tc>
        <w:tc>
          <w:tcPr>
            <w:tcW w:w="600" w:type="dxa"/>
            <w:vMerge w:val="continue"/>
            <w:vAlign w:val="center"/>
          </w:tcPr>
          <w:p>
            <w:pPr>
              <w:tabs>
                <w:tab w:val="left" w:pos="0"/>
              </w:tabs>
              <w:adjustRightInd w:val="0"/>
              <w:snapToGrid w:val="0"/>
              <w:jc w:val="center"/>
              <w:rPr>
                <w:rFonts w:ascii="宋体" w:hAnsi="宋体" w:cs="宋体"/>
                <w:bCs/>
                <w:highlight w:val="none"/>
              </w:rPr>
            </w:pPr>
          </w:p>
        </w:tc>
        <w:tc>
          <w:tcPr>
            <w:tcW w:w="2836" w:type="dxa"/>
            <w:gridSpan w:val="2"/>
            <w:vAlign w:val="center"/>
          </w:tcPr>
          <w:p>
            <w:pPr>
              <w:pStyle w:val="2"/>
              <w:rPr>
                <w:rFonts w:ascii="宋体" w:hAnsi="宋体" w:cs="宋体"/>
                <w:highlight w:val="none"/>
              </w:rPr>
            </w:pPr>
            <w:r>
              <w:rPr>
                <w:rFonts w:hint="eastAsia" w:ascii="宋体" w:hAnsi="宋体" w:cs="宋体"/>
                <w:highlight w:val="none"/>
              </w:rPr>
              <w:t>税收缴纳证明</w:t>
            </w:r>
          </w:p>
        </w:tc>
        <w:tc>
          <w:tcPr>
            <w:tcW w:w="5319" w:type="dxa"/>
            <w:vAlign w:val="center"/>
          </w:tcPr>
          <w:p>
            <w:pPr>
              <w:pStyle w:val="2"/>
              <w:jc w:val="left"/>
              <w:rPr>
                <w:rFonts w:ascii="宋体" w:hAnsi="宋体" w:cs="宋体"/>
                <w:highlight w:val="none"/>
              </w:rPr>
            </w:pPr>
            <w:r>
              <w:rPr>
                <w:rFonts w:hint="eastAsia" w:ascii="宋体" w:hAnsi="宋体" w:cs="宋体"/>
                <w:highlight w:val="none"/>
              </w:rPr>
              <w:t>提供磋商响应文件递交截止日前一年内已缴纳的至少一个月的纳税证明或完税证明（任意税种），依法免税的单位应提供相关证明材料；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64" w:type="dxa"/>
            <w:vMerge w:val="continue"/>
            <w:vAlign w:val="center"/>
          </w:tcPr>
          <w:p>
            <w:pPr>
              <w:tabs>
                <w:tab w:val="left" w:pos="0"/>
              </w:tabs>
              <w:adjustRightInd w:val="0"/>
              <w:snapToGrid w:val="0"/>
              <w:jc w:val="center"/>
              <w:rPr>
                <w:rFonts w:ascii="宋体" w:hAnsi="宋体" w:cs="宋体"/>
                <w:bCs/>
                <w:highlight w:val="none"/>
              </w:rPr>
            </w:pPr>
          </w:p>
        </w:tc>
        <w:tc>
          <w:tcPr>
            <w:tcW w:w="600" w:type="dxa"/>
            <w:vMerge w:val="continue"/>
            <w:vAlign w:val="center"/>
          </w:tcPr>
          <w:p>
            <w:pPr>
              <w:tabs>
                <w:tab w:val="left" w:pos="0"/>
              </w:tabs>
              <w:adjustRightInd w:val="0"/>
              <w:snapToGrid w:val="0"/>
              <w:jc w:val="center"/>
              <w:rPr>
                <w:rFonts w:ascii="宋体" w:hAnsi="宋体" w:cs="宋体"/>
                <w:bCs/>
                <w:highlight w:val="none"/>
              </w:rPr>
            </w:pPr>
          </w:p>
        </w:tc>
        <w:tc>
          <w:tcPr>
            <w:tcW w:w="2836" w:type="dxa"/>
            <w:gridSpan w:val="2"/>
            <w:vAlign w:val="center"/>
          </w:tcPr>
          <w:p>
            <w:pPr>
              <w:pStyle w:val="2"/>
              <w:rPr>
                <w:rFonts w:ascii="宋体" w:hAnsi="宋体" w:cs="宋体"/>
                <w:highlight w:val="none"/>
              </w:rPr>
            </w:pPr>
            <w:r>
              <w:rPr>
                <w:rFonts w:hint="eastAsia" w:ascii="宋体" w:hAnsi="宋体" w:cs="宋体"/>
                <w:highlight w:val="none"/>
              </w:rPr>
              <w:t>社会保障资金缴纳证明</w:t>
            </w:r>
          </w:p>
        </w:tc>
        <w:tc>
          <w:tcPr>
            <w:tcW w:w="5319" w:type="dxa"/>
            <w:vAlign w:val="center"/>
          </w:tcPr>
          <w:p>
            <w:pPr>
              <w:pStyle w:val="2"/>
              <w:jc w:val="left"/>
              <w:rPr>
                <w:rFonts w:ascii="宋体" w:hAnsi="宋体" w:cs="宋体"/>
                <w:highlight w:val="none"/>
              </w:rPr>
            </w:pPr>
            <w:r>
              <w:rPr>
                <w:rFonts w:hint="eastAsia" w:ascii="宋体" w:hAnsi="宋体" w:cs="宋体"/>
                <w:highlight w:val="none"/>
              </w:rPr>
              <w:t>提供磋商响应文件递交截止日前一年内已缴存的至少一个月的社会保障资金缴存单据或社保机构开具的社会保险参保缴费情况证明，依法不需要缴纳社会保障资金的单位应提供相关证明材料；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64" w:type="dxa"/>
            <w:vMerge w:val="continue"/>
            <w:vAlign w:val="center"/>
          </w:tcPr>
          <w:p>
            <w:pPr>
              <w:tabs>
                <w:tab w:val="left" w:pos="0"/>
              </w:tabs>
              <w:adjustRightInd w:val="0"/>
              <w:snapToGrid w:val="0"/>
              <w:jc w:val="center"/>
              <w:rPr>
                <w:rFonts w:ascii="宋体" w:hAnsi="宋体" w:cs="宋体"/>
                <w:bCs/>
                <w:highlight w:val="none"/>
              </w:rPr>
            </w:pPr>
          </w:p>
        </w:tc>
        <w:tc>
          <w:tcPr>
            <w:tcW w:w="600" w:type="dxa"/>
            <w:vMerge w:val="continue"/>
            <w:vAlign w:val="center"/>
          </w:tcPr>
          <w:p>
            <w:pPr>
              <w:tabs>
                <w:tab w:val="left" w:pos="0"/>
              </w:tabs>
              <w:adjustRightInd w:val="0"/>
              <w:snapToGrid w:val="0"/>
              <w:jc w:val="center"/>
              <w:rPr>
                <w:rFonts w:ascii="宋体" w:hAnsi="宋体" w:cs="宋体"/>
                <w:bCs/>
                <w:highlight w:val="none"/>
              </w:rPr>
            </w:pPr>
          </w:p>
        </w:tc>
        <w:tc>
          <w:tcPr>
            <w:tcW w:w="2836" w:type="dxa"/>
            <w:gridSpan w:val="2"/>
            <w:vAlign w:val="center"/>
          </w:tcPr>
          <w:p>
            <w:pPr>
              <w:tabs>
                <w:tab w:val="left" w:pos="0"/>
              </w:tabs>
              <w:adjustRightInd w:val="0"/>
              <w:snapToGrid w:val="0"/>
              <w:jc w:val="center"/>
              <w:rPr>
                <w:rFonts w:ascii="宋体" w:hAnsi="宋体" w:cs="宋体"/>
                <w:bCs/>
                <w:highlight w:val="none"/>
              </w:rPr>
            </w:pPr>
            <w:r>
              <w:rPr>
                <w:rFonts w:hint="eastAsia" w:ascii="宋体" w:hAnsi="宋体" w:cs="宋体"/>
                <w:bCs/>
                <w:highlight w:val="none"/>
              </w:rPr>
              <w:t>信用记录</w:t>
            </w:r>
          </w:p>
        </w:tc>
        <w:tc>
          <w:tcPr>
            <w:tcW w:w="5319" w:type="dxa"/>
            <w:vAlign w:val="center"/>
          </w:tcPr>
          <w:p>
            <w:pPr>
              <w:tabs>
                <w:tab w:val="left" w:pos="0"/>
              </w:tabs>
              <w:adjustRightInd w:val="0"/>
              <w:snapToGrid w:val="0"/>
              <w:jc w:val="left"/>
              <w:rPr>
                <w:rFonts w:ascii="宋体" w:hAnsi="宋体" w:cs="宋体"/>
                <w:bCs/>
                <w:highlight w:val="none"/>
              </w:rPr>
            </w:pPr>
            <w:r>
              <w:rPr>
                <w:rFonts w:hint="eastAsia" w:ascii="宋体" w:hAnsi="宋体" w:cs="宋体"/>
                <w:bCs/>
                <w:highlight w:val="none"/>
                <w:lang w:eastAsia="zh-CN"/>
              </w:rPr>
              <w:t>供应商不得为“信用中国”网站（</w:t>
            </w:r>
            <w:r>
              <w:rPr>
                <w:rFonts w:hint="eastAsia" w:ascii="宋体" w:hAnsi="宋体" w:cs="宋体"/>
                <w:bCs/>
                <w:highlight w:val="none"/>
                <w:lang w:eastAsia="zh-CN"/>
              </w:rPr>
              <w:fldChar w:fldCharType="begin"/>
            </w:r>
            <w:r>
              <w:rPr>
                <w:rFonts w:hint="eastAsia" w:ascii="宋体" w:hAnsi="宋体" w:cs="宋体"/>
                <w:bCs/>
                <w:highlight w:val="none"/>
                <w:lang w:eastAsia="zh-CN"/>
              </w:rPr>
              <w:instrText xml:space="preserve"> HYPERLINK "http://www.creditchina.gov.cn%EF%BC%89%E4%B8%AD%E5%88%97%E5%85%A5%E5%A4%B1%E4%BF%A1%E8%A2%AB%E6%89%A7%E8%A1%8C%E4%BA%BA%E5%92%8C%E9%87%8D%E5%A4%A7%E7%A8%8E%E6%94%B6%E8%BF%9D%E6%B3%95%E6%A1%88%E4%BB%B6%E5%BD%93%E4%BA%8B%E4%BA%BA%E5%90%8D%E5%8D%95%E7%9A%84%E4%BE%9B%E5%BA%94%E5%95%86/" \t "_blank" </w:instrText>
            </w:r>
            <w:r>
              <w:rPr>
                <w:rFonts w:hint="eastAsia" w:ascii="宋体" w:hAnsi="宋体" w:cs="宋体"/>
                <w:bCs/>
                <w:highlight w:val="none"/>
                <w:lang w:eastAsia="zh-CN"/>
              </w:rPr>
              <w:fldChar w:fldCharType="separate"/>
            </w:r>
            <w:r>
              <w:rPr>
                <w:rFonts w:hint="eastAsia" w:ascii="宋体" w:hAnsi="宋体" w:cs="宋体"/>
                <w:bCs/>
                <w:highlight w:val="none"/>
                <w:lang w:eastAsia="zh-CN"/>
              </w:rPr>
              <w:t>www.creditchina.gov.cn）中列入失信被执行人和重大税收违法案件当事人名单的供应商</w:t>
            </w:r>
            <w:r>
              <w:rPr>
                <w:rFonts w:hint="eastAsia" w:ascii="宋体" w:hAnsi="宋体" w:cs="宋体"/>
                <w:bCs/>
                <w:highlight w:val="none"/>
                <w:lang w:eastAsia="zh-CN"/>
              </w:rPr>
              <w:fldChar w:fldCharType="end"/>
            </w:r>
            <w:r>
              <w:rPr>
                <w:rFonts w:hint="eastAsia" w:ascii="宋体" w:hAnsi="宋体" w:cs="宋体"/>
                <w:bCs/>
                <w:highlight w:val="none"/>
                <w:lang w:eastAsia="zh-CN"/>
              </w:rPr>
              <w:t>，不得为中国政府采购网（</w:t>
            </w:r>
            <w:r>
              <w:rPr>
                <w:rFonts w:hint="eastAsia" w:ascii="宋体" w:hAnsi="宋体" w:cs="宋体"/>
                <w:bCs/>
                <w:highlight w:val="none"/>
                <w:lang w:eastAsia="zh-CN"/>
              </w:rPr>
              <w:fldChar w:fldCharType="begin"/>
            </w:r>
            <w:r>
              <w:rPr>
                <w:rFonts w:hint="eastAsia" w:ascii="宋体" w:hAnsi="宋体" w:cs="宋体"/>
                <w:bCs/>
                <w:highlight w:val="none"/>
                <w:lang w:eastAsia="zh-CN"/>
              </w:rPr>
              <w:instrText xml:space="preserve"> HYPERLINK "http://www.ccgp.gov.cn%EF%BC%89%E6%94%BF%E5%BA%9C%E9%87%87%E8%B4%AD%E4%B8%A5%E9%87%8D%E8%BF%9D%E6%B3%95%E5%A4%B1%E4%BF%A1%E8%A1%8C%E4%B8%BA%E8%AE%B0%E5%BD%95%E5%90%8D%E5%8D%95%E4%B8%AD%E8%A2%AB%E8%B4%A2%E6%94%BF%E9%83%A8%E9%97%A8%E7%A6%81%E6%AD%A2%E5%8F%82%E5%8A%A0%E6%94%BF%E5%BA%9C%E9%87%87%E8%B4%AD%E6%B4%BB%E5%8A%A8%E7%9A%84%E4%BE%9B%E5%BA%94%E5%95%86/" \t "_blank" </w:instrText>
            </w:r>
            <w:r>
              <w:rPr>
                <w:rFonts w:hint="eastAsia" w:ascii="宋体" w:hAnsi="宋体" w:cs="宋体"/>
                <w:bCs/>
                <w:highlight w:val="none"/>
                <w:lang w:eastAsia="zh-CN"/>
              </w:rPr>
              <w:fldChar w:fldCharType="separate"/>
            </w:r>
            <w:r>
              <w:rPr>
                <w:rFonts w:hint="eastAsia" w:ascii="宋体" w:hAnsi="宋体" w:cs="宋体"/>
                <w:bCs/>
                <w:highlight w:val="none"/>
                <w:lang w:eastAsia="zh-CN"/>
              </w:rPr>
              <w:t>www.ccgp.gov.cn）政府采购严重违法失信行为记录名单中被财政部门禁止参加政府采购活动的供应商</w:t>
            </w:r>
            <w:r>
              <w:rPr>
                <w:rFonts w:hint="eastAsia" w:ascii="宋体" w:hAnsi="宋体" w:cs="宋体"/>
                <w:bCs/>
                <w:highlight w:val="none"/>
                <w:lang w:eastAsia="zh-CN"/>
              </w:rPr>
              <w:fldChar w:fldCharType="end"/>
            </w:r>
            <w:r>
              <w:rPr>
                <w:rFonts w:hint="eastAsia" w:ascii="宋体" w:hAnsi="宋体" w:cs="宋体"/>
                <w:bCs/>
                <w:highlight w:val="none"/>
                <w:lang w:eastAsia="zh-CN"/>
              </w:rPr>
              <w:t>；（采购代理机构于磋商前三日内查询相关信用记录，对列入失信被执行人、重大税收违法案件当事人名单、政府采购严重违法失信行为记录名单及其他不符合《中华人民共和国政府采购法》第二十二条规定条件的，采购人和采购代理机构将拒绝其参与政府采购活动，查询结果以纸质方式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64" w:type="dxa"/>
            <w:vMerge w:val="continue"/>
            <w:vAlign w:val="center"/>
          </w:tcPr>
          <w:p>
            <w:pPr>
              <w:tabs>
                <w:tab w:val="left" w:pos="0"/>
              </w:tabs>
              <w:adjustRightInd w:val="0"/>
              <w:snapToGrid w:val="0"/>
              <w:jc w:val="center"/>
              <w:rPr>
                <w:rFonts w:ascii="宋体" w:hAnsi="宋体" w:cs="宋体"/>
                <w:bCs/>
                <w:highlight w:val="none"/>
              </w:rPr>
            </w:pPr>
          </w:p>
        </w:tc>
        <w:tc>
          <w:tcPr>
            <w:tcW w:w="600" w:type="dxa"/>
            <w:vMerge w:val="continue"/>
            <w:vAlign w:val="center"/>
          </w:tcPr>
          <w:p>
            <w:pPr>
              <w:tabs>
                <w:tab w:val="left" w:pos="0"/>
              </w:tabs>
              <w:adjustRightInd w:val="0"/>
              <w:snapToGrid w:val="0"/>
              <w:jc w:val="center"/>
              <w:rPr>
                <w:rFonts w:ascii="宋体" w:hAnsi="宋体" w:cs="宋体"/>
                <w:bCs/>
                <w:highlight w:val="none"/>
              </w:rPr>
            </w:pPr>
          </w:p>
        </w:tc>
        <w:tc>
          <w:tcPr>
            <w:tcW w:w="2836" w:type="dxa"/>
            <w:gridSpan w:val="2"/>
            <w:vAlign w:val="center"/>
          </w:tcPr>
          <w:p>
            <w:pPr>
              <w:tabs>
                <w:tab w:val="left" w:pos="0"/>
              </w:tabs>
              <w:adjustRightInd w:val="0"/>
              <w:snapToGrid w:val="0"/>
              <w:jc w:val="center"/>
              <w:rPr>
                <w:rFonts w:ascii="宋体" w:hAnsi="宋体" w:cs="宋体"/>
                <w:bCs/>
                <w:highlight w:val="none"/>
              </w:rPr>
            </w:pPr>
            <w:r>
              <w:rPr>
                <w:rFonts w:hint="eastAsia" w:ascii="宋体" w:hAnsi="宋体" w:cs="宋体"/>
                <w:bCs/>
                <w:highlight w:val="none"/>
              </w:rPr>
              <w:t>书面声明</w:t>
            </w:r>
          </w:p>
        </w:tc>
        <w:tc>
          <w:tcPr>
            <w:tcW w:w="5319" w:type="dxa"/>
            <w:vAlign w:val="center"/>
          </w:tcPr>
          <w:p>
            <w:pPr>
              <w:tabs>
                <w:tab w:val="left" w:pos="0"/>
              </w:tabs>
              <w:adjustRightInd w:val="0"/>
              <w:snapToGrid w:val="0"/>
              <w:jc w:val="left"/>
              <w:rPr>
                <w:rFonts w:ascii="宋体" w:hAnsi="宋体" w:cs="宋体"/>
                <w:bCs/>
                <w:highlight w:val="none"/>
              </w:rPr>
            </w:pPr>
            <w:r>
              <w:rPr>
                <w:rFonts w:hint="eastAsia" w:ascii="宋体" w:hAnsi="宋体" w:cs="宋体"/>
                <w:bCs/>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ascii="宋体" w:hAnsi="宋体" w:cs="宋体"/>
                <w:bCs/>
                <w:highlight w:val="none"/>
              </w:rPr>
            </w:pPr>
          </w:p>
        </w:tc>
        <w:tc>
          <w:tcPr>
            <w:tcW w:w="600" w:type="dxa"/>
            <w:vMerge w:val="continue"/>
            <w:vAlign w:val="center"/>
          </w:tcPr>
          <w:p>
            <w:pPr>
              <w:tabs>
                <w:tab w:val="left" w:pos="0"/>
              </w:tabs>
              <w:adjustRightInd w:val="0"/>
              <w:snapToGrid w:val="0"/>
              <w:jc w:val="center"/>
              <w:rPr>
                <w:rFonts w:ascii="宋体" w:hAnsi="宋体" w:cs="宋体"/>
                <w:bCs/>
                <w:highlight w:val="none"/>
              </w:rPr>
            </w:pPr>
          </w:p>
        </w:tc>
        <w:tc>
          <w:tcPr>
            <w:tcW w:w="2836" w:type="dxa"/>
            <w:gridSpan w:val="2"/>
            <w:vAlign w:val="center"/>
          </w:tcPr>
          <w:p>
            <w:pPr>
              <w:tabs>
                <w:tab w:val="left" w:pos="0"/>
              </w:tabs>
              <w:adjustRightInd w:val="0"/>
              <w:snapToGrid w:val="0"/>
              <w:jc w:val="center"/>
              <w:rPr>
                <w:rFonts w:ascii="宋体" w:hAnsi="宋体" w:cs="宋体"/>
                <w:bCs/>
                <w:highlight w:val="none"/>
              </w:rPr>
            </w:pPr>
            <w:r>
              <w:rPr>
                <w:rFonts w:hint="eastAsia" w:ascii="宋体" w:hAnsi="宋体" w:cs="宋体"/>
                <w:bCs/>
                <w:highlight w:val="none"/>
              </w:rPr>
              <w:t>保证金</w:t>
            </w:r>
          </w:p>
        </w:tc>
        <w:tc>
          <w:tcPr>
            <w:tcW w:w="5319" w:type="dxa"/>
            <w:vAlign w:val="center"/>
          </w:tcPr>
          <w:p>
            <w:pPr>
              <w:tabs>
                <w:tab w:val="left" w:pos="0"/>
              </w:tabs>
              <w:adjustRightInd w:val="0"/>
              <w:snapToGrid w:val="0"/>
              <w:jc w:val="left"/>
              <w:rPr>
                <w:rFonts w:ascii="宋体" w:hAnsi="宋体" w:cs="宋体"/>
                <w:bCs/>
                <w:highlight w:val="none"/>
              </w:rPr>
            </w:pPr>
            <w:r>
              <w:rPr>
                <w:rFonts w:hint="eastAsia" w:ascii="宋体" w:hAnsi="宋体" w:cs="宋体"/>
                <w:bCs/>
                <w:highlight w:val="none"/>
              </w:rPr>
              <w:t>投标保证金缴纳凭证或担保机构出具的保函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19" w:type="dxa"/>
            <w:gridSpan w:val="5"/>
            <w:vAlign w:val="center"/>
          </w:tcPr>
          <w:p>
            <w:pPr>
              <w:tabs>
                <w:tab w:val="left" w:pos="0"/>
              </w:tabs>
              <w:adjustRightInd w:val="0"/>
              <w:snapToGrid w:val="0"/>
              <w:jc w:val="left"/>
              <w:rPr>
                <w:rFonts w:ascii="宋体" w:hAnsi="宋体" w:cs="宋体"/>
                <w:bCs/>
                <w:highlight w:val="none"/>
              </w:rPr>
            </w:pPr>
            <w:r>
              <w:rPr>
                <w:rFonts w:hint="eastAsia" w:ascii="宋体" w:hAnsi="宋体" w:cs="宋体"/>
                <w:bCs/>
                <w:highlight w:val="none"/>
              </w:rPr>
              <w:t>注：</w:t>
            </w:r>
            <w:r>
              <w:rPr>
                <w:rFonts w:hint="eastAsia" w:ascii="宋体" w:hAnsi="宋体" w:cs="宋体"/>
                <w:bCs/>
                <w:highlight w:val="none"/>
                <w:lang w:val="en-US" w:eastAsia="zh-CN"/>
              </w:rPr>
              <w:t>以上为必备资质，缺一项或某项达不到要求，按无效响应处理。资格审查时以磋商响应文件中所附证明材料为准（信用记录可不提供，由代理机构查询并留存），原件备查。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pPr>
              <w:tabs>
                <w:tab w:val="left" w:pos="0"/>
              </w:tabs>
              <w:adjustRightInd w:val="0"/>
              <w:snapToGrid w:val="0"/>
              <w:spacing w:line="360" w:lineRule="auto"/>
              <w:jc w:val="center"/>
              <w:rPr>
                <w:rFonts w:ascii="宋体" w:hAnsi="宋体" w:cs="宋体"/>
                <w:bCs/>
                <w:highlight w:val="none"/>
              </w:rPr>
            </w:pPr>
            <w:r>
              <w:rPr>
                <w:rFonts w:hint="eastAsia" w:ascii="宋体" w:hAnsi="宋体" w:cs="宋体"/>
                <w:bCs/>
                <w:highlight w:val="none"/>
              </w:rPr>
              <w:t>2.1.2</w:t>
            </w:r>
          </w:p>
        </w:tc>
        <w:tc>
          <w:tcPr>
            <w:tcW w:w="600" w:type="dxa"/>
            <w:vMerge w:val="restart"/>
            <w:vAlign w:val="center"/>
          </w:tcPr>
          <w:p>
            <w:pPr>
              <w:tabs>
                <w:tab w:val="left" w:pos="0"/>
              </w:tabs>
              <w:adjustRightInd w:val="0"/>
              <w:snapToGrid w:val="0"/>
              <w:jc w:val="center"/>
              <w:rPr>
                <w:rFonts w:ascii="宋体" w:hAnsi="宋体" w:cs="宋体"/>
                <w:bCs/>
                <w:highlight w:val="none"/>
              </w:rPr>
            </w:pPr>
            <w:r>
              <w:rPr>
                <w:rFonts w:hint="eastAsia" w:ascii="宋体" w:hAnsi="宋体" w:cs="宋体"/>
                <w:bCs/>
                <w:highlight w:val="none"/>
              </w:rPr>
              <w:t>符合性评审标准</w:t>
            </w:r>
          </w:p>
        </w:tc>
        <w:tc>
          <w:tcPr>
            <w:tcW w:w="567" w:type="dxa"/>
            <w:vMerge w:val="restart"/>
            <w:vAlign w:val="center"/>
          </w:tcPr>
          <w:p>
            <w:pPr>
              <w:tabs>
                <w:tab w:val="left" w:pos="0"/>
              </w:tabs>
              <w:adjustRightInd w:val="0"/>
              <w:snapToGrid w:val="0"/>
              <w:jc w:val="center"/>
              <w:rPr>
                <w:rFonts w:ascii="宋体" w:hAnsi="宋体" w:cs="宋体"/>
                <w:bCs/>
                <w:highlight w:val="none"/>
              </w:rPr>
            </w:pPr>
            <w:r>
              <w:rPr>
                <w:rFonts w:hint="eastAsia" w:ascii="宋体" w:hAnsi="宋体" w:cs="宋体"/>
                <w:bCs/>
                <w:highlight w:val="none"/>
              </w:rPr>
              <w:t>有效性审查</w:t>
            </w:r>
          </w:p>
        </w:tc>
        <w:tc>
          <w:tcPr>
            <w:tcW w:w="226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磋商响应文件的签署盖章</w:t>
            </w:r>
          </w:p>
        </w:tc>
        <w:tc>
          <w:tcPr>
            <w:tcW w:w="531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磋商响应文件上法定代表人或其授权代表人的签字齐全并加盖公章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宋体" w:hAnsi="宋体" w:cs="宋体"/>
                <w:bCs/>
                <w:highlight w:val="none"/>
              </w:rPr>
            </w:pPr>
          </w:p>
        </w:tc>
        <w:tc>
          <w:tcPr>
            <w:tcW w:w="600" w:type="dxa"/>
            <w:vMerge w:val="continue"/>
          </w:tcPr>
          <w:p>
            <w:pPr>
              <w:tabs>
                <w:tab w:val="left" w:pos="0"/>
              </w:tabs>
              <w:adjustRightInd w:val="0"/>
              <w:snapToGrid w:val="0"/>
              <w:spacing w:line="360" w:lineRule="auto"/>
              <w:rPr>
                <w:rFonts w:ascii="宋体" w:hAnsi="宋体" w:cs="宋体"/>
                <w:bCs/>
                <w:highlight w:val="none"/>
              </w:rPr>
            </w:pPr>
          </w:p>
        </w:tc>
        <w:tc>
          <w:tcPr>
            <w:tcW w:w="567" w:type="dxa"/>
            <w:vMerge w:val="continue"/>
          </w:tcPr>
          <w:p>
            <w:pPr>
              <w:tabs>
                <w:tab w:val="left" w:pos="0"/>
              </w:tabs>
              <w:adjustRightInd w:val="0"/>
              <w:snapToGrid w:val="0"/>
              <w:spacing w:line="360" w:lineRule="auto"/>
              <w:rPr>
                <w:rFonts w:ascii="宋体" w:hAnsi="宋体" w:cs="宋体"/>
                <w:bCs/>
                <w:highlight w:val="none"/>
              </w:rPr>
            </w:pPr>
          </w:p>
        </w:tc>
        <w:tc>
          <w:tcPr>
            <w:tcW w:w="226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磋商响应文件格式</w:t>
            </w:r>
          </w:p>
        </w:tc>
        <w:tc>
          <w:tcPr>
            <w:tcW w:w="531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应符合“磋商响应文件格式”要求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宋体" w:hAnsi="宋体" w:cs="宋体"/>
                <w:bCs/>
                <w:highlight w:val="none"/>
              </w:rPr>
            </w:pPr>
          </w:p>
        </w:tc>
        <w:tc>
          <w:tcPr>
            <w:tcW w:w="600" w:type="dxa"/>
            <w:vMerge w:val="continue"/>
          </w:tcPr>
          <w:p>
            <w:pPr>
              <w:tabs>
                <w:tab w:val="left" w:pos="0"/>
              </w:tabs>
              <w:adjustRightInd w:val="0"/>
              <w:snapToGrid w:val="0"/>
              <w:spacing w:line="360" w:lineRule="auto"/>
              <w:rPr>
                <w:rFonts w:ascii="宋体" w:hAnsi="宋体" w:cs="宋体"/>
                <w:bCs/>
                <w:highlight w:val="none"/>
              </w:rPr>
            </w:pPr>
          </w:p>
        </w:tc>
        <w:tc>
          <w:tcPr>
            <w:tcW w:w="567" w:type="dxa"/>
            <w:vMerge w:val="continue"/>
          </w:tcPr>
          <w:p>
            <w:pPr>
              <w:tabs>
                <w:tab w:val="left" w:pos="0"/>
              </w:tabs>
              <w:adjustRightInd w:val="0"/>
              <w:snapToGrid w:val="0"/>
              <w:spacing w:line="360" w:lineRule="auto"/>
              <w:rPr>
                <w:rFonts w:ascii="宋体" w:hAnsi="宋体" w:cs="宋体"/>
                <w:bCs/>
                <w:highlight w:val="none"/>
              </w:rPr>
            </w:pPr>
          </w:p>
        </w:tc>
        <w:tc>
          <w:tcPr>
            <w:tcW w:w="226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报价唯一</w:t>
            </w:r>
          </w:p>
        </w:tc>
        <w:tc>
          <w:tcPr>
            <w:tcW w:w="531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ascii="宋体" w:hAnsi="宋体" w:cs="宋体"/>
                <w:bCs/>
                <w:highlight w:val="none"/>
              </w:rPr>
            </w:pPr>
          </w:p>
        </w:tc>
        <w:tc>
          <w:tcPr>
            <w:tcW w:w="600" w:type="dxa"/>
            <w:vMerge w:val="continue"/>
            <w:vAlign w:val="center"/>
          </w:tcPr>
          <w:p>
            <w:pPr>
              <w:tabs>
                <w:tab w:val="left" w:pos="0"/>
              </w:tabs>
              <w:adjustRightInd w:val="0"/>
              <w:snapToGrid w:val="0"/>
              <w:jc w:val="center"/>
              <w:rPr>
                <w:rFonts w:ascii="宋体" w:hAnsi="宋体" w:cs="宋体"/>
                <w:bCs/>
                <w:highlight w:val="none"/>
              </w:rPr>
            </w:pPr>
          </w:p>
        </w:tc>
        <w:tc>
          <w:tcPr>
            <w:tcW w:w="567" w:type="dxa"/>
            <w:vMerge w:val="restart"/>
            <w:vAlign w:val="center"/>
          </w:tcPr>
          <w:p>
            <w:pPr>
              <w:tabs>
                <w:tab w:val="left" w:pos="0"/>
              </w:tabs>
              <w:adjustRightInd w:val="0"/>
              <w:snapToGrid w:val="0"/>
              <w:jc w:val="center"/>
              <w:rPr>
                <w:rFonts w:ascii="宋体" w:hAnsi="宋体" w:cs="宋体"/>
                <w:bCs/>
                <w:highlight w:val="none"/>
              </w:rPr>
            </w:pPr>
            <w:r>
              <w:rPr>
                <w:rFonts w:hint="eastAsia" w:ascii="宋体" w:hAnsi="宋体" w:cs="宋体"/>
                <w:bCs/>
                <w:highlight w:val="none"/>
              </w:rPr>
              <w:t>完整性审查</w:t>
            </w:r>
          </w:p>
        </w:tc>
        <w:tc>
          <w:tcPr>
            <w:tcW w:w="226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磋商响应文件份数</w:t>
            </w:r>
          </w:p>
        </w:tc>
        <w:tc>
          <w:tcPr>
            <w:tcW w:w="531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应符合“供应商须知前附表”规定的正本、副本、电子文件数量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宋体" w:hAnsi="宋体" w:cs="宋体"/>
                <w:bCs/>
                <w:highlight w:val="none"/>
              </w:rPr>
            </w:pPr>
          </w:p>
        </w:tc>
        <w:tc>
          <w:tcPr>
            <w:tcW w:w="600" w:type="dxa"/>
            <w:vMerge w:val="continue"/>
          </w:tcPr>
          <w:p>
            <w:pPr>
              <w:tabs>
                <w:tab w:val="left" w:pos="0"/>
              </w:tabs>
              <w:adjustRightInd w:val="0"/>
              <w:snapToGrid w:val="0"/>
              <w:spacing w:line="360" w:lineRule="auto"/>
              <w:rPr>
                <w:rFonts w:ascii="宋体" w:hAnsi="宋体" w:cs="宋体"/>
                <w:bCs/>
                <w:highlight w:val="none"/>
              </w:rPr>
            </w:pPr>
          </w:p>
        </w:tc>
        <w:tc>
          <w:tcPr>
            <w:tcW w:w="567" w:type="dxa"/>
            <w:vMerge w:val="continue"/>
          </w:tcPr>
          <w:p>
            <w:pPr>
              <w:tabs>
                <w:tab w:val="left" w:pos="0"/>
              </w:tabs>
              <w:adjustRightInd w:val="0"/>
              <w:snapToGrid w:val="0"/>
              <w:spacing w:line="360" w:lineRule="auto"/>
              <w:rPr>
                <w:rFonts w:ascii="宋体" w:hAnsi="宋体" w:cs="宋体"/>
                <w:bCs/>
                <w:highlight w:val="none"/>
              </w:rPr>
            </w:pPr>
          </w:p>
        </w:tc>
        <w:tc>
          <w:tcPr>
            <w:tcW w:w="226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磋商响应文件内容</w:t>
            </w:r>
          </w:p>
        </w:tc>
        <w:tc>
          <w:tcPr>
            <w:tcW w:w="531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磋商响应文件内容齐全、无遗漏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ascii="宋体" w:hAnsi="宋体" w:cs="宋体"/>
                <w:bCs/>
                <w:highlight w:val="none"/>
              </w:rPr>
            </w:pPr>
          </w:p>
        </w:tc>
        <w:tc>
          <w:tcPr>
            <w:tcW w:w="600" w:type="dxa"/>
            <w:vMerge w:val="continue"/>
            <w:vAlign w:val="center"/>
          </w:tcPr>
          <w:p>
            <w:pPr>
              <w:tabs>
                <w:tab w:val="left" w:pos="0"/>
              </w:tabs>
              <w:adjustRightInd w:val="0"/>
              <w:snapToGrid w:val="0"/>
              <w:jc w:val="center"/>
              <w:rPr>
                <w:rFonts w:ascii="宋体" w:hAnsi="宋体" w:cs="宋体"/>
                <w:bCs/>
                <w:highlight w:val="none"/>
              </w:rPr>
            </w:pPr>
          </w:p>
        </w:tc>
        <w:tc>
          <w:tcPr>
            <w:tcW w:w="567" w:type="dxa"/>
            <w:vMerge w:val="restart"/>
            <w:vAlign w:val="center"/>
          </w:tcPr>
          <w:p>
            <w:pPr>
              <w:tabs>
                <w:tab w:val="left" w:pos="0"/>
              </w:tabs>
              <w:adjustRightInd w:val="0"/>
              <w:snapToGrid w:val="0"/>
              <w:jc w:val="center"/>
              <w:rPr>
                <w:rFonts w:ascii="宋体" w:hAnsi="宋体" w:cs="宋体"/>
                <w:bCs/>
                <w:highlight w:val="none"/>
              </w:rPr>
            </w:pPr>
            <w:r>
              <w:rPr>
                <w:rFonts w:hint="eastAsia" w:ascii="宋体" w:hAnsi="宋体" w:cs="宋体"/>
                <w:bCs/>
                <w:highlight w:val="none"/>
              </w:rPr>
              <w:t>响应性审查</w:t>
            </w:r>
          </w:p>
        </w:tc>
        <w:tc>
          <w:tcPr>
            <w:tcW w:w="226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对磋商文件响应程度</w:t>
            </w:r>
          </w:p>
        </w:tc>
        <w:tc>
          <w:tcPr>
            <w:tcW w:w="531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宋体" w:hAnsi="宋体" w:cs="宋体"/>
                <w:bCs/>
                <w:highlight w:val="none"/>
              </w:rPr>
            </w:pPr>
          </w:p>
        </w:tc>
        <w:tc>
          <w:tcPr>
            <w:tcW w:w="600" w:type="dxa"/>
            <w:vMerge w:val="continue"/>
          </w:tcPr>
          <w:p>
            <w:pPr>
              <w:tabs>
                <w:tab w:val="left" w:pos="0"/>
              </w:tabs>
              <w:adjustRightInd w:val="0"/>
              <w:snapToGrid w:val="0"/>
              <w:spacing w:line="360" w:lineRule="auto"/>
              <w:rPr>
                <w:rFonts w:ascii="宋体" w:hAnsi="宋体" w:cs="宋体"/>
                <w:bCs/>
                <w:highlight w:val="none"/>
              </w:rPr>
            </w:pPr>
          </w:p>
        </w:tc>
        <w:tc>
          <w:tcPr>
            <w:tcW w:w="567" w:type="dxa"/>
            <w:vMerge w:val="continue"/>
          </w:tcPr>
          <w:p>
            <w:pPr>
              <w:tabs>
                <w:tab w:val="left" w:pos="0"/>
              </w:tabs>
              <w:adjustRightInd w:val="0"/>
              <w:snapToGrid w:val="0"/>
              <w:spacing w:line="360" w:lineRule="auto"/>
              <w:rPr>
                <w:rFonts w:ascii="宋体" w:hAnsi="宋体" w:cs="宋体"/>
                <w:bCs/>
                <w:highlight w:val="none"/>
              </w:rPr>
            </w:pPr>
          </w:p>
        </w:tc>
        <w:tc>
          <w:tcPr>
            <w:tcW w:w="226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工期</w:t>
            </w:r>
          </w:p>
        </w:tc>
        <w:tc>
          <w:tcPr>
            <w:tcW w:w="531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应满足磋商文件中要求的完工期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宋体" w:hAnsi="宋体" w:cs="宋体"/>
                <w:bCs/>
                <w:highlight w:val="none"/>
              </w:rPr>
            </w:pPr>
          </w:p>
        </w:tc>
        <w:tc>
          <w:tcPr>
            <w:tcW w:w="600" w:type="dxa"/>
            <w:vMerge w:val="continue"/>
          </w:tcPr>
          <w:p>
            <w:pPr>
              <w:tabs>
                <w:tab w:val="left" w:pos="0"/>
              </w:tabs>
              <w:adjustRightInd w:val="0"/>
              <w:snapToGrid w:val="0"/>
              <w:spacing w:line="360" w:lineRule="auto"/>
              <w:rPr>
                <w:rFonts w:ascii="宋体" w:hAnsi="宋体" w:cs="宋体"/>
                <w:bCs/>
                <w:highlight w:val="none"/>
              </w:rPr>
            </w:pPr>
          </w:p>
        </w:tc>
        <w:tc>
          <w:tcPr>
            <w:tcW w:w="567" w:type="dxa"/>
            <w:vMerge w:val="continue"/>
          </w:tcPr>
          <w:p>
            <w:pPr>
              <w:tabs>
                <w:tab w:val="left" w:pos="0"/>
              </w:tabs>
              <w:adjustRightInd w:val="0"/>
              <w:snapToGrid w:val="0"/>
              <w:spacing w:line="360" w:lineRule="auto"/>
              <w:rPr>
                <w:rFonts w:ascii="宋体" w:hAnsi="宋体" w:cs="宋体"/>
                <w:bCs/>
                <w:highlight w:val="none"/>
              </w:rPr>
            </w:pPr>
          </w:p>
        </w:tc>
        <w:tc>
          <w:tcPr>
            <w:tcW w:w="226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实施地点</w:t>
            </w:r>
          </w:p>
        </w:tc>
        <w:tc>
          <w:tcPr>
            <w:tcW w:w="531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应满足磋商文件中要求的实施地点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宋体" w:hAnsi="宋体" w:cs="宋体"/>
                <w:bCs/>
                <w:highlight w:val="none"/>
              </w:rPr>
            </w:pPr>
          </w:p>
        </w:tc>
        <w:tc>
          <w:tcPr>
            <w:tcW w:w="600" w:type="dxa"/>
            <w:vMerge w:val="continue"/>
          </w:tcPr>
          <w:p>
            <w:pPr>
              <w:tabs>
                <w:tab w:val="left" w:pos="0"/>
              </w:tabs>
              <w:adjustRightInd w:val="0"/>
              <w:snapToGrid w:val="0"/>
              <w:spacing w:line="360" w:lineRule="auto"/>
              <w:rPr>
                <w:rFonts w:ascii="宋体" w:hAnsi="宋体" w:cs="宋体"/>
                <w:bCs/>
                <w:highlight w:val="none"/>
              </w:rPr>
            </w:pPr>
          </w:p>
        </w:tc>
        <w:tc>
          <w:tcPr>
            <w:tcW w:w="567" w:type="dxa"/>
            <w:vMerge w:val="continue"/>
          </w:tcPr>
          <w:p>
            <w:pPr>
              <w:tabs>
                <w:tab w:val="left" w:pos="0"/>
              </w:tabs>
              <w:adjustRightInd w:val="0"/>
              <w:snapToGrid w:val="0"/>
              <w:spacing w:line="360" w:lineRule="auto"/>
              <w:rPr>
                <w:rFonts w:ascii="宋体" w:hAnsi="宋体" w:cs="宋体"/>
                <w:bCs/>
                <w:highlight w:val="none"/>
              </w:rPr>
            </w:pPr>
          </w:p>
        </w:tc>
        <w:tc>
          <w:tcPr>
            <w:tcW w:w="226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投标有效期</w:t>
            </w:r>
          </w:p>
        </w:tc>
        <w:tc>
          <w:tcPr>
            <w:tcW w:w="5319" w:type="dxa"/>
            <w:vAlign w:val="center"/>
          </w:tcPr>
          <w:p>
            <w:pPr>
              <w:tabs>
                <w:tab w:val="left" w:pos="0"/>
              </w:tabs>
              <w:adjustRightInd w:val="0"/>
              <w:snapToGrid w:val="0"/>
              <w:rPr>
                <w:rFonts w:ascii="宋体" w:hAnsi="宋体" w:cs="宋体"/>
                <w:bCs/>
                <w:highlight w:val="none"/>
              </w:rPr>
            </w:pPr>
            <w:r>
              <w:rPr>
                <w:rFonts w:hint="eastAsia" w:ascii="宋体" w:hAnsi="宋体" w:cs="宋体"/>
                <w:bCs/>
                <w:highlight w:val="none"/>
              </w:rPr>
              <w:t>应满足磋商文件中的规定</w:t>
            </w:r>
          </w:p>
        </w:tc>
      </w:tr>
    </w:tbl>
    <w:p>
      <w:pPr>
        <w:spacing w:line="360" w:lineRule="auto"/>
        <w:rPr>
          <w:rFonts w:ascii="宋体" w:hAnsi="宋体" w:cs="宋体"/>
          <w:b/>
          <w:spacing w:val="4"/>
          <w:szCs w:val="24"/>
          <w:highlight w:val="none"/>
        </w:rPr>
      </w:pPr>
      <w:r>
        <w:rPr>
          <w:rFonts w:hint="eastAsia" w:ascii="宋体" w:hAnsi="宋体" w:cs="宋体"/>
          <w:b/>
          <w:sz w:val="28"/>
          <w:szCs w:val="28"/>
          <w:highlight w:val="none"/>
        </w:rPr>
        <w:br w:type="page"/>
      </w:r>
      <w:r>
        <w:rPr>
          <w:rFonts w:hint="eastAsia" w:ascii="宋体" w:hAnsi="宋体" w:cs="宋体"/>
          <w:b/>
          <w:spacing w:val="4"/>
          <w:szCs w:val="24"/>
          <w:highlight w:val="none"/>
        </w:rPr>
        <w:t>附件2：</w:t>
      </w:r>
    </w:p>
    <w:p>
      <w:pPr>
        <w:spacing w:line="360" w:lineRule="auto"/>
        <w:jc w:val="center"/>
        <w:rPr>
          <w:rFonts w:ascii="宋体" w:hAnsi="宋体" w:cs="宋体"/>
          <w:b/>
          <w:spacing w:val="4"/>
          <w:szCs w:val="24"/>
          <w:highlight w:val="none"/>
        </w:rPr>
      </w:pPr>
      <w:r>
        <w:rPr>
          <w:rFonts w:hint="eastAsia" w:ascii="宋体" w:hAnsi="宋体" w:cs="宋体"/>
          <w:b/>
          <w:spacing w:val="4"/>
          <w:szCs w:val="24"/>
          <w:highlight w:val="none"/>
        </w:rPr>
        <w:t>评标因素及权重分值表</w:t>
      </w:r>
    </w:p>
    <w:p>
      <w:pPr>
        <w:spacing w:line="360" w:lineRule="auto"/>
        <w:ind w:firstLine="438" w:firstLineChars="200"/>
        <w:jc w:val="left"/>
        <w:rPr>
          <w:rFonts w:ascii="宋体" w:hAnsi="宋体" w:cs="宋体"/>
          <w:b/>
          <w:szCs w:val="24"/>
          <w:highlight w:val="none"/>
        </w:rPr>
      </w:pPr>
      <w:r>
        <w:rPr>
          <w:rFonts w:hint="eastAsia" w:ascii="宋体" w:hAnsi="宋体" w:cs="宋体"/>
          <w:b/>
          <w:spacing w:val="4"/>
          <w:szCs w:val="24"/>
          <w:highlight w:val="none"/>
        </w:rPr>
        <w:t>评价和比较以投标响应文件为依据，从“投标价格”、“</w:t>
      </w:r>
      <w:r>
        <w:rPr>
          <w:rFonts w:hint="eastAsia"/>
          <w:lang w:eastAsia="zh-CN"/>
        </w:rPr>
        <w:t>技术</w:t>
      </w:r>
      <w:r>
        <w:rPr>
          <w:rFonts w:hint="eastAsia" w:ascii="宋体" w:hAnsi="宋体" w:cs="宋体"/>
          <w:b/>
          <w:spacing w:val="4"/>
          <w:szCs w:val="24"/>
          <w:highlight w:val="none"/>
        </w:rPr>
        <w:t>评审”和“业绩评审”三个方面进行评审并按照百分制进行赋分。</w:t>
      </w:r>
    </w:p>
    <w:tbl>
      <w:tblPr>
        <w:tblStyle w:val="33"/>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885"/>
        <w:gridCol w:w="682"/>
        <w:gridCol w:w="6109"/>
        <w:gridCol w:w="782"/>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28" w:type="dxa"/>
            <w:vAlign w:val="center"/>
          </w:tcPr>
          <w:p>
            <w:pPr>
              <w:jc w:val="center"/>
              <w:rPr>
                <w:rFonts w:ascii="宋体" w:hAnsi="宋体" w:cs="宋体"/>
                <w:b/>
                <w:highlight w:val="none"/>
              </w:rPr>
            </w:pPr>
            <w:r>
              <w:rPr>
                <w:rFonts w:hint="eastAsia" w:ascii="宋体" w:hAnsi="宋体" w:cs="宋体"/>
                <w:b/>
                <w:highlight w:val="none"/>
              </w:rPr>
              <w:t>类别</w:t>
            </w:r>
          </w:p>
        </w:tc>
        <w:tc>
          <w:tcPr>
            <w:tcW w:w="885" w:type="dxa"/>
            <w:vAlign w:val="center"/>
          </w:tcPr>
          <w:p>
            <w:pPr>
              <w:jc w:val="center"/>
              <w:rPr>
                <w:rFonts w:ascii="宋体" w:hAnsi="宋体" w:cs="宋体"/>
                <w:b/>
                <w:highlight w:val="none"/>
              </w:rPr>
            </w:pPr>
            <w:r>
              <w:rPr>
                <w:rFonts w:hint="eastAsia" w:ascii="宋体" w:hAnsi="宋体" w:cs="宋体"/>
                <w:b/>
                <w:highlight w:val="none"/>
              </w:rPr>
              <w:t>总分</w:t>
            </w:r>
          </w:p>
        </w:tc>
        <w:tc>
          <w:tcPr>
            <w:tcW w:w="6791" w:type="dxa"/>
            <w:gridSpan w:val="2"/>
            <w:vAlign w:val="center"/>
          </w:tcPr>
          <w:p>
            <w:pPr>
              <w:jc w:val="center"/>
              <w:rPr>
                <w:rFonts w:ascii="宋体" w:hAnsi="宋体" w:cs="宋体"/>
                <w:b/>
                <w:highlight w:val="none"/>
              </w:rPr>
            </w:pPr>
            <w:r>
              <w:rPr>
                <w:rFonts w:hint="eastAsia" w:ascii="宋体" w:hAnsi="宋体" w:cs="宋体"/>
                <w:b/>
                <w:highlight w:val="none"/>
              </w:rPr>
              <w:t>评标因素</w:t>
            </w:r>
          </w:p>
        </w:tc>
        <w:tc>
          <w:tcPr>
            <w:tcW w:w="782" w:type="dxa"/>
            <w:vAlign w:val="center"/>
          </w:tcPr>
          <w:p>
            <w:pPr>
              <w:jc w:val="center"/>
              <w:rPr>
                <w:rFonts w:ascii="宋体" w:hAnsi="宋体" w:cs="宋体"/>
                <w:b/>
                <w:highlight w:val="none"/>
              </w:rPr>
            </w:pPr>
            <w:r>
              <w:rPr>
                <w:rFonts w:hint="eastAsia" w:ascii="宋体" w:hAnsi="宋体" w:cs="宋体"/>
                <w:b/>
                <w:highlight w:val="none"/>
              </w:rPr>
              <w:t>最高</w:t>
            </w:r>
          </w:p>
          <w:p>
            <w:pPr>
              <w:jc w:val="center"/>
              <w:rPr>
                <w:rFonts w:ascii="宋体" w:hAnsi="宋体" w:cs="宋体"/>
                <w:b/>
                <w:highlight w:val="none"/>
              </w:rPr>
            </w:pPr>
            <w:r>
              <w:rPr>
                <w:rFonts w:hint="eastAsia" w:ascii="宋体" w:hAnsi="宋体" w:cs="宋体"/>
                <w:b/>
                <w:highlight w:val="none"/>
              </w:rPr>
              <w:t>得分</w:t>
            </w:r>
          </w:p>
        </w:tc>
        <w:tc>
          <w:tcPr>
            <w:tcW w:w="533" w:type="dxa"/>
            <w:vMerge w:val="restart"/>
            <w:vAlign w:val="center"/>
          </w:tcPr>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r>
              <w:rPr>
                <w:rFonts w:hint="eastAsia" w:ascii="宋体" w:hAnsi="宋体" w:cs="宋体"/>
                <w:b/>
                <w:highlight w:val="none"/>
              </w:rPr>
              <w:t>根</w:t>
            </w:r>
          </w:p>
          <w:p>
            <w:pPr>
              <w:jc w:val="center"/>
              <w:rPr>
                <w:rFonts w:ascii="宋体" w:hAnsi="宋体" w:cs="宋体"/>
                <w:b/>
                <w:highlight w:val="none"/>
              </w:rPr>
            </w:pPr>
            <w:r>
              <w:rPr>
                <w:rFonts w:hint="eastAsia" w:ascii="宋体" w:hAnsi="宋体" w:cs="宋体"/>
                <w:b/>
                <w:highlight w:val="none"/>
              </w:rPr>
              <w:t>据</w:t>
            </w:r>
          </w:p>
          <w:p>
            <w:pPr>
              <w:jc w:val="center"/>
              <w:rPr>
                <w:rFonts w:ascii="宋体" w:hAnsi="宋体" w:cs="宋体"/>
                <w:b/>
                <w:highlight w:val="none"/>
              </w:rPr>
            </w:pPr>
            <w:r>
              <w:rPr>
                <w:rFonts w:hint="eastAsia" w:ascii="宋体" w:hAnsi="宋体" w:cs="宋体"/>
                <w:b/>
                <w:highlight w:val="none"/>
              </w:rPr>
              <w:t>磋商响应文</w:t>
            </w:r>
          </w:p>
          <w:p>
            <w:pPr>
              <w:jc w:val="center"/>
              <w:rPr>
                <w:rFonts w:ascii="宋体" w:hAnsi="宋体" w:cs="宋体"/>
                <w:b/>
                <w:highlight w:val="none"/>
              </w:rPr>
            </w:pPr>
            <w:r>
              <w:rPr>
                <w:rFonts w:hint="eastAsia" w:ascii="宋体" w:hAnsi="宋体" w:cs="宋体"/>
                <w:b/>
                <w:highlight w:val="none"/>
              </w:rPr>
              <w:t>件</w:t>
            </w:r>
          </w:p>
          <w:p>
            <w:pPr>
              <w:jc w:val="center"/>
              <w:rPr>
                <w:rFonts w:ascii="宋体" w:hAnsi="宋体" w:cs="宋体"/>
                <w:b/>
                <w:highlight w:val="none"/>
              </w:rPr>
            </w:pPr>
            <w:r>
              <w:rPr>
                <w:rFonts w:hint="eastAsia" w:ascii="宋体" w:hAnsi="宋体" w:cs="宋体"/>
                <w:b/>
                <w:highlight w:val="none"/>
              </w:rPr>
              <w:t>的</w:t>
            </w:r>
          </w:p>
          <w:p>
            <w:pPr>
              <w:jc w:val="center"/>
              <w:rPr>
                <w:rFonts w:ascii="宋体" w:hAnsi="宋体" w:cs="宋体"/>
                <w:b/>
                <w:highlight w:val="none"/>
              </w:rPr>
            </w:pPr>
            <w:r>
              <w:rPr>
                <w:rFonts w:hint="eastAsia" w:ascii="宋体" w:hAnsi="宋体" w:cs="宋体"/>
                <w:b/>
                <w:highlight w:val="none"/>
              </w:rPr>
              <w:t>响</w:t>
            </w:r>
          </w:p>
          <w:p>
            <w:pPr>
              <w:jc w:val="center"/>
              <w:rPr>
                <w:rFonts w:ascii="宋体" w:hAnsi="宋体" w:cs="宋体"/>
                <w:b/>
                <w:highlight w:val="none"/>
              </w:rPr>
            </w:pPr>
            <w:r>
              <w:rPr>
                <w:rFonts w:hint="eastAsia" w:ascii="宋体" w:hAnsi="宋体" w:cs="宋体"/>
                <w:b/>
                <w:highlight w:val="none"/>
              </w:rPr>
              <w:t>应</w:t>
            </w:r>
          </w:p>
          <w:p>
            <w:pPr>
              <w:jc w:val="center"/>
              <w:rPr>
                <w:rFonts w:ascii="宋体" w:hAnsi="宋体" w:cs="宋体"/>
                <w:b/>
                <w:highlight w:val="none"/>
              </w:rPr>
            </w:pPr>
            <w:r>
              <w:rPr>
                <w:rFonts w:hint="eastAsia" w:ascii="宋体" w:hAnsi="宋体" w:cs="宋体"/>
                <w:b/>
                <w:highlight w:val="none"/>
              </w:rPr>
              <w:t>程</w:t>
            </w:r>
          </w:p>
          <w:p>
            <w:pPr>
              <w:jc w:val="center"/>
              <w:rPr>
                <w:rFonts w:ascii="宋体" w:hAnsi="宋体" w:cs="宋体"/>
                <w:b/>
                <w:highlight w:val="none"/>
              </w:rPr>
            </w:pPr>
            <w:r>
              <w:rPr>
                <w:rFonts w:hint="eastAsia" w:ascii="宋体" w:hAnsi="宋体" w:cs="宋体"/>
                <w:b/>
                <w:highlight w:val="none"/>
              </w:rPr>
              <w:t>度</w:t>
            </w:r>
          </w:p>
          <w:p>
            <w:pPr>
              <w:jc w:val="center"/>
              <w:rPr>
                <w:rFonts w:ascii="宋体" w:hAnsi="宋体" w:cs="宋体"/>
                <w:b/>
                <w:highlight w:val="none"/>
              </w:rPr>
            </w:pPr>
            <w:r>
              <w:rPr>
                <w:rFonts w:hint="eastAsia" w:ascii="宋体" w:hAnsi="宋体" w:cs="宋体"/>
                <w:b/>
                <w:highlight w:val="none"/>
              </w:rPr>
              <w:t>，</w:t>
            </w:r>
          </w:p>
          <w:p>
            <w:pPr>
              <w:jc w:val="center"/>
              <w:rPr>
                <w:rFonts w:ascii="宋体" w:hAnsi="宋体" w:cs="宋体"/>
                <w:b/>
                <w:highlight w:val="none"/>
              </w:rPr>
            </w:pPr>
            <w:r>
              <w:rPr>
                <w:rFonts w:hint="eastAsia" w:ascii="宋体" w:hAnsi="宋体" w:cs="宋体"/>
                <w:b/>
                <w:highlight w:val="none"/>
              </w:rPr>
              <w:t>按</w:t>
            </w:r>
          </w:p>
          <w:p>
            <w:pPr>
              <w:jc w:val="center"/>
              <w:rPr>
                <w:rFonts w:ascii="宋体" w:hAnsi="宋体" w:cs="宋体"/>
                <w:b/>
                <w:highlight w:val="none"/>
              </w:rPr>
            </w:pPr>
            <w:r>
              <w:rPr>
                <w:rFonts w:hint="eastAsia" w:ascii="宋体" w:hAnsi="宋体" w:cs="宋体"/>
                <w:b/>
                <w:highlight w:val="none"/>
              </w:rPr>
              <w:t>差</w:t>
            </w:r>
          </w:p>
          <w:p>
            <w:pPr>
              <w:jc w:val="center"/>
              <w:rPr>
                <w:rFonts w:ascii="宋体" w:hAnsi="宋体" w:cs="宋体"/>
                <w:b/>
                <w:highlight w:val="none"/>
              </w:rPr>
            </w:pPr>
            <w:r>
              <w:rPr>
                <w:rFonts w:hint="eastAsia" w:ascii="宋体" w:hAnsi="宋体" w:cs="宋体"/>
                <w:b/>
                <w:highlight w:val="none"/>
              </w:rPr>
              <w:t>别</w:t>
            </w:r>
          </w:p>
          <w:p>
            <w:pPr>
              <w:jc w:val="center"/>
              <w:rPr>
                <w:rFonts w:ascii="宋体" w:hAnsi="宋体" w:cs="宋体"/>
                <w:b/>
                <w:highlight w:val="none"/>
              </w:rPr>
            </w:pPr>
            <w:r>
              <w:rPr>
                <w:rFonts w:hint="eastAsia" w:ascii="宋体" w:hAnsi="宋体" w:cs="宋体"/>
                <w:b/>
                <w:highlight w:val="none"/>
              </w:rPr>
              <w:t>计</w:t>
            </w:r>
          </w:p>
          <w:p>
            <w:pPr>
              <w:jc w:val="center"/>
              <w:rPr>
                <w:rFonts w:ascii="宋体" w:hAnsi="宋体" w:cs="宋体"/>
                <w:b/>
                <w:highlight w:val="none"/>
              </w:rPr>
            </w:pPr>
            <w:r>
              <w:rPr>
                <w:rFonts w:hint="eastAsia" w:ascii="宋体" w:hAnsi="宋体" w:cs="宋体"/>
                <w:b/>
                <w:highlight w:val="none"/>
              </w:rPr>
              <w:t>分</w:t>
            </w:r>
          </w:p>
          <w:p>
            <w:pPr>
              <w:jc w:val="center"/>
              <w:rPr>
                <w:rFonts w:ascii="宋体" w:hAnsi="宋体" w:cs="宋体"/>
                <w:b/>
                <w:highlight w:val="none"/>
              </w:rPr>
            </w:pPr>
            <w:r>
              <w:rPr>
                <w:rFonts w:hint="eastAsia" w:ascii="宋体" w:hAnsi="宋体" w:cs="宋体"/>
                <w:b/>
                <w:highlight w:val="none"/>
              </w:rPr>
              <w:t>。</w:t>
            </w:r>
          </w:p>
          <w:p>
            <w:pPr>
              <w:jc w:val="center"/>
              <w:rPr>
                <w:rFonts w:ascii="宋体" w:hAnsi="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r>
              <w:rPr>
                <w:rFonts w:hint="eastAsia" w:ascii="宋体" w:hAnsi="宋体" w:cs="宋体"/>
                <w:b w:val="0"/>
                <w:bCs/>
                <w:highlight w:val="none"/>
              </w:rPr>
              <w:t>价格评审</w:t>
            </w:r>
            <w:r>
              <w:rPr>
                <w:rFonts w:ascii="宋体" w:hAnsi="宋体" w:cs="宋体"/>
                <w:b w:val="0"/>
                <w:bCs/>
                <w:highlight w:val="none"/>
              </w:rPr>
              <w:t>(P)</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r>
              <w:rPr>
                <w:rFonts w:hint="eastAsia" w:ascii="宋体" w:hAnsi="宋体" w:cs="宋体"/>
                <w:b w:val="0"/>
                <w:bCs/>
                <w:highlight w:val="none"/>
                <w:lang w:val="en-US" w:eastAsia="zh-CN"/>
              </w:rPr>
              <w:t>30</w:t>
            </w:r>
            <w:r>
              <w:rPr>
                <w:rFonts w:hint="eastAsia" w:ascii="宋体" w:hAnsi="宋体" w:cs="宋体"/>
                <w:b w:val="0"/>
                <w:bCs/>
                <w:highlight w:val="none"/>
              </w:rPr>
              <w:t>分</w:t>
            </w:r>
          </w:p>
        </w:tc>
        <w:tc>
          <w:tcPr>
            <w:tcW w:w="679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r>
              <w:rPr>
                <w:rFonts w:ascii="宋体" w:hAnsi="宋体" w:cs="宋体"/>
                <w:b w:val="0"/>
                <w:bCs/>
                <w:highlight w:val="none"/>
              </w:rPr>
              <w:t>1.</w:t>
            </w:r>
            <w:r>
              <w:rPr>
                <w:rFonts w:hint="eastAsia" w:ascii="宋体" w:hAnsi="宋体" w:cs="宋体"/>
                <w:b w:val="0"/>
                <w:bCs/>
                <w:highlight w:val="none"/>
              </w:rPr>
              <w:t>经初审合格的磋商响应文件，其磋商报价为有效磋商报价，对符合政策性扣减的供应商的有效磋商价格进行政策性扣减，并依据扣减后的价格（评审价格）进行价格评审。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r>
              <w:rPr>
                <w:rFonts w:ascii="宋体" w:hAnsi="宋体" w:cs="宋体"/>
                <w:b w:val="0"/>
                <w:bCs/>
                <w:highlight w:val="none"/>
              </w:rPr>
              <w:t>2.</w:t>
            </w:r>
            <w:r>
              <w:rPr>
                <w:rFonts w:hint="eastAsia" w:ascii="宋体" w:hAnsi="宋体" w:cs="宋体"/>
                <w:b w:val="0"/>
                <w:bCs/>
                <w:highlight w:val="none"/>
              </w:rPr>
              <w:t>满足磋商文件实质性要求且最终报价最低的供应商的价格为磋商基准价，其价格分为满分</w:t>
            </w:r>
            <w:r>
              <w:rPr>
                <w:rFonts w:hint="eastAsia" w:ascii="宋体" w:hAnsi="宋体" w:cs="宋体"/>
                <w:b w:val="0"/>
                <w:bCs/>
                <w:highlight w:val="none"/>
                <w:lang w:val="en-US" w:eastAsia="zh-CN"/>
              </w:rPr>
              <w:t>30</w:t>
            </w:r>
            <w:r>
              <w:rPr>
                <w:rFonts w:hint="eastAsia" w:ascii="宋体" w:hAnsi="宋体" w:cs="宋体"/>
                <w:b w:val="0"/>
                <w:bCs/>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r>
              <w:rPr>
                <w:rFonts w:ascii="宋体" w:hAnsi="宋体" w:cs="宋体"/>
                <w:b w:val="0"/>
                <w:bCs/>
                <w:highlight w:val="none"/>
              </w:rPr>
              <w:t>3.</w:t>
            </w:r>
            <w:r>
              <w:rPr>
                <w:rFonts w:hint="eastAsia" w:ascii="宋体" w:hAnsi="宋体" w:cs="宋体"/>
                <w:b w:val="0"/>
                <w:bCs/>
                <w:highlight w:val="none"/>
              </w:rPr>
              <w:t>磋商报价得分</w:t>
            </w:r>
            <w:r>
              <w:rPr>
                <w:rFonts w:ascii="宋体" w:hAnsi="宋体" w:cs="宋体"/>
                <w:b w:val="0"/>
                <w:bCs/>
                <w:highlight w:val="none"/>
              </w:rPr>
              <w:t>=</w:t>
            </w:r>
            <w:r>
              <w:rPr>
                <w:rFonts w:hint="eastAsia" w:ascii="宋体" w:hAnsi="宋体" w:cs="宋体"/>
                <w:b w:val="0"/>
                <w:bCs/>
                <w:highlight w:val="none"/>
              </w:rPr>
              <w:t>（磋商基准价</w:t>
            </w:r>
            <w:r>
              <w:rPr>
                <w:rFonts w:ascii="宋体" w:hAnsi="宋体" w:cs="宋体"/>
                <w:b w:val="0"/>
                <w:bCs/>
                <w:highlight w:val="none"/>
              </w:rPr>
              <w:t>/</w:t>
            </w:r>
            <w:r>
              <w:rPr>
                <w:rFonts w:hint="eastAsia" w:ascii="宋体" w:hAnsi="宋体" w:cs="宋体"/>
                <w:b w:val="0"/>
                <w:bCs/>
                <w:highlight w:val="none"/>
              </w:rPr>
              <w:t>最终磋商报价）×</w:t>
            </w:r>
            <w:r>
              <w:rPr>
                <w:rFonts w:hint="eastAsia" w:ascii="宋体" w:hAnsi="宋体" w:cs="宋体"/>
                <w:b w:val="0"/>
                <w:bCs/>
                <w:highlight w:val="none"/>
                <w:lang w:val="en-US" w:eastAsia="zh-CN"/>
              </w:rPr>
              <w:t>30</w:t>
            </w:r>
            <w:r>
              <w:rPr>
                <w:rFonts w:hint="eastAsia" w:ascii="宋体" w:hAnsi="宋体" w:cs="宋体"/>
                <w:b w:val="0"/>
                <w:bCs/>
                <w:highlight w:val="none"/>
              </w:rPr>
              <w:t>的公式计算得分。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r>
              <w:rPr>
                <w:rFonts w:ascii="宋体" w:hAnsi="宋体" w:cs="宋体"/>
                <w:b w:val="0"/>
                <w:bCs/>
                <w:highlight w:val="none"/>
              </w:rPr>
              <w:t>4.</w:t>
            </w:r>
            <w:r>
              <w:rPr>
                <w:rFonts w:hint="eastAsia" w:ascii="宋体" w:hAnsi="宋体" w:cs="宋体"/>
                <w:b w:val="0"/>
                <w:bCs/>
                <w:highlight w:val="none"/>
              </w:rPr>
              <w:t>磋商报价不完整的，不进入评标基准价的计算，本项得</w:t>
            </w:r>
            <w:r>
              <w:rPr>
                <w:rFonts w:ascii="宋体" w:hAnsi="宋体" w:cs="宋体"/>
                <w:b w:val="0"/>
                <w:bCs/>
                <w:highlight w:val="none"/>
              </w:rPr>
              <w:t>0</w:t>
            </w:r>
            <w:r>
              <w:rPr>
                <w:rFonts w:hint="eastAsia" w:ascii="宋体" w:hAnsi="宋体" w:cs="宋体"/>
                <w:b w:val="0"/>
                <w:bCs/>
                <w:highlight w:val="none"/>
              </w:rPr>
              <w:t>分。</w:t>
            </w:r>
          </w:p>
        </w:tc>
        <w:tc>
          <w:tcPr>
            <w:tcW w:w="782" w:type="dxa"/>
            <w:vAlign w:val="center"/>
          </w:tcPr>
          <w:p>
            <w:pPr>
              <w:jc w:val="left"/>
              <w:rPr>
                <w:rFonts w:ascii="宋体" w:hAnsi="宋体" w:cs="宋体"/>
                <w:b w:val="0"/>
                <w:bCs/>
                <w:highlight w:val="none"/>
              </w:rPr>
            </w:pPr>
            <w:r>
              <w:rPr>
                <w:rFonts w:hint="eastAsia" w:ascii="宋体" w:hAnsi="宋体" w:cs="宋体"/>
                <w:b w:val="0"/>
                <w:bCs/>
                <w:highlight w:val="none"/>
                <w:lang w:val="en-US" w:eastAsia="zh-CN"/>
              </w:rPr>
              <w:t>30</w:t>
            </w:r>
            <w:r>
              <w:rPr>
                <w:rFonts w:hint="eastAsia" w:ascii="宋体" w:hAnsi="宋体" w:cs="宋体"/>
                <w:b w:val="0"/>
                <w:bCs/>
                <w:highlight w:val="none"/>
              </w:rPr>
              <w:t>分</w:t>
            </w:r>
          </w:p>
        </w:tc>
        <w:tc>
          <w:tcPr>
            <w:tcW w:w="533" w:type="dxa"/>
            <w:vMerge w:val="continue"/>
            <w:vAlign w:val="center"/>
          </w:tcPr>
          <w:p>
            <w:pPr>
              <w:jc w:val="left"/>
              <w:rPr>
                <w:rFonts w:ascii="宋体" w:hAnsi="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val="0"/>
                <w:bCs/>
                <w:highlight w:val="none"/>
              </w:rPr>
            </w:pPr>
            <w:r>
              <w:rPr>
                <w:rFonts w:hint="eastAsia" w:ascii="宋体" w:hAnsi="宋体" w:cs="宋体"/>
                <w:b w:val="0"/>
                <w:bCs/>
                <w:highlight w:val="none"/>
              </w:rPr>
              <w:t>技术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val="0"/>
                <w:bCs/>
                <w:highlight w:val="none"/>
              </w:rPr>
            </w:pPr>
            <w:r>
              <w:rPr>
                <w:rFonts w:hint="eastAsia" w:ascii="宋体" w:hAnsi="宋体" w:cs="宋体"/>
                <w:b w:val="0"/>
                <w:bCs/>
                <w:highlight w:val="none"/>
              </w:rPr>
              <w:t>评审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val="0"/>
                <w:bCs/>
                <w:highlight w:val="none"/>
              </w:rPr>
            </w:pPr>
            <w:r>
              <w:rPr>
                <w:rFonts w:hint="eastAsia" w:ascii="宋体" w:hAnsi="宋体" w:cs="宋体"/>
                <w:b w:val="0"/>
                <w:bCs/>
                <w:highlight w:val="none"/>
              </w:rPr>
              <w:t>（</w:t>
            </w:r>
            <w:r>
              <w:rPr>
                <w:rFonts w:ascii="宋体" w:hAnsi="宋体" w:cs="宋体"/>
                <w:b w:val="0"/>
                <w:bCs/>
                <w:highlight w:val="none"/>
              </w:rPr>
              <w:t>G</w:t>
            </w:r>
            <w:r>
              <w:rPr>
                <w:rFonts w:hint="eastAsia" w:ascii="宋体" w:hAnsi="宋体" w:cs="宋体"/>
                <w:b w:val="0"/>
                <w:bCs/>
                <w:highlight w:val="none"/>
              </w:rPr>
              <w:t>）</w:t>
            </w:r>
          </w:p>
        </w:tc>
        <w:tc>
          <w:tcPr>
            <w:tcW w:w="8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r>
              <w:rPr>
                <w:rFonts w:hint="eastAsia" w:ascii="宋体" w:hAnsi="宋体" w:cs="宋体"/>
                <w:b w:val="0"/>
                <w:bCs/>
                <w:highlight w:val="none"/>
                <w:lang w:val="en-US" w:eastAsia="zh-CN"/>
              </w:rPr>
              <w:t>60</w:t>
            </w:r>
            <w:r>
              <w:rPr>
                <w:rFonts w:hint="eastAsia" w:ascii="宋体" w:hAnsi="宋体" w:cs="宋体"/>
                <w:b w:val="0"/>
                <w:bCs/>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highlight w:val="none"/>
              </w:rPr>
            </w:pPr>
            <w:r>
              <w:rPr>
                <w:rFonts w:hint="default" w:ascii="宋体" w:hAnsi="宋体" w:eastAsia="宋体" w:cs="宋体"/>
                <w:b w:val="0"/>
                <w:bCs/>
                <w:highlight w:val="none"/>
              </w:rPr>
              <w:t>①</w:t>
            </w:r>
          </w:p>
        </w:tc>
        <w:tc>
          <w:tcPr>
            <w:tcW w:w="61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r>
              <w:rPr>
                <w:rFonts w:hint="eastAsia" w:ascii="宋体" w:hAnsi="宋体" w:cs="宋体"/>
                <w:b w:val="0"/>
                <w:bCs/>
                <w:highlight w:val="none"/>
                <w:lang w:eastAsia="zh-CN"/>
              </w:rPr>
              <w:t>实施</w:t>
            </w:r>
            <w:r>
              <w:rPr>
                <w:rFonts w:hint="eastAsia" w:ascii="宋体" w:hAnsi="宋体" w:cs="宋体"/>
                <w:b w:val="0"/>
                <w:bCs/>
                <w:highlight w:val="none"/>
              </w:rPr>
              <w:t>方案：根据供应商针对本项目的实施方案</w:t>
            </w:r>
            <w:r>
              <w:rPr>
                <w:rFonts w:ascii="宋体" w:hAnsi="宋体" w:cs="宋体"/>
                <w:b w:val="0"/>
                <w:bCs/>
                <w:highlight w:val="none"/>
              </w:rPr>
              <w:t>,</w:t>
            </w:r>
            <w:r>
              <w:rPr>
                <w:rFonts w:hint="eastAsia" w:ascii="宋体" w:hAnsi="宋体" w:cs="宋体"/>
                <w:b w:val="0"/>
                <w:bCs/>
                <w:highlight w:val="none"/>
              </w:rPr>
              <w:t>进度计划等响应情况进行</w:t>
            </w:r>
            <w:r>
              <w:rPr>
                <w:rFonts w:hint="eastAsia" w:ascii="宋体" w:hAnsi="宋体" w:cs="宋体"/>
                <w:b w:val="0"/>
                <w:bCs/>
                <w:highlight w:val="none"/>
                <w:lang w:eastAsia="zh-CN"/>
              </w:rPr>
              <w:t>综合</w:t>
            </w:r>
            <w:r>
              <w:rPr>
                <w:rFonts w:hint="eastAsia" w:ascii="宋体" w:hAnsi="宋体" w:cs="宋体"/>
                <w:b w:val="0"/>
                <w:bCs/>
                <w:highlight w:val="none"/>
              </w:rPr>
              <w:t>比较：优得</w:t>
            </w:r>
            <w:r>
              <w:rPr>
                <w:rFonts w:ascii="宋体" w:hAnsi="宋体" w:cs="宋体"/>
                <w:b w:val="0"/>
                <w:bCs/>
                <w:highlight w:val="none"/>
              </w:rPr>
              <w:t>10—15</w:t>
            </w:r>
            <w:r>
              <w:rPr>
                <w:rFonts w:hint="eastAsia" w:ascii="宋体" w:hAnsi="宋体" w:cs="宋体"/>
                <w:b w:val="0"/>
                <w:bCs/>
                <w:highlight w:val="none"/>
              </w:rPr>
              <w:t>分，一般得</w:t>
            </w:r>
            <w:r>
              <w:rPr>
                <w:rFonts w:ascii="宋体" w:hAnsi="宋体" w:cs="宋体"/>
                <w:b w:val="0"/>
                <w:bCs/>
                <w:highlight w:val="none"/>
              </w:rPr>
              <w:t>5—10(</w:t>
            </w:r>
            <w:r>
              <w:rPr>
                <w:rFonts w:hint="eastAsia" w:ascii="宋体" w:hAnsi="宋体" w:cs="宋体"/>
                <w:b w:val="0"/>
                <w:bCs/>
                <w:highlight w:val="none"/>
              </w:rPr>
              <w:t>不含</w:t>
            </w:r>
            <w:r>
              <w:rPr>
                <w:rFonts w:ascii="宋体" w:hAnsi="宋体" w:cs="宋体"/>
                <w:b w:val="0"/>
                <w:bCs/>
                <w:highlight w:val="none"/>
              </w:rPr>
              <w:t>)</w:t>
            </w:r>
            <w:r>
              <w:rPr>
                <w:rFonts w:hint="eastAsia" w:ascii="宋体" w:hAnsi="宋体" w:cs="宋体"/>
                <w:b w:val="0"/>
                <w:bCs/>
                <w:highlight w:val="none"/>
              </w:rPr>
              <w:t>分，差得</w:t>
            </w:r>
            <w:r>
              <w:rPr>
                <w:rFonts w:ascii="宋体" w:hAnsi="宋体" w:cs="宋体"/>
                <w:b w:val="0"/>
                <w:bCs/>
                <w:highlight w:val="none"/>
              </w:rPr>
              <w:t>0—5</w:t>
            </w:r>
            <w:r>
              <w:rPr>
                <w:rFonts w:hint="eastAsia" w:ascii="宋体" w:hAnsi="宋体" w:cs="宋体"/>
                <w:b w:val="0"/>
                <w:bCs/>
                <w:highlight w:val="none"/>
              </w:rPr>
              <w:t>（不含）分。</w:t>
            </w:r>
          </w:p>
        </w:tc>
        <w:tc>
          <w:tcPr>
            <w:tcW w:w="782" w:type="dxa"/>
            <w:vAlign w:val="center"/>
          </w:tcPr>
          <w:p>
            <w:pPr>
              <w:jc w:val="left"/>
              <w:rPr>
                <w:rFonts w:ascii="宋体" w:hAnsi="宋体" w:cs="宋体"/>
                <w:b w:val="0"/>
                <w:bCs/>
                <w:highlight w:val="none"/>
              </w:rPr>
            </w:pPr>
            <w:r>
              <w:rPr>
                <w:rFonts w:ascii="宋体" w:hAnsi="宋体" w:cs="宋体"/>
                <w:b w:val="0"/>
                <w:bCs/>
                <w:highlight w:val="none"/>
              </w:rPr>
              <w:t>15</w:t>
            </w:r>
            <w:r>
              <w:rPr>
                <w:rFonts w:hint="eastAsia" w:ascii="宋体" w:hAnsi="宋体" w:cs="宋体"/>
                <w:b w:val="0"/>
                <w:bCs/>
                <w:highlight w:val="none"/>
              </w:rPr>
              <w:t>分</w:t>
            </w:r>
          </w:p>
        </w:tc>
        <w:tc>
          <w:tcPr>
            <w:tcW w:w="533" w:type="dxa"/>
            <w:vMerge w:val="continue"/>
            <w:vAlign w:val="center"/>
          </w:tcPr>
          <w:p>
            <w:pPr>
              <w:jc w:val="left"/>
              <w:rPr>
                <w:rFonts w:ascii="宋体" w:hAnsi="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p>
        </w:tc>
        <w:tc>
          <w:tcPr>
            <w:tcW w:w="8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highlight w:val="none"/>
              </w:rPr>
            </w:pPr>
            <w:r>
              <w:rPr>
                <w:rFonts w:hint="default" w:ascii="宋体" w:hAnsi="宋体" w:eastAsia="宋体" w:cs="宋体"/>
                <w:b w:val="0"/>
                <w:bCs/>
                <w:highlight w:val="none"/>
              </w:rPr>
              <w:t>②</w:t>
            </w:r>
          </w:p>
        </w:tc>
        <w:tc>
          <w:tcPr>
            <w:tcW w:w="61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r>
              <w:rPr>
                <w:rFonts w:hint="eastAsia" w:ascii="宋体" w:hAnsi="宋体" w:cs="宋体"/>
                <w:b w:val="0"/>
                <w:bCs/>
                <w:highlight w:val="none"/>
              </w:rPr>
              <w:t>项目组成人员：根据各供应商拟投入本项目人员配置情况及组织机构设置情况进行</w:t>
            </w:r>
            <w:r>
              <w:rPr>
                <w:rFonts w:hint="eastAsia" w:ascii="宋体" w:hAnsi="宋体" w:cs="宋体"/>
                <w:b w:val="0"/>
                <w:bCs/>
                <w:highlight w:val="none"/>
                <w:lang w:eastAsia="zh-CN"/>
              </w:rPr>
              <w:t>综合</w:t>
            </w:r>
            <w:r>
              <w:rPr>
                <w:rFonts w:hint="eastAsia" w:ascii="宋体" w:hAnsi="宋体" w:cs="宋体"/>
                <w:b w:val="0"/>
                <w:bCs/>
                <w:highlight w:val="none"/>
              </w:rPr>
              <w:t>比较：优得</w:t>
            </w:r>
            <w:r>
              <w:rPr>
                <w:rFonts w:ascii="宋体" w:hAnsi="宋体" w:cs="宋体"/>
                <w:b w:val="0"/>
                <w:bCs/>
                <w:highlight w:val="none"/>
              </w:rPr>
              <w:t>10—15</w:t>
            </w:r>
            <w:r>
              <w:rPr>
                <w:rFonts w:hint="eastAsia" w:ascii="宋体" w:hAnsi="宋体" w:cs="宋体"/>
                <w:b w:val="0"/>
                <w:bCs/>
                <w:highlight w:val="none"/>
              </w:rPr>
              <w:t>分，一般得</w:t>
            </w:r>
            <w:r>
              <w:rPr>
                <w:rFonts w:ascii="宋体" w:hAnsi="宋体" w:cs="宋体"/>
                <w:b w:val="0"/>
                <w:bCs/>
                <w:highlight w:val="none"/>
              </w:rPr>
              <w:t>5—10(</w:t>
            </w:r>
            <w:r>
              <w:rPr>
                <w:rFonts w:hint="eastAsia" w:ascii="宋体" w:hAnsi="宋体" w:cs="宋体"/>
                <w:b w:val="0"/>
                <w:bCs/>
                <w:highlight w:val="none"/>
              </w:rPr>
              <w:t>不含</w:t>
            </w:r>
            <w:r>
              <w:rPr>
                <w:rFonts w:ascii="宋体" w:hAnsi="宋体" w:cs="宋体"/>
                <w:b w:val="0"/>
                <w:bCs/>
                <w:highlight w:val="none"/>
              </w:rPr>
              <w:t>)</w:t>
            </w:r>
            <w:r>
              <w:rPr>
                <w:rFonts w:hint="eastAsia" w:ascii="宋体" w:hAnsi="宋体" w:cs="宋体"/>
                <w:b w:val="0"/>
                <w:bCs/>
                <w:highlight w:val="none"/>
              </w:rPr>
              <w:t>分，差得</w:t>
            </w:r>
            <w:r>
              <w:rPr>
                <w:rFonts w:ascii="宋体" w:hAnsi="宋体" w:cs="宋体"/>
                <w:b w:val="0"/>
                <w:bCs/>
                <w:highlight w:val="none"/>
              </w:rPr>
              <w:t>0—5</w:t>
            </w:r>
            <w:r>
              <w:rPr>
                <w:rFonts w:hint="eastAsia" w:ascii="宋体" w:hAnsi="宋体" w:cs="宋体"/>
                <w:b w:val="0"/>
                <w:bCs/>
                <w:highlight w:val="none"/>
              </w:rPr>
              <w:t>（不含）分。</w:t>
            </w:r>
          </w:p>
        </w:tc>
        <w:tc>
          <w:tcPr>
            <w:tcW w:w="782" w:type="dxa"/>
            <w:vAlign w:val="center"/>
          </w:tcPr>
          <w:p>
            <w:pPr>
              <w:jc w:val="left"/>
              <w:rPr>
                <w:rFonts w:ascii="宋体" w:hAnsi="宋体" w:cs="宋体"/>
                <w:b w:val="0"/>
                <w:bCs/>
                <w:highlight w:val="none"/>
              </w:rPr>
            </w:pPr>
            <w:r>
              <w:rPr>
                <w:rFonts w:ascii="宋体" w:hAnsi="宋体" w:cs="宋体"/>
                <w:b w:val="0"/>
                <w:bCs/>
                <w:highlight w:val="none"/>
              </w:rPr>
              <w:t>1</w:t>
            </w:r>
            <w:r>
              <w:rPr>
                <w:rFonts w:hint="eastAsia" w:ascii="宋体" w:hAnsi="宋体" w:cs="宋体"/>
                <w:b w:val="0"/>
                <w:bCs/>
                <w:highlight w:val="none"/>
                <w:lang w:val="en-US" w:eastAsia="zh-CN"/>
              </w:rPr>
              <w:t>5</w:t>
            </w:r>
            <w:r>
              <w:rPr>
                <w:rFonts w:hint="eastAsia" w:ascii="宋体" w:hAnsi="宋体" w:cs="宋体"/>
                <w:b w:val="0"/>
                <w:bCs/>
                <w:highlight w:val="none"/>
              </w:rPr>
              <w:t>分</w:t>
            </w:r>
          </w:p>
        </w:tc>
        <w:tc>
          <w:tcPr>
            <w:tcW w:w="533" w:type="dxa"/>
            <w:vMerge w:val="continue"/>
            <w:vAlign w:val="center"/>
          </w:tcPr>
          <w:p>
            <w:pPr>
              <w:jc w:val="left"/>
              <w:rPr>
                <w:rFonts w:ascii="宋体" w:hAnsi="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p>
        </w:tc>
        <w:tc>
          <w:tcPr>
            <w:tcW w:w="8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highlight w:val="none"/>
              </w:rPr>
            </w:pPr>
            <w:r>
              <w:rPr>
                <w:rFonts w:hint="default" w:ascii="宋体" w:hAnsi="宋体" w:eastAsia="宋体" w:cs="宋体"/>
                <w:b w:val="0"/>
                <w:bCs/>
                <w:highlight w:val="none"/>
              </w:rPr>
              <w:t>③</w:t>
            </w:r>
          </w:p>
        </w:tc>
        <w:tc>
          <w:tcPr>
            <w:tcW w:w="61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r>
              <w:rPr>
                <w:rFonts w:hint="eastAsia" w:ascii="宋体" w:hAnsi="宋体" w:cs="宋体"/>
                <w:b w:val="0"/>
                <w:bCs/>
                <w:highlight w:val="none"/>
              </w:rPr>
              <w:t>拟投入</w:t>
            </w:r>
            <w:r>
              <w:rPr>
                <w:rFonts w:hint="eastAsia" w:ascii="宋体" w:hAnsi="宋体" w:cs="宋体"/>
                <w:b w:val="0"/>
                <w:bCs/>
                <w:highlight w:val="none"/>
                <w:lang w:eastAsia="zh-CN"/>
              </w:rPr>
              <w:t>设施</w:t>
            </w:r>
            <w:r>
              <w:rPr>
                <w:rFonts w:hint="eastAsia" w:ascii="宋体" w:hAnsi="宋体" w:cs="宋体"/>
                <w:b w:val="0"/>
                <w:bCs/>
                <w:highlight w:val="none"/>
              </w:rPr>
              <w:t>设备：根据各供应商拟投入本项目</w:t>
            </w:r>
            <w:r>
              <w:rPr>
                <w:rFonts w:hint="eastAsia" w:ascii="宋体" w:hAnsi="宋体" w:cs="宋体"/>
                <w:b w:val="0"/>
                <w:bCs/>
                <w:highlight w:val="none"/>
                <w:lang w:eastAsia="zh-CN"/>
              </w:rPr>
              <w:t>清运设施</w:t>
            </w:r>
            <w:r>
              <w:rPr>
                <w:rFonts w:hint="eastAsia" w:ascii="宋体" w:hAnsi="宋体" w:cs="宋体"/>
                <w:b w:val="0"/>
                <w:bCs/>
                <w:highlight w:val="none"/>
              </w:rPr>
              <w:t>设备情况进行</w:t>
            </w:r>
            <w:r>
              <w:rPr>
                <w:rFonts w:hint="eastAsia" w:ascii="宋体" w:hAnsi="宋体" w:cs="宋体"/>
                <w:b w:val="0"/>
                <w:bCs/>
                <w:highlight w:val="none"/>
                <w:lang w:eastAsia="zh-CN"/>
              </w:rPr>
              <w:t>综合</w:t>
            </w:r>
            <w:r>
              <w:rPr>
                <w:rFonts w:hint="eastAsia" w:ascii="宋体" w:hAnsi="宋体" w:cs="宋体"/>
                <w:b w:val="0"/>
                <w:bCs/>
                <w:highlight w:val="none"/>
              </w:rPr>
              <w:t>比较：优得</w:t>
            </w:r>
            <w:r>
              <w:rPr>
                <w:rFonts w:ascii="宋体" w:hAnsi="宋体" w:cs="宋体"/>
                <w:b w:val="0"/>
                <w:bCs/>
                <w:highlight w:val="none"/>
              </w:rPr>
              <w:t>10—15</w:t>
            </w:r>
            <w:r>
              <w:rPr>
                <w:rFonts w:hint="eastAsia" w:ascii="宋体" w:hAnsi="宋体" w:cs="宋体"/>
                <w:b w:val="0"/>
                <w:bCs/>
                <w:highlight w:val="none"/>
              </w:rPr>
              <w:t>分，一般得</w:t>
            </w:r>
            <w:r>
              <w:rPr>
                <w:rFonts w:ascii="宋体" w:hAnsi="宋体" w:cs="宋体"/>
                <w:b w:val="0"/>
                <w:bCs/>
                <w:highlight w:val="none"/>
              </w:rPr>
              <w:t>5—10(</w:t>
            </w:r>
            <w:r>
              <w:rPr>
                <w:rFonts w:hint="eastAsia" w:ascii="宋体" w:hAnsi="宋体" w:cs="宋体"/>
                <w:b w:val="0"/>
                <w:bCs/>
                <w:highlight w:val="none"/>
              </w:rPr>
              <w:t>不含</w:t>
            </w:r>
            <w:r>
              <w:rPr>
                <w:rFonts w:ascii="宋体" w:hAnsi="宋体" w:cs="宋体"/>
                <w:b w:val="0"/>
                <w:bCs/>
                <w:highlight w:val="none"/>
              </w:rPr>
              <w:t>)</w:t>
            </w:r>
            <w:r>
              <w:rPr>
                <w:rFonts w:hint="eastAsia" w:ascii="宋体" w:hAnsi="宋体" w:cs="宋体"/>
                <w:b w:val="0"/>
                <w:bCs/>
                <w:highlight w:val="none"/>
              </w:rPr>
              <w:t>分，差得</w:t>
            </w:r>
            <w:r>
              <w:rPr>
                <w:rFonts w:ascii="宋体" w:hAnsi="宋体" w:cs="宋体"/>
                <w:b w:val="0"/>
                <w:bCs/>
                <w:highlight w:val="none"/>
              </w:rPr>
              <w:t>0—5</w:t>
            </w:r>
            <w:r>
              <w:rPr>
                <w:rFonts w:hint="eastAsia" w:ascii="宋体" w:hAnsi="宋体" w:cs="宋体"/>
                <w:b w:val="0"/>
                <w:bCs/>
                <w:highlight w:val="none"/>
              </w:rPr>
              <w:t>（不含）分。</w:t>
            </w:r>
          </w:p>
        </w:tc>
        <w:tc>
          <w:tcPr>
            <w:tcW w:w="782" w:type="dxa"/>
            <w:vAlign w:val="center"/>
          </w:tcPr>
          <w:p>
            <w:pPr>
              <w:jc w:val="left"/>
              <w:rPr>
                <w:rFonts w:ascii="宋体" w:hAnsi="宋体" w:cs="宋体"/>
                <w:b w:val="0"/>
                <w:bCs/>
                <w:highlight w:val="none"/>
              </w:rPr>
            </w:pPr>
            <w:r>
              <w:rPr>
                <w:rFonts w:ascii="宋体" w:hAnsi="宋体" w:cs="宋体"/>
                <w:b w:val="0"/>
                <w:bCs/>
                <w:highlight w:val="none"/>
              </w:rPr>
              <w:t>1</w:t>
            </w:r>
            <w:r>
              <w:rPr>
                <w:rFonts w:hint="eastAsia" w:ascii="宋体" w:hAnsi="宋体" w:cs="宋体"/>
                <w:b w:val="0"/>
                <w:bCs/>
                <w:highlight w:val="none"/>
                <w:lang w:val="en-US" w:eastAsia="zh-CN"/>
              </w:rPr>
              <w:t>5</w:t>
            </w:r>
            <w:r>
              <w:rPr>
                <w:rFonts w:hint="eastAsia" w:ascii="宋体" w:hAnsi="宋体" w:cs="宋体"/>
                <w:b w:val="0"/>
                <w:bCs/>
                <w:highlight w:val="none"/>
              </w:rPr>
              <w:t>分</w:t>
            </w:r>
          </w:p>
        </w:tc>
        <w:tc>
          <w:tcPr>
            <w:tcW w:w="533" w:type="dxa"/>
            <w:vMerge w:val="continue"/>
            <w:vAlign w:val="center"/>
          </w:tcPr>
          <w:p>
            <w:pPr>
              <w:jc w:val="left"/>
              <w:rPr>
                <w:rFonts w:ascii="宋体" w:hAnsi="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p>
        </w:tc>
        <w:tc>
          <w:tcPr>
            <w:tcW w:w="8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highlight w:val="none"/>
              </w:rPr>
            </w:pPr>
            <w:r>
              <w:rPr>
                <w:rFonts w:hint="eastAsia" w:ascii="宋体" w:hAnsi="宋体" w:eastAsia="宋体" w:cs="宋体"/>
                <w:b w:val="0"/>
                <w:bCs/>
                <w:highlight w:val="none"/>
              </w:rPr>
              <w:t>④</w:t>
            </w:r>
          </w:p>
        </w:tc>
        <w:tc>
          <w:tcPr>
            <w:tcW w:w="61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r>
              <w:rPr>
                <w:rFonts w:hint="eastAsia" w:ascii="宋体" w:hAnsi="宋体" w:cs="宋体"/>
                <w:b w:val="0"/>
                <w:bCs/>
                <w:highlight w:val="none"/>
              </w:rPr>
              <w:t>质量保证措施</w:t>
            </w:r>
            <w:r>
              <w:rPr>
                <w:rFonts w:hint="eastAsia" w:ascii="宋体" w:hAnsi="宋体" w:cs="宋体"/>
                <w:b w:val="0"/>
                <w:bCs/>
                <w:highlight w:val="none"/>
                <w:lang w:eastAsia="zh-CN"/>
              </w:rPr>
              <w:t>及施工进度计划</w:t>
            </w:r>
            <w:r>
              <w:rPr>
                <w:rFonts w:hint="eastAsia" w:ascii="宋体" w:hAnsi="宋体" w:cs="宋体"/>
                <w:b w:val="0"/>
                <w:bCs/>
                <w:highlight w:val="none"/>
              </w:rPr>
              <w:t>：根据各供应商针对本项目的质量保证措施</w:t>
            </w:r>
            <w:r>
              <w:rPr>
                <w:rFonts w:hint="eastAsia" w:ascii="宋体" w:hAnsi="宋体" w:cs="宋体"/>
                <w:b w:val="0"/>
                <w:bCs/>
                <w:highlight w:val="none"/>
                <w:lang w:eastAsia="zh-CN"/>
              </w:rPr>
              <w:t>及施工进度计划</w:t>
            </w:r>
            <w:r>
              <w:rPr>
                <w:rFonts w:hint="eastAsia" w:ascii="宋体" w:hAnsi="宋体" w:cs="宋体"/>
                <w:b w:val="0"/>
                <w:bCs/>
                <w:highlight w:val="none"/>
              </w:rPr>
              <w:t>，进行</w:t>
            </w:r>
            <w:r>
              <w:rPr>
                <w:rFonts w:hint="eastAsia" w:ascii="宋体" w:hAnsi="宋体" w:cs="宋体"/>
                <w:b w:val="0"/>
                <w:bCs/>
                <w:highlight w:val="none"/>
                <w:lang w:eastAsia="zh-CN"/>
              </w:rPr>
              <w:t>综合</w:t>
            </w:r>
            <w:r>
              <w:rPr>
                <w:rFonts w:hint="eastAsia" w:ascii="宋体" w:hAnsi="宋体" w:cs="宋体"/>
                <w:b w:val="0"/>
                <w:bCs/>
                <w:highlight w:val="none"/>
              </w:rPr>
              <w:t>比较：优得</w:t>
            </w:r>
            <w:r>
              <w:rPr>
                <w:rFonts w:ascii="宋体" w:hAnsi="宋体" w:cs="宋体"/>
                <w:b w:val="0"/>
                <w:bCs/>
                <w:highlight w:val="none"/>
              </w:rPr>
              <w:t>10—15</w:t>
            </w:r>
            <w:r>
              <w:rPr>
                <w:rFonts w:hint="eastAsia" w:ascii="宋体" w:hAnsi="宋体" w:cs="宋体"/>
                <w:b w:val="0"/>
                <w:bCs/>
                <w:highlight w:val="none"/>
              </w:rPr>
              <w:t>分，一般得</w:t>
            </w:r>
            <w:r>
              <w:rPr>
                <w:rFonts w:ascii="宋体" w:hAnsi="宋体" w:cs="宋体"/>
                <w:b w:val="0"/>
                <w:bCs/>
                <w:highlight w:val="none"/>
              </w:rPr>
              <w:t>5—10(</w:t>
            </w:r>
            <w:r>
              <w:rPr>
                <w:rFonts w:hint="eastAsia" w:ascii="宋体" w:hAnsi="宋体" w:cs="宋体"/>
                <w:b w:val="0"/>
                <w:bCs/>
                <w:highlight w:val="none"/>
              </w:rPr>
              <w:t>不含</w:t>
            </w:r>
            <w:r>
              <w:rPr>
                <w:rFonts w:ascii="宋体" w:hAnsi="宋体" w:cs="宋体"/>
                <w:b w:val="0"/>
                <w:bCs/>
                <w:highlight w:val="none"/>
              </w:rPr>
              <w:t>)</w:t>
            </w:r>
            <w:r>
              <w:rPr>
                <w:rFonts w:hint="eastAsia" w:ascii="宋体" w:hAnsi="宋体" w:cs="宋体"/>
                <w:b w:val="0"/>
                <w:bCs/>
                <w:highlight w:val="none"/>
              </w:rPr>
              <w:t>分，差得</w:t>
            </w:r>
            <w:r>
              <w:rPr>
                <w:rFonts w:ascii="宋体" w:hAnsi="宋体" w:cs="宋体"/>
                <w:b w:val="0"/>
                <w:bCs/>
                <w:highlight w:val="none"/>
              </w:rPr>
              <w:t>0—5</w:t>
            </w:r>
            <w:r>
              <w:rPr>
                <w:rFonts w:hint="eastAsia" w:ascii="宋体" w:hAnsi="宋体" w:cs="宋体"/>
                <w:b w:val="0"/>
                <w:bCs/>
                <w:highlight w:val="none"/>
              </w:rPr>
              <w:t>（不含）分。</w:t>
            </w:r>
          </w:p>
        </w:tc>
        <w:tc>
          <w:tcPr>
            <w:tcW w:w="782" w:type="dxa"/>
            <w:vAlign w:val="center"/>
          </w:tcPr>
          <w:p>
            <w:pPr>
              <w:jc w:val="left"/>
              <w:rPr>
                <w:rFonts w:ascii="宋体" w:hAnsi="宋体" w:cs="宋体"/>
                <w:b w:val="0"/>
                <w:bCs/>
                <w:highlight w:val="none"/>
              </w:rPr>
            </w:pPr>
            <w:r>
              <w:rPr>
                <w:rFonts w:ascii="宋体" w:hAnsi="宋体" w:cs="宋体"/>
                <w:b w:val="0"/>
                <w:bCs/>
                <w:highlight w:val="none"/>
              </w:rPr>
              <w:t>1</w:t>
            </w:r>
            <w:r>
              <w:rPr>
                <w:rFonts w:hint="eastAsia" w:ascii="宋体" w:hAnsi="宋体" w:cs="宋体"/>
                <w:b w:val="0"/>
                <w:bCs/>
                <w:highlight w:val="none"/>
                <w:lang w:val="en-US" w:eastAsia="zh-CN"/>
              </w:rPr>
              <w:t>5</w:t>
            </w:r>
            <w:r>
              <w:rPr>
                <w:rFonts w:hint="eastAsia" w:ascii="宋体" w:hAnsi="宋体" w:cs="宋体"/>
                <w:b w:val="0"/>
                <w:bCs/>
                <w:highlight w:val="none"/>
              </w:rPr>
              <w:t>分</w:t>
            </w:r>
          </w:p>
        </w:tc>
        <w:tc>
          <w:tcPr>
            <w:tcW w:w="533" w:type="dxa"/>
            <w:vMerge w:val="continue"/>
            <w:vAlign w:val="center"/>
          </w:tcPr>
          <w:p>
            <w:pPr>
              <w:jc w:val="left"/>
              <w:rPr>
                <w:rFonts w:ascii="宋体" w:hAnsi="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r>
              <w:rPr>
                <w:rFonts w:hint="eastAsia" w:ascii="宋体" w:hAnsi="宋体" w:cs="宋体"/>
                <w:b w:val="0"/>
                <w:bCs/>
                <w:highlight w:val="none"/>
              </w:rPr>
              <w:t>履约能力</w:t>
            </w:r>
            <w:r>
              <w:rPr>
                <w:rFonts w:ascii="宋体" w:hAnsi="宋体" w:cs="宋体"/>
                <w:b w:val="0"/>
                <w:bCs/>
                <w:highlight w:val="none"/>
              </w:rPr>
              <w:t>(U)</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r>
              <w:rPr>
                <w:rFonts w:hint="eastAsia" w:ascii="宋体" w:hAnsi="宋体" w:cs="宋体"/>
                <w:b w:val="0"/>
                <w:bCs/>
                <w:highlight w:val="none"/>
                <w:lang w:val="en-US" w:eastAsia="zh-CN"/>
              </w:rPr>
              <w:t>10</w:t>
            </w:r>
            <w:r>
              <w:rPr>
                <w:rFonts w:hint="eastAsia" w:ascii="宋体" w:hAnsi="宋体" w:cs="宋体"/>
                <w:b w:val="0"/>
                <w:bCs/>
                <w:highlight w:val="none"/>
              </w:rPr>
              <w:t>分</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val="0"/>
                <w:bCs/>
                <w:highlight w:val="none"/>
              </w:rPr>
            </w:pPr>
            <w:r>
              <w:rPr>
                <w:rFonts w:hint="eastAsia" w:ascii="宋体" w:hAnsi="宋体" w:cs="宋体"/>
                <w:b w:val="0"/>
                <w:bCs/>
                <w:highlight w:val="none"/>
              </w:rPr>
              <w:t>①</w:t>
            </w:r>
          </w:p>
        </w:tc>
        <w:tc>
          <w:tcPr>
            <w:tcW w:w="61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r>
              <w:rPr>
                <w:rFonts w:hint="eastAsia" w:ascii="宋体" w:hAnsi="宋体" w:cs="宋体"/>
                <w:b w:val="0"/>
                <w:bCs/>
                <w:highlight w:val="none"/>
              </w:rPr>
              <w:t>同类项目业绩：每提供</w:t>
            </w:r>
            <w:r>
              <w:rPr>
                <w:rFonts w:ascii="宋体" w:hAnsi="宋体" w:cs="宋体"/>
                <w:b w:val="0"/>
                <w:bCs/>
                <w:highlight w:val="none"/>
              </w:rPr>
              <w:t>1</w:t>
            </w:r>
            <w:r>
              <w:rPr>
                <w:rFonts w:hint="eastAsia" w:ascii="宋体" w:hAnsi="宋体" w:cs="宋体"/>
                <w:b w:val="0"/>
                <w:bCs/>
                <w:highlight w:val="none"/>
              </w:rPr>
              <w:t>份得</w:t>
            </w:r>
            <w:r>
              <w:rPr>
                <w:rFonts w:hint="eastAsia" w:ascii="宋体" w:hAnsi="宋体" w:cs="宋体"/>
                <w:b w:val="0"/>
                <w:bCs/>
                <w:highlight w:val="none"/>
                <w:lang w:val="en-US" w:eastAsia="zh-CN"/>
              </w:rPr>
              <w:t>2</w:t>
            </w:r>
            <w:r>
              <w:rPr>
                <w:rFonts w:hint="eastAsia" w:ascii="宋体" w:hAnsi="宋体" w:cs="宋体"/>
                <w:b w:val="0"/>
                <w:bCs/>
                <w:highlight w:val="none"/>
              </w:rPr>
              <w:t>分，最高得</w:t>
            </w:r>
            <w:r>
              <w:rPr>
                <w:rFonts w:hint="eastAsia" w:ascii="宋体" w:hAnsi="宋体" w:cs="宋体"/>
                <w:b w:val="0"/>
                <w:bCs/>
                <w:highlight w:val="none"/>
                <w:lang w:val="en-US" w:eastAsia="zh-CN"/>
              </w:rPr>
              <w:t>10</w:t>
            </w:r>
            <w:r>
              <w:rPr>
                <w:rFonts w:hint="eastAsia" w:ascii="宋体" w:hAnsi="宋体" w:cs="宋体"/>
                <w:b w:val="0"/>
                <w:bCs/>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highlight w:val="none"/>
              </w:rPr>
            </w:pPr>
            <w:r>
              <w:rPr>
                <w:rFonts w:hint="eastAsia" w:ascii="宋体" w:hAnsi="宋体" w:cs="宋体"/>
                <w:b w:val="0"/>
                <w:bCs/>
                <w:highlight w:val="none"/>
              </w:rPr>
              <w:t>注：业绩证明（以合同复印件为准，须在</w:t>
            </w:r>
            <w:r>
              <w:rPr>
                <w:rFonts w:hint="eastAsia" w:ascii="宋体" w:hAnsi="宋体" w:cs="宋体"/>
                <w:b w:val="0"/>
                <w:bCs/>
                <w:highlight w:val="none"/>
                <w:lang w:eastAsia="zh-CN"/>
              </w:rPr>
              <w:t>磋商响应</w:t>
            </w:r>
            <w:r>
              <w:rPr>
                <w:rFonts w:hint="eastAsia" w:ascii="宋体" w:hAnsi="宋体" w:cs="宋体"/>
                <w:b w:val="0"/>
                <w:bCs/>
                <w:highlight w:val="none"/>
              </w:rPr>
              <w:t>文件中提供合同原件的扫描件或复印件），弄虚作假者取消其中标资格。</w:t>
            </w:r>
          </w:p>
        </w:tc>
        <w:tc>
          <w:tcPr>
            <w:tcW w:w="782" w:type="dxa"/>
            <w:vAlign w:val="center"/>
          </w:tcPr>
          <w:p>
            <w:pPr>
              <w:jc w:val="left"/>
              <w:rPr>
                <w:rFonts w:ascii="宋体" w:hAnsi="宋体" w:cs="宋体"/>
                <w:b w:val="0"/>
                <w:bCs/>
                <w:highlight w:val="none"/>
              </w:rPr>
            </w:pPr>
            <w:r>
              <w:rPr>
                <w:rFonts w:hint="eastAsia" w:ascii="宋体" w:hAnsi="宋体" w:cs="宋体"/>
                <w:b w:val="0"/>
                <w:bCs/>
                <w:highlight w:val="none"/>
                <w:lang w:val="en-US" w:eastAsia="zh-CN"/>
              </w:rPr>
              <w:t>10</w:t>
            </w:r>
            <w:r>
              <w:rPr>
                <w:rFonts w:hint="eastAsia" w:ascii="宋体" w:hAnsi="宋体" w:cs="宋体"/>
                <w:b w:val="0"/>
                <w:bCs/>
                <w:highlight w:val="none"/>
              </w:rPr>
              <w:t>分</w:t>
            </w:r>
          </w:p>
        </w:tc>
        <w:tc>
          <w:tcPr>
            <w:tcW w:w="533" w:type="dxa"/>
            <w:vMerge w:val="continue"/>
            <w:vAlign w:val="center"/>
          </w:tcPr>
          <w:p>
            <w:pPr>
              <w:jc w:val="left"/>
              <w:rPr>
                <w:rFonts w:ascii="宋体" w:hAnsi="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9919" w:type="dxa"/>
            <w:gridSpan w:val="6"/>
          </w:tcPr>
          <w:p>
            <w:pPr>
              <w:jc w:val="left"/>
              <w:rPr>
                <w:rFonts w:ascii="宋体" w:hAnsi="宋体" w:cs="宋体"/>
                <w:b/>
                <w:highlight w:val="none"/>
              </w:rPr>
            </w:pPr>
            <w:r>
              <w:rPr>
                <w:rFonts w:hint="eastAsia" w:ascii="宋体" w:hAnsi="宋体" w:cs="宋体"/>
                <w:b/>
                <w:highlight w:val="none"/>
              </w:rPr>
              <w:t>备注：</w:t>
            </w:r>
          </w:p>
          <w:p>
            <w:pPr>
              <w:jc w:val="left"/>
              <w:rPr>
                <w:rFonts w:ascii="宋体" w:hAnsi="宋体" w:cs="宋体"/>
                <w:b/>
                <w:highlight w:val="none"/>
              </w:rPr>
            </w:pPr>
            <w:r>
              <w:rPr>
                <w:rFonts w:ascii="宋体" w:hAnsi="宋体" w:cs="宋体"/>
                <w:b/>
                <w:highlight w:val="none"/>
              </w:rPr>
              <w:t>1.</w:t>
            </w:r>
            <w:r>
              <w:rPr>
                <w:rFonts w:hint="eastAsia" w:ascii="宋体" w:hAnsi="宋体" w:cs="宋体"/>
                <w:b/>
                <w:highlight w:val="none"/>
              </w:rPr>
              <w:t>若出现综合得分并列时，比较最后报价得分，此分项得分高者排序在先；评审得分且最后报价相同的，按照技术指标优劣进行排序，如果还相同，则由全体磋商小组无记名投票，以得票高者排序在先。</w:t>
            </w:r>
          </w:p>
          <w:p>
            <w:pPr>
              <w:jc w:val="left"/>
              <w:rPr>
                <w:rFonts w:ascii="宋体" w:hAnsi="宋体" w:cs="宋体"/>
                <w:b/>
                <w:highlight w:val="none"/>
              </w:rPr>
            </w:pPr>
            <w:r>
              <w:rPr>
                <w:rFonts w:ascii="宋体" w:hAnsi="宋体" w:cs="宋体"/>
                <w:b/>
                <w:highlight w:val="none"/>
              </w:rPr>
              <w:t>2.</w:t>
            </w:r>
            <w:r>
              <w:rPr>
                <w:rFonts w:hint="eastAsia" w:ascii="宋体" w:hAnsi="宋体" w:cs="宋体"/>
                <w:b/>
                <w:highlight w:val="none"/>
              </w:rPr>
              <w:t>超过得分界限或未按本方法赋分时，该打分按作废处理。</w:t>
            </w:r>
          </w:p>
          <w:p>
            <w:pPr>
              <w:jc w:val="left"/>
              <w:rPr>
                <w:rFonts w:ascii="宋体" w:hAnsi="宋体" w:cs="宋体"/>
                <w:b/>
                <w:highlight w:val="none"/>
              </w:rPr>
            </w:pPr>
            <w:r>
              <w:rPr>
                <w:rFonts w:ascii="宋体" w:hAnsi="宋体" w:cs="宋体"/>
                <w:b/>
                <w:highlight w:val="none"/>
              </w:rPr>
              <w:t>3.</w:t>
            </w:r>
            <w:r>
              <w:rPr>
                <w:rFonts w:hint="eastAsia" w:ascii="宋体" w:hAnsi="宋体" w:cs="宋体"/>
                <w:b/>
                <w:highlight w:val="none"/>
              </w:rPr>
              <w:t>评委会二分之一以上人员认为有串标、弄虚作假嫌疑或严重脱离市场价的磋商，该供应商不得作为成交候选人。</w:t>
            </w:r>
          </w:p>
          <w:p>
            <w:pPr>
              <w:jc w:val="left"/>
              <w:rPr>
                <w:rFonts w:ascii="宋体" w:hAnsi="宋体" w:cs="宋体"/>
                <w:b/>
                <w:highlight w:val="none"/>
              </w:rPr>
            </w:pPr>
            <w:r>
              <w:rPr>
                <w:rFonts w:ascii="宋体" w:hAnsi="宋体" w:cs="宋体"/>
                <w:b/>
                <w:highlight w:val="none"/>
              </w:rPr>
              <w:t>4.</w:t>
            </w:r>
            <w:r>
              <w:rPr>
                <w:rFonts w:hint="eastAsia" w:ascii="宋体" w:hAnsi="宋体" w:cs="宋体"/>
                <w:b/>
                <w:highlight w:val="none"/>
              </w:rPr>
              <w:t>由于磋商</w:t>
            </w:r>
            <w:r>
              <w:rPr>
                <w:rFonts w:hint="eastAsia" w:ascii="宋体" w:hAnsi="宋体" w:cs="宋体"/>
                <w:b/>
                <w:highlight w:val="none"/>
                <w:lang w:eastAsia="zh-CN"/>
              </w:rPr>
              <w:t>响应</w:t>
            </w:r>
            <w:r>
              <w:rPr>
                <w:rFonts w:hint="eastAsia" w:ascii="宋体" w:hAnsi="宋体" w:cs="宋体"/>
                <w:b/>
                <w:highlight w:val="none"/>
              </w:rPr>
              <w:t>文件有矛盾，造成对供应商不利的评标结果，由供应商自负。</w:t>
            </w:r>
          </w:p>
          <w:p>
            <w:pPr>
              <w:jc w:val="left"/>
              <w:rPr>
                <w:rFonts w:ascii="宋体" w:hAnsi="宋体" w:cs="宋体"/>
                <w:b/>
                <w:highlight w:val="none"/>
              </w:rPr>
            </w:pPr>
            <w:r>
              <w:rPr>
                <w:rFonts w:ascii="宋体" w:hAnsi="宋体" w:cs="宋体"/>
                <w:b/>
                <w:highlight w:val="none"/>
              </w:rPr>
              <w:t>5.</w:t>
            </w:r>
            <w:r>
              <w:rPr>
                <w:rFonts w:hint="eastAsia" w:ascii="宋体" w:hAnsi="宋体" w:cs="宋体"/>
                <w:b/>
                <w:highlight w:val="none"/>
              </w:rPr>
              <w:t>评审过程中，若出现特殊情况时，将暂停评标，有关情况的处理待磋商小组确认后，再行评定。</w:t>
            </w:r>
          </w:p>
          <w:p>
            <w:pPr>
              <w:jc w:val="left"/>
              <w:rPr>
                <w:rFonts w:ascii="宋体" w:hAnsi="宋体" w:cs="宋体"/>
                <w:b/>
                <w:highlight w:val="none"/>
              </w:rPr>
            </w:pPr>
            <w:r>
              <w:rPr>
                <w:rFonts w:ascii="宋体" w:hAnsi="宋体" w:cs="宋体"/>
                <w:b/>
                <w:highlight w:val="none"/>
              </w:rPr>
              <w:t>6.</w:t>
            </w:r>
            <w:r>
              <w:rPr>
                <w:rFonts w:hint="eastAsia" w:ascii="宋体" w:hAnsi="宋体" w:cs="宋体"/>
                <w:b/>
                <w:highlight w:val="none"/>
                <w:lang w:eastAsia="zh-CN"/>
              </w:rPr>
              <w:t>计算结果</w:t>
            </w:r>
            <w:r>
              <w:rPr>
                <w:rFonts w:hint="eastAsia" w:ascii="宋体" w:hAnsi="宋体" w:cs="宋体"/>
                <w:b/>
                <w:highlight w:val="none"/>
              </w:rPr>
              <w:t>保留两位小数，第三位“四舍五入”。</w:t>
            </w:r>
          </w:p>
        </w:tc>
      </w:tr>
    </w:tbl>
    <w:p>
      <w:pPr>
        <w:jc w:val="center"/>
        <w:rPr>
          <w:rFonts w:ascii="宋体" w:hAnsi="宋体" w:cs="宋体"/>
          <w:b/>
          <w:highlight w:val="none"/>
        </w:rPr>
      </w:pPr>
    </w:p>
    <w:p>
      <w:pPr>
        <w:pStyle w:val="27"/>
        <w:ind w:left="0" w:firstLine="446"/>
        <w:rPr>
          <w:b/>
          <w:highlight w:val="none"/>
        </w:rPr>
      </w:pPr>
      <w:r>
        <w:rPr>
          <w:rFonts w:hint="eastAsia"/>
          <w:b/>
          <w:highlight w:val="none"/>
        </w:rPr>
        <w:t>注：评审办法中要求提供原件的得分项，供应商如提供原件的同时须在磋商响应文件中附相应的复印件或扫描件。</w:t>
      </w:r>
    </w:p>
    <w:p>
      <w:pPr>
        <w:pStyle w:val="27"/>
        <w:spacing w:line="240" w:lineRule="auto"/>
        <w:ind w:left="0" w:firstLine="0"/>
        <w:rPr>
          <w:b/>
          <w:highlight w:val="none"/>
        </w:rPr>
      </w:pPr>
    </w:p>
    <w:p>
      <w:pPr>
        <w:pStyle w:val="27"/>
        <w:spacing w:line="240" w:lineRule="auto"/>
        <w:ind w:left="0" w:firstLine="0"/>
        <w:rPr>
          <w:b/>
          <w:highlight w:val="none"/>
        </w:rPr>
      </w:pPr>
      <w:r>
        <w:rPr>
          <w:rFonts w:hint="eastAsia"/>
          <w:b/>
          <w:highlight w:val="none"/>
        </w:rPr>
        <w:t>五、成交：</w:t>
      </w:r>
    </w:p>
    <w:p>
      <w:pPr>
        <w:spacing w:line="360" w:lineRule="auto"/>
        <w:ind w:firstLine="436" w:firstLineChars="200"/>
        <w:rPr>
          <w:rFonts w:ascii="宋体" w:hAnsi="宋体" w:cs="宋体"/>
          <w:spacing w:val="4"/>
          <w:szCs w:val="24"/>
          <w:highlight w:val="none"/>
        </w:rPr>
      </w:pPr>
      <w:r>
        <w:rPr>
          <w:rFonts w:hint="eastAsia" w:ascii="宋体" w:hAnsi="宋体" w:cs="宋体"/>
          <w:spacing w:val="4"/>
          <w:szCs w:val="24"/>
          <w:highlight w:val="none"/>
        </w:rPr>
        <w:t>1、磋商结果报告由磋商小组全体成员签字确认。</w:t>
      </w:r>
    </w:p>
    <w:p>
      <w:pPr>
        <w:spacing w:line="360" w:lineRule="auto"/>
        <w:ind w:firstLine="436" w:firstLineChars="200"/>
        <w:rPr>
          <w:rFonts w:ascii="宋体" w:hAnsi="宋体" w:cs="宋体"/>
          <w:spacing w:val="4"/>
          <w:szCs w:val="24"/>
          <w:highlight w:val="none"/>
        </w:rPr>
      </w:pPr>
      <w:r>
        <w:rPr>
          <w:rFonts w:hint="eastAsia" w:ascii="宋体" w:hAnsi="宋体" w:cs="宋体"/>
          <w:spacing w:val="4"/>
          <w:szCs w:val="24"/>
          <w:highlight w:val="none"/>
        </w:rPr>
        <w:t>2、采购人根据磋商结果报告中推荐的成交候选人确定成交供应商，以复函通知采购代理机构。</w:t>
      </w:r>
    </w:p>
    <w:p>
      <w:pPr>
        <w:pStyle w:val="2"/>
        <w:rPr>
          <w:rFonts w:ascii="宋体" w:hAnsi="宋体" w:cs="宋体"/>
          <w:spacing w:val="4"/>
          <w:szCs w:val="24"/>
          <w:highlight w:val="none"/>
        </w:rPr>
      </w:pPr>
    </w:p>
    <w:p>
      <w:pPr>
        <w:rPr>
          <w:rFonts w:ascii="宋体" w:hAnsi="宋体" w:cs="宋体"/>
          <w:spacing w:val="4"/>
          <w:szCs w:val="24"/>
          <w:highlight w:val="none"/>
        </w:rPr>
      </w:pPr>
    </w:p>
    <w:p>
      <w:pPr>
        <w:pStyle w:val="2"/>
        <w:rPr>
          <w:rFonts w:ascii="宋体" w:hAnsi="宋体" w:cs="宋体"/>
          <w:spacing w:val="4"/>
          <w:szCs w:val="24"/>
          <w:highlight w:val="none"/>
        </w:rPr>
      </w:pPr>
    </w:p>
    <w:p>
      <w:pPr>
        <w:rPr>
          <w:rFonts w:ascii="宋体" w:hAnsi="宋体" w:cs="宋体"/>
          <w:spacing w:val="4"/>
          <w:szCs w:val="24"/>
          <w:highlight w:val="none"/>
        </w:rPr>
      </w:pPr>
    </w:p>
    <w:p>
      <w:pPr>
        <w:pStyle w:val="2"/>
        <w:rPr>
          <w:rFonts w:ascii="宋体" w:hAnsi="宋体" w:cs="宋体"/>
          <w:spacing w:val="4"/>
          <w:szCs w:val="24"/>
          <w:highlight w:val="none"/>
        </w:rPr>
      </w:pPr>
    </w:p>
    <w:p>
      <w:pPr>
        <w:rPr>
          <w:rFonts w:ascii="宋体" w:hAnsi="宋体" w:cs="宋体"/>
          <w:spacing w:val="4"/>
          <w:szCs w:val="24"/>
          <w:highlight w:val="none"/>
        </w:rPr>
      </w:pPr>
    </w:p>
    <w:p>
      <w:pPr>
        <w:pStyle w:val="2"/>
        <w:rPr>
          <w:rFonts w:ascii="宋体" w:hAnsi="宋体" w:cs="宋体"/>
          <w:spacing w:val="4"/>
          <w:szCs w:val="24"/>
          <w:highlight w:val="none"/>
        </w:rPr>
      </w:pPr>
    </w:p>
    <w:p>
      <w:pPr>
        <w:rPr>
          <w:rFonts w:ascii="宋体" w:hAnsi="宋体" w:cs="宋体"/>
          <w:spacing w:val="4"/>
          <w:szCs w:val="24"/>
          <w:highlight w:val="none"/>
        </w:rPr>
      </w:pPr>
    </w:p>
    <w:p>
      <w:pPr>
        <w:pStyle w:val="2"/>
        <w:rPr>
          <w:rFonts w:ascii="宋体" w:hAnsi="宋体" w:cs="宋体"/>
          <w:spacing w:val="4"/>
          <w:szCs w:val="24"/>
          <w:highlight w:val="none"/>
        </w:rPr>
      </w:pPr>
    </w:p>
    <w:p>
      <w:pPr>
        <w:rPr>
          <w:rFonts w:ascii="宋体" w:hAnsi="宋体" w:cs="宋体"/>
          <w:spacing w:val="4"/>
          <w:szCs w:val="24"/>
          <w:highlight w:val="none"/>
        </w:rPr>
      </w:pPr>
    </w:p>
    <w:p>
      <w:pPr>
        <w:pStyle w:val="2"/>
        <w:rPr>
          <w:rFonts w:ascii="宋体" w:hAnsi="宋体" w:cs="宋体"/>
          <w:spacing w:val="4"/>
          <w:szCs w:val="24"/>
          <w:highlight w:val="none"/>
        </w:rPr>
      </w:pPr>
    </w:p>
    <w:p>
      <w:pPr>
        <w:rPr>
          <w:rFonts w:ascii="宋体" w:hAnsi="宋体" w:cs="宋体"/>
          <w:spacing w:val="4"/>
          <w:szCs w:val="24"/>
          <w:highlight w:val="none"/>
        </w:rPr>
      </w:pPr>
    </w:p>
    <w:p>
      <w:pPr>
        <w:pStyle w:val="2"/>
        <w:rPr>
          <w:rFonts w:ascii="宋体" w:hAnsi="宋体" w:cs="宋体"/>
          <w:spacing w:val="4"/>
          <w:szCs w:val="24"/>
          <w:highlight w:val="none"/>
        </w:rPr>
      </w:pPr>
    </w:p>
    <w:p>
      <w:pPr>
        <w:rPr>
          <w:highlight w:val="none"/>
        </w:rPr>
      </w:pPr>
    </w:p>
    <w:p>
      <w:pPr>
        <w:pStyle w:val="2"/>
        <w:rPr>
          <w:rFonts w:ascii="宋体" w:hAnsi="宋体" w:cs="宋体"/>
          <w:spacing w:val="4"/>
          <w:szCs w:val="24"/>
          <w:highlight w:val="none"/>
        </w:rPr>
      </w:pPr>
    </w:p>
    <w:p>
      <w:pPr>
        <w:pStyle w:val="2"/>
        <w:rPr>
          <w:rFonts w:ascii="宋体" w:hAnsi="宋体" w:cs="宋体"/>
          <w:spacing w:val="4"/>
          <w:szCs w:val="24"/>
          <w:highlight w:val="none"/>
        </w:rPr>
      </w:pPr>
    </w:p>
    <w:p>
      <w:pPr>
        <w:pStyle w:val="2"/>
        <w:rPr>
          <w:rFonts w:ascii="宋体" w:hAnsi="宋体" w:cs="宋体"/>
          <w:spacing w:val="4"/>
          <w:szCs w:val="24"/>
          <w:highlight w:val="none"/>
        </w:rPr>
      </w:pPr>
    </w:p>
    <w:p>
      <w:pPr>
        <w:pStyle w:val="27"/>
        <w:ind w:left="708" w:firstLine="446"/>
        <w:rPr>
          <w:b/>
          <w:highlight w:val="none"/>
        </w:rPr>
      </w:pPr>
    </w:p>
    <w:p>
      <w:pPr>
        <w:pStyle w:val="27"/>
        <w:ind w:left="708" w:firstLine="446"/>
        <w:rPr>
          <w:b/>
          <w:highlight w:val="none"/>
        </w:rPr>
      </w:pPr>
    </w:p>
    <w:p>
      <w:pPr>
        <w:pStyle w:val="27"/>
        <w:ind w:left="708" w:firstLine="446"/>
        <w:rPr>
          <w:b/>
          <w:highlight w:val="none"/>
        </w:rPr>
      </w:pPr>
    </w:p>
    <w:p>
      <w:pPr>
        <w:pStyle w:val="27"/>
        <w:ind w:left="708" w:firstLine="446"/>
        <w:rPr>
          <w:b/>
          <w:highlight w:val="none"/>
        </w:rPr>
      </w:pPr>
    </w:p>
    <w:p>
      <w:pPr>
        <w:pStyle w:val="27"/>
        <w:ind w:left="708" w:firstLine="446"/>
        <w:rPr>
          <w:b/>
          <w:highlight w:val="none"/>
        </w:rPr>
      </w:pPr>
    </w:p>
    <w:bookmarkEnd w:id="60"/>
    <w:p>
      <w:pPr>
        <w:pStyle w:val="3"/>
        <w:jc w:val="center"/>
        <w:rPr>
          <w:rFonts w:ascii="宋体"/>
          <w:sz w:val="28"/>
          <w:szCs w:val="28"/>
          <w:highlight w:val="none"/>
        </w:rPr>
      </w:pPr>
      <w:bookmarkStart w:id="61" w:name="_Hlt128276537"/>
      <w:bookmarkEnd w:id="61"/>
      <w:bookmarkStart w:id="62" w:name="_Hlt128276660"/>
      <w:bookmarkEnd w:id="62"/>
      <w:bookmarkStart w:id="63" w:name="_Hlt128276530"/>
      <w:bookmarkEnd w:id="63"/>
      <w:bookmarkStart w:id="64" w:name="_Toc421778377"/>
      <w:bookmarkStart w:id="65" w:name="_Toc351989128"/>
      <w:bookmarkStart w:id="66" w:name="_Toc221523521"/>
      <w:bookmarkStart w:id="67" w:name="_Toc20520"/>
      <w:r>
        <w:rPr>
          <w:rFonts w:hint="eastAsia" w:ascii="宋体" w:hAnsi="宋体" w:cs="宋体"/>
          <w:highlight w:val="none"/>
        </w:rPr>
        <w:t xml:space="preserve">第四章  </w:t>
      </w:r>
      <w:bookmarkEnd w:id="64"/>
      <w:bookmarkEnd w:id="65"/>
      <w:bookmarkEnd w:id="66"/>
      <w:bookmarkStart w:id="68" w:name="_Toc26516"/>
      <w:r>
        <w:rPr>
          <w:rFonts w:hint="eastAsia" w:ascii="宋体"/>
          <w:sz w:val="28"/>
          <w:szCs w:val="28"/>
          <w:highlight w:val="none"/>
        </w:rPr>
        <w:t>合同条款及格式</w:t>
      </w:r>
      <w:bookmarkEnd w:id="67"/>
      <w:bookmarkEnd w:id="68"/>
    </w:p>
    <w:p>
      <w:pPr>
        <w:tabs>
          <w:tab w:val="left" w:pos="210"/>
          <w:tab w:val="left" w:pos="525"/>
        </w:tabs>
        <w:spacing w:line="360" w:lineRule="auto"/>
        <w:jc w:val="center"/>
        <w:outlineLvl w:val="1"/>
        <w:rPr>
          <w:sz w:val="24"/>
          <w:szCs w:val="24"/>
          <w:highlight w:val="none"/>
        </w:rPr>
      </w:pPr>
      <w:bookmarkStart w:id="69" w:name="_Toc13234548"/>
      <w:bookmarkStart w:id="70" w:name="_Toc23618"/>
      <w:bookmarkStart w:id="71" w:name="_Toc16546"/>
      <w:bookmarkStart w:id="72" w:name="_Toc16989"/>
      <w:r>
        <w:rPr>
          <w:rFonts w:hint="eastAsia" w:hAnsi="宋体"/>
          <w:b/>
          <w:bCs/>
          <w:sz w:val="24"/>
          <w:szCs w:val="24"/>
          <w:highlight w:val="none"/>
        </w:rPr>
        <w:t>合同前附表</w:t>
      </w:r>
      <w:bookmarkEnd w:id="69"/>
      <w:bookmarkEnd w:id="70"/>
      <w:bookmarkEnd w:id="71"/>
      <w:bookmarkEnd w:id="72"/>
    </w:p>
    <w:p>
      <w:pPr>
        <w:rPr>
          <w:rFonts w:hAnsi="宋体"/>
          <w:szCs w:val="24"/>
          <w:highlight w:val="none"/>
        </w:rPr>
      </w:pPr>
      <w:r>
        <w:rPr>
          <w:rFonts w:hint="eastAsia"/>
          <w:szCs w:val="24"/>
          <w:highlight w:val="none"/>
        </w:rPr>
        <w:t>本</w:t>
      </w:r>
      <w:r>
        <w:rPr>
          <w:rFonts w:hint="eastAsia" w:hAnsi="宋体"/>
          <w:szCs w:val="24"/>
          <w:highlight w:val="none"/>
        </w:rPr>
        <w:t>表是对合同条款的具体补充和修改，如有矛盾，应以本资料表为准。</w:t>
      </w:r>
    </w:p>
    <w:tbl>
      <w:tblPr>
        <w:tblStyle w:val="33"/>
        <w:tblW w:w="88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10"/>
        <w:gridCol w:w="7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1310" w:type="dxa"/>
            <w:vAlign w:val="center"/>
          </w:tcPr>
          <w:p>
            <w:pPr>
              <w:spacing w:line="360" w:lineRule="auto"/>
              <w:jc w:val="center"/>
              <w:rPr>
                <w:rFonts w:hAnsi="宋体" w:cs="宋体"/>
                <w:szCs w:val="24"/>
                <w:highlight w:val="none"/>
              </w:rPr>
            </w:pPr>
            <w:r>
              <w:rPr>
                <w:rFonts w:hint="eastAsia" w:hAnsi="宋体" w:cs="宋体"/>
                <w:szCs w:val="24"/>
                <w:highlight w:val="none"/>
              </w:rPr>
              <w:t>条款号</w:t>
            </w:r>
          </w:p>
        </w:tc>
        <w:tc>
          <w:tcPr>
            <w:tcW w:w="7549" w:type="dxa"/>
            <w:vAlign w:val="center"/>
          </w:tcPr>
          <w:p>
            <w:pPr>
              <w:spacing w:line="360" w:lineRule="auto"/>
              <w:jc w:val="center"/>
              <w:rPr>
                <w:rFonts w:hAnsi="宋体" w:cs="宋体"/>
                <w:szCs w:val="24"/>
                <w:highlight w:val="none"/>
              </w:rPr>
            </w:pPr>
            <w:r>
              <w:rPr>
                <w:rFonts w:hint="eastAsia" w:hAnsi="宋体" w:cs="宋体"/>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9" w:hRule="exact"/>
        </w:trPr>
        <w:tc>
          <w:tcPr>
            <w:tcW w:w="1310" w:type="dxa"/>
            <w:vAlign w:val="center"/>
          </w:tcPr>
          <w:p>
            <w:pPr>
              <w:spacing w:line="360" w:lineRule="auto"/>
              <w:jc w:val="center"/>
              <w:rPr>
                <w:rFonts w:hAnsi="宋体" w:cs="宋体"/>
                <w:szCs w:val="24"/>
                <w:highlight w:val="none"/>
              </w:rPr>
            </w:pPr>
            <w:r>
              <w:rPr>
                <w:rFonts w:hint="eastAsia" w:hAnsi="宋体" w:cs="宋体"/>
                <w:szCs w:val="24"/>
                <w:highlight w:val="none"/>
              </w:rPr>
              <w:t>1</w:t>
            </w:r>
          </w:p>
        </w:tc>
        <w:tc>
          <w:tcPr>
            <w:tcW w:w="7549" w:type="dxa"/>
            <w:vAlign w:val="center"/>
          </w:tcPr>
          <w:p>
            <w:pPr>
              <w:spacing w:line="360" w:lineRule="auto"/>
              <w:rPr>
                <w:rFonts w:hint="eastAsia" w:hAnsi="宋体" w:eastAsia="宋体"/>
                <w:szCs w:val="24"/>
                <w:highlight w:val="none"/>
                <w:lang w:eastAsia="zh-CN"/>
              </w:rPr>
            </w:pPr>
            <w:r>
              <w:rPr>
                <w:rFonts w:hint="eastAsia" w:hAnsi="宋体"/>
                <w:szCs w:val="24"/>
                <w:highlight w:val="none"/>
              </w:rPr>
              <w:t>采购人名称：</w:t>
            </w:r>
            <w:r>
              <w:rPr>
                <w:rFonts w:hint="eastAsia" w:hAnsi="宋体"/>
                <w:szCs w:val="24"/>
                <w:highlight w:val="none"/>
                <w:lang w:eastAsia="zh-CN"/>
              </w:rPr>
              <w:t>铜川市新区移民（脱贫）搬迁办公室</w:t>
            </w:r>
          </w:p>
          <w:p>
            <w:pPr>
              <w:spacing w:line="360" w:lineRule="auto"/>
              <w:rPr>
                <w:rFonts w:hAnsi="宋体"/>
                <w:szCs w:val="24"/>
                <w:highlight w:val="none"/>
              </w:rPr>
            </w:pPr>
            <w:r>
              <w:rPr>
                <w:rFonts w:hint="eastAsia" w:hAnsi="宋体"/>
                <w:szCs w:val="24"/>
                <w:highlight w:val="none"/>
              </w:rPr>
              <w:t>地    址：铜川市新区长虹南路九号</w:t>
            </w:r>
          </w:p>
          <w:p>
            <w:pPr>
              <w:spacing w:line="360" w:lineRule="auto"/>
              <w:rPr>
                <w:rFonts w:hint="eastAsia" w:hAnsi="宋体" w:eastAsia="宋体"/>
                <w:szCs w:val="24"/>
                <w:highlight w:val="none"/>
                <w:lang w:eastAsia="zh-CN"/>
              </w:rPr>
            </w:pPr>
            <w:r>
              <w:rPr>
                <w:rFonts w:hint="eastAsia" w:hAnsi="宋体"/>
                <w:szCs w:val="24"/>
                <w:highlight w:val="none"/>
              </w:rPr>
              <w:t>项目名称：</w:t>
            </w:r>
            <w:r>
              <w:rPr>
                <w:rFonts w:hint="eastAsia" w:hAnsi="宋体"/>
                <w:szCs w:val="24"/>
                <w:highlight w:val="none"/>
                <w:lang w:eastAsia="zh-CN"/>
              </w:rPr>
              <w:t>铜川市新区移民（脱贫）搬迁办公室宅基地腾退服务项目</w:t>
            </w:r>
          </w:p>
          <w:p>
            <w:pPr>
              <w:tabs>
                <w:tab w:val="left" w:pos="1440"/>
                <w:tab w:val="left" w:pos="1680"/>
              </w:tabs>
              <w:spacing w:line="360" w:lineRule="auto"/>
              <w:jc w:val="left"/>
              <w:rPr>
                <w:rFonts w:hAnsi="宋体"/>
                <w:szCs w:val="24"/>
                <w:highlight w:val="none"/>
              </w:rPr>
            </w:pPr>
            <w:r>
              <w:rPr>
                <w:rFonts w:hint="eastAsia" w:hAnsi="宋体"/>
                <w:szCs w:val="24"/>
                <w:highlight w:val="none"/>
              </w:rPr>
              <w:t>资金来源：财政拨款，资金已落实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3" w:hRule="exact"/>
        </w:trPr>
        <w:tc>
          <w:tcPr>
            <w:tcW w:w="1310" w:type="dxa"/>
            <w:vAlign w:val="center"/>
          </w:tcPr>
          <w:p>
            <w:pPr>
              <w:spacing w:line="360" w:lineRule="auto"/>
              <w:jc w:val="center"/>
              <w:rPr>
                <w:rFonts w:hAnsi="宋体" w:cs="宋体"/>
                <w:szCs w:val="24"/>
                <w:highlight w:val="none"/>
              </w:rPr>
            </w:pPr>
            <w:r>
              <w:rPr>
                <w:rFonts w:hint="eastAsia" w:hAnsi="宋体" w:cs="宋体"/>
                <w:szCs w:val="24"/>
                <w:highlight w:val="none"/>
              </w:rPr>
              <w:t>2</w:t>
            </w:r>
          </w:p>
        </w:tc>
        <w:tc>
          <w:tcPr>
            <w:tcW w:w="7549" w:type="dxa"/>
            <w:vAlign w:val="center"/>
          </w:tcPr>
          <w:p>
            <w:pPr>
              <w:spacing w:line="360" w:lineRule="auto"/>
              <w:rPr>
                <w:rFonts w:hAnsi="宋体" w:cs="宋体"/>
                <w:szCs w:val="24"/>
                <w:highlight w:val="none"/>
              </w:rPr>
            </w:pPr>
            <w:r>
              <w:rPr>
                <w:rFonts w:hint="eastAsia" w:hAnsi="宋体"/>
                <w:szCs w:val="24"/>
                <w:highlight w:val="none"/>
              </w:rPr>
              <w:t>项目实施地点：采购人指定地点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9" w:hRule="exact"/>
        </w:trPr>
        <w:tc>
          <w:tcPr>
            <w:tcW w:w="1310" w:type="dxa"/>
            <w:vAlign w:val="center"/>
          </w:tcPr>
          <w:p>
            <w:pPr>
              <w:spacing w:line="360" w:lineRule="auto"/>
              <w:jc w:val="center"/>
              <w:rPr>
                <w:rFonts w:hAnsi="宋体" w:cs="宋体"/>
                <w:szCs w:val="24"/>
                <w:highlight w:val="none"/>
              </w:rPr>
            </w:pPr>
            <w:r>
              <w:rPr>
                <w:rFonts w:hint="eastAsia" w:hAnsi="宋体" w:cs="宋体"/>
                <w:szCs w:val="24"/>
                <w:highlight w:val="none"/>
              </w:rPr>
              <w:t>3</w:t>
            </w:r>
          </w:p>
        </w:tc>
        <w:tc>
          <w:tcPr>
            <w:tcW w:w="7549" w:type="dxa"/>
            <w:vAlign w:val="center"/>
          </w:tcPr>
          <w:p>
            <w:pPr>
              <w:spacing w:line="360" w:lineRule="auto"/>
              <w:rPr>
                <w:rFonts w:hAnsi="宋体" w:cs="宋体"/>
                <w:szCs w:val="24"/>
                <w:highlight w:val="none"/>
              </w:rPr>
            </w:pPr>
            <w:r>
              <w:rPr>
                <w:rFonts w:hint="eastAsia" w:hAnsi="宋体"/>
                <w:szCs w:val="24"/>
                <w:highlight w:val="none"/>
              </w:rPr>
              <w:t>工期：</w:t>
            </w:r>
            <w:r>
              <w:rPr>
                <w:rFonts w:hint="eastAsia" w:hAnsi="宋体"/>
                <w:szCs w:val="24"/>
                <w:highlight w:val="none"/>
                <w:lang w:val="en-US" w:eastAsia="zh-CN"/>
              </w:rPr>
              <w:t xml:space="preserve">30日历日 </w:t>
            </w:r>
            <w:r>
              <w:rPr>
                <w:rFonts w:hint="eastAsia" w:hAnsi="宋体" w:cs="宋体"/>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5" w:hRule="atLeast"/>
        </w:trPr>
        <w:tc>
          <w:tcPr>
            <w:tcW w:w="1310" w:type="dxa"/>
            <w:vAlign w:val="center"/>
          </w:tcPr>
          <w:p>
            <w:pPr>
              <w:spacing w:line="360" w:lineRule="auto"/>
              <w:jc w:val="center"/>
              <w:rPr>
                <w:rFonts w:hAnsi="宋体" w:cs="宋体"/>
                <w:szCs w:val="24"/>
                <w:highlight w:val="none"/>
              </w:rPr>
            </w:pPr>
            <w:r>
              <w:rPr>
                <w:rFonts w:hint="eastAsia" w:hAnsi="宋体" w:cs="宋体"/>
                <w:szCs w:val="24"/>
                <w:highlight w:val="none"/>
              </w:rPr>
              <w:t>5</w:t>
            </w:r>
          </w:p>
        </w:tc>
        <w:tc>
          <w:tcPr>
            <w:tcW w:w="7549" w:type="dxa"/>
            <w:vAlign w:val="center"/>
          </w:tcPr>
          <w:p>
            <w:pPr>
              <w:spacing w:line="360" w:lineRule="auto"/>
              <w:rPr>
                <w:rFonts w:hAnsi="宋体"/>
                <w:szCs w:val="24"/>
                <w:highlight w:val="none"/>
              </w:rPr>
            </w:pPr>
            <w:r>
              <w:rPr>
                <w:rFonts w:hint="eastAsia" w:hAnsi="宋体"/>
                <w:szCs w:val="24"/>
                <w:highlight w:val="none"/>
              </w:rPr>
              <w:t>1.合同总价即成交价，供应商应在</w:t>
            </w:r>
            <w:r>
              <w:rPr>
                <w:rFonts w:hint="eastAsia" w:hAnsi="宋体"/>
                <w:szCs w:val="24"/>
                <w:highlight w:val="none"/>
                <w:lang w:eastAsia="zh-CN"/>
              </w:rPr>
              <w:t>磋商</w:t>
            </w:r>
            <w:r>
              <w:rPr>
                <w:rFonts w:hint="eastAsia" w:hAnsi="宋体"/>
                <w:szCs w:val="24"/>
                <w:highlight w:val="none"/>
              </w:rPr>
              <w:t>响应文件中标明完成本项目所要求的</w:t>
            </w:r>
            <w:r>
              <w:rPr>
                <w:rFonts w:hint="eastAsia" w:hAnsi="宋体"/>
                <w:szCs w:val="24"/>
                <w:highlight w:val="none"/>
                <w:lang w:eastAsia="zh-CN"/>
              </w:rPr>
              <w:t>车辆清运费、人工费</w:t>
            </w:r>
            <w:r>
              <w:rPr>
                <w:rFonts w:hint="eastAsia" w:hAnsi="宋体"/>
                <w:szCs w:val="24"/>
                <w:highlight w:val="none"/>
              </w:rPr>
              <w:t>的所有费用。供应商所报的价格应考虑到可能发生的所有与完成相关服务及履行合同义务有关的一切费用。</w:t>
            </w:r>
          </w:p>
          <w:p>
            <w:pPr>
              <w:spacing w:line="360" w:lineRule="auto"/>
              <w:rPr>
                <w:rFonts w:hAnsi="宋体"/>
                <w:szCs w:val="24"/>
                <w:highlight w:val="none"/>
              </w:rPr>
            </w:pPr>
            <w:r>
              <w:rPr>
                <w:rFonts w:hint="eastAsia" w:hAnsi="宋体"/>
                <w:szCs w:val="24"/>
                <w:highlight w:val="none"/>
              </w:rPr>
              <w:t>2.合同总价一次包死，不受市场价变化或实际工作量变化的影响。</w:t>
            </w:r>
          </w:p>
          <w:p>
            <w:pPr>
              <w:spacing w:line="360" w:lineRule="auto"/>
              <w:rPr>
                <w:rFonts w:hAnsi="宋体"/>
                <w:szCs w:val="24"/>
                <w:highlight w:val="none"/>
              </w:rPr>
            </w:pPr>
            <w:r>
              <w:rPr>
                <w:rFonts w:hint="eastAsia" w:hAnsi="宋体"/>
                <w:szCs w:val="24"/>
                <w:highlight w:val="none"/>
              </w:rPr>
              <w:t>3.付款方式和程序：</w:t>
            </w:r>
          </w:p>
          <w:p>
            <w:pPr>
              <w:spacing w:line="360" w:lineRule="auto"/>
              <w:rPr>
                <w:rFonts w:hAnsi="宋体"/>
                <w:szCs w:val="24"/>
                <w:highlight w:val="none"/>
              </w:rPr>
            </w:pPr>
            <w:r>
              <w:rPr>
                <w:rFonts w:hint="eastAsia" w:hAnsi="宋体"/>
                <w:szCs w:val="24"/>
                <w:highlight w:val="none"/>
              </w:rPr>
              <w:t>（1）银行转账，由采购人负责结算。在付款前，供应商必须开具与合同金额相应的发票给采购人，附详细清单。</w:t>
            </w:r>
          </w:p>
          <w:p>
            <w:pPr>
              <w:spacing w:line="360" w:lineRule="auto"/>
              <w:rPr>
                <w:rFonts w:hAnsi="宋体"/>
                <w:szCs w:val="24"/>
                <w:highlight w:val="none"/>
              </w:rPr>
            </w:pPr>
            <w:r>
              <w:rPr>
                <w:rFonts w:hint="eastAsia" w:hAnsi="宋体"/>
                <w:szCs w:val="24"/>
                <w:highlight w:val="none"/>
              </w:rPr>
              <w:t xml:space="preserve">（2）付款方式： </w:t>
            </w:r>
          </w:p>
          <w:p>
            <w:pPr>
              <w:spacing w:line="360" w:lineRule="auto"/>
              <w:rPr>
                <w:rFonts w:hAnsi="宋体"/>
                <w:szCs w:val="24"/>
                <w:highlight w:val="none"/>
              </w:rPr>
            </w:pPr>
            <w:r>
              <w:rPr>
                <w:rFonts w:hint="eastAsia" w:hAnsi="宋体"/>
                <w:szCs w:val="24"/>
                <w:highlight w:val="none"/>
              </w:rPr>
              <w:t>①</w:t>
            </w:r>
            <w:r>
              <w:rPr>
                <w:rFonts w:hint="eastAsia" w:hAnsi="宋体"/>
                <w:szCs w:val="24"/>
                <w:highlight w:val="none"/>
                <w:lang w:eastAsia="zh-CN"/>
              </w:rPr>
              <w:t>项目完成后付至合同总价款</w:t>
            </w:r>
            <w:r>
              <w:rPr>
                <w:rFonts w:hint="eastAsia" w:hAnsi="宋体"/>
                <w:szCs w:val="24"/>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0" w:hRule="atLeast"/>
        </w:trPr>
        <w:tc>
          <w:tcPr>
            <w:tcW w:w="1310" w:type="dxa"/>
            <w:vAlign w:val="center"/>
          </w:tcPr>
          <w:p>
            <w:pPr>
              <w:spacing w:line="360" w:lineRule="auto"/>
              <w:jc w:val="center"/>
              <w:rPr>
                <w:rFonts w:hAnsi="宋体" w:cs="宋体"/>
                <w:szCs w:val="24"/>
                <w:highlight w:val="none"/>
              </w:rPr>
            </w:pPr>
            <w:r>
              <w:rPr>
                <w:rFonts w:hint="eastAsia" w:hAnsi="宋体" w:cs="宋体"/>
                <w:szCs w:val="24"/>
                <w:highlight w:val="none"/>
              </w:rPr>
              <w:t>1</w:t>
            </w:r>
            <w:r>
              <w:rPr>
                <w:rFonts w:hAnsi="宋体" w:cs="宋体"/>
                <w:szCs w:val="24"/>
                <w:highlight w:val="none"/>
              </w:rPr>
              <w:t>4</w:t>
            </w:r>
          </w:p>
        </w:tc>
        <w:tc>
          <w:tcPr>
            <w:tcW w:w="7549" w:type="dxa"/>
            <w:vAlign w:val="center"/>
          </w:tcPr>
          <w:p>
            <w:pPr>
              <w:spacing w:line="360" w:lineRule="auto"/>
              <w:rPr>
                <w:rFonts w:hAnsi="宋体" w:cs="宋体"/>
                <w:b/>
                <w:szCs w:val="24"/>
                <w:highlight w:val="none"/>
              </w:rPr>
            </w:pPr>
            <w:r>
              <w:rPr>
                <w:rFonts w:hint="eastAsia" w:hAnsi="宋体" w:cs="宋体"/>
                <w:b/>
                <w:szCs w:val="24"/>
                <w:highlight w:val="none"/>
              </w:rPr>
              <w:t>违约责任：</w:t>
            </w:r>
          </w:p>
          <w:p>
            <w:pPr>
              <w:spacing w:line="360" w:lineRule="auto"/>
              <w:ind w:firstLine="420" w:firstLineChars="200"/>
              <w:rPr>
                <w:rFonts w:hAnsi="宋体" w:cs="宋体"/>
                <w:szCs w:val="24"/>
                <w:highlight w:val="none"/>
              </w:rPr>
            </w:pPr>
            <w:r>
              <w:rPr>
                <w:rFonts w:hint="eastAsia" w:hAnsi="宋体"/>
                <w:szCs w:val="24"/>
                <w:highlight w:val="none"/>
              </w:rPr>
              <w:t>按《中华人民共和国政府采购法》、《中华人民共和国合同法》</w:t>
            </w:r>
            <w:r>
              <w:rPr>
                <w:rFonts w:hint="eastAsia" w:hAnsi="宋体" w:cs="宋体"/>
                <w:szCs w:val="24"/>
                <w:highlight w:val="none"/>
              </w:rPr>
              <w:t>中的相关条款执行。</w:t>
            </w:r>
          </w:p>
          <w:p>
            <w:pPr>
              <w:snapToGrid w:val="0"/>
              <w:spacing w:line="360" w:lineRule="auto"/>
              <w:ind w:firstLine="420" w:firstLineChars="200"/>
              <w:rPr>
                <w:rFonts w:hAnsi="宋体" w:cs="宋体"/>
                <w:szCs w:val="24"/>
                <w:highlight w:val="none"/>
              </w:rPr>
            </w:pPr>
            <w:r>
              <w:rPr>
                <w:rFonts w:hint="eastAsia" w:hAnsi="宋体" w:cs="宋体"/>
                <w:szCs w:val="24"/>
                <w:highlight w:val="none"/>
              </w:rPr>
              <w:t>未按合同或磋商文件要求提供的产品或者服务，质量不能满足采购人技术要求，采购单位有权终止合同，甚至对供应商违约行为进行追究。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0" w:hRule="atLeast"/>
        </w:trPr>
        <w:tc>
          <w:tcPr>
            <w:tcW w:w="1310" w:type="dxa"/>
            <w:vAlign w:val="center"/>
          </w:tcPr>
          <w:p>
            <w:pPr>
              <w:spacing w:line="360" w:lineRule="auto"/>
              <w:jc w:val="center"/>
              <w:rPr>
                <w:rFonts w:hAnsi="宋体" w:cs="宋体"/>
                <w:szCs w:val="24"/>
                <w:highlight w:val="none"/>
              </w:rPr>
            </w:pPr>
            <w:r>
              <w:rPr>
                <w:rFonts w:hAnsi="宋体" w:cs="宋体"/>
                <w:szCs w:val="24"/>
                <w:highlight w:val="none"/>
              </w:rPr>
              <w:t>15</w:t>
            </w:r>
          </w:p>
        </w:tc>
        <w:tc>
          <w:tcPr>
            <w:tcW w:w="7549" w:type="dxa"/>
            <w:vAlign w:val="center"/>
          </w:tcPr>
          <w:p>
            <w:pPr>
              <w:spacing w:line="360" w:lineRule="auto"/>
              <w:rPr>
                <w:highlight w:val="none"/>
              </w:rPr>
            </w:pPr>
            <w:r>
              <w:rPr>
                <w:rFonts w:hint="eastAsia"/>
                <w:highlight w:val="none"/>
              </w:rPr>
              <w:t>其它：</w:t>
            </w:r>
          </w:p>
          <w:p>
            <w:pPr>
              <w:numPr>
                <w:ilvl w:val="0"/>
                <w:numId w:val="6"/>
              </w:numPr>
              <w:spacing w:line="360" w:lineRule="auto"/>
              <w:ind w:firstLine="420" w:firstLineChars="200"/>
              <w:rPr>
                <w:highlight w:val="none"/>
              </w:rPr>
            </w:pPr>
            <w:r>
              <w:rPr>
                <w:rFonts w:hint="eastAsia"/>
                <w:highlight w:val="none"/>
              </w:rPr>
              <w:t>供应商须按报价一览表（统一格式）和磋商分项报价表（统一格式）的内容填写单价、总价及其他事项。</w:t>
            </w:r>
          </w:p>
          <w:p>
            <w:pPr>
              <w:pStyle w:val="2"/>
              <w:jc w:val="left"/>
              <w:rPr>
                <w:highlight w:val="none"/>
              </w:rPr>
            </w:pPr>
            <w:r>
              <w:rPr>
                <w:rFonts w:hint="eastAsia"/>
                <w:highlight w:val="none"/>
              </w:rPr>
              <w:t xml:space="preserve">    2、合履行中如出现清单变更或出现导致价格变动的因素，支付总价据实核算；</w:t>
            </w:r>
          </w:p>
        </w:tc>
      </w:tr>
    </w:tbl>
    <w:p>
      <w:pPr>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bookmarkStart w:id="73" w:name="_Toc421778378"/>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spacing w:line="360" w:lineRule="auto"/>
        <w:jc w:val="left"/>
        <w:rPr>
          <w:rFonts w:ascii="宋体" w:hAnsi="宋体" w:cs="宋体"/>
          <w:b/>
          <w:kern w:val="0"/>
          <w:sz w:val="24"/>
          <w:highlight w:val="none"/>
        </w:rPr>
      </w:pPr>
    </w:p>
    <w:p>
      <w:pPr>
        <w:jc w:val="center"/>
        <w:rPr>
          <w:rFonts w:ascii="宋体" w:hAnsi="宋体" w:cs="宋体"/>
          <w:b/>
          <w:bCs/>
          <w:sz w:val="44"/>
          <w:szCs w:val="44"/>
          <w:highlight w:val="none"/>
        </w:rPr>
      </w:pPr>
      <w:r>
        <w:rPr>
          <w:rFonts w:hint="eastAsia" w:ascii="宋体" w:hAnsi="宋体" w:cs="宋体"/>
          <w:b/>
          <w:bCs/>
          <w:sz w:val="44"/>
          <w:szCs w:val="44"/>
          <w:highlight w:val="none"/>
          <w:lang w:eastAsia="zh-CN"/>
        </w:rPr>
        <w:t>铜川市新区移民（脱贫）搬迁办公室宅基地腾退服务项目</w:t>
      </w:r>
      <w:r>
        <w:rPr>
          <w:rFonts w:hint="eastAsia" w:ascii="宋体" w:hAnsi="宋体" w:cs="宋体"/>
          <w:b/>
          <w:bCs/>
          <w:sz w:val="44"/>
          <w:szCs w:val="44"/>
          <w:highlight w:val="none"/>
        </w:rPr>
        <w:t>合同</w:t>
      </w:r>
    </w:p>
    <w:p>
      <w:pPr>
        <w:jc w:val="center"/>
        <w:rPr>
          <w:rFonts w:ascii="宋体" w:hAnsi="宋体" w:cs="宋体"/>
          <w:b/>
          <w:bCs/>
          <w:sz w:val="48"/>
          <w:szCs w:val="48"/>
          <w:highlight w:val="none"/>
        </w:rPr>
      </w:pPr>
    </w:p>
    <w:p>
      <w:pPr>
        <w:jc w:val="center"/>
        <w:rPr>
          <w:rFonts w:ascii="宋体" w:hAnsi="宋体" w:cs="宋体"/>
          <w:b/>
          <w:bCs/>
          <w:sz w:val="32"/>
          <w:szCs w:val="32"/>
          <w:highlight w:val="none"/>
        </w:rPr>
      </w:pPr>
    </w:p>
    <w:p>
      <w:pPr>
        <w:pStyle w:val="2"/>
        <w:rPr>
          <w:highlight w:val="none"/>
        </w:rPr>
      </w:pPr>
    </w:p>
    <w:p>
      <w:pPr>
        <w:jc w:val="center"/>
        <w:rPr>
          <w:rFonts w:ascii="宋体" w:hAnsi="宋体" w:cs="宋体"/>
          <w:b/>
          <w:bCs/>
          <w:sz w:val="32"/>
          <w:szCs w:val="32"/>
          <w:highlight w:val="none"/>
        </w:rPr>
      </w:pPr>
      <w:r>
        <w:rPr>
          <w:rFonts w:hint="eastAsia" w:ascii="宋体" w:hAnsi="宋体" w:cs="宋体"/>
          <w:b/>
          <w:bCs/>
          <w:sz w:val="32"/>
          <w:szCs w:val="32"/>
          <w:highlight w:val="none"/>
        </w:rPr>
        <w:t>（示范文本）</w:t>
      </w:r>
    </w:p>
    <w:p>
      <w:pPr>
        <w:jc w:val="center"/>
        <w:rPr>
          <w:rFonts w:ascii="宋体" w:hAnsi="宋体" w:cs="宋体"/>
          <w:b/>
          <w:sz w:val="36"/>
          <w:szCs w:val="36"/>
          <w:highlight w:val="none"/>
        </w:rPr>
      </w:pPr>
    </w:p>
    <w:p>
      <w:pPr>
        <w:spacing w:line="360" w:lineRule="auto"/>
        <w:jc w:val="center"/>
        <w:rPr>
          <w:rFonts w:ascii="黑体" w:eastAsia="黑体"/>
          <w:b/>
          <w:sz w:val="72"/>
          <w:szCs w:val="72"/>
          <w:highlight w:val="none"/>
        </w:rPr>
      </w:pPr>
    </w:p>
    <w:p>
      <w:pPr>
        <w:spacing w:line="360" w:lineRule="auto"/>
        <w:jc w:val="center"/>
        <w:rPr>
          <w:rFonts w:ascii="黑体" w:eastAsia="黑体"/>
          <w:sz w:val="30"/>
          <w:szCs w:val="30"/>
          <w:highlight w:val="none"/>
        </w:rPr>
      </w:pPr>
    </w:p>
    <w:p>
      <w:pPr>
        <w:spacing w:line="360" w:lineRule="auto"/>
        <w:rPr>
          <w:rFonts w:ascii="黑体" w:eastAsia="黑体"/>
          <w:sz w:val="32"/>
          <w:szCs w:val="32"/>
          <w:highlight w:val="none"/>
        </w:rPr>
      </w:pPr>
    </w:p>
    <w:p>
      <w:pPr>
        <w:spacing w:line="360" w:lineRule="auto"/>
        <w:rPr>
          <w:rFonts w:ascii="黑体" w:eastAsia="黑体"/>
          <w:sz w:val="32"/>
          <w:szCs w:val="32"/>
          <w:highlight w:val="none"/>
        </w:rPr>
      </w:pPr>
    </w:p>
    <w:p>
      <w:pPr>
        <w:spacing w:line="360" w:lineRule="auto"/>
        <w:rPr>
          <w:rFonts w:ascii="黑体" w:eastAsia="黑体"/>
          <w:sz w:val="32"/>
          <w:szCs w:val="32"/>
          <w:highlight w:val="none"/>
        </w:rPr>
      </w:pPr>
    </w:p>
    <w:p>
      <w:pPr>
        <w:spacing w:line="360" w:lineRule="auto"/>
        <w:rPr>
          <w:rFonts w:ascii="黑体" w:eastAsia="黑体"/>
          <w:sz w:val="32"/>
          <w:szCs w:val="32"/>
          <w:highlight w:val="none"/>
        </w:rPr>
      </w:pPr>
    </w:p>
    <w:p>
      <w:pPr>
        <w:pStyle w:val="2"/>
      </w:pPr>
    </w:p>
    <w:p>
      <w:pPr>
        <w:spacing w:line="360" w:lineRule="auto"/>
        <w:rPr>
          <w:rFonts w:ascii="黑体" w:eastAsia="黑体"/>
          <w:sz w:val="32"/>
          <w:szCs w:val="32"/>
          <w:highlight w:val="none"/>
        </w:rPr>
      </w:pPr>
    </w:p>
    <w:p>
      <w:pPr>
        <w:spacing w:line="360" w:lineRule="auto"/>
        <w:jc w:val="center"/>
        <w:rPr>
          <w:rFonts w:hint="eastAsia" w:ascii="黑体" w:eastAsia="黑体"/>
          <w:sz w:val="32"/>
          <w:szCs w:val="32"/>
          <w:highlight w:val="none"/>
        </w:rPr>
      </w:pPr>
      <w:r>
        <w:rPr>
          <w:rFonts w:hint="eastAsia" w:ascii="黑体" w:eastAsia="黑体"/>
          <w:sz w:val="32"/>
          <w:szCs w:val="32"/>
          <w:highlight w:val="none"/>
        </w:rPr>
        <w:t>20</w:t>
      </w:r>
      <w:r>
        <w:rPr>
          <w:rFonts w:hint="eastAsia" w:ascii="黑体" w:eastAsia="黑体"/>
          <w:sz w:val="32"/>
          <w:szCs w:val="32"/>
          <w:highlight w:val="none"/>
          <w:lang w:val="en-US" w:eastAsia="zh-CN"/>
        </w:rPr>
        <w:t>19</w:t>
      </w:r>
      <w:r>
        <w:rPr>
          <w:rFonts w:hint="eastAsia" w:ascii="黑体" w:eastAsia="黑体"/>
          <w:sz w:val="32"/>
          <w:szCs w:val="32"/>
          <w:highlight w:val="none"/>
        </w:rPr>
        <w:t>年   月</w:t>
      </w:r>
    </w:p>
    <w:p>
      <w:pPr>
        <w:pStyle w:val="2"/>
        <w:rPr>
          <w:rFonts w:hint="eastAsia" w:ascii="黑体" w:eastAsia="黑体"/>
          <w:sz w:val="32"/>
          <w:szCs w:val="32"/>
          <w:highlight w:val="none"/>
        </w:rPr>
      </w:pPr>
    </w:p>
    <w:p>
      <w:pPr>
        <w:jc w:val="both"/>
        <w:rPr>
          <w:rFonts w:ascii="宋体" w:hAnsi="宋体" w:cs="宋体"/>
          <w:b/>
          <w:bCs/>
          <w:sz w:val="36"/>
          <w:szCs w:val="36"/>
          <w:highlight w:val="none"/>
        </w:rPr>
      </w:pPr>
    </w:p>
    <w:p>
      <w:pPr>
        <w:ind w:firstLine="482" w:firstLineChars="200"/>
        <w:rPr>
          <w:rFonts w:hint="eastAsia" w:ascii="宋体" w:hAnsi="宋体" w:cs="宋体"/>
          <w:b w:val="0"/>
          <w:bCs/>
          <w:sz w:val="24"/>
          <w:highlight w:val="none"/>
          <w:u w:val="single"/>
        </w:rPr>
      </w:pPr>
      <w:r>
        <w:rPr>
          <w:rFonts w:hint="eastAsia" w:ascii="宋体" w:hAnsi="宋体" w:cs="宋体"/>
          <w:b/>
          <w:sz w:val="24"/>
          <w:highlight w:val="none"/>
        </w:rPr>
        <w:t>采购人（全称）：</w:t>
      </w:r>
      <w:r>
        <w:rPr>
          <w:rFonts w:hint="eastAsia" w:ascii="宋体" w:hAnsi="宋体" w:cs="宋体"/>
          <w:b w:val="0"/>
          <w:bCs/>
          <w:sz w:val="24"/>
          <w:highlight w:val="none"/>
          <w:u w:val="single"/>
        </w:rPr>
        <w:t xml:space="preserve"> </w:t>
      </w:r>
      <w:r>
        <w:rPr>
          <w:rFonts w:hint="eastAsia" w:ascii="宋体" w:hAnsi="宋体" w:cs="宋体"/>
          <w:b w:val="0"/>
          <w:bCs/>
          <w:sz w:val="24"/>
          <w:highlight w:val="none"/>
          <w:u w:val="single"/>
          <w:lang w:eastAsia="zh-CN"/>
        </w:rPr>
        <w:t>铜川市新区移民（脱贫）搬迁办公室</w:t>
      </w:r>
      <w:r>
        <w:rPr>
          <w:rFonts w:hint="eastAsia" w:ascii="宋体" w:hAnsi="宋体" w:cs="宋体"/>
          <w:b w:val="0"/>
          <w:bCs/>
          <w:sz w:val="24"/>
          <w:highlight w:val="none"/>
          <w:u w:val="single"/>
        </w:rPr>
        <w:t xml:space="preserve">     </w:t>
      </w:r>
    </w:p>
    <w:p>
      <w:pPr>
        <w:adjustRightInd w:val="0"/>
        <w:snapToGrid w:val="0"/>
        <w:spacing w:line="580" w:lineRule="exact"/>
        <w:ind w:firstLine="482" w:firstLineChars="200"/>
        <w:rPr>
          <w:rFonts w:ascii="宋体" w:hAnsi="宋体" w:cs="宋体"/>
          <w:sz w:val="24"/>
          <w:highlight w:val="none"/>
        </w:rPr>
      </w:pPr>
      <w:r>
        <w:rPr>
          <w:rFonts w:hint="eastAsia" w:ascii="宋体" w:hAnsi="宋体" w:cs="宋体"/>
          <w:b/>
          <w:sz w:val="24"/>
          <w:highlight w:val="none"/>
        </w:rPr>
        <w:t>供应商（全称）：</w:t>
      </w:r>
      <w:r>
        <w:rPr>
          <w:rFonts w:hint="eastAsia" w:ascii="宋体" w:hAnsi="宋体" w:cs="宋体"/>
          <w:b/>
          <w:sz w:val="24"/>
          <w:highlight w:val="none"/>
          <w:u w:val="single"/>
        </w:rPr>
        <w:t xml:space="preserve">                                   </w:t>
      </w:r>
      <w:r>
        <w:rPr>
          <w:rFonts w:hint="eastAsia" w:ascii="宋体" w:hAnsi="宋体" w:cs="宋体"/>
          <w:sz w:val="24"/>
          <w:highlight w:val="none"/>
          <w:u w:val="single"/>
        </w:rPr>
        <w:t xml:space="preserve">   </w:t>
      </w:r>
    </w:p>
    <w:p>
      <w:pPr>
        <w:adjustRightInd w:val="0"/>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根据《中华人民共和国合同法》及其他有关法律、法规，遵循平等、自愿、公平和诚信的原则，双方就下述项目范围与相关服务事项协商一致，订立本合同。</w:t>
      </w:r>
    </w:p>
    <w:p>
      <w:pPr>
        <w:spacing w:line="360" w:lineRule="auto"/>
        <w:rPr>
          <w:rFonts w:ascii="宋体" w:hAnsi="宋体" w:cs="宋体"/>
          <w:b/>
          <w:sz w:val="24"/>
          <w:highlight w:val="none"/>
        </w:rPr>
      </w:pPr>
      <w:r>
        <w:rPr>
          <w:rFonts w:hint="eastAsia" w:ascii="宋体" w:hAnsi="宋体" w:cs="宋体"/>
          <w:b/>
          <w:sz w:val="24"/>
          <w:highlight w:val="none"/>
        </w:rPr>
        <w:t>一、项目概况</w:t>
      </w:r>
    </w:p>
    <w:p>
      <w:pPr>
        <w:adjustRightInd w:val="0"/>
        <w:snapToGrid w:val="0"/>
        <w:spacing w:line="360" w:lineRule="auto"/>
        <w:ind w:firstLine="475" w:firstLineChars="198"/>
        <w:rPr>
          <w:rFonts w:ascii="宋体" w:hAnsi="宋体" w:cs="宋体"/>
          <w:sz w:val="24"/>
          <w:highlight w:val="none"/>
        </w:rPr>
      </w:pPr>
      <w:r>
        <w:rPr>
          <w:rFonts w:hint="eastAsia" w:ascii="宋体" w:hAnsi="宋体" w:cs="宋体"/>
          <w:sz w:val="24"/>
          <w:highlight w:val="none"/>
        </w:rPr>
        <w:t>1. 项目名称：</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铜川市新区移民（脱贫）搬迁办公室宅基地腾退服务项目</w:t>
      </w:r>
      <w:r>
        <w:rPr>
          <w:rFonts w:hint="eastAsia" w:ascii="宋体" w:hAnsi="宋体" w:cs="宋体"/>
          <w:sz w:val="24"/>
          <w:highlight w:val="none"/>
          <w:u w:val="single"/>
        </w:rPr>
        <w:t xml:space="preserve">    </w:t>
      </w:r>
      <w:r>
        <w:rPr>
          <w:rFonts w:hint="eastAsia" w:ascii="宋体" w:hAnsi="宋体" w:cs="宋体"/>
          <w:sz w:val="24"/>
          <w:highlight w:val="none"/>
        </w:rPr>
        <w:t>；</w:t>
      </w:r>
    </w:p>
    <w:p>
      <w:pPr>
        <w:adjustRightInd w:val="0"/>
        <w:snapToGrid w:val="0"/>
        <w:spacing w:line="360" w:lineRule="auto"/>
        <w:ind w:firstLine="475" w:firstLineChars="198"/>
        <w:rPr>
          <w:rFonts w:ascii="宋体" w:hAnsi="宋体" w:cs="宋体"/>
          <w:sz w:val="24"/>
          <w:highlight w:val="none"/>
        </w:rPr>
      </w:pPr>
      <w:r>
        <w:rPr>
          <w:rFonts w:hint="eastAsia" w:ascii="宋体" w:hAnsi="宋体" w:cs="宋体"/>
          <w:sz w:val="24"/>
          <w:highlight w:val="none"/>
        </w:rPr>
        <w:t xml:space="preserve">2. </w:t>
      </w:r>
      <w:r>
        <w:rPr>
          <w:rFonts w:hint="eastAsia" w:ascii="宋体" w:hAnsi="宋体" w:cs="宋体"/>
          <w:sz w:val="24"/>
          <w:highlight w:val="none"/>
          <w:lang w:eastAsia="zh-CN"/>
        </w:rPr>
        <w:t>实施</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二、组成本合同的文件</w:t>
      </w:r>
    </w:p>
    <w:p>
      <w:pPr>
        <w:adjustRightInd w:val="0"/>
        <w:snapToGrid w:val="0"/>
        <w:spacing w:line="360" w:lineRule="auto"/>
        <w:ind w:firstLine="475" w:firstLineChars="198"/>
        <w:rPr>
          <w:rFonts w:ascii="宋体" w:hAnsi="宋体" w:cs="宋体"/>
          <w:sz w:val="24"/>
          <w:highlight w:val="none"/>
        </w:rPr>
      </w:pPr>
      <w:r>
        <w:rPr>
          <w:rFonts w:hint="eastAsia" w:ascii="宋体" w:hAnsi="宋体" w:cs="宋体"/>
          <w:sz w:val="24"/>
          <w:highlight w:val="none"/>
        </w:rPr>
        <w:t>1. 协议书；</w:t>
      </w:r>
    </w:p>
    <w:p>
      <w:pPr>
        <w:adjustRightInd w:val="0"/>
        <w:snapToGrid w:val="0"/>
        <w:spacing w:line="360" w:lineRule="auto"/>
        <w:ind w:firstLine="475" w:firstLineChars="198"/>
        <w:rPr>
          <w:rFonts w:ascii="宋体" w:hAnsi="宋体" w:cs="宋体"/>
          <w:sz w:val="24"/>
          <w:highlight w:val="none"/>
        </w:rPr>
      </w:pPr>
      <w:r>
        <w:rPr>
          <w:rFonts w:hint="eastAsia" w:ascii="宋体" w:hAnsi="宋体" w:cs="宋体"/>
          <w:sz w:val="24"/>
          <w:highlight w:val="none"/>
        </w:rPr>
        <w:t>2. 成交通知书、</w:t>
      </w:r>
      <w:r>
        <w:rPr>
          <w:rFonts w:hint="eastAsia" w:ascii="宋体" w:hAnsi="宋体" w:cs="宋体"/>
          <w:sz w:val="24"/>
          <w:highlight w:val="none"/>
          <w:lang w:eastAsia="zh-CN"/>
        </w:rPr>
        <w:t>磋商</w:t>
      </w:r>
      <w:r>
        <w:rPr>
          <w:rFonts w:hint="eastAsia" w:ascii="宋体" w:hAnsi="宋体" w:cs="宋体"/>
          <w:sz w:val="24"/>
          <w:highlight w:val="none"/>
        </w:rPr>
        <w:t>响应文件、</w:t>
      </w:r>
      <w:r>
        <w:rPr>
          <w:rFonts w:hint="eastAsia" w:ascii="宋体" w:hAnsi="宋体" w:cs="宋体"/>
          <w:sz w:val="24"/>
          <w:highlight w:val="none"/>
          <w:lang w:eastAsia="zh-CN"/>
        </w:rPr>
        <w:t>磋商</w:t>
      </w:r>
      <w:r>
        <w:rPr>
          <w:rFonts w:hint="eastAsia" w:ascii="宋体" w:hAnsi="宋体" w:cs="宋体"/>
          <w:sz w:val="24"/>
          <w:highlight w:val="none"/>
        </w:rPr>
        <w:t>文件、澄清、</w:t>
      </w:r>
      <w:r>
        <w:rPr>
          <w:rFonts w:hint="eastAsia" w:ascii="宋体" w:hAnsi="宋体" w:cs="宋体"/>
          <w:sz w:val="24"/>
          <w:highlight w:val="none"/>
          <w:lang w:eastAsia="zh-CN"/>
        </w:rPr>
        <w:t>磋商</w:t>
      </w:r>
      <w:r>
        <w:rPr>
          <w:rFonts w:hint="eastAsia" w:ascii="宋体" w:hAnsi="宋体" w:cs="宋体"/>
          <w:sz w:val="24"/>
          <w:highlight w:val="none"/>
        </w:rPr>
        <w:t>补充文件（或委托书）；</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 相关服务建议书；</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4. 附录，即：附表内相关服务的范围和内容；</w:t>
      </w:r>
    </w:p>
    <w:p>
      <w:pPr>
        <w:adjustRightInd w:val="0"/>
        <w:snapToGrid w:val="0"/>
        <w:spacing w:line="360" w:lineRule="auto"/>
        <w:ind w:firstLine="475" w:firstLineChars="198"/>
        <w:rPr>
          <w:rFonts w:ascii="宋体" w:hAnsi="宋体" w:cs="宋体"/>
          <w:sz w:val="24"/>
          <w:highlight w:val="none"/>
        </w:rPr>
      </w:pPr>
      <w:r>
        <w:rPr>
          <w:rFonts w:hint="eastAsia" w:ascii="宋体" w:hAnsi="宋体" w:cs="宋体"/>
          <w:sz w:val="24"/>
          <w:highlight w:val="none"/>
        </w:rPr>
        <w:t>本合同签订后，双方依法签订的补充协议也是本合同文件的组成部分。</w:t>
      </w:r>
    </w:p>
    <w:p>
      <w:pPr>
        <w:spacing w:line="360" w:lineRule="auto"/>
        <w:rPr>
          <w:rFonts w:ascii="宋体" w:hAnsi="宋体" w:cs="宋体"/>
          <w:b/>
          <w:sz w:val="24"/>
          <w:highlight w:val="none"/>
        </w:rPr>
      </w:pPr>
      <w:r>
        <w:rPr>
          <w:rFonts w:hint="eastAsia" w:ascii="宋体" w:hAnsi="宋体" w:cs="宋体"/>
          <w:b/>
          <w:sz w:val="24"/>
          <w:highlight w:val="none"/>
        </w:rPr>
        <w:t>三、合同价款</w:t>
      </w:r>
    </w:p>
    <w:p>
      <w:pPr>
        <w:adjustRightInd w:val="0"/>
        <w:snapToGrid w:val="0"/>
        <w:spacing w:line="360" w:lineRule="auto"/>
        <w:ind w:firstLine="475" w:firstLineChars="198"/>
        <w:rPr>
          <w:rFonts w:ascii="宋体" w:hAnsi="宋体" w:cs="宋体"/>
          <w:sz w:val="24"/>
          <w:highlight w:val="none"/>
        </w:rPr>
      </w:pPr>
      <w:r>
        <w:rPr>
          <w:rFonts w:hint="eastAsia" w:ascii="宋体" w:hAnsi="宋体" w:cs="宋体"/>
          <w:sz w:val="24"/>
          <w:highlight w:val="none"/>
        </w:rPr>
        <w:t>合同总价（大写）：</w:t>
      </w:r>
      <w:r>
        <w:rPr>
          <w:rFonts w:hint="eastAsia" w:ascii="宋体" w:hAnsi="宋体" w:cs="宋体"/>
          <w:sz w:val="24"/>
          <w:highlight w:val="none"/>
          <w:u w:val="single"/>
        </w:rPr>
        <w:t xml:space="preserve">                            </w:t>
      </w:r>
      <w:r>
        <w:rPr>
          <w:rFonts w:hint="eastAsia" w:ascii="宋体" w:hAnsi="宋体" w:cs="宋体"/>
          <w:sz w:val="24"/>
          <w:highlight w:val="none"/>
        </w:rPr>
        <w:t>（¥        ）。</w:t>
      </w:r>
    </w:p>
    <w:p>
      <w:pPr>
        <w:adjustRightInd w:val="0"/>
        <w:snapToGrid w:val="0"/>
        <w:spacing w:line="360" w:lineRule="auto"/>
        <w:ind w:firstLine="475" w:firstLineChars="198"/>
        <w:rPr>
          <w:rFonts w:ascii="宋体" w:hAnsi="宋体" w:cs="宋体"/>
          <w:sz w:val="24"/>
          <w:highlight w:val="none"/>
        </w:rPr>
      </w:pPr>
      <w:r>
        <w:rPr>
          <w:rFonts w:hint="eastAsia" w:ascii="宋体" w:hAnsi="宋体" w:cs="宋体"/>
          <w:sz w:val="24"/>
          <w:highlight w:val="none"/>
        </w:rPr>
        <w:t>合同总价即成交价，合同总价一次包死，不受市场价变化或实际工作量变化的影响，合同价格为含税价，供应商（成交人）提供产品所发生的一切税（包括增值税）费等都已包含于合同价款中。</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四、结算方式：</w:t>
      </w:r>
    </w:p>
    <w:p>
      <w:pPr>
        <w:adjustRightInd w:val="0"/>
        <w:snapToGrid w:val="0"/>
        <w:spacing w:line="360" w:lineRule="auto"/>
        <w:ind w:firstLine="475" w:firstLineChars="198"/>
        <w:rPr>
          <w:rFonts w:ascii="宋体" w:hAnsi="宋体" w:cs="宋体"/>
          <w:sz w:val="24"/>
          <w:highlight w:val="none"/>
        </w:rPr>
      </w:pPr>
      <w:r>
        <w:rPr>
          <w:rFonts w:hint="eastAsia" w:ascii="宋体" w:hAnsi="宋体" w:cs="宋体"/>
          <w:sz w:val="24"/>
          <w:highlight w:val="none"/>
        </w:rPr>
        <w:t>（1）结算单位：由采购人以人民币负责结算，在付款前，供应商必须开具全额发票给采购人。</w:t>
      </w:r>
    </w:p>
    <w:p>
      <w:pPr>
        <w:adjustRightInd w:val="0"/>
        <w:snapToGrid w:val="0"/>
        <w:spacing w:line="360" w:lineRule="auto"/>
        <w:ind w:firstLine="475" w:firstLineChars="198"/>
        <w:rPr>
          <w:rFonts w:ascii="宋体" w:hAnsi="宋体" w:cs="宋体"/>
          <w:sz w:val="24"/>
          <w:highlight w:val="none"/>
        </w:rPr>
      </w:pPr>
      <w:r>
        <w:rPr>
          <w:rFonts w:hint="eastAsia" w:ascii="宋体" w:hAnsi="宋体" w:cs="宋体"/>
          <w:sz w:val="24"/>
          <w:highlight w:val="none"/>
        </w:rPr>
        <w:t>（2）付款方式：详见</w:t>
      </w:r>
      <w:r>
        <w:rPr>
          <w:rFonts w:hint="eastAsia" w:ascii="宋体" w:hAnsi="宋体" w:cs="宋体"/>
          <w:sz w:val="24"/>
          <w:highlight w:val="none"/>
          <w:lang w:eastAsia="zh-CN"/>
        </w:rPr>
        <w:t>磋商</w:t>
      </w:r>
      <w:r>
        <w:rPr>
          <w:rFonts w:hint="eastAsia" w:ascii="宋体" w:hAnsi="宋体" w:cs="宋体"/>
          <w:sz w:val="24"/>
          <w:highlight w:val="none"/>
        </w:rPr>
        <w:t>文件合同条款及格式前附表。</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五、期限</w:t>
      </w:r>
    </w:p>
    <w:p>
      <w:pPr>
        <w:adjustRightInd w:val="0"/>
        <w:snapToGrid w:val="0"/>
        <w:spacing w:line="520" w:lineRule="exact"/>
        <w:ind w:firstLine="475" w:firstLineChars="198"/>
        <w:rPr>
          <w:rFonts w:ascii="宋体" w:hAnsi="宋体" w:cs="宋体"/>
          <w:sz w:val="24"/>
          <w:highlight w:val="none"/>
        </w:rPr>
      </w:pPr>
      <w:r>
        <w:rPr>
          <w:rFonts w:hint="eastAsia" w:ascii="宋体" w:hAnsi="宋体" w:cs="宋体"/>
          <w:sz w:val="24"/>
          <w:highlight w:val="none"/>
        </w:rPr>
        <w:t>详见合同条款及格式前附表。</w:t>
      </w:r>
    </w:p>
    <w:p>
      <w:pPr>
        <w:spacing w:line="360" w:lineRule="auto"/>
        <w:rPr>
          <w:rFonts w:ascii="宋体" w:hAnsi="宋体" w:cs="宋体"/>
          <w:b/>
          <w:sz w:val="24"/>
          <w:highlight w:val="none"/>
        </w:rPr>
      </w:pPr>
      <w:r>
        <w:rPr>
          <w:rFonts w:hint="eastAsia" w:ascii="宋体" w:hAnsi="宋体" w:cs="宋体"/>
          <w:b/>
          <w:sz w:val="24"/>
          <w:highlight w:val="none"/>
        </w:rPr>
        <w:t>六、双方承诺</w:t>
      </w:r>
    </w:p>
    <w:p>
      <w:pPr>
        <w:adjustRightInd w:val="0"/>
        <w:snapToGrid w:val="0"/>
        <w:spacing w:line="360" w:lineRule="auto"/>
        <w:ind w:firstLine="475" w:firstLineChars="198"/>
        <w:rPr>
          <w:rFonts w:ascii="宋体" w:hAnsi="宋体" w:cs="宋体"/>
          <w:sz w:val="24"/>
          <w:highlight w:val="none"/>
        </w:rPr>
      </w:pPr>
      <w:r>
        <w:rPr>
          <w:rFonts w:hint="eastAsia" w:ascii="宋体" w:hAnsi="宋体" w:cs="宋体"/>
          <w:sz w:val="24"/>
          <w:highlight w:val="none"/>
        </w:rPr>
        <w:t>1.供应商向采购人承诺，按照本合同约定提供相关服务。</w:t>
      </w:r>
    </w:p>
    <w:p>
      <w:pPr>
        <w:adjustRightInd w:val="0"/>
        <w:snapToGrid w:val="0"/>
        <w:spacing w:line="360" w:lineRule="auto"/>
        <w:ind w:firstLine="475" w:firstLineChars="198"/>
        <w:rPr>
          <w:rFonts w:ascii="宋体" w:hAnsi="宋体" w:cs="宋体"/>
          <w:sz w:val="24"/>
          <w:highlight w:val="none"/>
        </w:rPr>
      </w:pPr>
      <w:r>
        <w:rPr>
          <w:rFonts w:hint="eastAsia" w:ascii="宋体" w:hAnsi="宋体" w:cs="宋体"/>
          <w:sz w:val="24"/>
          <w:highlight w:val="none"/>
        </w:rPr>
        <w:t>2.采购人向供应商承诺，按照本合同约定支付服务款项。</w:t>
      </w:r>
    </w:p>
    <w:p>
      <w:pPr>
        <w:tabs>
          <w:tab w:val="left" w:pos="840"/>
        </w:tabs>
        <w:spacing w:line="360" w:lineRule="auto"/>
        <w:rPr>
          <w:rFonts w:hint="default" w:ascii="宋体" w:hAnsi="宋体" w:eastAsia="宋体" w:cs="宋体"/>
          <w:b/>
          <w:sz w:val="24"/>
          <w:highlight w:val="none"/>
          <w:u w:val="single"/>
          <w:lang w:val="en-US" w:eastAsia="zh-CN"/>
        </w:rPr>
      </w:pPr>
      <w:r>
        <w:rPr>
          <w:rFonts w:hint="eastAsia" w:ascii="宋体" w:hAnsi="宋体" w:cs="宋体"/>
          <w:b/>
          <w:sz w:val="24"/>
          <w:highlight w:val="none"/>
        </w:rPr>
        <w:t>七、内容及要求：</w:t>
      </w:r>
      <w:r>
        <w:rPr>
          <w:rFonts w:hint="eastAsia" w:ascii="宋体" w:hAnsi="宋体" w:cs="宋体"/>
          <w:b/>
          <w:sz w:val="24"/>
          <w:highlight w:val="none"/>
          <w:u w:val="single"/>
          <w:lang w:val="en-US" w:eastAsia="zh-CN"/>
        </w:rPr>
        <w:t xml:space="preserve">                          </w:t>
      </w:r>
    </w:p>
    <w:p>
      <w:pPr>
        <w:tabs>
          <w:tab w:val="left" w:pos="840"/>
        </w:tabs>
        <w:spacing w:line="360" w:lineRule="auto"/>
        <w:rPr>
          <w:rFonts w:hint="default" w:ascii="宋体" w:hAnsi="宋体" w:cs="宋体"/>
          <w:sz w:val="24"/>
          <w:highlight w:val="none"/>
          <w:u w:val="single"/>
          <w:lang w:val="en-US"/>
        </w:rPr>
      </w:pPr>
      <w:r>
        <w:rPr>
          <w:rFonts w:hint="eastAsia" w:ascii="宋体" w:hAnsi="宋体" w:cs="宋体"/>
          <w:b/>
          <w:sz w:val="24"/>
          <w:highlight w:val="none"/>
        </w:rPr>
        <w:t>八、项目实施地点：</w:t>
      </w:r>
      <w:r>
        <w:rPr>
          <w:rFonts w:hint="eastAsia" w:ascii="宋体" w:hAnsi="宋体" w:cs="宋体"/>
          <w:sz w:val="24"/>
          <w:highlight w:val="none"/>
          <w:u w:val="single"/>
          <w:lang w:val="en-US" w:eastAsia="zh-CN"/>
        </w:rPr>
        <w:t xml:space="preserve">                        </w:t>
      </w:r>
    </w:p>
    <w:p>
      <w:pPr>
        <w:spacing w:line="520" w:lineRule="exact"/>
        <w:rPr>
          <w:rFonts w:ascii="宋体" w:hAnsi="宋体" w:cs="宋体"/>
          <w:sz w:val="24"/>
          <w:highlight w:val="none"/>
        </w:rPr>
      </w:pPr>
      <w:r>
        <w:rPr>
          <w:rFonts w:hint="eastAsia" w:ascii="宋体" w:hAnsi="宋体" w:cs="宋体"/>
          <w:b/>
          <w:sz w:val="24"/>
          <w:highlight w:val="none"/>
          <w:lang w:eastAsia="zh-CN"/>
        </w:rPr>
        <w:t>九</w:t>
      </w:r>
      <w:r>
        <w:rPr>
          <w:rFonts w:hint="eastAsia" w:ascii="宋体" w:hAnsi="宋体" w:cs="宋体"/>
          <w:b/>
          <w:sz w:val="24"/>
          <w:highlight w:val="none"/>
        </w:rPr>
        <w:t>、验收:</w:t>
      </w:r>
    </w:p>
    <w:p>
      <w:pPr>
        <w:numPr>
          <w:ilvl w:val="0"/>
          <w:numId w:val="0"/>
        </w:numPr>
        <w:tabs>
          <w:tab w:val="left" w:pos="498"/>
          <w:tab w:val="left" w:pos="567"/>
        </w:tabs>
        <w:spacing w:line="360" w:lineRule="auto"/>
        <w:ind w:left="284" w:leftChars="0"/>
        <w:rPr>
          <w:rFonts w:ascii="宋体" w:hAnsi="宋体" w:cs="宋体"/>
          <w:sz w:val="24"/>
          <w:highlight w:val="none"/>
        </w:rPr>
      </w:pPr>
      <w:r>
        <w:rPr>
          <w:rFonts w:hint="eastAsia" w:ascii="宋体" w:hAnsi="宋体" w:cs="宋体"/>
          <w:sz w:val="24"/>
          <w:highlight w:val="none"/>
        </w:rPr>
        <w:t>由采购人和供应商共同对项目进行验收</w:t>
      </w:r>
      <w:r>
        <w:rPr>
          <w:rFonts w:hint="eastAsia" w:ascii="宋体" w:hAnsi="宋体" w:cs="宋体"/>
          <w:sz w:val="24"/>
          <w:highlight w:val="none"/>
          <w:lang w:eastAsia="zh-CN"/>
        </w:rPr>
        <w:t>。</w:t>
      </w:r>
    </w:p>
    <w:p>
      <w:pPr>
        <w:spacing w:line="520" w:lineRule="exact"/>
        <w:rPr>
          <w:rFonts w:ascii="宋体" w:hAnsi="宋体" w:cs="宋体"/>
          <w:b/>
          <w:sz w:val="24"/>
          <w:highlight w:val="none"/>
        </w:rPr>
      </w:pPr>
      <w:r>
        <w:rPr>
          <w:rFonts w:hint="eastAsia" w:ascii="宋体" w:hAnsi="宋体" w:cs="宋体"/>
          <w:b/>
          <w:sz w:val="24"/>
          <w:highlight w:val="none"/>
        </w:rPr>
        <w:t>十、服务</w:t>
      </w:r>
      <w:r>
        <w:rPr>
          <w:rFonts w:hint="eastAsia" w:ascii="宋体" w:hAnsi="宋体" w:cs="宋体"/>
          <w:b/>
          <w:sz w:val="24"/>
          <w:highlight w:val="none"/>
          <w:lang w:eastAsia="zh-CN"/>
        </w:rPr>
        <w:t>保证</w:t>
      </w:r>
      <w:r>
        <w:rPr>
          <w:rFonts w:hint="eastAsia" w:ascii="宋体" w:hAnsi="宋体" w:cs="宋体"/>
          <w:b/>
          <w:sz w:val="24"/>
          <w:highlight w:val="none"/>
        </w:rPr>
        <w:t>（提供服务承诺书）：</w:t>
      </w:r>
    </w:p>
    <w:p>
      <w:pPr>
        <w:spacing w:line="520" w:lineRule="exact"/>
        <w:rPr>
          <w:rFonts w:ascii="宋体" w:hAnsi="宋体" w:cs="宋体"/>
          <w:sz w:val="24"/>
          <w:highlight w:val="none"/>
        </w:rPr>
      </w:pPr>
      <w:r>
        <w:rPr>
          <w:rFonts w:hint="eastAsia" w:ascii="宋体" w:hAnsi="宋体" w:cs="宋体"/>
          <w:sz w:val="24"/>
          <w:highlight w:val="none"/>
        </w:rPr>
        <w:t xml:space="preserve">     详见</w:t>
      </w:r>
      <w:r>
        <w:rPr>
          <w:rFonts w:hint="eastAsia" w:ascii="宋体" w:hAnsi="宋体" w:cs="宋体"/>
          <w:sz w:val="24"/>
          <w:highlight w:val="none"/>
          <w:lang w:eastAsia="zh-CN"/>
        </w:rPr>
        <w:t>磋商</w:t>
      </w:r>
      <w:r>
        <w:rPr>
          <w:rFonts w:hint="eastAsia" w:ascii="宋体" w:hAnsi="宋体" w:cs="宋体"/>
          <w:sz w:val="24"/>
          <w:highlight w:val="none"/>
        </w:rPr>
        <w:t>文件及成交供应商的</w:t>
      </w:r>
      <w:r>
        <w:rPr>
          <w:rFonts w:hint="eastAsia" w:ascii="宋体" w:hAnsi="宋体" w:cs="宋体"/>
          <w:sz w:val="24"/>
          <w:highlight w:val="none"/>
          <w:lang w:eastAsia="zh-CN"/>
        </w:rPr>
        <w:t>磋商</w:t>
      </w:r>
      <w:r>
        <w:rPr>
          <w:rFonts w:hint="eastAsia" w:ascii="宋体" w:hAnsi="宋体" w:cs="宋体"/>
          <w:sz w:val="24"/>
          <w:highlight w:val="none"/>
        </w:rPr>
        <w:t>响应文件。</w:t>
      </w:r>
    </w:p>
    <w:p>
      <w:pPr>
        <w:spacing w:line="520" w:lineRule="exact"/>
        <w:rPr>
          <w:rFonts w:ascii="宋体" w:hAnsi="宋体" w:cs="宋体"/>
          <w:b/>
          <w:sz w:val="24"/>
          <w:highlight w:val="none"/>
        </w:rPr>
      </w:pPr>
      <w:r>
        <w:rPr>
          <w:rFonts w:hint="eastAsia" w:ascii="宋体" w:hAnsi="宋体" w:cs="宋体"/>
          <w:b/>
          <w:sz w:val="24"/>
          <w:highlight w:val="none"/>
        </w:rPr>
        <w:t>十</w:t>
      </w:r>
      <w:r>
        <w:rPr>
          <w:rFonts w:hint="eastAsia" w:ascii="宋体" w:hAnsi="宋体" w:cs="宋体"/>
          <w:b/>
          <w:sz w:val="24"/>
          <w:highlight w:val="none"/>
          <w:lang w:eastAsia="zh-CN"/>
        </w:rPr>
        <w:t>一</w:t>
      </w:r>
      <w:r>
        <w:rPr>
          <w:rFonts w:hint="eastAsia" w:ascii="宋体" w:hAnsi="宋体" w:cs="宋体"/>
          <w:b/>
          <w:sz w:val="24"/>
          <w:highlight w:val="none"/>
        </w:rPr>
        <w:t>、保密</w:t>
      </w:r>
    </w:p>
    <w:p>
      <w:pPr>
        <w:tabs>
          <w:tab w:val="left" w:pos="1080"/>
        </w:tabs>
        <w:spacing w:line="520" w:lineRule="exact"/>
        <w:ind w:firstLine="480" w:firstLineChars="200"/>
        <w:rPr>
          <w:rFonts w:ascii="宋体" w:hAnsi="宋体" w:cs="宋体"/>
          <w:sz w:val="24"/>
          <w:highlight w:val="none"/>
        </w:rPr>
      </w:pPr>
      <w:r>
        <w:rPr>
          <w:rFonts w:hint="eastAsia" w:ascii="宋体" w:hAnsi="宋体" w:cs="宋体"/>
          <w:sz w:val="24"/>
          <w:highlight w:val="none"/>
        </w:rPr>
        <w:t>须严格保密，对工作中了解到的采购人的技术、机密等进行保密，不得向他人泄漏。本合同的解除或终止不免除供应商应承担的保密义务。</w:t>
      </w:r>
    </w:p>
    <w:p>
      <w:pPr>
        <w:spacing w:line="520" w:lineRule="exact"/>
        <w:rPr>
          <w:rFonts w:ascii="宋体" w:hAnsi="宋体" w:cs="宋体"/>
          <w:sz w:val="24"/>
          <w:highlight w:val="none"/>
        </w:rPr>
      </w:pPr>
      <w:r>
        <w:rPr>
          <w:rFonts w:hint="eastAsia" w:ascii="宋体" w:hAnsi="宋体" w:cs="宋体"/>
          <w:b/>
          <w:sz w:val="24"/>
          <w:highlight w:val="none"/>
        </w:rPr>
        <w:t>十</w:t>
      </w:r>
      <w:r>
        <w:rPr>
          <w:rFonts w:hint="eastAsia" w:ascii="宋体" w:hAnsi="宋体" w:cs="宋体"/>
          <w:b/>
          <w:sz w:val="24"/>
          <w:highlight w:val="none"/>
          <w:lang w:eastAsia="zh-CN"/>
        </w:rPr>
        <w:t>二</w:t>
      </w:r>
      <w:r>
        <w:rPr>
          <w:rFonts w:hint="eastAsia" w:ascii="宋体" w:hAnsi="宋体" w:cs="宋体"/>
          <w:b/>
          <w:sz w:val="24"/>
          <w:highlight w:val="none"/>
        </w:rPr>
        <w:t>、合同争议的解决：</w:t>
      </w:r>
      <w:r>
        <w:rPr>
          <w:rFonts w:hint="eastAsia" w:ascii="宋体" w:hAnsi="宋体" w:cs="宋体"/>
          <w:sz w:val="24"/>
          <w:highlight w:val="none"/>
        </w:rPr>
        <w:t>合同执行中发生争议的，当事人双方应协商解决，协商达不成一致时，可向当地行政仲裁机关申请仲裁或者向人民法院提请诉讼。</w:t>
      </w:r>
    </w:p>
    <w:p>
      <w:pPr>
        <w:spacing w:line="520" w:lineRule="exact"/>
        <w:rPr>
          <w:rFonts w:ascii="宋体" w:hAnsi="宋体" w:cs="宋体"/>
          <w:sz w:val="24"/>
          <w:highlight w:val="none"/>
        </w:rPr>
      </w:pPr>
      <w:r>
        <w:rPr>
          <w:rFonts w:hint="eastAsia" w:ascii="宋体" w:hAnsi="宋体" w:cs="宋体"/>
          <w:b/>
          <w:sz w:val="24"/>
          <w:highlight w:val="none"/>
        </w:rPr>
        <w:t>十</w:t>
      </w:r>
      <w:r>
        <w:rPr>
          <w:rFonts w:hint="eastAsia" w:ascii="宋体" w:hAnsi="宋体" w:cs="宋体"/>
          <w:b/>
          <w:sz w:val="24"/>
          <w:highlight w:val="none"/>
          <w:lang w:eastAsia="zh-CN"/>
        </w:rPr>
        <w:t>三</w:t>
      </w:r>
      <w:r>
        <w:rPr>
          <w:rFonts w:hint="eastAsia" w:ascii="宋体" w:hAnsi="宋体" w:cs="宋体"/>
          <w:b/>
          <w:sz w:val="24"/>
          <w:highlight w:val="none"/>
        </w:rPr>
        <w:t>、</w:t>
      </w:r>
      <w:r>
        <w:rPr>
          <w:rFonts w:hint="eastAsia" w:ascii="宋体" w:hAnsi="宋体" w:cs="宋体"/>
          <w:sz w:val="24"/>
          <w:highlight w:val="none"/>
        </w:rPr>
        <w:t xml:space="preserve">不可抗力情况下的免责约定，双方约定不可抗力情况包括：五级以上地震、大风、大雨、大雪。  </w:t>
      </w:r>
    </w:p>
    <w:p>
      <w:pPr>
        <w:spacing w:line="520" w:lineRule="exact"/>
        <w:rPr>
          <w:rFonts w:ascii="宋体" w:hAnsi="宋体" w:cs="宋体"/>
          <w:sz w:val="24"/>
          <w:highlight w:val="none"/>
        </w:rPr>
      </w:pPr>
      <w:r>
        <w:rPr>
          <w:rFonts w:hint="eastAsia" w:ascii="宋体" w:hAnsi="宋体" w:cs="宋体"/>
          <w:b/>
          <w:sz w:val="24"/>
          <w:highlight w:val="none"/>
          <w:lang w:eastAsia="zh-CN"/>
        </w:rPr>
        <w:t>十四</w:t>
      </w:r>
      <w:r>
        <w:rPr>
          <w:rFonts w:hint="eastAsia" w:ascii="宋体" w:hAnsi="宋体" w:cs="宋体"/>
          <w:b/>
          <w:sz w:val="24"/>
          <w:highlight w:val="none"/>
        </w:rPr>
        <w:t>、</w:t>
      </w:r>
      <w:r>
        <w:rPr>
          <w:rFonts w:hint="eastAsia" w:ascii="宋体" w:hAnsi="宋体" w:cs="宋体"/>
          <w:sz w:val="24"/>
          <w:highlight w:val="none"/>
        </w:rPr>
        <w:t>合同执行中发生争议的，当事人双方应协商解决，协商达不成一致时，双方同意向西安市仲裁委员会申请仲裁。</w:t>
      </w:r>
    </w:p>
    <w:p>
      <w:pPr>
        <w:spacing w:line="520" w:lineRule="exact"/>
        <w:rPr>
          <w:rFonts w:ascii="宋体" w:hAnsi="宋体" w:cs="宋体"/>
          <w:b/>
          <w:bCs/>
          <w:sz w:val="24"/>
          <w:highlight w:val="none"/>
        </w:rPr>
      </w:pPr>
      <w:r>
        <w:rPr>
          <w:rFonts w:hint="eastAsia" w:ascii="宋体" w:hAnsi="宋体" w:cs="宋体"/>
          <w:b/>
          <w:sz w:val="24"/>
          <w:highlight w:val="none"/>
        </w:rPr>
        <w:t>十</w:t>
      </w:r>
      <w:r>
        <w:rPr>
          <w:rFonts w:hint="eastAsia" w:ascii="宋体" w:hAnsi="宋体" w:cs="宋体"/>
          <w:b/>
          <w:sz w:val="24"/>
          <w:highlight w:val="none"/>
          <w:lang w:eastAsia="zh-CN"/>
        </w:rPr>
        <w:t>五</w:t>
      </w:r>
      <w:r>
        <w:rPr>
          <w:rFonts w:hint="eastAsia" w:ascii="宋体" w:hAnsi="宋体" w:cs="宋体"/>
          <w:b/>
          <w:sz w:val="24"/>
          <w:highlight w:val="none"/>
        </w:rPr>
        <w:t>、违约责任：</w:t>
      </w:r>
      <w:r>
        <w:rPr>
          <w:rFonts w:hint="eastAsia" w:ascii="宋体" w:hAnsi="宋体" w:cs="宋体"/>
          <w:sz w:val="24"/>
          <w:highlight w:val="none"/>
        </w:rPr>
        <w:t>依据《中华人民共和国合同法》、《中华人民共和国政府采购法》的相关条款和本合同约定，中标供应商未全面履行合同义务或者发生违约，采购单位会同采购代理机构有权终止合同，依法向中标供应商进行经济索赔，并报请政府采购监督管理机关进行相应的行政处罚。采购单位违约的，应当赔偿给中标供应商造成的经济损失。</w:t>
      </w:r>
    </w:p>
    <w:p>
      <w:pPr>
        <w:spacing w:line="520" w:lineRule="exact"/>
        <w:rPr>
          <w:rFonts w:ascii="宋体" w:hAnsi="宋体" w:cs="宋体"/>
          <w:sz w:val="24"/>
          <w:highlight w:val="none"/>
        </w:rPr>
      </w:pPr>
      <w:r>
        <w:rPr>
          <w:rFonts w:hint="eastAsia" w:ascii="宋体" w:hAnsi="宋体" w:cs="宋体"/>
          <w:b/>
          <w:sz w:val="24"/>
          <w:highlight w:val="none"/>
        </w:rPr>
        <w:t>十</w:t>
      </w:r>
      <w:r>
        <w:rPr>
          <w:rFonts w:hint="eastAsia" w:ascii="宋体" w:hAnsi="宋体" w:cs="宋体"/>
          <w:b/>
          <w:sz w:val="24"/>
          <w:highlight w:val="none"/>
          <w:lang w:eastAsia="zh-CN"/>
        </w:rPr>
        <w:t>六</w:t>
      </w:r>
      <w:r>
        <w:rPr>
          <w:rFonts w:hint="eastAsia" w:ascii="宋体" w:hAnsi="宋体" w:cs="宋体"/>
          <w:b/>
          <w:sz w:val="24"/>
          <w:highlight w:val="none"/>
        </w:rPr>
        <w:t>、其他（</w:t>
      </w:r>
      <w:r>
        <w:rPr>
          <w:rFonts w:hint="eastAsia" w:ascii="宋体" w:hAnsi="宋体" w:cs="宋体"/>
          <w:sz w:val="24"/>
          <w:highlight w:val="none"/>
        </w:rPr>
        <w:t>在合同中具体明确）</w:t>
      </w:r>
    </w:p>
    <w:p>
      <w:pPr>
        <w:spacing w:line="580" w:lineRule="exact"/>
        <w:rPr>
          <w:rFonts w:ascii="宋体" w:hAnsi="宋体" w:cs="宋体"/>
          <w:b/>
          <w:sz w:val="24"/>
          <w:highlight w:val="none"/>
        </w:rPr>
      </w:pPr>
      <w:r>
        <w:rPr>
          <w:rFonts w:hint="eastAsia" w:ascii="宋体" w:hAnsi="宋体" w:cs="宋体"/>
          <w:b/>
          <w:sz w:val="24"/>
          <w:highlight w:val="none"/>
          <w:lang w:eastAsia="zh-CN"/>
        </w:rPr>
        <w:t>十七</w:t>
      </w:r>
      <w:r>
        <w:rPr>
          <w:rFonts w:hint="eastAsia" w:ascii="宋体" w:hAnsi="宋体" w:cs="宋体"/>
          <w:b/>
          <w:sz w:val="24"/>
          <w:highlight w:val="none"/>
        </w:rPr>
        <w:t>、合同订立</w:t>
      </w:r>
    </w:p>
    <w:p>
      <w:pPr>
        <w:adjustRightInd w:val="0"/>
        <w:snapToGrid w:val="0"/>
        <w:spacing w:line="580" w:lineRule="exact"/>
        <w:ind w:firstLine="475" w:firstLineChars="198"/>
        <w:rPr>
          <w:rFonts w:ascii="宋体" w:hAnsi="宋体" w:cs="宋体"/>
          <w:sz w:val="24"/>
          <w:highlight w:val="none"/>
        </w:rPr>
      </w:pPr>
      <w:r>
        <w:rPr>
          <w:rFonts w:hint="eastAsia" w:ascii="宋体" w:hAnsi="宋体" w:cs="宋体"/>
          <w:sz w:val="24"/>
          <w:highlight w:val="none"/>
        </w:rPr>
        <w:t>1. 订立时间：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adjustRightInd w:val="0"/>
        <w:snapToGrid w:val="0"/>
        <w:spacing w:line="580" w:lineRule="exact"/>
        <w:ind w:firstLine="475" w:firstLineChars="198"/>
        <w:rPr>
          <w:rFonts w:ascii="宋体" w:hAnsi="宋体" w:cs="宋体"/>
          <w:sz w:val="24"/>
          <w:highlight w:val="none"/>
        </w:rPr>
      </w:pPr>
      <w:r>
        <w:rPr>
          <w:rFonts w:hint="eastAsia" w:ascii="宋体" w:hAnsi="宋体" w:cs="宋体"/>
          <w:sz w:val="24"/>
          <w:highlight w:val="none"/>
        </w:rPr>
        <w:t>2. 订立地点：</w:t>
      </w:r>
      <w:r>
        <w:rPr>
          <w:rFonts w:hint="eastAsia" w:ascii="宋体" w:hAnsi="宋体" w:cs="宋体"/>
          <w:sz w:val="24"/>
          <w:highlight w:val="none"/>
          <w:u w:val="single"/>
        </w:rPr>
        <w:t xml:space="preserve">                                 </w:t>
      </w:r>
      <w:r>
        <w:rPr>
          <w:rFonts w:hint="eastAsia" w:ascii="宋体" w:hAnsi="宋体" w:cs="宋体"/>
          <w:sz w:val="24"/>
          <w:highlight w:val="none"/>
        </w:rPr>
        <w:t>。</w:t>
      </w:r>
    </w:p>
    <w:p>
      <w:pPr>
        <w:tabs>
          <w:tab w:val="left" w:pos="980"/>
        </w:tabs>
        <w:kinsoku w:val="0"/>
        <w:spacing w:line="580" w:lineRule="exact"/>
        <w:ind w:firstLine="480" w:firstLineChars="200"/>
        <w:rPr>
          <w:rFonts w:ascii="宋体" w:hAnsi="宋体" w:cs="宋体"/>
          <w:sz w:val="24"/>
          <w:highlight w:val="none"/>
        </w:rPr>
      </w:pPr>
      <w:r>
        <w:rPr>
          <w:rFonts w:hint="eastAsia" w:ascii="宋体" w:hAnsi="宋体" w:cs="宋体"/>
          <w:sz w:val="24"/>
          <w:highlight w:val="none"/>
        </w:rPr>
        <w:t>3. 本合同一式</w:t>
      </w:r>
      <w:r>
        <w:rPr>
          <w:rFonts w:hint="eastAsia" w:ascii="宋体" w:hAnsi="宋体" w:cs="宋体"/>
          <w:sz w:val="24"/>
          <w:highlight w:val="none"/>
          <w:u w:val="single"/>
        </w:rPr>
        <w:t>捌</w:t>
      </w:r>
      <w:r>
        <w:rPr>
          <w:rFonts w:hint="eastAsia" w:ascii="宋体" w:hAnsi="宋体" w:cs="宋体"/>
          <w:sz w:val="24"/>
          <w:highlight w:val="none"/>
        </w:rPr>
        <w:t>份，其中，合同</w:t>
      </w:r>
      <w:r>
        <w:rPr>
          <w:rFonts w:hint="eastAsia" w:ascii="宋体" w:hAnsi="宋体" w:cs="宋体"/>
          <w:sz w:val="24"/>
          <w:highlight w:val="none"/>
          <w:u w:val="single"/>
        </w:rPr>
        <w:t>正本一式贰份</w:t>
      </w:r>
      <w:r>
        <w:rPr>
          <w:rFonts w:hint="eastAsia" w:ascii="宋体" w:hAnsi="宋体" w:cs="宋体"/>
          <w:sz w:val="24"/>
          <w:highlight w:val="none"/>
        </w:rPr>
        <w:t>，</w:t>
      </w:r>
      <w:r>
        <w:rPr>
          <w:rFonts w:hint="eastAsia" w:ascii="宋体" w:hAnsi="宋体" w:cs="宋体"/>
          <w:sz w:val="24"/>
          <w:highlight w:val="none"/>
          <w:u w:val="single"/>
        </w:rPr>
        <w:t>副本一式陆份</w:t>
      </w:r>
      <w:r>
        <w:rPr>
          <w:rFonts w:hint="eastAsia" w:ascii="宋体" w:hAnsi="宋体" w:cs="宋体"/>
          <w:sz w:val="24"/>
          <w:highlight w:val="none"/>
        </w:rPr>
        <w:t>，具有同等法律效力，正副本不一致，以正本为准。采供双方各执</w:t>
      </w:r>
      <w:r>
        <w:rPr>
          <w:rFonts w:hint="eastAsia" w:ascii="宋体" w:hAnsi="宋体" w:cs="宋体"/>
          <w:sz w:val="24"/>
          <w:highlight w:val="none"/>
          <w:u w:val="single"/>
        </w:rPr>
        <w:t>正本壹份副本贰份</w:t>
      </w:r>
      <w:r>
        <w:rPr>
          <w:rFonts w:hint="eastAsia" w:ascii="宋体" w:hAnsi="宋体" w:cs="宋体"/>
          <w:sz w:val="24"/>
          <w:highlight w:val="none"/>
        </w:rPr>
        <w:t>，监管部门备案</w:t>
      </w:r>
      <w:r>
        <w:rPr>
          <w:rFonts w:hint="eastAsia" w:ascii="宋体" w:hAnsi="宋体" w:cs="宋体"/>
          <w:sz w:val="24"/>
          <w:highlight w:val="none"/>
          <w:u w:val="single"/>
        </w:rPr>
        <w:t>副本壹份</w:t>
      </w:r>
      <w:r>
        <w:rPr>
          <w:rFonts w:hint="eastAsia" w:ascii="宋体" w:hAnsi="宋体" w:cs="宋体"/>
          <w:sz w:val="24"/>
          <w:highlight w:val="none"/>
        </w:rPr>
        <w:t>、采购代理机构存档</w:t>
      </w:r>
      <w:r>
        <w:rPr>
          <w:rFonts w:hint="eastAsia" w:ascii="宋体" w:hAnsi="宋体" w:cs="宋体"/>
          <w:sz w:val="24"/>
          <w:highlight w:val="none"/>
          <w:u w:val="single"/>
        </w:rPr>
        <w:t>副本壹份</w:t>
      </w:r>
      <w:r>
        <w:rPr>
          <w:rFonts w:hint="eastAsia" w:ascii="宋体" w:hAnsi="宋体" w:cs="宋体"/>
          <w:sz w:val="24"/>
          <w:highlight w:val="none"/>
        </w:rPr>
        <w:t>。各方签字盖章后生效，合同执行完毕自动失效。（合同的服务承诺则长期有效）。</w:t>
      </w:r>
    </w:p>
    <w:p>
      <w:pPr>
        <w:tabs>
          <w:tab w:val="left" w:pos="980"/>
        </w:tabs>
        <w:kinsoku w:val="0"/>
        <w:spacing w:line="580" w:lineRule="exact"/>
        <w:ind w:firstLine="480" w:firstLineChars="200"/>
        <w:rPr>
          <w:rFonts w:ascii="宋体" w:hAnsi="宋体" w:cs="宋体"/>
          <w:sz w:val="24"/>
          <w:highlight w:val="none"/>
        </w:rPr>
      </w:pPr>
    </w:p>
    <w:p>
      <w:pPr>
        <w:tabs>
          <w:tab w:val="left" w:pos="980"/>
        </w:tabs>
        <w:kinsoku w:val="0"/>
        <w:spacing w:line="580" w:lineRule="exact"/>
        <w:ind w:firstLine="480" w:firstLineChars="200"/>
        <w:rPr>
          <w:rFonts w:ascii="宋体" w:hAnsi="宋体" w:cs="宋体"/>
          <w:sz w:val="24"/>
          <w:highlight w:val="none"/>
        </w:rPr>
      </w:pPr>
    </w:p>
    <w:p>
      <w:pPr>
        <w:adjustRightInd w:val="0"/>
        <w:snapToGrid w:val="0"/>
        <w:spacing w:line="480" w:lineRule="auto"/>
        <w:ind w:firstLine="475" w:firstLineChars="198"/>
        <w:rPr>
          <w:rFonts w:ascii="宋体" w:hAnsi="宋体" w:cs="宋体"/>
          <w:sz w:val="24"/>
          <w:highlight w:val="none"/>
        </w:rPr>
      </w:pPr>
      <w:r>
        <w:rPr>
          <w:rFonts w:hint="eastAsia" w:ascii="宋体" w:hAnsi="宋体" w:cs="宋体"/>
          <w:sz w:val="24"/>
          <w:highlight w:val="none"/>
        </w:rPr>
        <w:t>采购人：</w:t>
      </w:r>
      <w:r>
        <w:rPr>
          <w:rFonts w:hint="eastAsia" w:ascii="宋体" w:hAnsi="宋体" w:cs="宋体"/>
          <w:sz w:val="24"/>
          <w:highlight w:val="none"/>
          <w:u w:val="single"/>
        </w:rPr>
        <w:t xml:space="preserve">   （盖章）         </w:t>
      </w:r>
      <w:r>
        <w:rPr>
          <w:rFonts w:hint="eastAsia" w:ascii="宋体" w:hAnsi="宋体" w:cs="宋体"/>
          <w:sz w:val="24"/>
          <w:highlight w:val="none"/>
        </w:rPr>
        <w:t xml:space="preserve">           供应商：</w:t>
      </w:r>
      <w:r>
        <w:rPr>
          <w:rFonts w:hint="eastAsia" w:ascii="宋体" w:hAnsi="宋体" w:cs="宋体"/>
          <w:sz w:val="24"/>
          <w:highlight w:val="none"/>
          <w:u w:val="single"/>
        </w:rPr>
        <w:t xml:space="preserve">   （盖章）          </w:t>
      </w:r>
    </w:p>
    <w:p>
      <w:pPr>
        <w:adjustRightInd w:val="0"/>
        <w:snapToGrid w:val="0"/>
        <w:spacing w:line="480" w:lineRule="auto"/>
        <w:ind w:firstLine="475" w:firstLineChars="198"/>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single"/>
        </w:rPr>
        <w:t xml:space="preserve">                     </w:t>
      </w:r>
      <w:r>
        <w:rPr>
          <w:rFonts w:hint="eastAsia" w:ascii="宋体" w:hAnsi="宋体" w:cs="宋体"/>
          <w:sz w:val="24"/>
          <w:highlight w:val="none"/>
        </w:rPr>
        <w:t xml:space="preserve">           地址： </w:t>
      </w:r>
      <w:r>
        <w:rPr>
          <w:rFonts w:hint="eastAsia" w:ascii="宋体" w:hAnsi="宋体" w:cs="宋体"/>
          <w:sz w:val="24"/>
          <w:highlight w:val="none"/>
          <w:u w:val="single"/>
        </w:rPr>
        <w:t xml:space="preserve">                      </w:t>
      </w:r>
    </w:p>
    <w:p>
      <w:pPr>
        <w:adjustRightInd w:val="0"/>
        <w:snapToGrid w:val="0"/>
        <w:spacing w:line="480" w:lineRule="auto"/>
        <w:ind w:firstLine="480" w:firstLineChars="200"/>
        <w:rPr>
          <w:rFonts w:ascii="宋体" w:hAnsi="宋体" w:cs="宋体"/>
          <w:sz w:val="24"/>
          <w:highlight w:val="none"/>
        </w:rPr>
      </w:pPr>
      <w:r>
        <w:rPr>
          <w:rFonts w:hint="eastAsia" w:ascii="宋体" w:hAnsi="宋体" w:cs="宋体"/>
          <w:sz w:val="24"/>
          <w:highlight w:val="none"/>
        </w:rPr>
        <w:t>邮政编码：</w:t>
      </w:r>
      <w:r>
        <w:rPr>
          <w:rFonts w:hint="eastAsia" w:ascii="宋体" w:hAnsi="宋体" w:cs="宋体"/>
          <w:sz w:val="24"/>
          <w:highlight w:val="none"/>
          <w:u w:val="single"/>
        </w:rPr>
        <w:t xml:space="preserve">                  </w:t>
      </w:r>
      <w:r>
        <w:rPr>
          <w:rFonts w:hint="eastAsia" w:ascii="宋体" w:hAnsi="宋体" w:cs="宋体"/>
          <w:sz w:val="24"/>
          <w:highlight w:val="none"/>
        </w:rPr>
        <w:t xml:space="preserve">           邮政编码：</w:t>
      </w:r>
      <w:r>
        <w:rPr>
          <w:rFonts w:hint="eastAsia" w:ascii="宋体" w:hAnsi="宋体" w:cs="宋体"/>
          <w:sz w:val="24"/>
          <w:highlight w:val="none"/>
          <w:u w:val="single"/>
        </w:rPr>
        <w:t xml:space="preserve">                   </w:t>
      </w:r>
    </w:p>
    <w:p>
      <w:pPr>
        <w:adjustRightInd w:val="0"/>
        <w:snapToGrid w:val="0"/>
        <w:spacing w:line="480" w:lineRule="auto"/>
        <w:ind w:firstLine="475" w:firstLineChars="198"/>
        <w:rPr>
          <w:rFonts w:ascii="宋体" w:hAnsi="宋体" w:cs="宋体"/>
          <w:sz w:val="24"/>
          <w:highlight w:val="none"/>
        </w:rPr>
      </w:pPr>
      <w:r>
        <w:rPr>
          <w:rFonts w:hint="eastAsia" w:ascii="宋体" w:hAnsi="宋体" w:cs="宋体"/>
          <w:sz w:val="24"/>
          <w:highlight w:val="none"/>
        </w:rPr>
        <w:t>法定代表人或其授权                     法定代表人或其授权</w:t>
      </w:r>
    </w:p>
    <w:p>
      <w:pPr>
        <w:adjustRightInd w:val="0"/>
        <w:snapToGrid w:val="0"/>
        <w:spacing w:line="480" w:lineRule="auto"/>
        <w:ind w:firstLine="475" w:firstLineChars="198"/>
        <w:rPr>
          <w:rFonts w:ascii="宋体" w:hAnsi="宋体" w:cs="宋体"/>
          <w:sz w:val="24"/>
          <w:highlight w:val="none"/>
        </w:rPr>
      </w:pPr>
      <w:r>
        <w:rPr>
          <w:rFonts w:hint="eastAsia" w:ascii="宋体" w:hAnsi="宋体" w:cs="宋体"/>
          <w:sz w:val="24"/>
          <w:highlight w:val="none"/>
        </w:rPr>
        <w:t>的代理人：</w:t>
      </w:r>
      <w:r>
        <w:rPr>
          <w:rFonts w:hint="eastAsia" w:ascii="宋体" w:hAnsi="宋体" w:cs="宋体"/>
          <w:sz w:val="24"/>
          <w:highlight w:val="none"/>
          <w:u w:val="single"/>
        </w:rPr>
        <w:t xml:space="preserve">（签字）          </w:t>
      </w:r>
      <w:r>
        <w:rPr>
          <w:rFonts w:hint="eastAsia" w:ascii="宋体" w:hAnsi="宋体" w:cs="宋体"/>
          <w:sz w:val="24"/>
          <w:highlight w:val="none"/>
        </w:rPr>
        <w:t xml:space="preserve">           的代理人：</w:t>
      </w:r>
      <w:r>
        <w:rPr>
          <w:rFonts w:hint="eastAsia" w:ascii="宋体" w:hAnsi="宋体" w:cs="宋体"/>
          <w:sz w:val="24"/>
          <w:highlight w:val="none"/>
          <w:u w:val="single"/>
        </w:rPr>
        <w:t xml:space="preserve">（签字）           </w:t>
      </w:r>
    </w:p>
    <w:p>
      <w:pPr>
        <w:adjustRightInd w:val="0"/>
        <w:snapToGrid w:val="0"/>
        <w:spacing w:line="480" w:lineRule="auto"/>
        <w:ind w:firstLine="475" w:firstLineChars="198"/>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开户银行：</w:t>
      </w:r>
      <w:r>
        <w:rPr>
          <w:rFonts w:hint="eastAsia" w:ascii="宋体" w:hAnsi="宋体" w:cs="宋体"/>
          <w:sz w:val="24"/>
          <w:highlight w:val="none"/>
          <w:u w:val="single"/>
        </w:rPr>
        <w:t xml:space="preserve">                   </w:t>
      </w:r>
    </w:p>
    <w:p>
      <w:pPr>
        <w:adjustRightInd w:val="0"/>
        <w:snapToGrid w:val="0"/>
        <w:spacing w:line="480" w:lineRule="auto"/>
        <w:ind w:firstLine="475" w:firstLineChars="198"/>
        <w:rPr>
          <w:rFonts w:ascii="宋体" w:hAnsi="宋体" w:cs="宋体"/>
          <w:sz w:val="24"/>
          <w:highlight w:val="none"/>
        </w:rPr>
      </w:pPr>
      <w:r>
        <w:rPr>
          <w:rFonts w:hint="eastAsia" w:ascii="宋体" w:hAnsi="宋体" w:cs="宋体"/>
          <w:sz w:val="24"/>
          <w:highlight w:val="none"/>
        </w:rPr>
        <w:t>账号：</w:t>
      </w:r>
      <w:r>
        <w:rPr>
          <w:rFonts w:hint="eastAsia" w:ascii="宋体" w:hAnsi="宋体" w:cs="宋体"/>
          <w:sz w:val="24"/>
          <w:highlight w:val="none"/>
          <w:u w:val="single"/>
        </w:rPr>
        <w:t xml:space="preserve">                      </w:t>
      </w:r>
      <w:r>
        <w:rPr>
          <w:rFonts w:hint="eastAsia" w:ascii="宋体" w:hAnsi="宋体" w:cs="宋体"/>
          <w:sz w:val="24"/>
          <w:highlight w:val="none"/>
        </w:rPr>
        <w:t xml:space="preserve">           账号：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adjustRightInd w:val="0"/>
        <w:snapToGrid w:val="0"/>
        <w:spacing w:line="480" w:lineRule="auto"/>
        <w:ind w:firstLine="475" w:firstLineChars="198"/>
        <w:rPr>
          <w:rFonts w:ascii="宋体" w:hAnsi="宋体" w:cs="宋体"/>
          <w:sz w:val="24"/>
          <w:highlight w:val="non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电话：</w:t>
      </w:r>
      <w:r>
        <w:rPr>
          <w:rFonts w:hint="eastAsia" w:ascii="宋体" w:hAnsi="宋体" w:cs="宋体"/>
          <w:sz w:val="24"/>
          <w:highlight w:val="none"/>
          <w:u w:val="single"/>
        </w:rPr>
        <w:t xml:space="preserve">                       </w:t>
      </w:r>
    </w:p>
    <w:p>
      <w:pPr>
        <w:adjustRightInd w:val="0"/>
        <w:snapToGrid w:val="0"/>
        <w:spacing w:line="480" w:lineRule="auto"/>
        <w:ind w:firstLine="475" w:firstLineChars="198"/>
        <w:rPr>
          <w:rFonts w:ascii="宋体" w:hAnsi="宋体" w:cs="宋体"/>
          <w:sz w:val="24"/>
          <w:highlight w:val="none"/>
        </w:rPr>
      </w:pPr>
      <w:r>
        <w:rPr>
          <w:rFonts w:hint="eastAsia" w:ascii="宋体" w:hAnsi="宋体" w:cs="宋体"/>
          <w:sz w:val="24"/>
          <w:highlight w:val="none"/>
        </w:rPr>
        <w:t>传真：</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adjustRightInd w:val="0"/>
        <w:snapToGrid w:val="0"/>
        <w:spacing w:line="480" w:lineRule="auto"/>
        <w:ind w:firstLine="475" w:firstLineChars="198"/>
        <w:rPr>
          <w:rFonts w:ascii="宋体" w:hAnsi="宋体" w:cs="宋体"/>
          <w:sz w:val="24"/>
          <w:highlight w:val="none"/>
          <w:u w:val="single"/>
        </w:rPr>
      </w:pPr>
      <w:r>
        <w:rPr>
          <w:rFonts w:hint="eastAsia" w:ascii="宋体" w:hAnsi="宋体" w:cs="宋体"/>
          <w:sz w:val="24"/>
          <w:highlight w:val="none"/>
        </w:rPr>
        <w:t>电子邮箱：</w:t>
      </w:r>
      <w:r>
        <w:rPr>
          <w:rFonts w:hint="eastAsia" w:ascii="宋体" w:hAnsi="宋体" w:cs="宋体"/>
          <w:sz w:val="24"/>
          <w:highlight w:val="none"/>
          <w:u w:val="single"/>
        </w:rPr>
        <w:t xml:space="preserve">                  </w:t>
      </w:r>
      <w:r>
        <w:rPr>
          <w:rFonts w:hint="eastAsia" w:ascii="宋体" w:hAnsi="宋体" w:cs="宋体"/>
          <w:sz w:val="24"/>
          <w:highlight w:val="none"/>
        </w:rPr>
        <w:t xml:space="preserve">           电子邮箱：</w:t>
      </w:r>
      <w:r>
        <w:rPr>
          <w:rFonts w:hint="eastAsia" w:ascii="宋体" w:hAnsi="宋体" w:cs="宋体"/>
          <w:sz w:val="24"/>
          <w:highlight w:val="none"/>
          <w:u w:val="single"/>
        </w:rPr>
        <w:t xml:space="preserve">                   </w:t>
      </w:r>
    </w:p>
    <w:p>
      <w:pPr>
        <w:spacing w:line="360" w:lineRule="auto"/>
        <w:jc w:val="left"/>
        <w:rPr>
          <w:rFonts w:ascii="宋体" w:hAnsi="宋体" w:cs="宋体"/>
          <w:b/>
          <w:kern w:val="0"/>
          <w:sz w:val="24"/>
          <w:highlight w:val="none"/>
        </w:rPr>
      </w:pPr>
    </w:p>
    <w:bookmarkEnd w:id="73"/>
    <w:p>
      <w:pPr>
        <w:pStyle w:val="3"/>
        <w:keepNext w:val="0"/>
        <w:pageBreakBefore/>
        <w:numPr>
          <w:ilvl w:val="0"/>
          <w:numId w:val="0"/>
        </w:numPr>
        <w:spacing w:line="350" w:lineRule="auto"/>
        <w:jc w:val="center"/>
        <w:rPr>
          <w:rFonts w:hint="eastAsia" w:ascii="宋体" w:hAnsi="宋体" w:eastAsia="宋体" w:cs="宋体"/>
          <w:highlight w:val="none"/>
          <w:lang w:eastAsia="zh-CN"/>
        </w:rPr>
      </w:pPr>
      <w:bookmarkStart w:id="74" w:name="_Toc10251"/>
      <w:bookmarkStart w:id="75" w:name="_Toc421778381"/>
      <w:r>
        <w:rPr>
          <w:rFonts w:hint="eastAsia" w:ascii="宋体" w:hAnsi="宋体" w:cs="宋体"/>
          <w:highlight w:val="none"/>
          <w:lang w:eastAsia="zh-CN"/>
        </w:rPr>
        <w:t>第五章</w:t>
      </w:r>
      <w:r>
        <w:rPr>
          <w:rFonts w:hint="eastAsia" w:ascii="宋体" w:hAnsi="宋体" w:cs="宋体"/>
          <w:highlight w:val="none"/>
          <w:lang w:val="en-US" w:eastAsia="zh-CN"/>
        </w:rPr>
        <w:t xml:space="preserve"> </w:t>
      </w:r>
      <w:r>
        <w:rPr>
          <w:rFonts w:hint="eastAsia" w:ascii="宋体" w:hAnsi="宋体" w:cs="宋体"/>
          <w:highlight w:val="none"/>
        </w:rPr>
        <w:t>项目概况</w:t>
      </w:r>
      <w:bookmarkEnd w:id="74"/>
      <w:bookmarkEnd w:id="75"/>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一、腾退内容及任务</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旧宅基地腾退是指移民(脱贫)搬迁对象在搬迁到新的居佳地后，搬迁对象退还原居住地的所有旧宅基地，对其原居佳地房屋进行腾退、拆除，复垦后作为其它用地。</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旧宅基地腾退对象是指享受易地移民(脱贫)搬迁政策的搬迁安置对象。</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旧宅基地腾退范围主要包括搬迁对象原居住地的旧房、院落及附属设施占用的土地。</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新区移民(脱贫)搬迁旧宅基地腾退任务</w:t>
      </w:r>
      <w:r>
        <w:rPr>
          <w:rFonts w:hint="eastAsia" w:ascii="宋体" w:hAnsi="宋体" w:cs="宋体"/>
          <w:sz w:val="24"/>
          <w:szCs w:val="24"/>
          <w:highlight w:val="none"/>
          <w:lang w:val="en-US" w:eastAsia="zh-CN"/>
        </w:rPr>
        <w:t>71</w:t>
      </w:r>
      <w:r>
        <w:rPr>
          <w:rFonts w:hint="eastAsia" w:ascii="宋体" w:hAnsi="宋体" w:cs="宋体"/>
          <w:sz w:val="24"/>
          <w:szCs w:val="24"/>
          <w:highlight w:val="none"/>
        </w:rPr>
        <w:t>户237人。其中，咸丰路街道办腾退任务10户25人:正阳路街道办腾退任务8户28人:坡头街道办腾退任务5</w:t>
      </w:r>
      <w:r>
        <w:rPr>
          <w:rFonts w:hint="eastAsia" w:ascii="宋体" w:hAnsi="宋体" w:cs="宋体"/>
          <w:sz w:val="24"/>
          <w:szCs w:val="24"/>
          <w:highlight w:val="none"/>
          <w:lang w:val="en-US" w:eastAsia="zh-CN"/>
        </w:rPr>
        <w:t>3</w:t>
      </w:r>
      <w:r>
        <w:rPr>
          <w:rFonts w:hint="eastAsia" w:ascii="宋体" w:hAnsi="宋体" w:cs="宋体"/>
          <w:sz w:val="24"/>
          <w:szCs w:val="24"/>
          <w:highlight w:val="none"/>
        </w:rPr>
        <w:t>户184人。</w:t>
      </w: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二、腾退原则</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一</w:t>
      </w:r>
      <w:r>
        <w:rPr>
          <w:rFonts w:hint="eastAsia" w:ascii="宋体" w:hAnsi="宋体" w:cs="宋体"/>
          <w:sz w:val="24"/>
          <w:szCs w:val="24"/>
          <w:highlight w:val="none"/>
        </w:rPr>
        <w:t>)坚持街道办主体原则。街道办事处作为责任主体，相关部门统筹推进，共同做好旧宅基地腾退工作。</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(二)坚持“一户一宅、一宅一证、建新腾旧、先退后证”的原则。</w:t>
      </w:r>
    </w:p>
    <w:p>
      <w:pPr>
        <w:spacing w:line="360" w:lineRule="auto"/>
        <w:ind w:firstLine="482" w:firstLineChars="200"/>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三、项目规模：</w:t>
      </w:r>
    </w:p>
    <w:p>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新区移民办旧宅基地腾退服务内容：拆除71户旧宅基地房屋并将垃圾清运干净，涉及咸丰路街道办、正阳路街道办、坡头街道办，面积共计8697m²</w:t>
      </w:r>
    </w:p>
    <w:p>
      <w:pPr>
        <w:pStyle w:val="3"/>
        <w:keepNext w:val="0"/>
        <w:pageBreakBefore/>
        <w:spacing w:line="350" w:lineRule="auto"/>
        <w:jc w:val="center"/>
        <w:rPr>
          <w:rFonts w:ascii="宋体" w:hAnsi="宋体" w:cs="宋体"/>
          <w:highlight w:val="none"/>
        </w:rPr>
      </w:pPr>
      <w:bookmarkStart w:id="76" w:name="_Toc421778384"/>
      <w:bookmarkStart w:id="77" w:name="_Toc490"/>
      <w:r>
        <w:rPr>
          <w:rFonts w:hint="eastAsia" w:ascii="宋体" w:hAnsi="宋体" w:cs="宋体"/>
          <w:highlight w:val="none"/>
        </w:rPr>
        <w:t>第</w:t>
      </w:r>
      <w:r>
        <w:rPr>
          <w:rFonts w:hint="eastAsia" w:ascii="宋体" w:hAnsi="宋体" w:cs="宋体"/>
          <w:highlight w:val="none"/>
          <w:lang w:eastAsia="zh-CN"/>
        </w:rPr>
        <w:t>六</w:t>
      </w:r>
      <w:r>
        <w:rPr>
          <w:rFonts w:hint="eastAsia" w:ascii="宋体" w:hAnsi="宋体" w:cs="宋体"/>
          <w:highlight w:val="none"/>
        </w:rPr>
        <w:t>章</w:t>
      </w:r>
      <w:bookmarkEnd w:id="76"/>
      <w:r>
        <w:rPr>
          <w:rFonts w:hint="eastAsia" w:ascii="宋体" w:hAnsi="宋体" w:cs="宋体"/>
          <w:highlight w:val="none"/>
        </w:rPr>
        <w:t xml:space="preserve">  竞争性磋商响应文件构成及格式</w:t>
      </w:r>
      <w:bookmarkEnd w:id="77"/>
    </w:p>
    <w:p>
      <w:pPr>
        <w:spacing w:line="540" w:lineRule="exact"/>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项目编号：SXHXZB2019-ZC-</w:t>
      </w:r>
      <w:r>
        <w:rPr>
          <w:rFonts w:hint="eastAsia" w:ascii="宋体" w:hAnsi="宋体" w:cs="宋体"/>
          <w:b/>
          <w:bCs/>
          <w:sz w:val="24"/>
          <w:szCs w:val="24"/>
          <w:highlight w:val="none"/>
          <w:lang w:eastAsia="zh-CN"/>
        </w:rPr>
        <w:t>CS1281</w:t>
      </w:r>
    </w:p>
    <w:p>
      <w:pPr>
        <w:spacing w:line="540" w:lineRule="exact"/>
        <w:ind w:firstLine="5301" w:firstLineChars="2200"/>
        <w:jc w:val="right"/>
        <w:rPr>
          <w:rFonts w:ascii="宋体" w:hAnsi="宋体" w:cs="宋体"/>
          <w:b/>
          <w:bCs/>
          <w:sz w:val="24"/>
          <w:szCs w:val="24"/>
          <w:highlight w:val="none"/>
        </w:rPr>
      </w:pPr>
      <w:r>
        <w:rPr>
          <w:rFonts w:hint="eastAsia" w:ascii="宋体" w:hAnsi="宋体" w:cs="宋体"/>
          <w:b/>
          <w:bCs/>
          <w:sz w:val="24"/>
          <w:szCs w:val="24"/>
          <w:highlight w:val="none"/>
        </w:rPr>
        <w:t>（正本或副本）</w:t>
      </w: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jc w:val="center"/>
        <w:rPr>
          <w:rFonts w:ascii="宋体" w:hAnsi="宋体" w:cs="宋体"/>
          <w:b/>
          <w:bCs/>
          <w:sz w:val="52"/>
          <w:szCs w:val="52"/>
          <w:highlight w:val="none"/>
        </w:rPr>
      </w:pPr>
    </w:p>
    <w:p>
      <w:pPr>
        <w:spacing w:line="360" w:lineRule="auto"/>
        <w:jc w:val="center"/>
        <w:rPr>
          <w:rFonts w:hint="eastAsia" w:ascii="宋体" w:hAnsi="宋体" w:eastAsia="宋体" w:cs="宋体"/>
          <w:b/>
          <w:bCs/>
          <w:sz w:val="52"/>
          <w:szCs w:val="52"/>
          <w:highlight w:val="none"/>
          <w:lang w:eastAsia="zh-CN"/>
        </w:rPr>
      </w:pPr>
      <w:r>
        <w:rPr>
          <w:rFonts w:hint="eastAsia" w:ascii="宋体" w:hAnsi="宋体" w:cs="宋体"/>
          <w:b/>
          <w:bCs/>
          <w:sz w:val="52"/>
          <w:szCs w:val="52"/>
          <w:highlight w:val="none"/>
          <w:lang w:eastAsia="zh-CN"/>
        </w:rPr>
        <w:t>铜川市新区移民（脱贫）搬迁办公室宅基地腾退服务项目</w:t>
      </w:r>
    </w:p>
    <w:p>
      <w:pPr>
        <w:spacing w:line="360" w:lineRule="auto"/>
        <w:jc w:val="center"/>
        <w:rPr>
          <w:rFonts w:ascii="宋体" w:hAnsi="宋体" w:cs="宋体"/>
          <w:b/>
          <w:bCs/>
          <w:sz w:val="44"/>
          <w:szCs w:val="44"/>
          <w:highlight w:val="none"/>
        </w:rPr>
      </w:pPr>
    </w:p>
    <w:p>
      <w:pPr>
        <w:spacing w:line="360" w:lineRule="auto"/>
        <w:rPr>
          <w:rFonts w:ascii="宋体" w:hAnsi="宋体" w:cs="宋体"/>
          <w:sz w:val="72"/>
          <w:szCs w:val="72"/>
          <w:highlight w:val="none"/>
        </w:rPr>
      </w:pPr>
    </w:p>
    <w:p>
      <w:pPr>
        <w:spacing w:line="360" w:lineRule="auto"/>
        <w:jc w:val="center"/>
        <w:rPr>
          <w:rFonts w:ascii="宋体" w:hAnsi="宋体" w:cs="宋体"/>
          <w:b/>
          <w:bCs/>
          <w:sz w:val="52"/>
          <w:szCs w:val="52"/>
          <w:highlight w:val="none"/>
        </w:rPr>
      </w:pPr>
      <w:r>
        <w:rPr>
          <w:rFonts w:hint="eastAsia" w:ascii="宋体" w:hAnsi="宋体" w:cs="宋体"/>
          <w:b/>
          <w:bCs/>
          <w:sz w:val="52"/>
          <w:szCs w:val="52"/>
          <w:highlight w:val="none"/>
        </w:rPr>
        <w:t>竞争性磋商响应文件</w:t>
      </w: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1124" w:firstLineChars="400"/>
        <w:jc w:val="left"/>
        <w:rPr>
          <w:rFonts w:ascii="宋体" w:hAnsi="宋体" w:cs="宋体"/>
          <w:b/>
          <w:bCs/>
          <w:sz w:val="28"/>
          <w:szCs w:val="28"/>
          <w:highlight w:val="none"/>
        </w:rPr>
      </w:pPr>
      <w:r>
        <w:rPr>
          <w:rFonts w:hint="eastAsia" w:ascii="宋体" w:hAnsi="宋体" w:cs="宋体"/>
          <w:b/>
          <w:bCs/>
          <w:sz w:val="28"/>
          <w:szCs w:val="28"/>
          <w:highlight w:val="none"/>
        </w:rPr>
        <w:t>供应商：（盖章）</w:t>
      </w:r>
    </w:p>
    <w:p>
      <w:pPr>
        <w:spacing w:line="360" w:lineRule="auto"/>
        <w:ind w:firstLine="1124" w:firstLineChars="400"/>
        <w:jc w:val="left"/>
        <w:rPr>
          <w:rFonts w:ascii="宋体" w:hAnsi="宋体" w:cs="宋体"/>
          <w:b/>
          <w:bCs/>
          <w:sz w:val="28"/>
          <w:szCs w:val="28"/>
          <w:highlight w:val="none"/>
        </w:rPr>
      </w:pPr>
      <w:r>
        <w:rPr>
          <w:rFonts w:hint="eastAsia" w:ascii="宋体" w:hAnsi="宋体" w:cs="宋体"/>
          <w:b/>
          <w:bCs/>
          <w:sz w:val="28"/>
          <w:szCs w:val="28"/>
          <w:highlight w:val="none"/>
        </w:rPr>
        <w:t>法定代表人或其委托代理人：（签字或盖章）</w:t>
      </w:r>
    </w:p>
    <w:p>
      <w:pPr>
        <w:spacing w:line="360" w:lineRule="auto"/>
        <w:ind w:firstLine="1124" w:firstLineChars="400"/>
        <w:rPr>
          <w:rFonts w:ascii="宋体" w:hAnsi="宋体" w:cs="宋体"/>
          <w:b/>
          <w:bCs/>
          <w:sz w:val="28"/>
          <w:szCs w:val="28"/>
          <w:highlight w:val="none"/>
        </w:rPr>
      </w:pPr>
      <w:r>
        <w:rPr>
          <w:rFonts w:hint="eastAsia" w:ascii="宋体" w:hAnsi="宋体" w:cs="宋体"/>
          <w:b/>
          <w:bCs/>
          <w:sz w:val="28"/>
          <w:szCs w:val="28"/>
          <w:highlight w:val="none"/>
        </w:rPr>
        <w:t>年   月    日</w:t>
      </w:r>
    </w:p>
    <w:p>
      <w:pPr>
        <w:spacing w:line="360" w:lineRule="auto"/>
        <w:jc w:val="center"/>
        <w:rPr>
          <w:rFonts w:ascii="宋体" w:hAnsi="宋体" w:cs="宋体"/>
          <w:highlight w:val="none"/>
        </w:rPr>
        <w:sectPr>
          <w:headerReference r:id="rId7" w:type="default"/>
          <w:footerReference r:id="rId8" w:type="default"/>
          <w:pgSz w:w="11906" w:h="16838"/>
          <w:pgMar w:top="1417" w:right="1417" w:bottom="1417" w:left="1701" w:header="851" w:footer="992" w:gutter="0"/>
          <w:cols w:space="0" w:num="1"/>
          <w:docGrid w:type="lines" w:linePitch="312" w:charSpace="0"/>
        </w:sectPr>
      </w:pPr>
    </w:p>
    <w:p>
      <w:pPr>
        <w:jc w:val="center"/>
        <w:rPr>
          <w:rFonts w:ascii="宋体" w:hAnsi="宋体" w:cs="宋体"/>
          <w:b/>
          <w:bCs/>
          <w:sz w:val="32"/>
          <w:szCs w:val="32"/>
          <w:highlight w:val="none"/>
        </w:rPr>
      </w:pPr>
      <w:bookmarkStart w:id="78" w:name="_Toc420591666"/>
      <w:bookmarkStart w:id="79" w:name="_Toc421778385"/>
      <w:bookmarkStart w:id="80" w:name="_Toc372885969"/>
      <w:bookmarkStart w:id="81" w:name="_Toc420591500"/>
      <w:r>
        <w:rPr>
          <w:rFonts w:hint="eastAsia" w:ascii="宋体" w:hAnsi="宋体" w:cs="宋体"/>
          <w:b/>
          <w:bCs/>
          <w:sz w:val="32"/>
          <w:szCs w:val="32"/>
          <w:highlight w:val="none"/>
        </w:rPr>
        <w:t>目  录</w:t>
      </w:r>
      <w:bookmarkEnd w:id="78"/>
      <w:bookmarkEnd w:id="79"/>
      <w:bookmarkEnd w:id="80"/>
      <w:bookmarkEnd w:id="81"/>
    </w:p>
    <w:p>
      <w:pPr>
        <w:pStyle w:val="2"/>
        <w:rPr>
          <w:rFonts w:ascii="宋体" w:hAnsi="宋体" w:cs="宋体"/>
          <w:highlight w:val="none"/>
        </w:rPr>
      </w:pPr>
    </w:p>
    <w:p>
      <w:pPr>
        <w:numPr>
          <w:ilvl w:val="0"/>
          <w:numId w:val="7"/>
        </w:numPr>
        <w:spacing w:line="480" w:lineRule="auto"/>
        <w:ind w:firstLine="1680" w:firstLineChars="700"/>
        <w:rPr>
          <w:rFonts w:ascii="宋体" w:hAnsi="宋体" w:cs="宋体"/>
          <w:sz w:val="24"/>
          <w:highlight w:val="none"/>
        </w:rPr>
      </w:pPr>
      <w:r>
        <w:rPr>
          <w:rFonts w:hint="eastAsia" w:ascii="宋体" w:hAnsi="宋体" w:cs="宋体"/>
          <w:sz w:val="24"/>
          <w:highlight w:val="none"/>
        </w:rPr>
        <w:t>磋商响应函</w:t>
      </w:r>
    </w:p>
    <w:p>
      <w:pPr>
        <w:numPr>
          <w:ilvl w:val="0"/>
          <w:numId w:val="7"/>
        </w:numPr>
        <w:spacing w:line="480" w:lineRule="auto"/>
        <w:ind w:firstLine="1680" w:firstLineChars="700"/>
        <w:rPr>
          <w:rFonts w:ascii="宋体" w:hAnsi="宋体" w:cs="宋体"/>
          <w:sz w:val="24"/>
          <w:highlight w:val="none"/>
        </w:rPr>
      </w:pPr>
      <w:r>
        <w:rPr>
          <w:rFonts w:hint="eastAsia" w:ascii="宋体" w:hAnsi="宋体" w:cs="宋体"/>
          <w:sz w:val="24"/>
          <w:highlight w:val="none"/>
        </w:rPr>
        <w:t>磋商一览表</w:t>
      </w:r>
    </w:p>
    <w:p>
      <w:pPr>
        <w:spacing w:line="480" w:lineRule="auto"/>
        <w:ind w:firstLine="1680" w:firstLineChars="700"/>
        <w:rPr>
          <w:rFonts w:ascii="宋体" w:hAnsi="宋体" w:cs="宋体"/>
          <w:sz w:val="24"/>
          <w:highlight w:val="none"/>
        </w:rPr>
      </w:pPr>
      <w:r>
        <w:rPr>
          <w:rFonts w:hint="eastAsia" w:ascii="宋体" w:hAnsi="宋体" w:cs="宋体"/>
          <w:sz w:val="24"/>
          <w:highlight w:val="none"/>
        </w:rPr>
        <w:t>三、法人授权委托书</w:t>
      </w:r>
    </w:p>
    <w:p>
      <w:pPr>
        <w:spacing w:line="480" w:lineRule="auto"/>
        <w:ind w:firstLine="1680" w:firstLineChars="700"/>
        <w:rPr>
          <w:rFonts w:ascii="宋体" w:hAnsi="宋体" w:cs="宋体"/>
          <w:sz w:val="24"/>
          <w:highlight w:val="none"/>
        </w:rPr>
      </w:pPr>
      <w:r>
        <w:rPr>
          <w:rFonts w:hint="eastAsia" w:ascii="宋体" w:hAnsi="宋体" w:cs="宋体"/>
          <w:sz w:val="24"/>
          <w:highlight w:val="none"/>
        </w:rPr>
        <w:t>四、磋商保证金</w:t>
      </w:r>
    </w:p>
    <w:p>
      <w:pPr>
        <w:spacing w:line="480" w:lineRule="auto"/>
        <w:ind w:firstLine="1680" w:firstLineChars="700"/>
        <w:rPr>
          <w:rFonts w:ascii="宋体" w:hAnsi="宋体" w:cs="宋体"/>
          <w:sz w:val="24"/>
          <w:highlight w:val="none"/>
        </w:rPr>
      </w:pPr>
      <w:r>
        <w:rPr>
          <w:rFonts w:hint="eastAsia" w:ascii="宋体" w:hAnsi="宋体" w:cs="宋体"/>
          <w:sz w:val="24"/>
          <w:highlight w:val="none"/>
        </w:rPr>
        <w:t>五、磋商方案说明书</w:t>
      </w:r>
    </w:p>
    <w:p>
      <w:pPr>
        <w:spacing w:line="480" w:lineRule="auto"/>
        <w:ind w:firstLine="1680" w:firstLineChars="700"/>
        <w:rPr>
          <w:rFonts w:ascii="宋体" w:hAnsi="宋体" w:cs="宋体"/>
          <w:sz w:val="24"/>
          <w:highlight w:val="none"/>
        </w:rPr>
      </w:pPr>
      <w:r>
        <w:rPr>
          <w:rFonts w:hint="eastAsia" w:ascii="宋体" w:hAnsi="宋体" w:cs="宋体"/>
          <w:sz w:val="24"/>
          <w:highlight w:val="none"/>
          <w:lang w:eastAsia="zh-CN"/>
        </w:rPr>
        <w:t>六</w:t>
      </w:r>
      <w:r>
        <w:rPr>
          <w:rFonts w:hint="eastAsia" w:ascii="宋体" w:hAnsi="宋体" w:cs="宋体"/>
          <w:sz w:val="24"/>
          <w:highlight w:val="none"/>
        </w:rPr>
        <w:t>、陕西省政府采购供应商拒绝政府采购领域商业贿赂承诺书</w:t>
      </w:r>
    </w:p>
    <w:p>
      <w:pPr>
        <w:spacing w:line="480" w:lineRule="auto"/>
        <w:ind w:firstLine="1680" w:firstLineChars="700"/>
        <w:rPr>
          <w:rFonts w:ascii="宋体" w:hAnsi="宋体" w:cs="宋体"/>
          <w:sz w:val="24"/>
          <w:highlight w:val="none"/>
        </w:rPr>
      </w:pPr>
      <w:r>
        <w:rPr>
          <w:rFonts w:hint="eastAsia" w:ascii="宋体" w:hAnsi="宋体" w:cs="宋体"/>
          <w:sz w:val="24"/>
          <w:highlight w:val="none"/>
          <w:lang w:eastAsia="zh-CN"/>
        </w:rPr>
        <w:t>七</w:t>
      </w:r>
      <w:r>
        <w:rPr>
          <w:rFonts w:hint="eastAsia" w:ascii="宋体" w:hAnsi="宋体" w:cs="宋体"/>
          <w:sz w:val="24"/>
          <w:highlight w:val="none"/>
        </w:rPr>
        <w:t>、资格证明文件</w:t>
      </w:r>
    </w:p>
    <w:p>
      <w:pPr>
        <w:spacing w:line="480" w:lineRule="auto"/>
        <w:ind w:firstLine="1680" w:firstLineChars="700"/>
        <w:rPr>
          <w:rFonts w:ascii="宋体" w:hAnsi="宋体" w:cs="宋体"/>
          <w:sz w:val="24"/>
          <w:highlight w:val="none"/>
        </w:rPr>
      </w:pPr>
      <w:r>
        <w:rPr>
          <w:rFonts w:hint="eastAsia" w:ascii="宋体" w:hAnsi="宋体" w:cs="宋体"/>
          <w:sz w:val="24"/>
          <w:highlight w:val="none"/>
          <w:lang w:eastAsia="zh-CN"/>
        </w:rPr>
        <w:t>八</w:t>
      </w:r>
      <w:r>
        <w:rPr>
          <w:rFonts w:hint="eastAsia" w:ascii="宋体" w:hAnsi="宋体" w:cs="宋体"/>
          <w:sz w:val="24"/>
          <w:highlight w:val="none"/>
        </w:rPr>
        <w:t>、其它资料</w:t>
      </w:r>
    </w:p>
    <w:p>
      <w:pPr>
        <w:pStyle w:val="10"/>
        <w:spacing w:line="360" w:lineRule="auto"/>
        <w:rPr>
          <w:rFonts w:ascii="宋体" w:hAnsi="宋体" w:cs="宋体"/>
          <w:highlight w:val="none"/>
        </w:rPr>
      </w:pPr>
    </w:p>
    <w:p>
      <w:pPr>
        <w:pStyle w:val="10"/>
        <w:spacing w:line="360" w:lineRule="auto"/>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10"/>
        <w:rPr>
          <w:rFonts w:ascii="宋体" w:hAnsi="宋体" w:cs="宋体"/>
          <w:highlight w:val="none"/>
        </w:rPr>
      </w:pPr>
    </w:p>
    <w:p>
      <w:pPr>
        <w:pStyle w:val="10"/>
        <w:rPr>
          <w:rFonts w:ascii="宋体" w:hAnsi="宋体" w:cs="宋体"/>
          <w:highlight w:val="none"/>
        </w:rPr>
      </w:pPr>
    </w:p>
    <w:p>
      <w:pPr>
        <w:pStyle w:val="10"/>
        <w:rPr>
          <w:rFonts w:ascii="宋体" w:hAnsi="宋体" w:cs="宋体"/>
          <w:highlight w:val="none"/>
        </w:rPr>
      </w:pPr>
    </w:p>
    <w:p>
      <w:pPr>
        <w:pStyle w:val="10"/>
        <w:rPr>
          <w:rFonts w:ascii="宋体" w:hAnsi="宋体" w:cs="宋体"/>
          <w:highlight w:val="none"/>
        </w:rPr>
      </w:pPr>
    </w:p>
    <w:p>
      <w:pPr>
        <w:pStyle w:val="10"/>
        <w:rPr>
          <w:rFonts w:ascii="宋体" w:hAnsi="宋体" w:cs="宋体"/>
          <w:highlight w:val="none"/>
        </w:rPr>
      </w:pPr>
    </w:p>
    <w:p>
      <w:pPr>
        <w:pStyle w:val="10"/>
        <w:rPr>
          <w:rFonts w:ascii="宋体" w:hAnsi="宋体" w:cs="宋体"/>
          <w:highlight w:val="none"/>
        </w:rPr>
      </w:pPr>
    </w:p>
    <w:p>
      <w:pPr>
        <w:pStyle w:val="10"/>
        <w:rPr>
          <w:rFonts w:ascii="宋体" w:hAnsi="宋体" w:cs="宋体"/>
          <w:highlight w:val="none"/>
        </w:rPr>
      </w:pPr>
    </w:p>
    <w:p>
      <w:pPr>
        <w:pStyle w:val="10"/>
        <w:rPr>
          <w:rFonts w:ascii="宋体" w:hAnsi="宋体" w:cs="宋体"/>
          <w:highlight w:val="none"/>
        </w:rPr>
      </w:pPr>
    </w:p>
    <w:p>
      <w:pPr>
        <w:pStyle w:val="10"/>
        <w:rPr>
          <w:rFonts w:ascii="宋体" w:hAnsi="宋体" w:cs="宋体"/>
          <w:highlight w:val="none"/>
        </w:rPr>
      </w:pPr>
    </w:p>
    <w:p>
      <w:pPr>
        <w:spacing w:line="520" w:lineRule="exact"/>
        <w:jc w:val="center"/>
        <w:rPr>
          <w:rFonts w:ascii="宋体" w:hAnsi="宋体" w:cs="宋体"/>
          <w:b/>
          <w:sz w:val="32"/>
          <w:szCs w:val="32"/>
          <w:highlight w:val="none"/>
        </w:rPr>
      </w:pPr>
    </w:p>
    <w:p>
      <w:pPr>
        <w:pStyle w:val="2"/>
        <w:rPr>
          <w:rFonts w:ascii="宋体" w:hAnsi="宋体" w:cs="宋体"/>
          <w:b/>
          <w:sz w:val="32"/>
          <w:szCs w:val="32"/>
          <w:highlight w:val="none"/>
        </w:rPr>
      </w:pPr>
    </w:p>
    <w:p>
      <w:pPr>
        <w:pStyle w:val="2"/>
        <w:rPr>
          <w:rFonts w:ascii="宋体" w:hAnsi="宋体" w:cs="宋体"/>
          <w:b/>
          <w:sz w:val="32"/>
          <w:szCs w:val="32"/>
          <w:highlight w:val="none"/>
        </w:rPr>
      </w:pPr>
    </w:p>
    <w:p>
      <w:pPr>
        <w:rPr>
          <w:rFonts w:ascii="宋体" w:hAnsi="宋体" w:cs="宋体"/>
          <w:b/>
          <w:sz w:val="32"/>
          <w:szCs w:val="32"/>
          <w:highlight w:val="none"/>
        </w:rPr>
      </w:pPr>
    </w:p>
    <w:p>
      <w:pPr>
        <w:pStyle w:val="2"/>
        <w:rPr>
          <w:rFonts w:ascii="宋体" w:hAnsi="宋体" w:cs="宋体"/>
          <w:b/>
          <w:sz w:val="32"/>
          <w:szCs w:val="32"/>
          <w:highlight w:val="none"/>
        </w:rPr>
      </w:pPr>
    </w:p>
    <w:p>
      <w:pPr>
        <w:rPr>
          <w:highlight w:val="none"/>
        </w:rPr>
      </w:pPr>
    </w:p>
    <w:p>
      <w:pPr>
        <w:pStyle w:val="4"/>
        <w:bidi w:val="0"/>
        <w:jc w:val="center"/>
      </w:pPr>
      <w:r>
        <w:rPr>
          <w:rFonts w:hint="eastAsia"/>
        </w:rPr>
        <w:t>一、磋商响应函</w:t>
      </w:r>
    </w:p>
    <w:p>
      <w:pPr>
        <w:spacing w:line="600" w:lineRule="exact"/>
        <w:ind w:firstLine="496" w:firstLineChars="200"/>
        <w:rPr>
          <w:rFonts w:ascii="宋体" w:hAnsi="宋体" w:cs="宋体"/>
          <w:spacing w:val="4"/>
          <w:sz w:val="24"/>
          <w:highlight w:val="none"/>
          <w:u w:val="single"/>
        </w:rPr>
      </w:pPr>
      <w:r>
        <w:rPr>
          <w:rFonts w:hint="eastAsia" w:ascii="宋体" w:hAnsi="宋体" w:cs="宋体"/>
          <w:spacing w:val="4"/>
          <w:sz w:val="24"/>
          <w:highlight w:val="none"/>
        </w:rPr>
        <w:t>致：</w:t>
      </w:r>
      <w:r>
        <w:rPr>
          <w:rFonts w:hint="eastAsia" w:ascii="宋体" w:hAnsi="宋体" w:cs="宋体"/>
          <w:spacing w:val="4"/>
          <w:sz w:val="24"/>
          <w:highlight w:val="none"/>
          <w:u w:val="single"/>
          <w:lang w:eastAsia="zh-CN"/>
        </w:rPr>
        <w:t>铜川市新区移民（脱贫）搬迁办公室</w:t>
      </w:r>
      <w:r>
        <w:rPr>
          <w:rFonts w:hint="eastAsia" w:ascii="宋体" w:hAnsi="宋体" w:cs="宋体"/>
          <w:spacing w:val="4"/>
          <w:sz w:val="24"/>
          <w:highlight w:val="none"/>
          <w:u w:val="single"/>
        </w:rPr>
        <w:t>/华夏国际项目管理有限公司</w:t>
      </w:r>
    </w:p>
    <w:p>
      <w:pPr>
        <w:numPr>
          <w:ilvl w:val="0"/>
          <w:numId w:val="8"/>
        </w:num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根据已收到</w:t>
      </w:r>
      <w:r>
        <w:rPr>
          <w:rFonts w:hint="eastAsia" w:ascii="宋体" w:hAnsi="宋体" w:cs="宋体"/>
          <w:spacing w:val="4"/>
          <w:sz w:val="24"/>
          <w:highlight w:val="none"/>
          <w:u w:val="single"/>
        </w:rPr>
        <w:t>（项目名称）</w:t>
      </w:r>
      <w:r>
        <w:rPr>
          <w:rFonts w:hint="eastAsia" w:ascii="宋体" w:hAnsi="宋体" w:cs="宋体"/>
          <w:spacing w:val="4"/>
          <w:sz w:val="24"/>
          <w:highlight w:val="none"/>
        </w:rPr>
        <w:t>的磋商文件，遵照《中华人民共和国政府采购法》等有关规定，仔细研究本工程磋商文件、合同条款、其他有关文件后，我方愿以人民币（大写）</w:t>
      </w:r>
      <w:r>
        <w:rPr>
          <w:rFonts w:hint="eastAsia" w:ascii="宋体" w:hAnsi="宋体" w:cs="宋体"/>
          <w:spacing w:val="4"/>
          <w:sz w:val="24"/>
          <w:highlight w:val="none"/>
          <w:u w:val="single"/>
        </w:rPr>
        <w:t xml:space="preserve">        </w:t>
      </w:r>
      <w:r>
        <w:rPr>
          <w:rFonts w:hint="eastAsia" w:ascii="宋体" w:hAnsi="宋体" w:cs="宋体"/>
          <w:spacing w:val="4"/>
          <w:sz w:val="24"/>
          <w:highlight w:val="none"/>
        </w:rPr>
        <w:t>元（￥</w:t>
      </w:r>
      <w:r>
        <w:rPr>
          <w:rFonts w:hint="eastAsia" w:ascii="宋体" w:hAnsi="宋体" w:cs="宋体"/>
          <w:spacing w:val="4"/>
          <w:sz w:val="24"/>
          <w:highlight w:val="none"/>
          <w:u w:val="single"/>
        </w:rPr>
        <w:t xml:space="preserve">     </w:t>
      </w:r>
      <w:r>
        <w:rPr>
          <w:rFonts w:hint="eastAsia" w:ascii="宋体" w:hAnsi="宋体" w:cs="宋体"/>
          <w:spacing w:val="4"/>
          <w:sz w:val="24"/>
          <w:highlight w:val="none"/>
        </w:rPr>
        <w:t>）的磋商总报价，本工程磋商文件、合同条款、其他有关文件等承包本工程的施工、竣工和保修，并承担任何质量缺陷保修责任。</w:t>
      </w: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2、我方已详细审核全部磋商文件及有关附件、工程现场条件、磋商答疑纪要等文件。</w:t>
      </w: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3、该报价是完成本磋商文件规定的、所需的一切费用，且不低于我单位工程施工的成本价。</w:t>
      </w: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4、如果我方成交，我方保证按照合同约定的开工日期开始本工程的施工，确保在</w:t>
      </w:r>
      <w:r>
        <w:rPr>
          <w:rFonts w:hint="eastAsia" w:ascii="宋体" w:hAnsi="宋体" w:cs="宋体"/>
          <w:spacing w:val="4"/>
          <w:sz w:val="24"/>
          <w:highlight w:val="none"/>
          <w:u w:val="single"/>
        </w:rPr>
        <w:t xml:space="preserve">   </w:t>
      </w:r>
      <w:r>
        <w:rPr>
          <w:rFonts w:hint="eastAsia" w:ascii="宋体" w:hAnsi="宋体" w:cs="宋体"/>
          <w:spacing w:val="4"/>
          <w:sz w:val="24"/>
          <w:highlight w:val="none"/>
        </w:rPr>
        <w:t>天（日历日）内竣工，并确保工程质量达到</w:t>
      </w:r>
      <w:r>
        <w:rPr>
          <w:rFonts w:hint="eastAsia" w:ascii="宋体" w:hAnsi="宋体" w:cs="宋体"/>
          <w:spacing w:val="4"/>
          <w:sz w:val="24"/>
          <w:highlight w:val="none"/>
          <w:u w:val="single"/>
        </w:rPr>
        <w:t>   </w:t>
      </w:r>
      <w:r>
        <w:rPr>
          <w:rFonts w:hint="eastAsia" w:ascii="宋体" w:hAnsi="宋体" w:cs="宋体"/>
          <w:spacing w:val="4"/>
          <w:sz w:val="24"/>
          <w:highlight w:val="none"/>
        </w:rPr>
        <w:t>标准。我方同意本磋商响应函在磋商文件规定的提交磋商响应文件截止时间后，在磋商文件规定的磋商有效期期满前对我方具有约束力，且随时准备接受你方发出的成交通知书。</w:t>
      </w: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5、如果成交，我们根据竞争性磋商文件的规定，履行合同的责任和义务。</w:t>
      </w: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6、我们已详细阅读和审核全部竞争性磋商文件（含修改部分，如有的话），及有关附件，我们知道必须放弃提出含糊不清或误解的问题的权利。</w:t>
      </w: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7、我们同意在磋商有效期内（自磋商之日起</w:t>
      </w:r>
      <w:r>
        <w:rPr>
          <w:rFonts w:hint="eastAsia" w:ascii="宋体" w:hAnsi="宋体" w:cs="宋体"/>
          <w:spacing w:val="4"/>
          <w:sz w:val="24"/>
          <w:highlight w:val="none"/>
          <w:u w:val="single"/>
        </w:rPr>
        <w:t xml:space="preserve">   </w:t>
      </w:r>
      <w:r>
        <w:rPr>
          <w:rFonts w:hint="eastAsia" w:ascii="宋体" w:hAnsi="宋体" w:cs="宋体"/>
          <w:spacing w:val="4"/>
          <w:sz w:val="24"/>
          <w:highlight w:val="none"/>
        </w:rPr>
        <w:t>天内），本磋商响应函对我方具有约束力。</w:t>
      </w: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8、如果在开标后规定的磋商有效期内撤回磋商，我们的磋商保证金可被贵方没收。</w:t>
      </w: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 xml:space="preserve">9、同意提供贵方可能另外要求的与本磋商有关的任何证据和资料。 </w:t>
      </w: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10、我们同意，如果成交，向华夏国际项目管理有限公司交纳成交代理服务费。</w:t>
      </w: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11、与本磋商有关的一切正式往来通讯为：</w:t>
      </w:r>
    </w:p>
    <w:p>
      <w:pPr>
        <w:spacing w:line="600" w:lineRule="exact"/>
        <w:ind w:firstLine="496" w:firstLineChars="200"/>
        <w:rPr>
          <w:rFonts w:ascii="宋体" w:hAnsi="宋体" w:cs="宋体"/>
          <w:spacing w:val="4"/>
          <w:sz w:val="24"/>
          <w:highlight w:val="none"/>
        </w:rPr>
      </w:pPr>
    </w:p>
    <w:p>
      <w:pPr>
        <w:spacing w:line="600" w:lineRule="exact"/>
        <w:ind w:firstLine="496" w:firstLineChars="200"/>
        <w:rPr>
          <w:rFonts w:ascii="宋体" w:hAnsi="宋体" w:cs="宋体"/>
          <w:spacing w:val="4"/>
          <w:sz w:val="24"/>
          <w:highlight w:val="none"/>
        </w:rPr>
      </w:pP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联系地址：</w:t>
      </w: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邮政编码：</w:t>
      </w: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电    话：</w:t>
      </w: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传    真：</w:t>
      </w: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供应商名称（盖章）：</w:t>
      </w: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供应商法定代表人签字：</w:t>
      </w:r>
    </w:p>
    <w:p>
      <w:pPr>
        <w:spacing w:line="600" w:lineRule="exact"/>
        <w:ind w:firstLine="496" w:firstLineChars="200"/>
        <w:rPr>
          <w:rFonts w:ascii="宋体" w:hAnsi="宋体" w:cs="宋体"/>
          <w:spacing w:val="4"/>
          <w:sz w:val="24"/>
          <w:highlight w:val="none"/>
        </w:rPr>
      </w:pPr>
      <w:r>
        <w:rPr>
          <w:rFonts w:hint="eastAsia" w:ascii="宋体" w:hAnsi="宋体" w:cs="宋体"/>
          <w:spacing w:val="4"/>
          <w:sz w:val="24"/>
          <w:highlight w:val="none"/>
        </w:rPr>
        <w:t>日    期：</w:t>
      </w:r>
    </w:p>
    <w:p>
      <w:pPr>
        <w:pStyle w:val="5"/>
        <w:spacing w:before="312" w:beforeLines="100"/>
        <w:rPr>
          <w:rFonts w:ascii="宋体" w:hAnsi="宋体" w:cs="宋体"/>
          <w:highlight w:val="none"/>
        </w:rPr>
        <w:sectPr>
          <w:pgSz w:w="11906" w:h="16838"/>
          <w:pgMar w:top="1418" w:right="1418" w:bottom="1418" w:left="1701" w:header="851" w:footer="992" w:gutter="0"/>
          <w:cols w:space="720" w:num="1"/>
          <w:docGrid w:type="lines" w:linePitch="312" w:charSpace="0"/>
        </w:sectPr>
      </w:pPr>
    </w:p>
    <w:p>
      <w:pPr>
        <w:pStyle w:val="4"/>
        <w:bidi w:val="0"/>
        <w:jc w:val="center"/>
      </w:pPr>
      <w:bookmarkStart w:id="82" w:name="_Toc471734294"/>
      <w:bookmarkStart w:id="83" w:name="_Toc3437"/>
      <w:bookmarkStart w:id="84" w:name="_Toc12534"/>
      <w:bookmarkStart w:id="85" w:name="_Toc471750177"/>
      <w:bookmarkStart w:id="86" w:name="_Toc26013"/>
      <w:bookmarkStart w:id="87" w:name="_Toc24479"/>
      <w:bookmarkStart w:id="88" w:name="_Toc27787"/>
      <w:bookmarkStart w:id="89" w:name="_Toc13234571"/>
      <w:bookmarkStart w:id="90" w:name="_Toc794"/>
      <w:bookmarkStart w:id="91" w:name="_Toc29007"/>
      <w:r>
        <w:rPr>
          <w:rFonts w:hint="eastAsia"/>
        </w:rPr>
        <w:t>二、磋商</w:t>
      </w:r>
      <w:bookmarkEnd w:id="82"/>
      <w:bookmarkEnd w:id="83"/>
      <w:bookmarkEnd w:id="84"/>
      <w:bookmarkEnd w:id="85"/>
      <w:bookmarkEnd w:id="86"/>
      <w:bookmarkEnd w:id="87"/>
      <w:bookmarkEnd w:id="88"/>
      <w:bookmarkEnd w:id="89"/>
      <w:bookmarkEnd w:id="90"/>
      <w:bookmarkEnd w:id="91"/>
      <w:r>
        <w:rPr>
          <w:rFonts w:hint="eastAsia"/>
          <w:lang w:eastAsia="zh-CN"/>
        </w:rPr>
        <w:t>报价表</w:t>
      </w:r>
    </w:p>
    <w:p>
      <w:pPr>
        <w:spacing w:line="280" w:lineRule="exact"/>
        <w:ind w:right="540" w:rightChars="257"/>
        <w:jc w:val="center"/>
        <w:rPr>
          <w:rFonts w:hint="default" w:ascii="宋体" w:hAnsi="宋体" w:eastAsia="宋体" w:cs="宋体"/>
          <w:b/>
          <w:bCs/>
          <w:sz w:val="24"/>
          <w:szCs w:val="21"/>
          <w:highlight w:val="none"/>
          <w:lang w:val="en-US" w:eastAsia="zh-CN"/>
        </w:rPr>
      </w:pPr>
      <w:r>
        <w:rPr>
          <w:rFonts w:hint="eastAsia" w:ascii="宋体" w:hAnsi="宋体" w:cs="宋体"/>
          <w:b/>
          <w:bCs/>
          <w:sz w:val="24"/>
          <w:szCs w:val="21"/>
          <w:highlight w:val="none"/>
          <w:lang w:val="en-US" w:eastAsia="zh-CN"/>
        </w:rPr>
        <w:t>2.1报价一览表</w:t>
      </w:r>
    </w:p>
    <w:p>
      <w:pPr>
        <w:spacing w:line="280" w:lineRule="exact"/>
        <w:ind w:right="540" w:rightChars="257" w:firstLine="4440" w:firstLineChars="1850"/>
        <w:jc w:val="left"/>
        <w:rPr>
          <w:rFonts w:hint="eastAsia" w:ascii="宋体" w:hAnsi="宋体" w:cs="宋体"/>
          <w:sz w:val="24"/>
          <w:highlight w:val="none"/>
        </w:rPr>
      </w:pPr>
    </w:p>
    <w:p>
      <w:pPr>
        <w:spacing w:line="120" w:lineRule="exact"/>
        <w:rPr>
          <w:rFonts w:ascii="宋体" w:hAnsi="宋体" w:cs="宋体"/>
          <w:sz w:val="24"/>
          <w:highlight w:val="none"/>
        </w:rPr>
      </w:pPr>
    </w:p>
    <w:tbl>
      <w:tblPr>
        <w:tblStyle w:val="33"/>
        <w:tblpPr w:leftFromText="180" w:rightFromText="180" w:vertAnchor="text" w:horzAnchor="page" w:tblpX="1730" w:tblpY="237"/>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220"/>
        <w:gridCol w:w="22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220" w:type="dxa"/>
            <w:vAlign w:val="center"/>
          </w:tcPr>
          <w:p>
            <w:pPr>
              <w:jc w:val="center"/>
              <w:rPr>
                <w:rFonts w:hAnsi="宋体" w:cs="宋体"/>
                <w:sz w:val="24"/>
                <w:highlight w:val="none"/>
              </w:rPr>
            </w:pPr>
            <w:r>
              <w:rPr>
                <w:rFonts w:hint="eastAsia" w:hAnsi="宋体" w:cs="宋体"/>
                <w:sz w:val="24"/>
                <w:highlight w:val="none"/>
              </w:rPr>
              <w:t>总报价</w:t>
            </w:r>
          </w:p>
          <w:p>
            <w:pPr>
              <w:jc w:val="center"/>
              <w:rPr>
                <w:rFonts w:hAnsi="宋体" w:cs="宋体"/>
                <w:sz w:val="24"/>
                <w:highlight w:val="none"/>
              </w:rPr>
            </w:pPr>
            <w:r>
              <w:rPr>
                <w:rFonts w:hint="eastAsia" w:hAnsi="宋体" w:cs="宋体"/>
                <w:sz w:val="24"/>
                <w:highlight w:val="none"/>
              </w:rPr>
              <w:t>（</w:t>
            </w:r>
            <w:r>
              <w:rPr>
                <w:sz w:val="24"/>
                <w:highlight w:val="none"/>
              </w:rPr>
              <w:t>元</w:t>
            </w:r>
            <w:r>
              <w:rPr>
                <w:rFonts w:hint="eastAsia"/>
                <w:sz w:val="24"/>
                <w:highlight w:val="none"/>
              </w:rPr>
              <w:t>）</w:t>
            </w:r>
          </w:p>
        </w:tc>
        <w:tc>
          <w:tcPr>
            <w:tcW w:w="2220" w:type="dxa"/>
            <w:vAlign w:val="center"/>
          </w:tcPr>
          <w:p>
            <w:pPr>
              <w:jc w:val="center"/>
              <w:rPr>
                <w:rFonts w:hAnsi="宋体" w:cs="宋体"/>
                <w:sz w:val="24"/>
                <w:highlight w:val="none"/>
              </w:rPr>
            </w:pPr>
            <w:r>
              <w:rPr>
                <w:rFonts w:hint="eastAsia" w:hAnsi="宋体" w:cs="宋体"/>
                <w:sz w:val="24"/>
                <w:highlight w:val="none"/>
                <w:lang w:eastAsia="zh-CN"/>
              </w:rPr>
              <w:t>工期</w:t>
            </w:r>
          </w:p>
        </w:tc>
        <w:tc>
          <w:tcPr>
            <w:tcW w:w="2220" w:type="dxa"/>
            <w:vAlign w:val="center"/>
          </w:tcPr>
          <w:p>
            <w:pPr>
              <w:jc w:val="center"/>
              <w:rPr>
                <w:rFonts w:hAnsi="宋体" w:cs="宋体"/>
                <w:sz w:val="24"/>
                <w:highlight w:val="none"/>
              </w:rPr>
            </w:pPr>
            <w:r>
              <w:rPr>
                <w:rFonts w:hint="eastAsia" w:hAnsi="宋体" w:cs="宋体"/>
                <w:sz w:val="24"/>
                <w:highlight w:val="none"/>
                <w:lang w:eastAsia="zh-CN"/>
              </w:rPr>
              <w:t>磋商</w:t>
            </w:r>
            <w:r>
              <w:rPr>
                <w:rFonts w:hint="eastAsia" w:hAnsi="宋体" w:cs="宋体"/>
                <w:sz w:val="24"/>
                <w:highlight w:val="none"/>
              </w:rPr>
              <w:t>保证金</w:t>
            </w:r>
          </w:p>
          <w:p>
            <w:pPr>
              <w:jc w:val="center"/>
              <w:rPr>
                <w:rFonts w:hAnsi="宋体" w:cs="宋体"/>
                <w:sz w:val="24"/>
                <w:highlight w:val="none"/>
              </w:rPr>
            </w:pPr>
            <w:r>
              <w:rPr>
                <w:rFonts w:hint="eastAsia" w:hAnsi="宋体" w:cs="宋体"/>
                <w:sz w:val="24"/>
                <w:highlight w:val="none"/>
              </w:rPr>
              <w:t>（有/无）</w:t>
            </w:r>
          </w:p>
        </w:tc>
        <w:tc>
          <w:tcPr>
            <w:tcW w:w="2220" w:type="dxa"/>
            <w:vAlign w:val="center"/>
          </w:tcPr>
          <w:p>
            <w:pPr>
              <w:jc w:val="center"/>
              <w:rPr>
                <w:sz w:val="24"/>
                <w:highlight w:val="none"/>
              </w:rPr>
            </w:pPr>
            <w:r>
              <w:rPr>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2220" w:type="dxa"/>
            <w:vAlign w:val="center"/>
          </w:tcPr>
          <w:p>
            <w:pPr>
              <w:jc w:val="center"/>
              <w:rPr>
                <w:rFonts w:hAnsi="宋体" w:cs="宋体"/>
                <w:sz w:val="24"/>
                <w:highlight w:val="none"/>
              </w:rPr>
            </w:pPr>
          </w:p>
        </w:tc>
        <w:tc>
          <w:tcPr>
            <w:tcW w:w="2220" w:type="dxa"/>
            <w:vAlign w:val="center"/>
          </w:tcPr>
          <w:p>
            <w:pPr>
              <w:jc w:val="center"/>
              <w:rPr>
                <w:rFonts w:hAnsi="宋体" w:cs="宋体"/>
                <w:sz w:val="24"/>
                <w:highlight w:val="none"/>
              </w:rPr>
            </w:pPr>
          </w:p>
        </w:tc>
        <w:tc>
          <w:tcPr>
            <w:tcW w:w="2220" w:type="dxa"/>
            <w:vAlign w:val="center"/>
          </w:tcPr>
          <w:p>
            <w:pPr>
              <w:jc w:val="center"/>
              <w:rPr>
                <w:rFonts w:hAnsi="宋体" w:cs="宋体"/>
                <w:sz w:val="24"/>
                <w:highlight w:val="none"/>
              </w:rPr>
            </w:pPr>
          </w:p>
        </w:tc>
        <w:tc>
          <w:tcPr>
            <w:tcW w:w="2220"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8880" w:type="dxa"/>
            <w:gridSpan w:val="4"/>
            <w:vAlign w:val="center"/>
          </w:tcPr>
          <w:p>
            <w:pPr>
              <w:rPr>
                <w:sz w:val="24"/>
                <w:highlight w:val="none"/>
              </w:rPr>
            </w:pPr>
            <w:r>
              <w:rPr>
                <w:rFonts w:hint="eastAsia" w:hAnsi="宋体"/>
                <w:sz w:val="24"/>
                <w:highlight w:val="none"/>
                <w:lang w:eastAsia="zh-CN"/>
              </w:rPr>
              <w:t>磋商</w:t>
            </w:r>
            <w:r>
              <w:rPr>
                <w:rFonts w:hint="eastAsia" w:hAnsi="宋体"/>
                <w:sz w:val="24"/>
                <w:highlight w:val="none"/>
              </w:rPr>
              <w:t xml:space="preserve">总报价：人民币（大写） </w:t>
            </w:r>
            <w:r>
              <w:rPr>
                <w:sz w:val="24"/>
                <w:highlight w:val="none"/>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880" w:type="dxa"/>
            <w:gridSpan w:val="4"/>
            <w:vAlign w:val="center"/>
          </w:tcPr>
          <w:p>
            <w:pPr>
              <w:rPr>
                <w:rFonts w:hAnsi="宋体"/>
                <w:sz w:val="24"/>
                <w:highlight w:val="none"/>
              </w:rPr>
            </w:pPr>
            <w:r>
              <w:rPr>
                <w:rFonts w:hint="eastAsia" w:hAnsi="宋体"/>
                <w:sz w:val="24"/>
                <w:highlight w:val="none"/>
              </w:rPr>
              <w:t>备注：表内报价内容元为单位，保留小数点后两位。</w:t>
            </w:r>
          </w:p>
        </w:tc>
      </w:tr>
    </w:tbl>
    <w:p>
      <w:pPr>
        <w:ind w:firstLine="360" w:firstLineChars="150"/>
        <w:rPr>
          <w:rFonts w:ascii="宋体" w:hAnsi="宋体" w:cs="宋体"/>
          <w:sz w:val="24"/>
          <w:highlight w:val="none"/>
        </w:rPr>
      </w:pPr>
      <w:r>
        <w:rPr>
          <w:rFonts w:hint="eastAsia" w:ascii="宋体" w:hAnsi="宋体" w:cs="宋体"/>
          <w:sz w:val="24"/>
          <w:highlight w:val="none"/>
        </w:rPr>
        <w:t>注：1、以上表内报价内容以元为单位，保留小数点后两位。</w:t>
      </w:r>
    </w:p>
    <w:p>
      <w:pPr>
        <w:ind w:firstLine="360" w:firstLineChars="150"/>
        <w:rPr>
          <w:rFonts w:ascii="宋体" w:hAnsi="宋体" w:cs="宋体"/>
          <w:sz w:val="24"/>
          <w:highlight w:val="none"/>
        </w:rPr>
      </w:pPr>
      <w:r>
        <w:rPr>
          <w:rFonts w:hint="eastAsia" w:ascii="宋体" w:hAnsi="宋体" w:cs="宋体"/>
          <w:sz w:val="24"/>
          <w:highlight w:val="none"/>
        </w:rPr>
        <w:t xml:space="preserve">    2、本表应按“供应商须知”的规定密封单独提交。</w:t>
      </w:r>
    </w:p>
    <w:p>
      <w:pPr>
        <w:spacing w:line="280" w:lineRule="exact"/>
        <w:ind w:right="540" w:rightChars="257" w:firstLine="4440" w:firstLineChars="1850"/>
        <w:jc w:val="left"/>
        <w:rPr>
          <w:rFonts w:hint="eastAsia" w:ascii="宋体" w:hAnsi="宋体" w:cs="宋体"/>
          <w:sz w:val="24"/>
          <w:highlight w:val="none"/>
        </w:rPr>
      </w:pPr>
    </w:p>
    <w:p>
      <w:pPr>
        <w:spacing w:line="280" w:lineRule="exact"/>
        <w:ind w:right="540" w:rightChars="257" w:firstLine="4440" w:firstLineChars="1850"/>
        <w:jc w:val="left"/>
        <w:rPr>
          <w:rFonts w:hint="eastAsia" w:ascii="宋体" w:hAnsi="宋体" w:cs="宋体"/>
          <w:sz w:val="24"/>
          <w:highlight w:val="none"/>
        </w:rPr>
      </w:pPr>
    </w:p>
    <w:p>
      <w:pPr>
        <w:spacing w:line="280" w:lineRule="exact"/>
        <w:ind w:right="540" w:rightChars="257" w:firstLine="4440" w:firstLineChars="1850"/>
        <w:jc w:val="left"/>
        <w:rPr>
          <w:rFonts w:hint="eastAsia" w:ascii="宋体" w:hAnsi="宋体" w:cs="宋体"/>
          <w:sz w:val="24"/>
          <w:highlight w:val="none"/>
        </w:rPr>
      </w:pPr>
    </w:p>
    <w:p>
      <w:pPr>
        <w:spacing w:line="280" w:lineRule="exact"/>
        <w:ind w:right="540" w:rightChars="257" w:firstLine="4440" w:firstLineChars="1850"/>
        <w:jc w:val="left"/>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（加盖单位公章）      </w:t>
      </w:r>
    </w:p>
    <w:p>
      <w:pPr>
        <w:spacing w:line="280" w:lineRule="exact"/>
        <w:ind w:right="540" w:rightChars="257"/>
        <w:jc w:val="left"/>
        <w:rPr>
          <w:rFonts w:ascii="宋体" w:hAnsi="宋体" w:cs="宋体"/>
          <w:sz w:val="24"/>
          <w:highlight w:val="none"/>
        </w:rPr>
      </w:pPr>
    </w:p>
    <w:p>
      <w:pPr>
        <w:pStyle w:val="2"/>
        <w:rPr>
          <w:highlight w:val="none"/>
        </w:rPr>
      </w:pPr>
    </w:p>
    <w:p>
      <w:pPr>
        <w:spacing w:line="280" w:lineRule="exact"/>
        <w:ind w:right="540" w:rightChars="257" w:firstLine="360" w:firstLineChars="150"/>
        <w:jc w:val="left"/>
        <w:rPr>
          <w:rFonts w:ascii="宋体" w:hAnsi="宋体" w:cs="宋体"/>
          <w:sz w:val="24"/>
          <w:highlight w:val="none"/>
        </w:rPr>
      </w:pPr>
    </w:p>
    <w:p>
      <w:pPr>
        <w:spacing w:line="280" w:lineRule="exact"/>
        <w:ind w:right="540" w:rightChars="257" w:firstLine="4440" w:firstLineChars="1850"/>
        <w:jc w:val="left"/>
        <w:rPr>
          <w:rFonts w:ascii="宋体" w:hAnsi="宋体" w:cs="宋体"/>
          <w:sz w:val="24"/>
          <w:highlight w:val="none"/>
        </w:rPr>
      </w:pPr>
    </w:p>
    <w:p>
      <w:pPr>
        <w:spacing w:line="280" w:lineRule="exact"/>
        <w:ind w:right="540" w:rightChars="257" w:firstLine="4440" w:firstLineChars="1850"/>
        <w:jc w:val="left"/>
        <w:rPr>
          <w:rFonts w:ascii="宋体" w:hAnsi="宋体" w:cs="宋体"/>
          <w:sz w:val="24"/>
          <w:highlight w:val="none"/>
        </w:rPr>
      </w:pPr>
      <w:r>
        <w:rPr>
          <w:rFonts w:hint="eastAsia" w:ascii="宋体" w:hAnsi="宋体" w:cs="宋体"/>
          <w:sz w:val="24"/>
          <w:highlight w:val="none"/>
        </w:rPr>
        <w:t>法定代表人/或被授权人签字：</w:t>
      </w:r>
    </w:p>
    <w:p>
      <w:pPr>
        <w:spacing w:line="280" w:lineRule="exact"/>
        <w:ind w:right="540" w:rightChars="257" w:firstLine="4440" w:firstLineChars="1850"/>
        <w:jc w:val="left"/>
        <w:rPr>
          <w:rFonts w:ascii="宋体" w:hAnsi="宋体" w:cs="宋体"/>
          <w:sz w:val="24"/>
          <w:highlight w:val="none"/>
        </w:rPr>
      </w:pPr>
    </w:p>
    <w:p>
      <w:pPr>
        <w:spacing w:line="280" w:lineRule="exact"/>
        <w:ind w:right="540" w:rightChars="257" w:firstLine="4440" w:firstLineChars="1850"/>
        <w:jc w:val="left"/>
        <w:rPr>
          <w:rFonts w:ascii="宋体" w:hAnsi="宋体" w:cs="宋体"/>
          <w:sz w:val="24"/>
          <w:highlight w:val="none"/>
        </w:rPr>
      </w:pPr>
    </w:p>
    <w:p>
      <w:pPr>
        <w:spacing w:line="280" w:lineRule="exact"/>
        <w:ind w:right="540" w:rightChars="257"/>
        <w:jc w:val="left"/>
        <w:rPr>
          <w:rFonts w:ascii="宋体" w:hAnsi="宋体" w:cs="宋体"/>
          <w:sz w:val="24"/>
          <w:highlight w:val="none"/>
        </w:rPr>
      </w:pPr>
      <w:r>
        <w:rPr>
          <w:rFonts w:hint="eastAsia" w:ascii="宋体" w:hAnsi="宋体" w:cs="宋体"/>
          <w:sz w:val="24"/>
          <w:highlight w:val="none"/>
        </w:rPr>
        <w:t xml:space="preserve">    </w:t>
      </w:r>
    </w:p>
    <w:p>
      <w:pPr>
        <w:spacing w:line="280" w:lineRule="exact"/>
        <w:ind w:right="540" w:rightChars="257" w:firstLine="4440" w:firstLineChars="1850"/>
        <w:rPr>
          <w:rFonts w:ascii="宋体" w:hAnsi="宋体" w:cs="宋体"/>
          <w:sz w:val="24"/>
          <w:highlight w:val="none"/>
        </w:rPr>
      </w:pPr>
      <w:r>
        <w:rPr>
          <w:rFonts w:hint="eastAsia" w:ascii="宋体" w:hAnsi="宋体" w:cs="宋体"/>
          <w:sz w:val="24"/>
          <w:highlight w:val="none"/>
        </w:rPr>
        <w:t xml:space="preserve">日    期：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rPr>
          <w:rFonts w:ascii="宋体" w:hAnsi="宋体" w:cs="宋体"/>
          <w:b/>
          <w:sz w:val="24"/>
          <w:highlight w:val="none"/>
        </w:rPr>
      </w:pPr>
    </w:p>
    <w:p>
      <w:pPr>
        <w:pStyle w:val="2"/>
      </w:pPr>
    </w:p>
    <w:p/>
    <w:p>
      <w:pPr>
        <w:pStyle w:val="2"/>
      </w:pPr>
    </w:p>
    <w:p/>
    <w:p>
      <w:pPr>
        <w:pStyle w:val="2"/>
      </w:pPr>
    </w:p>
    <w:p/>
    <w:p>
      <w:pPr>
        <w:spacing w:line="280" w:lineRule="exact"/>
        <w:ind w:right="540" w:rightChars="257"/>
        <w:jc w:val="center"/>
        <w:rPr>
          <w:rFonts w:hint="eastAsia" w:ascii="宋体" w:hAnsi="宋体" w:cs="宋体"/>
          <w:b/>
          <w:bCs/>
          <w:sz w:val="24"/>
          <w:szCs w:val="21"/>
          <w:highlight w:val="none"/>
          <w:lang w:val="en-US" w:eastAsia="zh-CN"/>
        </w:rPr>
      </w:pPr>
      <w:r>
        <w:rPr>
          <w:rFonts w:hint="eastAsia" w:ascii="宋体" w:hAnsi="宋体" w:cs="宋体"/>
          <w:b/>
          <w:bCs/>
          <w:sz w:val="24"/>
          <w:szCs w:val="21"/>
          <w:highlight w:val="none"/>
          <w:lang w:val="en-US" w:eastAsia="zh-CN"/>
        </w:rPr>
        <w:t>2.2分项报价表</w:t>
      </w:r>
    </w:p>
    <w:p>
      <w:pPr>
        <w:rPr>
          <w:rFonts w:hint="eastAsia" w:ascii="宋体" w:hAnsi="宋体" w:cs="宋体"/>
          <w:b/>
          <w:bCs/>
          <w:sz w:val="24"/>
          <w:szCs w:val="21"/>
          <w:highlight w:val="none"/>
          <w:lang w:val="en-US" w:eastAsia="zh-CN"/>
        </w:rPr>
      </w:pPr>
    </w:p>
    <w:p>
      <w:pPr>
        <w:pStyle w:val="2"/>
        <w:jc w:val="both"/>
        <w:rPr>
          <w:rFonts w:hint="eastAsia" w:ascii="宋体" w:hAnsi="宋体" w:cs="宋体"/>
          <w:b/>
          <w:bCs/>
          <w:sz w:val="24"/>
          <w:szCs w:val="21"/>
          <w:highlight w:val="none"/>
          <w:lang w:val="en-US" w:eastAsia="zh-CN"/>
        </w:rPr>
      </w:pPr>
      <w:r>
        <w:rPr>
          <w:rFonts w:hint="eastAsia" w:ascii="宋体" w:hAnsi="宋体" w:cs="宋体"/>
          <w:b/>
          <w:bCs/>
          <w:sz w:val="24"/>
          <w:szCs w:val="21"/>
          <w:highlight w:val="none"/>
          <w:lang w:val="en-US" w:eastAsia="zh-CN"/>
        </w:rPr>
        <w:t>项目编号：</w:t>
      </w:r>
    </w:p>
    <w:p>
      <w:pPr>
        <w:rPr>
          <w:rFonts w:hint="eastAsia" w:ascii="宋体" w:hAnsi="宋体" w:cs="宋体"/>
          <w:b/>
          <w:bCs/>
          <w:sz w:val="24"/>
          <w:szCs w:val="21"/>
          <w:highlight w:val="none"/>
          <w:lang w:val="en-US" w:eastAsia="zh-CN"/>
        </w:rPr>
      </w:pPr>
      <w:r>
        <w:rPr>
          <w:rFonts w:hint="eastAsia" w:ascii="宋体" w:hAnsi="宋体" w:cs="宋体"/>
          <w:b/>
          <w:bCs/>
          <w:sz w:val="24"/>
          <w:szCs w:val="21"/>
          <w:highlight w:val="none"/>
          <w:lang w:val="en-US" w:eastAsia="zh-CN"/>
        </w:rPr>
        <w:t>项目名称：</w:t>
      </w:r>
    </w:p>
    <w:tbl>
      <w:tblPr>
        <w:tblStyle w:val="34"/>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52"/>
        <w:gridCol w:w="2467"/>
        <w:gridCol w:w="1860"/>
        <w:gridCol w:w="186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98" w:hRule="atLeast"/>
        </w:trPr>
        <w:tc>
          <w:tcPr>
            <w:tcW w:w="1252"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序号</w:t>
            </w:r>
          </w:p>
        </w:tc>
        <w:tc>
          <w:tcPr>
            <w:tcW w:w="2467"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名称</w:t>
            </w: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单价</w:t>
            </w: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总价</w:t>
            </w: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8" w:hRule="atLeast"/>
        </w:trPr>
        <w:tc>
          <w:tcPr>
            <w:tcW w:w="1252"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w:t>
            </w:r>
          </w:p>
        </w:tc>
        <w:tc>
          <w:tcPr>
            <w:tcW w:w="2467"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设备费</w:t>
            </w: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98" w:hRule="atLeast"/>
        </w:trPr>
        <w:tc>
          <w:tcPr>
            <w:tcW w:w="1252"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2</w:t>
            </w:r>
          </w:p>
        </w:tc>
        <w:tc>
          <w:tcPr>
            <w:tcW w:w="2467"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人工费</w:t>
            </w: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98" w:hRule="atLeast"/>
        </w:trPr>
        <w:tc>
          <w:tcPr>
            <w:tcW w:w="1252"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3</w:t>
            </w:r>
          </w:p>
        </w:tc>
        <w:tc>
          <w:tcPr>
            <w:tcW w:w="2467" w:type="dxa"/>
            <w:vAlign w:val="center"/>
          </w:tcPr>
          <w:p>
            <w:pPr>
              <w:pStyle w:val="2"/>
              <w:jc w:val="cente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w:t>
            </w: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98" w:hRule="atLeast"/>
        </w:trPr>
        <w:tc>
          <w:tcPr>
            <w:tcW w:w="1252"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4</w:t>
            </w:r>
          </w:p>
        </w:tc>
        <w:tc>
          <w:tcPr>
            <w:tcW w:w="2467" w:type="dxa"/>
            <w:vAlign w:val="center"/>
          </w:tcPr>
          <w:p>
            <w:pPr>
              <w:pStyle w:val="2"/>
              <w:jc w:val="cente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w:t>
            </w: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98" w:hRule="atLeast"/>
        </w:trPr>
        <w:tc>
          <w:tcPr>
            <w:tcW w:w="1252"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5</w:t>
            </w:r>
          </w:p>
        </w:tc>
        <w:tc>
          <w:tcPr>
            <w:tcW w:w="2467" w:type="dxa"/>
            <w:vAlign w:val="center"/>
          </w:tcPr>
          <w:p>
            <w:pPr>
              <w:pStyle w:val="2"/>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w:t>
            </w: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98" w:hRule="atLeast"/>
        </w:trPr>
        <w:tc>
          <w:tcPr>
            <w:tcW w:w="1252"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6</w:t>
            </w:r>
          </w:p>
        </w:tc>
        <w:tc>
          <w:tcPr>
            <w:tcW w:w="2467" w:type="dxa"/>
            <w:vAlign w:val="center"/>
          </w:tcPr>
          <w:p>
            <w:pPr>
              <w:pStyle w:val="2"/>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rPr>
              <w:t>...</w:t>
            </w: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26" w:hRule="atLeast"/>
        </w:trPr>
        <w:tc>
          <w:tcPr>
            <w:tcW w:w="1252"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7</w:t>
            </w:r>
          </w:p>
        </w:tc>
        <w:tc>
          <w:tcPr>
            <w:tcW w:w="2467"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w:t>
            </w: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c>
          <w:tcPr>
            <w:tcW w:w="1860" w:type="dxa"/>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38" w:hRule="atLeast"/>
        </w:trPr>
        <w:tc>
          <w:tcPr>
            <w:tcW w:w="3719" w:type="dxa"/>
            <w:gridSpan w:val="2"/>
            <w:vAlign w:val="center"/>
          </w:tcPr>
          <w:p>
            <w:pPr>
              <w:pStyle w:val="2"/>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磋商总报价</w:t>
            </w:r>
          </w:p>
        </w:tc>
        <w:tc>
          <w:tcPr>
            <w:tcW w:w="5580" w:type="dxa"/>
            <w:gridSpan w:val="3"/>
            <w:vAlign w:val="center"/>
          </w:tcPr>
          <w:p>
            <w:pPr>
              <w:pStyle w:val="2"/>
              <w:jc w:val="center"/>
              <w:rPr>
                <w:rFonts w:hint="eastAsia" w:asciiTheme="minorEastAsia" w:hAnsiTheme="minorEastAsia" w:eastAsiaTheme="minorEastAsia" w:cstheme="minorEastAsia"/>
                <w:sz w:val="28"/>
                <w:szCs w:val="28"/>
                <w:vertAlign w:val="baseline"/>
                <w:lang w:val="en-US" w:eastAsia="zh-CN"/>
              </w:rPr>
            </w:pPr>
          </w:p>
        </w:tc>
      </w:tr>
    </w:tbl>
    <w:p>
      <w:pPr>
        <w:pStyle w:val="2"/>
        <w:rPr>
          <w:rFonts w:hint="default"/>
          <w:lang w:val="en-US" w:eastAsia="zh-CN"/>
        </w:rPr>
      </w:pPr>
    </w:p>
    <w:p>
      <w:pPr>
        <w:pStyle w:val="2"/>
      </w:pPr>
    </w:p>
    <w:p/>
    <w:p>
      <w:pPr>
        <w:pStyle w:val="2"/>
      </w:pPr>
    </w:p>
    <w:p/>
    <w:p>
      <w:pPr>
        <w:pStyle w:val="2"/>
      </w:pPr>
    </w:p>
    <w:p/>
    <w:p>
      <w:pPr>
        <w:pStyle w:val="2"/>
      </w:pPr>
    </w:p>
    <w:p/>
    <w:p>
      <w:pPr>
        <w:pStyle w:val="2"/>
      </w:pPr>
      <w:bookmarkStart w:id="118" w:name="_GoBack"/>
      <w:bookmarkEnd w:id="118"/>
    </w:p>
    <w:p>
      <w:pPr>
        <w:pStyle w:val="4"/>
        <w:bidi w:val="0"/>
        <w:jc w:val="center"/>
        <w:rPr>
          <w:rFonts w:ascii="宋体" w:hAnsi="宋体" w:cs="宋体"/>
          <w:sz w:val="32"/>
          <w:szCs w:val="32"/>
          <w:highlight w:val="none"/>
        </w:rPr>
      </w:pPr>
      <w:bookmarkStart w:id="92" w:name="_Toc24281"/>
      <w:bookmarkStart w:id="93" w:name="_Toc13234572"/>
      <w:bookmarkStart w:id="94" w:name="_Toc3688"/>
      <w:bookmarkStart w:id="95" w:name="_Toc202"/>
      <w:bookmarkStart w:id="96" w:name="_Toc144"/>
      <w:r>
        <w:rPr>
          <w:rFonts w:hint="eastAsia" w:ascii="宋体" w:hAnsi="宋体" w:cs="宋体"/>
          <w:sz w:val="32"/>
          <w:szCs w:val="32"/>
          <w:highlight w:val="none"/>
        </w:rPr>
        <w:t>三、法定代表人授权委托书</w:t>
      </w:r>
      <w:bookmarkEnd w:id="92"/>
      <w:bookmarkEnd w:id="93"/>
      <w:bookmarkEnd w:id="94"/>
      <w:bookmarkEnd w:id="95"/>
      <w:bookmarkEnd w:id="96"/>
    </w:p>
    <w:p>
      <w:pPr>
        <w:rPr>
          <w:rFonts w:ascii="宋体" w:hAnsi="宋体" w:cs="宋体"/>
          <w:b/>
          <w:bCs/>
          <w:szCs w:val="32"/>
          <w:highlight w:val="none"/>
        </w:rPr>
      </w:pPr>
      <w:r>
        <w:rPr>
          <w:rFonts w:hint="eastAsia" w:ascii="宋体" w:hAnsi="宋体" w:cs="宋体"/>
          <w:highlight w:val="none"/>
        </w:rPr>
        <w:t xml:space="preserve">      </w:t>
      </w:r>
      <w:r>
        <w:rPr>
          <w:rFonts w:hint="eastAsia" w:ascii="宋体" w:hAnsi="宋体" w:cs="宋体"/>
          <w:szCs w:val="32"/>
          <w:highlight w:val="none"/>
        </w:rPr>
        <w:t xml:space="preserve"> </w:t>
      </w:r>
    </w:p>
    <w:p>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致：</w:t>
      </w:r>
      <w:r>
        <w:rPr>
          <w:rFonts w:hint="eastAsia" w:ascii="宋体" w:hAnsi="宋体" w:cs="宋体"/>
          <w:spacing w:val="4"/>
          <w:szCs w:val="24"/>
          <w:highlight w:val="none"/>
          <w:u w:val="single"/>
          <w:lang w:eastAsia="zh-CN"/>
        </w:rPr>
        <w:t>铜川市新区移民（脱贫）搬迁办公室</w:t>
      </w:r>
      <w:r>
        <w:rPr>
          <w:rFonts w:hint="eastAsia" w:ascii="宋体" w:hAnsi="宋体" w:cs="宋体"/>
          <w:spacing w:val="4"/>
          <w:szCs w:val="24"/>
          <w:highlight w:val="none"/>
          <w:u w:val="single"/>
        </w:rPr>
        <w:t>/华夏国际项目管理有限公司</w:t>
      </w:r>
      <w:r>
        <w:rPr>
          <w:rFonts w:hint="eastAsia" w:ascii="宋体" w:hAnsi="宋体" w:cs="宋体"/>
          <w:spacing w:val="4"/>
          <w:szCs w:val="24"/>
          <w:highlight w:val="none"/>
        </w:rPr>
        <w:t xml:space="preserve"> </w:t>
      </w:r>
    </w:p>
    <w:p>
      <w:pPr>
        <w:spacing w:line="360" w:lineRule="auto"/>
        <w:ind w:firstLine="436" w:firstLineChars="200"/>
        <w:jc w:val="left"/>
        <w:rPr>
          <w:rFonts w:ascii="宋体" w:hAnsi="宋体" w:cs="宋体"/>
          <w:spacing w:val="4"/>
          <w:szCs w:val="24"/>
          <w:highlight w:val="none"/>
        </w:rPr>
      </w:pPr>
      <w:r>
        <w:rPr>
          <w:rFonts w:hint="eastAsia" w:ascii="宋体" w:hAnsi="宋体" w:cs="宋体"/>
          <w:spacing w:val="4"/>
          <w:szCs w:val="24"/>
          <w:highlight w:val="none"/>
          <w:u w:val="single"/>
        </w:rPr>
        <w:t>(供应商名称)</w:t>
      </w:r>
      <w:r>
        <w:rPr>
          <w:rFonts w:hint="eastAsia" w:ascii="宋体" w:hAnsi="宋体" w:cs="宋体"/>
          <w:spacing w:val="4"/>
          <w:szCs w:val="24"/>
          <w:highlight w:val="none"/>
        </w:rPr>
        <w:t>按中华人民共和国法律于</w:t>
      </w:r>
      <w:r>
        <w:rPr>
          <w:rFonts w:hint="eastAsia" w:ascii="宋体" w:hAnsi="宋体" w:cs="宋体"/>
          <w:spacing w:val="4"/>
          <w:szCs w:val="24"/>
          <w:highlight w:val="none"/>
          <w:u w:val="single"/>
        </w:rPr>
        <w:t>（  年  月  日 ）</w:t>
      </w:r>
      <w:r>
        <w:rPr>
          <w:rFonts w:hint="eastAsia" w:ascii="宋体" w:hAnsi="宋体" w:cs="宋体"/>
          <w:spacing w:val="4"/>
          <w:szCs w:val="24"/>
          <w:highlight w:val="none"/>
        </w:rPr>
        <w:t>成立。</w:t>
      </w:r>
      <w:r>
        <w:rPr>
          <w:rFonts w:hint="eastAsia" w:ascii="宋体" w:hAnsi="宋体" w:cs="宋体"/>
          <w:spacing w:val="4"/>
          <w:szCs w:val="24"/>
          <w:highlight w:val="none"/>
          <w:u w:val="single"/>
        </w:rPr>
        <w:t>(法定代表人姓名)</w:t>
      </w:r>
      <w:r>
        <w:rPr>
          <w:rFonts w:hint="eastAsia" w:ascii="宋体" w:hAnsi="宋体" w:cs="宋体"/>
          <w:spacing w:val="4"/>
          <w:szCs w:val="24"/>
          <w:highlight w:val="none"/>
        </w:rPr>
        <w:t>特授权</w:t>
      </w:r>
      <w:r>
        <w:rPr>
          <w:rFonts w:hint="eastAsia" w:ascii="宋体" w:hAnsi="宋体" w:cs="宋体"/>
          <w:spacing w:val="4"/>
          <w:szCs w:val="24"/>
          <w:highlight w:val="none"/>
          <w:u w:val="single"/>
        </w:rPr>
        <w:t>（ 被授权人姓名 ）</w:t>
      </w:r>
      <w:r>
        <w:rPr>
          <w:rFonts w:hint="eastAsia" w:ascii="宋体" w:hAnsi="宋体" w:cs="宋体"/>
          <w:spacing w:val="4"/>
          <w:szCs w:val="24"/>
          <w:highlight w:val="none"/>
        </w:rPr>
        <w:t xml:space="preserve">代表我公司全权办理针对本次 </w:t>
      </w:r>
      <w:r>
        <w:rPr>
          <w:rFonts w:hint="eastAsia" w:ascii="宋体" w:hAnsi="宋体" w:cs="宋体"/>
          <w:spacing w:val="4"/>
          <w:szCs w:val="24"/>
          <w:highlight w:val="none"/>
          <w:u w:val="single"/>
        </w:rPr>
        <w:t>（项目编号 ）</w:t>
      </w:r>
      <w:r>
        <w:rPr>
          <w:rFonts w:hint="eastAsia" w:ascii="宋体" w:hAnsi="宋体" w:cs="宋体"/>
          <w:spacing w:val="4"/>
          <w:szCs w:val="24"/>
          <w:highlight w:val="none"/>
        </w:rPr>
        <w:t>项目的磋商、签约等具体工作，并签署全部有关的文件、协议及合同。</w:t>
      </w:r>
    </w:p>
    <w:p>
      <w:pPr>
        <w:spacing w:line="360" w:lineRule="auto"/>
        <w:ind w:firstLine="436" w:firstLineChars="200"/>
        <w:jc w:val="left"/>
        <w:rPr>
          <w:rFonts w:ascii="宋体" w:hAnsi="宋体" w:cs="宋体"/>
          <w:spacing w:val="4"/>
          <w:szCs w:val="24"/>
          <w:highlight w:val="none"/>
        </w:rPr>
      </w:pPr>
      <w:r>
        <w:rPr>
          <w:rFonts w:hint="eastAsia" w:ascii="宋体" w:hAnsi="宋体" w:cs="宋体"/>
          <w:spacing w:val="4"/>
          <w:szCs w:val="24"/>
          <w:highlight w:val="none"/>
        </w:rPr>
        <w:t>我公司对被授权人的签名负全部责任。</w:t>
      </w:r>
    </w:p>
    <w:p>
      <w:pPr>
        <w:spacing w:line="360" w:lineRule="auto"/>
        <w:ind w:right="540" w:rightChars="257" w:firstLine="420" w:firstLineChars="200"/>
        <w:jc w:val="left"/>
        <w:rPr>
          <w:rFonts w:ascii="宋体" w:hAnsi="宋体" w:cs="宋体"/>
          <w:szCs w:val="24"/>
          <w:highlight w:val="none"/>
        </w:rPr>
      </w:pPr>
      <w:r>
        <w:rPr>
          <w:rFonts w:hint="eastAsia" w:ascii="宋体" w:hAnsi="宋体" w:cs="宋体"/>
          <w:szCs w:val="24"/>
          <w:highlight w:val="none"/>
        </w:rPr>
        <w:t>委托期限：自</w:t>
      </w:r>
      <w:r>
        <w:rPr>
          <w:rFonts w:hint="eastAsia" w:ascii="宋体" w:hAnsi="宋体" w:cs="宋体"/>
          <w:szCs w:val="24"/>
          <w:highlight w:val="none"/>
          <w:u w:val="single"/>
        </w:rPr>
        <w:t xml:space="preserve">   年   月   日</w:t>
      </w:r>
      <w:r>
        <w:rPr>
          <w:rFonts w:hint="eastAsia" w:ascii="宋体" w:hAnsi="宋体" w:cs="宋体"/>
          <w:szCs w:val="24"/>
          <w:highlight w:val="none"/>
        </w:rPr>
        <w:t>至</w:t>
      </w:r>
      <w:r>
        <w:rPr>
          <w:rFonts w:hint="eastAsia" w:ascii="宋体" w:hAnsi="宋体" w:cs="宋体"/>
          <w:szCs w:val="24"/>
          <w:highlight w:val="none"/>
          <w:u w:val="single"/>
        </w:rPr>
        <w:t xml:space="preserve">    年   月   日</w:t>
      </w:r>
    </w:p>
    <w:p>
      <w:pPr>
        <w:spacing w:line="360" w:lineRule="auto"/>
        <w:ind w:firstLine="436" w:firstLineChars="200"/>
        <w:jc w:val="left"/>
        <w:rPr>
          <w:rFonts w:ascii="宋体" w:hAnsi="宋体" w:cs="宋体"/>
          <w:spacing w:val="4"/>
          <w:szCs w:val="24"/>
          <w:highlight w:val="none"/>
        </w:rPr>
      </w:pPr>
      <w:r>
        <w:rPr>
          <w:rFonts w:hint="eastAsia" w:ascii="宋体" w:hAnsi="宋体" w:cs="宋体"/>
          <w:spacing w:val="4"/>
          <w:szCs w:val="24"/>
          <w:highlight w:val="none"/>
        </w:rPr>
        <w:t>本授权书于</w:t>
      </w:r>
      <w:r>
        <w:rPr>
          <w:rFonts w:hint="eastAsia" w:ascii="宋体" w:hAnsi="宋体" w:cs="宋体"/>
          <w:spacing w:val="4"/>
          <w:szCs w:val="24"/>
          <w:highlight w:val="none"/>
          <w:u w:val="single"/>
        </w:rPr>
        <w:t xml:space="preserve">      年   月   日</w:t>
      </w:r>
      <w:r>
        <w:rPr>
          <w:rFonts w:hint="eastAsia" w:ascii="宋体" w:hAnsi="宋体" w:cs="宋体"/>
          <w:spacing w:val="4"/>
          <w:szCs w:val="24"/>
          <w:highlight w:val="none"/>
        </w:rPr>
        <w:t>签字生效，特此证明。</w:t>
      </w:r>
    </w:p>
    <w:p>
      <w:pPr>
        <w:spacing w:line="360" w:lineRule="auto"/>
        <w:ind w:firstLine="436" w:firstLineChars="200"/>
        <w:jc w:val="left"/>
        <w:rPr>
          <w:rFonts w:ascii="宋体" w:hAnsi="宋体" w:cs="宋体"/>
          <w:spacing w:val="4"/>
          <w:szCs w:val="24"/>
          <w:highlight w:val="none"/>
        </w:rPr>
      </w:pPr>
    </w:p>
    <w:tbl>
      <w:tblPr>
        <w:tblStyle w:val="33"/>
        <w:tblW w:w="8190" w:type="dxa"/>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tcPr>
          <w:p>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被授权人签字：</w:t>
            </w:r>
          </w:p>
        </w:tc>
        <w:tc>
          <w:tcPr>
            <w:tcW w:w="3990" w:type="dxa"/>
          </w:tcPr>
          <w:p>
            <w:pPr>
              <w:spacing w:line="360" w:lineRule="auto"/>
              <w:jc w:val="left"/>
              <w:rPr>
                <w:rFonts w:ascii="宋体" w:hAnsi="宋体" w:cs="宋体"/>
                <w:spacing w:val="4"/>
                <w:szCs w:val="24"/>
                <w:highlight w:val="none"/>
              </w:rPr>
            </w:pPr>
            <w:r>
              <w:rPr>
                <w:rFonts w:hint="eastAsia" w:ascii="宋体" w:hAnsi="宋体" w:cs="宋体"/>
                <w:spacing w:val="4"/>
                <w:szCs w:val="24"/>
                <w:highlight w:val="none"/>
              </w:rPr>
              <w:t>法定代表人签字或盖章：</w:t>
            </w:r>
          </w:p>
        </w:tc>
      </w:tr>
      <w:tr>
        <w:tblPrEx>
          <w:tblCellMar>
            <w:top w:w="0" w:type="dxa"/>
            <w:left w:w="108" w:type="dxa"/>
            <w:bottom w:w="0" w:type="dxa"/>
            <w:right w:w="108" w:type="dxa"/>
          </w:tblCellMar>
        </w:tblPrEx>
        <w:trPr>
          <w:trHeight w:val="600" w:hRule="atLeast"/>
        </w:trPr>
        <w:tc>
          <w:tcPr>
            <w:tcW w:w="4200" w:type="dxa"/>
          </w:tcPr>
          <w:p>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职务：</w:t>
            </w:r>
          </w:p>
        </w:tc>
        <w:tc>
          <w:tcPr>
            <w:tcW w:w="3990" w:type="dxa"/>
          </w:tcPr>
          <w:p>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职务：</w:t>
            </w:r>
          </w:p>
        </w:tc>
      </w:tr>
      <w:tr>
        <w:tblPrEx>
          <w:tblCellMar>
            <w:top w:w="0" w:type="dxa"/>
            <w:left w:w="108" w:type="dxa"/>
            <w:bottom w:w="0" w:type="dxa"/>
            <w:right w:w="108" w:type="dxa"/>
          </w:tblCellMar>
        </w:tblPrEx>
        <w:trPr>
          <w:trHeight w:val="600" w:hRule="atLeast"/>
        </w:trPr>
        <w:tc>
          <w:tcPr>
            <w:tcW w:w="4200" w:type="dxa"/>
          </w:tcPr>
          <w:p>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身份证号：</w:t>
            </w:r>
          </w:p>
        </w:tc>
        <w:tc>
          <w:tcPr>
            <w:tcW w:w="3990" w:type="dxa"/>
          </w:tcPr>
          <w:p>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身份证号：</w:t>
            </w:r>
          </w:p>
        </w:tc>
      </w:tr>
      <w:tr>
        <w:tblPrEx>
          <w:tblCellMar>
            <w:top w:w="0" w:type="dxa"/>
            <w:left w:w="108" w:type="dxa"/>
            <w:bottom w:w="0" w:type="dxa"/>
            <w:right w:w="108" w:type="dxa"/>
          </w:tblCellMar>
        </w:tblPrEx>
        <w:trPr>
          <w:trHeight w:val="600" w:hRule="atLeast"/>
        </w:trPr>
        <w:tc>
          <w:tcPr>
            <w:tcW w:w="4200" w:type="dxa"/>
          </w:tcPr>
          <w:p>
            <w:pPr>
              <w:spacing w:line="360" w:lineRule="auto"/>
              <w:jc w:val="left"/>
              <w:rPr>
                <w:rFonts w:ascii="宋体" w:hAnsi="宋体" w:cs="宋体"/>
                <w:spacing w:val="4"/>
                <w:szCs w:val="24"/>
                <w:highlight w:val="none"/>
              </w:rPr>
            </w:pPr>
            <w:r>
              <w:rPr>
                <w:rFonts w:hint="eastAsia" w:ascii="宋体" w:hAnsi="宋体" w:cs="宋体"/>
                <w:spacing w:val="4"/>
                <w:szCs w:val="24"/>
                <w:highlight w:val="none"/>
              </w:rPr>
              <w:t>所在部门：</w:t>
            </w:r>
          </w:p>
        </w:tc>
        <w:tc>
          <w:tcPr>
            <w:tcW w:w="3990" w:type="dxa"/>
          </w:tcPr>
          <w:p>
            <w:pPr>
              <w:spacing w:line="360" w:lineRule="auto"/>
              <w:jc w:val="left"/>
              <w:rPr>
                <w:rFonts w:ascii="宋体" w:hAnsi="宋体" w:cs="宋体"/>
                <w:spacing w:val="4"/>
                <w:szCs w:val="24"/>
                <w:highlight w:val="none"/>
              </w:rPr>
            </w:pPr>
          </w:p>
        </w:tc>
      </w:tr>
    </w:tbl>
    <w:p>
      <w:pPr>
        <w:spacing w:line="360" w:lineRule="auto"/>
        <w:ind w:firstLine="444" w:firstLineChars="204"/>
        <w:rPr>
          <w:rFonts w:ascii="宋体" w:hAnsi="宋体" w:cs="宋体"/>
          <w:spacing w:val="4"/>
          <w:szCs w:val="24"/>
          <w:highlight w:val="none"/>
        </w:rPr>
      </w:pPr>
      <w:r>
        <w:rPr>
          <w:rFonts w:hint="eastAsia" w:ascii="宋体" w:hAnsi="宋体" w:cs="宋体"/>
          <w:spacing w:val="4"/>
          <w:szCs w:val="24"/>
          <w:highlight w:val="none"/>
        </w:rPr>
        <w:t>附：法定代表人、被授权人身份证复印件</w:t>
      </w:r>
    </w:p>
    <w:p>
      <w:pPr>
        <w:spacing w:line="360" w:lineRule="auto"/>
        <w:rPr>
          <w:rFonts w:ascii="宋体" w:hAnsi="宋体" w:cs="宋体"/>
          <w:spacing w:val="4"/>
          <w:szCs w:val="24"/>
          <w:highlight w:val="none"/>
        </w:rPr>
      </w:pPr>
    </w:p>
    <w:p>
      <w:pPr>
        <w:spacing w:line="360" w:lineRule="auto"/>
        <w:ind w:firstLine="510"/>
        <w:rPr>
          <w:rFonts w:ascii="宋体" w:hAnsi="宋体" w:cs="宋体"/>
          <w:spacing w:val="4"/>
          <w:szCs w:val="24"/>
          <w:highlight w:val="none"/>
        </w:rPr>
      </w:pPr>
    </w:p>
    <w:p>
      <w:pPr>
        <w:spacing w:line="360" w:lineRule="auto"/>
        <w:ind w:firstLine="5250"/>
        <w:rPr>
          <w:rFonts w:ascii="宋体" w:hAnsi="宋体" w:cs="宋体"/>
          <w:spacing w:val="4"/>
          <w:szCs w:val="24"/>
          <w:highlight w:val="none"/>
        </w:rPr>
      </w:pPr>
      <w:r>
        <w:rPr>
          <w:rFonts w:hint="eastAsia" w:ascii="宋体" w:hAnsi="宋体" w:cs="宋体"/>
          <w:spacing w:val="4"/>
          <w:szCs w:val="24"/>
          <w:highlight w:val="none"/>
        </w:rPr>
        <w:t>供应商名称（公章）</w:t>
      </w:r>
    </w:p>
    <w:p>
      <w:pPr>
        <w:spacing w:line="360" w:lineRule="auto"/>
        <w:ind w:firstLine="5250"/>
        <w:rPr>
          <w:rFonts w:ascii="宋体" w:hAnsi="宋体" w:cs="宋体"/>
          <w:spacing w:val="4"/>
          <w:szCs w:val="24"/>
          <w:highlight w:val="none"/>
        </w:rPr>
      </w:pPr>
    </w:p>
    <w:p>
      <w:pPr>
        <w:spacing w:line="360" w:lineRule="auto"/>
        <w:ind w:firstLine="5250"/>
        <w:rPr>
          <w:rFonts w:ascii="宋体" w:hAnsi="宋体" w:cs="宋体"/>
          <w:spacing w:val="4"/>
          <w:szCs w:val="24"/>
          <w:highlight w:val="none"/>
        </w:rPr>
      </w:pPr>
      <w:r>
        <w:rPr>
          <w:rFonts w:hint="eastAsia" w:ascii="宋体" w:hAnsi="宋体" w:cs="宋体"/>
          <w:spacing w:val="4"/>
          <w:szCs w:val="24"/>
          <w:highlight w:val="none"/>
        </w:rPr>
        <w:t>日期：</w:t>
      </w:r>
    </w:p>
    <w:p>
      <w:pPr>
        <w:rPr>
          <w:rFonts w:ascii="宋体" w:hAnsi="宋体" w:cs="宋体"/>
          <w:highlight w:val="none"/>
        </w:rPr>
      </w:pPr>
      <w:bookmarkStart w:id="97" w:name="_Toc19169"/>
      <w:bookmarkStart w:id="98" w:name="_Toc4146"/>
      <w:bookmarkStart w:id="99" w:name="_Toc282530019"/>
      <w:bookmarkStart w:id="100" w:name="_Toc283035204"/>
      <w:bookmarkStart w:id="101" w:name="_Toc283035117"/>
      <w:bookmarkStart w:id="102" w:name="_Toc283035600"/>
      <w:bookmarkStart w:id="103" w:name="_Toc403077650"/>
      <w:bookmarkStart w:id="104" w:name="_Toc324414285"/>
      <w:bookmarkStart w:id="105" w:name="_Toc363474029"/>
    </w:p>
    <w:p>
      <w:pPr>
        <w:rPr>
          <w:rFonts w:ascii="宋体" w:hAnsi="宋体" w:cs="宋体"/>
          <w:highlight w:val="none"/>
        </w:rPr>
      </w:pPr>
    </w:p>
    <w:p>
      <w:pPr>
        <w:rPr>
          <w:rFonts w:ascii="宋体" w:hAnsi="宋体" w:cs="宋体"/>
          <w:sz w:val="32"/>
          <w:szCs w:val="32"/>
          <w:highlight w:val="none"/>
        </w:rPr>
      </w:pPr>
    </w:p>
    <w:p>
      <w:pPr>
        <w:pStyle w:val="2"/>
        <w:rPr>
          <w:rFonts w:ascii="宋体" w:hAnsi="宋体" w:cs="宋体"/>
          <w:sz w:val="32"/>
          <w:szCs w:val="32"/>
          <w:highlight w:val="none"/>
        </w:rPr>
      </w:pPr>
    </w:p>
    <w:p>
      <w:pPr>
        <w:pStyle w:val="2"/>
        <w:rPr>
          <w:rFonts w:ascii="宋体" w:hAnsi="宋体" w:cs="宋体"/>
          <w:sz w:val="32"/>
          <w:szCs w:val="32"/>
          <w:highlight w:val="none"/>
        </w:rPr>
      </w:pPr>
    </w:p>
    <w:p>
      <w:pPr>
        <w:rPr>
          <w:rFonts w:ascii="宋体" w:hAnsi="宋体" w:cs="宋体"/>
          <w:sz w:val="32"/>
          <w:szCs w:val="32"/>
          <w:highlight w:val="none"/>
        </w:rPr>
      </w:pPr>
    </w:p>
    <w:p>
      <w:pPr>
        <w:pStyle w:val="4"/>
        <w:bidi w:val="0"/>
        <w:jc w:val="center"/>
      </w:pPr>
      <w:bookmarkStart w:id="106" w:name="_Toc13234573"/>
      <w:bookmarkStart w:id="107" w:name="_Toc21008"/>
      <w:bookmarkStart w:id="108" w:name="_Toc405"/>
      <w:bookmarkStart w:id="109" w:name="_Toc26600"/>
      <w:bookmarkStart w:id="110" w:name="_Toc13983"/>
      <w:r>
        <w:rPr>
          <w:rFonts w:hint="eastAsia"/>
        </w:rPr>
        <w:t>四、</w:t>
      </w:r>
      <w:bookmarkEnd w:id="97"/>
      <w:bookmarkEnd w:id="98"/>
      <w:bookmarkEnd w:id="99"/>
      <w:bookmarkEnd w:id="100"/>
      <w:bookmarkEnd w:id="101"/>
      <w:bookmarkEnd w:id="102"/>
      <w:r>
        <w:rPr>
          <w:rFonts w:hint="eastAsia"/>
        </w:rPr>
        <w:t>磋商保证金</w:t>
      </w:r>
      <w:bookmarkEnd w:id="103"/>
      <w:bookmarkEnd w:id="104"/>
      <w:bookmarkEnd w:id="105"/>
      <w:bookmarkEnd w:id="106"/>
      <w:bookmarkEnd w:id="107"/>
      <w:bookmarkEnd w:id="108"/>
      <w:bookmarkEnd w:id="109"/>
      <w:bookmarkEnd w:id="110"/>
    </w:p>
    <w:p>
      <w:pPr>
        <w:rPr>
          <w:rFonts w:ascii="宋体" w:hAnsi="宋体" w:cs="宋体"/>
          <w:highlight w:val="none"/>
        </w:rPr>
      </w:pPr>
    </w:p>
    <w:p>
      <w:pPr>
        <w:pStyle w:val="12"/>
        <w:rPr>
          <w:rFonts w:ascii="宋体" w:hAnsi="宋体" w:cs="宋体"/>
          <w:b/>
          <w:sz w:val="28"/>
          <w:szCs w:val="28"/>
          <w:highlight w:val="none"/>
        </w:rPr>
      </w:pPr>
      <w:r>
        <w:rPr>
          <w:rFonts w:hint="eastAsia" w:ascii="宋体" w:hAnsi="宋体" w:cs="宋体"/>
          <w:b/>
          <w:sz w:val="28"/>
          <w:szCs w:val="28"/>
          <w:highlight w:val="none"/>
        </w:rPr>
        <w:t xml:space="preserve">        本页附磋商保证金转账凭证复印件或磋商保函正本复印件</w:t>
      </w:r>
    </w:p>
    <w:p>
      <w:pPr>
        <w:spacing w:line="520" w:lineRule="exact"/>
        <w:rPr>
          <w:rFonts w:ascii="宋体" w:hAnsi="宋体" w:cs="宋体"/>
          <w:szCs w:val="24"/>
          <w:highlight w:val="none"/>
        </w:rPr>
      </w:pPr>
    </w:p>
    <w:p>
      <w:pPr>
        <w:pStyle w:val="4"/>
        <w:numPr>
          <w:ilvl w:val="0"/>
          <w:numId w:val="9"/>
        </w:numPr>
        <w:bidi w:val="0"/>
        <w:jc w:val="center"/>
        <w:rPr>
          <w:rFonts w:hint="eastAsia" w:ascii="宋体" w:hAnsi="宋体" w:cs="宋体"/>
          <w:sz w:val="32"/>
          <w:szCs w:val="32"/>
          <w:highlight w:val="none"/>
        </w:rPr>
      </w:pPr>
      <w:r>
        <w:rPr>
          <w:rFonts w:hint="eastAsia" w:ascii="宋体" w:hAnsi="宋体" w:cs="宋体"/>
          <w:sz w:val="32"/>
          <w:szCs w:val="32"/>
          <w:highlight w:val="none"/>
        </w:rPr>
        <w:br w:type="page"/>
      </w:r>
      <w:bookmarkStart w:id="111" w:name="_Toc22733"/>
      <w:bookmarkStart w:id="112" w:name="_Toc24265"/>
      <w:bookmarkStart w:id="113" w:name="_Toc13234574"/>
      <w:bookmarkStart w:id="114" w:name="_Toc19333"/>
      <w:bookmarkStart w:id="115" w:name="_Toc16991"/>
      <w:r>
        <w:rPr>
          <w:rFonts w:hint="eastAsia" w:ascii="宋体" w:hAnsi="宋体" w:cs="宋体"/>
          <w:sz w:val="32"/>
          <w:szCs w:val="32"/>
          <w:highlight w:val="none"/>
        </w:rPr>
        <w:t>磋商方案说明书</w:t>
      </w:r>
      <w:bookmarkEnd w:id="111"/>
      <w:bookmarkEnd w:id="112"/>
      <w:bookmarkEnd w:id="113"/>
      <w:bookmarkEnd w:id="114"/>
      <w:bookmarkEnd w:id="115"/>
    </w:p>
    <w:p>
      <w:pPr>
        <w:numPr>
          <w:ilvl w:val="0"/>
          <w:numId w:val="0"/>
        </w:numPr>
        <w:rPr>
          <w:highlight w:val="none"/>
        </w:rPr>
      </w:pPr>
    </w:p>
    <w:p>
      <w:pPr>
        <w:pStyle w:val="2"/>
        <w:rPr>
          <w:highlight w:val="none"/>
        </w:rPr>
      </w:pPr>
    </w:p>
    <w:p>
      <w:pPr>
        <w:rPr>
          <w:highlight w:val="none"/>
        </w:rPr>
      </w:pPr>
    </w:p>
    <w:p>
      <w:pPr>
        <w:pStyle w:val="2"/>
        <w:rPr>
          <w:rFonts w:hint="eastAsia" w:eastAsia="宋体"/>
          <w:sz w:val="24"/>
          <w:szCs w:val="24"/>
          <w:highlight w:val="none"/>
          <w:lang w:eastAsia="zh-CN"/>
        </w:rPr>
      </w:pPr>
      <w:r>
        <w:rPr>
          <w:rFonts w:hint="eastAsia"/>
          <w:sz w:val="24"/>
          <w:szCs w:val="24"/>
          <w:highlight w:val="none"/>
          <w:lang w:eastAsia="zh-CN"/>
        </w:rPr>
        <w:t>（结合第三章评审方法进行编制，格式自拟）</w:t>
      </w:r>
    </w:p>
    <w:p>
      <w:pPr>
        <w:jc w:val="center"/>
        <w:rPr>
          <w:rFonts w:ascii="宋体" w:hAnsi="宋体" w:cs="宋体"/>
          <w:b/>
          <w:bCs/>
          <w:sz w:val="28"/>
          <w:szCs w:val="28"/>
          <w:highlight w:val="none"/>
        </w:rPr>
      </w:pPr>
      <w:r>
        <w:rPr>
          <w:rFonts w:hint="eastAsia" w:ascii="宋体" w:hAnsi="宋体" w:cs="宋体"/>
          <w:b/>
          <w:spacing w:val="4"/>
          <w:sz w:val="44"/>
          <w:highlight w:val="none"/>
        </w:rPr>
        <w:br w:type="column"/>
      </w:r>
      <w:r>
        <w:rPr>
          <w:rFonts w:hint="eastAsia" w:ascii="宋体" w:hAnsi="宋体" w:cs="宋体"/>
          <w:b/>
          <w:bCs/>
          <w:sz w:val="28"/>
          <w:szCs w:val="28"/>
          <w:highlight w:val="none"/>
          <w:lang w:eastAsia="zh-CN"/>
        </w:rPr>
        <w:t>六</w:t>
      </w:r>
      <w:r>
        <w:rPr>
          <w:rFonts w:hint="eastAsia" w:ascii="宋体" w:hAnsi="宋体" w:cs="宋体"/>
          <w:b/>
          <w:bCs/>
          <w:sz w:val="28"/>
          <w:szCs w:val="28"/>
          <w:highlight w:val="none"/>
        </w:rPr>
        <w:t>、陕西省政府采购供应商拒绝政府采购领域商业贿赂承诺书</w:t>
      </w:r>
    </w:p>
    <w:p>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为响应党中央、国务院关于治理政府采购领域商业贿赂行为的号召，我公司在此庄严承诺：</w:t>
      </w:r>
    </w:p>
    <w:p>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1、在参与政府采购活动中遵纪守法、诚信经营、公平竞标。</w:t>
      </w:r>
    </w:p>
    <w:p>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2、不向政府采购人、采购代理机构和政府采购评审专家进行任何形式的商业贿赂以谋取交易机会。</w:t>
      </w:r>
    </w:p>
    <w:p>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3、不向政府采购代理机构和采购人提供虚假资质文件或采用虚假应标方式参与政府采购市场竞争并谋取中标、成交。</w:t>
      </w:r>
    </w:p>
    <w:p>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4、不采取“围标、陪标”等商业欺诈手段获得政府采购定单。</w:t>
      </w:r>
    </w:p>
    <w:p>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5、不采取不正当手段诋毁、排挤其他供应商。</w:t>
      </w:r>
    </w:p>
    <w:p>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6、不在提供商品和服务时“偷梁换柱、以次充好”损害采购人的合法权益。</w:t>
      </w:r>
    </w:p>
    <w:p>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7、不与采购人、采购代理机构政府采购评审专家或其它供应商恶意串通，进行质疑和投诉，维护政府采购市场秩序。</w:t>
      </w:r>
    </w:p>
    <w:p>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8、尊重和接受政府采购监督管理部门的监督和政府采购代理机构招标采购要求，承担因违约行为给采购人造成的损失。</w:t>
      </w:r>
    </w:p>
    <w:p>
      <w:pPr>
        <w:spacing w:line="600" w:lineRule="exact"/>
        <w:ind w:left="665" w:leftChars="203" w:hanging="239" w:hangingChars="114"/>
        <w:jc w:val="left"/>
        <w:rPr>
          <w:rFonts w:ascii="宋体" w:hAnsi="宋体" w:cs="宋体"/>
          <w:szCs w:val="24"/>
          <w:highlight w:val="none"/>
        </w:rPr>
      </w:pPr>
      <w:r>
        <w:rPr>
          <w:rFonts w:hint="eastAsia" w:ascii="宋体" w:hAnsi="宋体" w:cs="宋体"/>
          <w:szCs w:val="24"/>
          <w:highlight w:val="none"/>
        </w:rPr>
        <w:t>9、不发生其他有悖于政府采购公开、公平、公正和诚信原则的行为。</w:t>
      </w:r>
      <w:r>
        <w:rPr>
          <w:rFonts w:hint="eastAsia" w:ascii="宋体" w:hAnsi="宋体" w:cs="宋体"/>
          <w:szCs w:val="24"/>
          <w:highlight w:val="none"/>
        </w:rPr>
        <w:br w:type="textWrapping"/>
      </w:r>
      <w:r>
        <w:rPr>
          <w:rFonts w:hint="eastAsia" w:ascii="宋体" w:hAnsi="宋体" w:cs="宋体"/>
          <w:szCs w:val="24"/>
          <w:highlight w:val="none"/>
        </w:rPr>
        <w:t>承诺单位（盖章）：</w:t>
      </w:r>
    </w:p>
    <w:p>
      <w:pPr>
        <w:spacing w:line="600" w:lineRule="exact"/>
        <w:ind w:left="701" w:leftChars="334"/>
        <w:jc w:val="left"/>
        <w:rPr>
          <w:rFonts w:ascii="宋体" w:hAnsi="宋体" w:cs="宋体"/>
          <w:szCs w:val="24"/>
          <w:highlight w:val="none"/>
        </w:rPr>
      </w:pPr>
      <w:r>
        <w:rPr>
          <w:rFonts w:hint="eastAsia" w:ascii="宋体" w:hAnsi="宋体" w:cs="宋体"/>
          <w:szCs w:val="24"/>
          <w:highlight w:val="none"/>
          <w:lang w:eastAsia="zh-CN"/>
        </w:rPr>
        <w:t>法定代表人或授权代理人</w:t>
      </w:r>
      <w:r>
        <w:rPr>
          <w:rFonts w:hint="eastAsia" w:ascii="宋体" w:hAnsi="宋体" w:cs="宋体"/>
          <w:szCs w:val="24"/>
          <w:highlight w:val="none"/>
        </w:rPr>
        <w:t>（签字）：</w:t>
      </w:r>
    </w:p>
    <w:p>
      <w:pPr>
        <w:spacing w:line="600" w:lineRule="exact"/>
        <w:ind w:left="701" w:leftChars="334"/>
        <w:jc w:val="left"/>
        <w:rPr>
          <w:rFonts w:ascii="宋体" w:hAnsi="宋体" w:cs="宋体"/>
          <w:szCs w:val="24"/>
          <w:highlight w:val="none"/>
        </w:rPr>
      </w:pPr>
      <w:r>
        <w:rPr>
          <w:rFonts w:hint="eastAsia" w:ascii="宋体" w:hAnsi="宋体" w:cs="宋体"/>
          <w:szCs w:val="24"/>
          <w:highlight w:val="none"/>
        </w:rPr>
        <w:t>地  址：                        </w:t>
      </w:r>
    </w:p>
    <w:p>
      <w:pPr>
        <w:spacing w:line="600" w:lineRule="exact"/>
        <w:ind w:left="659" w:leftChars="314"/>
        <w:jc w:val="left"/>
        <w:rPr>
          <w:rFonts w:ascii="宋体" w:hAnsi="宋体" w:cs="宋体"/>
          <w:szCs w:val="24"/>
          <w:highlight w:val="none"/>
        </w:rPr>
      </w:pPr>
      <w:r>
        <w:rPr>
          <w:rFonts w:hint="eastAsia" w:ascii="宋体" w:hAnsi="宋体" w:cs="宋体"/>
          <w:szCs w:val="24"/>
          <w:highlight w:val="none"/>
        </w:rPr>
        <w:t>邮  编：</w:t>
      </w:r>
      <w:r>
        <w:rPr>
          <w:rFonts w:hint="eastAsia" w:ascii="宋体" w:hAnsi="宋体" w:cs="宋体"/>
          <w:szCs w:val="24"/>
          <w:highlight w:val="none"/>
        </w:rPr>
        <w:br w:type="textWrapping"/>
      </w:r>
      <w:r>
        <w:rPr>
          <w:rFonts w:hint="eastAsia" w:ascii="宋体" w:hAnsi="宋体" w:cs="宋体"/>
          <w:szCs w:val="24"/>
          <w:highlight w:val="none"/>
        </w:rPr>
        <w:t xml:space="preserve">电  话：                                               </w:t>
      </w:r>
    </w:p>
    <w:p>
      <w:pPr>
        <w:spacing w:line="600" w:lineRule="exact"/>
        <w:ind w:left="659" w:leftChars="314" w:firstLine="4620" w:firstLineChars="2200"/>
        <w:jc w:val="left"/>
        <w:rPr>
          <w:rFonts w:ascii="宋体" w:hAnsi="宋体" w:cs="宋体"/>
          <w:b/>
          <w:bCs/>
          <w:sz w:val="28"/>
          <w:szCs w:val="28"/>
          <w:highlight w:val="none"/>
        </w:rPr>
      </w:pPr>
      <w:r>
        <w:rPr>
          <w:rFonts w:hint="eastAsia" w:ascii="宋体" w:hAnsi="宋体" w:cs="宋体"/>
          <w:szCs w:val="24"/>
          <w:highlight w:val="none"/>
        </w:rPr>
        <w:t>年   月   日</w:t>
      </w:r>
    </w:p>
    <w:p>
      <w:pPr>
        <w:jc w:val="center"/>
        <w:rPr>
          <w:rFonts w:ascii="宋体" w:hAnsi="宋体" w:cs="宋体"/>
          <w:b/>
          <w:bCs/>
          <w:sz w:val="28"/>
          <w:szCs w:val="28"/>
          <w:highlight w:val="none"/>
        </w:rPr>
      </w:pPr>
    </w:p>
    <w:p>
      <w:pPr>
        <w:jc w:val="center"/>
        <w:rPr>
          <w:rFonts w:ascii="宋体" w:hAnsi="宋体" w:cs="宋体"/>
          <w:b/>
          <w:bCs/>
          <w:sz w:val="28"/>
          <w:szCs w:val="28"/>
          <w:highlight w:val="none"/>
        </w:rPr>
      </w:pPr>
      <w:r>
        <w:rPr>
          <w:rFonts w:hint="eastAsia" w:ascii="宋体" w:hAnsi="宋体" w:cs="宋体"/>
          <w:b/>
          <w:bCs/>
          <w:sz w:val="28"/>
          <w:szCs w:val="28"/>
          <w:highlight w:val="none"/>
          <w:lang w:eastAsia="zh-CN"/>
        </w:rPr>
        <w:t>七</w:t>
      </w:r>
      <w:r>
        <w:rPr>
          <w:rFonts w:hint="eastAsia" w:ascii="宋体" w:hAnsi="宋体" w:cs="宋体"/>
          <w:b/>
          <w:bCs/>
          <w:sz w:val="28"/>
          <w:szCs w:val="28"/>
          <w:highlight w:val="none"/>
        </w:rPr>
        <w:t>、资格证明文件</w:t>
      </w:r>
    </w:p>
    <w:p>
      <w:pPr>
        <w:rPr>
          <w:rFonts w:ascii="宋体" w:hAnsi="宋体" w:cs="宋体"/>
          <w:szCs w:val="24"/>
          <w:highlight w:val="none"/>
        </w:rPr>
      </w:pPr>
    </w:p>
    <w:p>
      <w:pPr>
        <w:spacing w:before="240" w:line="360" w:lineRule="auto"/>
        <w:ind w:firstLine="420" w:firstLineChars="200"/>
        <w:jc w:val="left"/>
        <w:rPr>
          <w:rFonts w:ascii="宋体" w:hAnsi="宋体" w:cs="宋体"/>
          <w:szCs w:val="24"/>
          <w:highlight w:val="none"/>
        </w:rPr>
      </w:pPr>
      <w:r>
        <w:rPr>
          <w:rFonts w:hint="eastAsia" w:ascii="宋体" w:hAnsi="宋体" w:cs="宋体"/>
          <w:szCs w:val="24"/>
          <w:highlight w:val="none"/>
        </w:rPr>
        <w:t>供应商应按照竞争性磋商文件的要求准备、封装至竞争性磋商响应文件中。至少应包括以下内容：</w:t>
      </w:r>
    </w:p>
    <w:p>
      <w:pPr>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rPr>
        <w:t>1、提供合格有效的法人或者其他组织的营业执照等证明文件，自然人的身份证明；</w:t>
      </w:r>
    </w:p>
    <w:p>
      <w:pPr>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rPr>
        <w:t>2、法定代表人授权书（附法定代表人、被授权人身份证复印件）及被授权人身份证（法定代表人直接参加磋商，须提供法定代表人身份证明及身份证原件）；</w:t>
      </w:r>
    </w:p>
    <w:p>
      <w:pPr>
        <w:spacing w:line="500" w:lineRule="exact"/>
        <w:ind w:firstLine="480" w:firstLineChars="200"/>
        <w:rPr>
          <w:rFonts w:ascii="宋体" w:hAnsi="宋体" w:cs="宋体"/>
          <w:sz w:val="24"/>
          <w:szCs w:val="24"/>
          <w:highlight w:val="none"/>
          <w:shd w:val="clear" w:color="auto" w:fill="FFFFFF"/>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、财务状况报告：提供2018年度经审计的财务报告（成立时间至提交响应文件截止时间不足一年的可提供成立后任意时段的资产负债表），或其基本存款账户开户银行出具的资信证明及基本存款账户开户许可证；</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、税收缴纳证明：提供磋商响应文件递交截止日前一年内已缴纳的至少一个月的纳税证明或完税证明（任意税种），依法免税的单位应提供相关证明材料；</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社会保障资金缴纳证明：提供磋商响应文件递交截止日前一年内已缴存的至少一个月的社会保障资金缴存单据或社保机构开具的社会保险参保缴费情况证明，依法不需要缴纳社会保障资金的单位应提供相关证明材料；</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、提供具有履行合同所必需的设备和专业技术能力的承诺；</w:t>
      </w:r>
    </w:p>
    <w:p>
      <w:pPr>
        <w:spacing w:line="520" w:lineRule="exact"/>
        <w:ind w:firstLine="480"/>
        <w:rPr>
          <w:rFonts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、参加政府采购活动前3年内，在经营活动中没有重大违法记录的书面声明；</w:t>
      </w:r>
    </w:p>
    <w:p>
      <w:pPr>
        <w:spacing w:line="520" w:lineRule="exact"/>
        <w:ind w:firstLine="480"/>
        <w:rPr>
          <w:rFonts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、磋商保证金缴纳凭证或担保机构出具的保函；</w:t>
      </w:r>
    </w:p>
    <w:p>
      <w:pPr>
        <w:spacing w:line="440" w:lineRule="exact"/>
        <w:ind w:firstLine="480"/>
        <w:rPr>
          <w:rFonts w:ascii="宋体" w:hAnsi="宋体" w:cs="宋体"/>
          <w:sz w:val="24"/>
          <w:szCs w:val="24"/>
          <w:highlight w:val="none"/>
        </w:rPr>
      </w:pPr>
    </w:p>
    <w:p>
      <w:pPr>
        <w:spacing w:before="156" w:beforeLines="50" w:line="360" w:lineRule="auto"/>
        <w:ind w:firstLine="420" w:firstLineChars="200"/>
        <w:rPr>
          <w:rFonts w:ascii="宋体" w:hAnsi="宋体" w:cs="宋体"/>
          <w:szCs w:val="24"/>
          <w:highlight w:val="none"/>
        </w:rPr>
      </w:pPr>
    </w:p>
    <w:p>
      <w:pPr>
        <w:pStyle w:val="2"/>
        <w:rPr>
          <w:rFonts w:ascii="宋体" w:hAnsi="宋体" w:cs="宋体"/>
          <w:szCs w:val="24"/>
          <w:highlight w:val="none"/>
        </w:rPr>
      </w:pPr>
    </w:p>
    <w:p>
      <w:pPr>
        <w:rPr>
          <w:rFonts w:ascii="宋体" w:hAnsi="宋体" w:cs="宋体"/>
          <w:szCs w:val="24"/>
          <w:highlight w:val="none"/>
        </w:rPr>
      </w:pPr>
    </w:p>
    <w:p>
      <w:pPr>
        <w:pStyle w:val="2"/>
        <w:rPr>
          <w:rFonts w:ascii="宋体" w:hAnsi="宋体" w:cs="宋体"/>
          <w:szCs w:val="24"/>
          <w:highlight w:val="none"/>
        </w:rPr>
      </w:pPr>
    </w:p>
    <w:p>
      <w:pPr>
        <w:rPr>
          <w:rFonts w:ascii="宋体" w:hAnsi="宋体" w:cs="宋体"/>
          <w:szCs w:val="24"/>
          <w:highlight w:val="none"/>
        </w:rPr>
      </w:pPr>
    </w:p>
    <w:p>
      <w:pPr>
        <w:pStyle w:val="2"/>
        <w:rPr>
          <w:rFonts w:ascii="宋体" w:hAnsi="宋体" w:cs="宋体"/>
          <w:szCs w:val="24"/>
          <w:highlight w:val="none"/>
        </w:rPr>
      </w:pPr>
    </w:p>
    <w:p>
      <w:pPr>
        <w:rPr>
          <w:rFonts w:ascii="宋体" w:hAnsi="宋体" w:cs="宋体"/>
          <w:szCs w:val="24"/>
          <w:highlight w:val="none"/>
        </w:rPr>
      </w:pPr>
    </w:p>
    <w:p>
      <w:pPr>
        <w:pStyle w:val="2"/>
        <w:rPr>
          <w:rFonts w:ascii="宋体" w:hAnsi="宋体" w:cs="宋体"/>
          <w:szCs w:val="24"/>
          <w:highlight w:val="none"/>
        </w:rPr>
      </w:pPr>
    </w:p>
    <w:p>
      <w:pPr>
        <w:rPr>
          <w:rFonts w:ascii="宋体" w:hAnsi="宋体" w:cs="宋体"/>
          <w:szCs w:val="24"/>
          <w:highlight w:val="none"/>
        </w:rPr>
      </w:pPr>
    </w:p>
    <w:p>
      <w:pPr>
        <w:pStyle w:val="2"/>
        <w:rPr>
          <w:rFonts w:ascii="宋体" w:hAnsi="宋体" w:cs="宋体"/>
          <w:szCs w:val="24"/>
          <w:highlight w:val="none"/>
        </w:rPr>
      </w:pPr>
    </w:p>
    <w:p>
      <w:pPr>
        <w:rPr>
          <w:highlight w:val="none"/>
        </w:rPr>
      </w:pPr>
    </w:p>
    <w:p>
      <w:pPr>
        <w:rPr>
          <w:rFonts w:ascii="宋体" w:hAnsi="宋体" w:cs="宋体"/>
          <w:b/>
          <w:sz w:val="28"/>
          <w:szCs w:val="28"/>
          <w:highlight w:val="none"/>
        </w:rPr>
      </w:pPr>
      <w:r>
        <w:rPr>
          <w:rFonts w:hint="eastAsia" w:ascii="宋体" w:hAnsi="宋体" w:cs="宋体"/>
          <w:b/>
          <w:sz w:val="24"/>
          <w:szCs w:val="24"/>
          <w:highlight w:val="none"/>
        </w:rPr>
        <w:t>政策性扣减证明文件格式</w:t>
      </w:r>
    </w:p>
    <w:p>
      <w:pPr>
        <w:rPr>
          <w:rFonts w:ascii="宋体" w:hAnsi="宋体" w:cs="宋体"/>
          <w:b/>
          <w:sz w:val="28"/>
          <w:szCs w:val="28"/>
          <w:highlight w:val="none"/>
        </w:rPr>
      </w:pPr>
      <w:r>
        <w:rPr>
          <w:rFonts w:hint="eastAsia" w:ascii="宋体" w:hAnsi="宋体" w:cs="宋体"/>
          <w:b/>
          <w:sz w:val="28"/>
          <w:szCs w:val="28"/>
          <w:highlight w:val="none"/>
        </w:rPr>
        <w:t xml:space="preserve">附件1：    </w:t>
      </w:r>
    </w:p>
    <w:p>
      <w:pPr>
        <w:jc w:val="center"/>
        <w:rPr>
          <w:rFonts w:ascii="宋体" w:hAnsi="宋体" w:cs="宋体"/>
          <w:b/>
          <w:sz w:val="32"/>
          <w:szCs w:val="32"/>
          <w:highlight w:val="none"/>
        </w:rPr>
      </w:pPr>
      <w:r>
        <w:rPr>
          <w:rFonts w:hint="eastAsia" w:ascii="宋体" w:hAnsi="宋体" w:cs="宋体"/>
          <w:b/>
          <w:sz w:val="32"/>
          <w:szCs w:val="32"/>
          <w:highlight w:val="none"/>
        </w:rPr>
        <w:t>供应商资格声明</w:t>
      </w:r>
    </w:p>
    <w:p>
      <w:pPr>
        <w:rPr>
          <w:rFonts w:ascii="宋体" w:hAnsi="宋体" w:cs="宋体"/>
          <w:highlight w:val="none"/>
        </w:rPr>
      </w:pPr>
    </w:p>
    <w:p>
      <w:pPr>
        <w:numPr>
          <w:ilvl w:val="0"/>
          <w:numId w:val="10"/>
        </w:numPr>
        <w:spacing w:line="520" w:lineRule="exact"/>
        <w:jc w:val="left"/>
        <w:rPr>
          <w:rFonts w:ascii="宋体" w:hAnsi="宋体" w:cs="宋体"/>
          <w:szCs w:val="24"/>
          <w:highlight w:val="none"/>
        </w:rPr>
      </w:pPr>
      <w:r>
        <w:rPr>
          <w:rFonts w:hint="eastAsia" w:ascii="宋体" w:hAnsi="宋体" w:cs="宋体"/>
          <w:szCs w:val="24"/>
          <w:highlight w:val="none"/>
        </w:rPr>
        <w:t>名称及其它情况</w:t>
      </w:r>
    </w:p>
    <w:p>
      <w:pPr>
        <w:numPr>
          <w:ilvl w:val="0"/>
          <w:numId w:val="11"/>
        </w:numPr>
        <w:spacing w:line="520" w:lineRule="exact"/>
        <w:ind w:left="210" w:leftChars="100"/>
        <w:jc w:val="left"/>
        <w:rPr>
          <w:rFonts w:ascii="宋体" w:hAnsi="宋体" w:cs="宋体"/>
          <w:szCs w:val="24"/>
          <w:highlight w:val="none"/>
        </w:rPr>
      </w:pPr>
      <w:r>
        <w:rPr>
          <w:rFonts w:hint="eastAsia" w:ascii="宋体" w:hAnsi="宋体" w:cs="宋体"/>
          <w:szCs w:val="24"/>
          <w:highlight w:val="none"/>
        </w:rPr>
        <w:t>供应商名称：____________________________________</w:t>
      </w:r>
    </w:p>
    <w:p>
      <w:pPr>
        <w:numPr>
          <w:ilvl w:val="0"/>
          <w:numId w:val="11"/>
        </w:numPr>
        <w:spacing w:line="520" w:lineRule="exact"/>
        <w:ind w:left="210" w:leftChars="100"/>
        <w:jc w:val="left"/>
        <w:rPr>
          <w:rFonts w:ascii="宋体" w:hAnsi="宋体" w:cs="宋体"/>
          <w:szCs w:val="24"/>
          <w:highlight w:val="none"/>
        </w:rPr>
      </w:pPr>
      <w:r>
        <w:rPr>
          <w:rFonts w:hint="eastAsia" w:ascii="宋体" w:hAnsi="宋体" w:cs="宋体"/>
          <w:szCs w:val="24"/>
          <w:highlight w:val="none"/>
        </w:rPr>
        <w:t>地   址：</w:t>
      </w:r>
      <w:r>
        <w:rPr>
          <w:rFonts w:hint="eastAsia" w:ascii="宋体" w:hAnsi="宋体" w:cs="宋体"/>
          <w:szCs w:val="24"/>
          <w:highlight w:val="none"/>
          <w:u w:val="single"/>
        </w:rPr>
        <w:t xml:space="preserve">                  </w:t>
      </w:r>
      <w:r>
        <w:rPr>
          <w:rFonts w:hint="eastAsia" w:ascii="宋体" w:hAnsi="宋体" w:cs="宋体"/>
          <w:szCs w:val="24"/>
          <w:highlight w:val="none"/>
        </w:rPr>
        <w:t>电  话：</w:t>
      </w:r>
      <w:r>
        <w:rPr>
          <w:rFonts w:hint="eastAsia" w:ascii="宋体" w:hAnsi="宋体" w:cs="宋体"/>
          <w:szCs w:val="24"/>
          <w:highlight w:val="none"/>
          <w:u w:val="single"/>
        </w:rPr>
        <w:t xml:space="preserve">             </w:t>
      </w:r>
    </w:p>
    <w:p>
      <w:pPr>
        <w:numPr>
          <w:ilvl w:val="0"/>
          <w:numId w:val="11"/>
        </w:numPr>
        <w:spacing w:line="520" w:lineRule="exact"/>
        <w:ind w:left="210" w:leftChars="100"/>
        <w:jc w:val="left"/>
        <w:rPr>
          <w:rFonts w:ascii="宋体" w:hAnsi="宋体" w:cs="宋体"/>
          <w:szCs w:val="24"/>
          <w:highlight w:val="none"/>
        </w:rPr>
      </w:pPr>
      <w:r>
        <w:rPr>
          <w:rFonts w:hint="eastAsia" w:ascii="宋体" w:hAnsi="宋体" w:cs="宋体"/>
          <w:szCs w:val="24"/>
          <w:highlight w:val="none"/>
        </w:rPr>
        <w:t>成立和注册日期：</w:t>
      </w:r>
      <w:r>
        <w:rPr>
          <w:rFonts w:hint="eastAsia" w:ascii="宋体" w:hAnsi="宋体" w:cs="宋体"/>
          <w:szCs w:val="24"/>
          <w:highlight w:val="none"/>
          <w:u w:val="single"/>
        </w:rPr>
        <w:t xml:space="preserve">                                </w:t>
      </w:r>
    </w:p>
    <w:p>
      <w:pPr>
        <w:numPr>
          <w:ilvl w:val="0"/>
          <w:numId w:val="11"/>
        </w:numPr>
        <w:spacing w:line="520" w:lineRule="exact"/>
        <w:ind w:left="210" w:leftChars="100"/>
        <w:jc w:val="left"/>
        <w:rPr>
          <w:rFonts w:ascii="宋体" w:hAnsi="宋体" w:cs="宋体"/>
          <w:szCs w:val="24"/>
          <w:highlight w:val="none"/>
        </w:rPr>
      </w:pPr>
      <w:r>
        <w:rPr>
          <w:rFonts w:hint="eastAsia" w:ascii="宋体" w:hAnsi="宋体" w:cs="宋体"/>
          <w:szCs w:val="24"/>
          <w:highlight w:val="none"/>
        </w:rPr>
        <w:t>主管部门：</w:t>
      </w:r>
      <w:r>
        <w:rPr>
          <w:rFonts w:hint="eastAsia" w:ascii="宋体" w:hAnsi="宋体" w:cs="宋体"/>
          <w:szCs w:val="24"/>
          <w:highlight w:val="none"/>
          <w:u w:val="single"/>
        </w:rPr>
        <w:t xml:space="preserve">                                      </w:t>
      </w:r>
    </w:p>
    <w:p>
      <w:pPr>
        <w:numPr>
          <w:ilvl w:val="0"/>
          <w:numId w:val="11"/>
        </w:numPr>
        <w:spacing w:line="520" w:lineRule="exact"/>
        <w:ind w:left="210" w:leftChars="100"/>
        <w:jc w:val="left"/>
        <w:rPr>
          <w:rFonts w:ascii="宋体" w:hAnsi="宋体" w:cs="宋体"/>
          <w:szCs w:val="24"/>
          <w:highlight w:val="none"/>
        </w:rPr>
      </w:pPr>
      <w:r>
        <w:rPr>
          <w:rFonts w:hint="eastAsia" w:ascii="宋体" w:hAnsi="宋体" w:cs="宋体"/>
          <w:szCs w:val="24"/>
          <w:highlight w:val="none"/>
        </w:rPr>
        <w:t>公司性质：</w:t>
      </w:r>
      <w:r>
        <w:rPr>
          <w:rFonts w:hint="eastAsia" w:ascii="宋体" w:hAnsi="宋体" w:cs="宋体"/>
          <w:szCs w:val="24"/>
          <w:highlight w:val="none"/>
          <w:u w:val="single"/>
        </w:rPr>
        <w:t xml:space="preserve">                                      </w:t>
      </w:r>
    </w:p>
    <w:p>
      <w:pPr>
        <w:numPr>
          <w:ilvl w:val="0"/>
          <w:numId w:val="11"/>
        </w:numPr>
        <w:spacing w:line="520" w:lineRule="exact"/>
        <w:ind w:left="210" w:leftChars="100"/>
        <w:jc w:val="left"/>
        <w:rPr>
          <w:rFonts w:ascii="宋体" w:hAnsi="宋体" w:cs="宋体"/>
          <w:szCs w:val="24"/>
          <w:highlight w:val="none"/>
        </w:rPr>
      </w:pPr>
      <w:r>
        <w:rPr>
          <w:rFonts w:hint="eastAsia" w:ascii="宋体" w:hAnsi="宋体" w:cs="宋体"/>
          <w:szCs w:val="24"/>
          <w:highlight w:val="none"/>
        </w:rPr>
        <w:t>职工总人数：</w:t>
      </w:r>
      <w:r>
        <w:rPr>
          <w:rFonts w:hint="eastAsia" w:ascii="宋体" w:hAnsi="宋体" w:cs="宋体"/>
          <w:szCs w:val="24"/>
          <w:highlight w:val="none"/>
          <w:u w:val="single"/>
        </w:rPr>
        <w:t xml:space="preserve">                                    </w:t>
      </w:r>
    </w:p>
    <w:p>
      <w:pPr>
        <w:numPr>
          <w:ilvl w:val="0"/>
          <w:numId w:val="11"/>
        </w:numPr>
        <w:spacing w:line="520" w:lineRule="exact"/>
        <w:ind w:left="210" w:leftChars="100"/>
        <w:jc w:val="left"/>
        <w:rPr>
          <w:rFonts w:ascii="宋体" w:hAnsi="宋体" w:cs="宋体"/>
          <w:szCs w:val="24"/>
          <w:highlight w:val="none"/>
        </w:rPr>
      </w:pPr>
      <w:r>
        <w:rPr>
          <w:rFonts w:hint="eastAsia" w:ascii="宋体" w:hAnsi="宋体" w:cs="宋体"/>
          <w:szCs w:val="24"/>
          <w:highlight w:val="none"/>
        </w:rPr>
        <w:t>工程技术及管理人员数分别为：</w:t>
      </w:r>
      <w:r>
        <w:rPr>
          <w:rFonts w:hint="eastAsia" w:ascii="宋体" w:hAnsi="宋体" w:cs="宋体"/>
          <w:szCs w:val="24"/>
          <w:highlight w:val="none"/>
          <w:u w:val="single"/>
        </w:rPr>
        <w:t xml:space="preserve">                    </w:t>
      </w:r>
    </w:p>
    <w:p>
      <w:pPr>
        <w:numPr>
          <w:ilvl w:val="0"/>
          <w:numId w:val="11"/>
        </w:numPr>
        <w:spacing w:line="520" w:lineRule="exact"/>
        <w:ind w:left="210" w:leftChars="100"/>
        <w:jc w:val="left"/>
        <w:rPr>
          <w:rFonts w:ascii="宋体" w:hAnsi="宋体" w:cs="宋体"/>
          <w:szCs w:val="24"/>
          <w:highlight w:val="none"/>
        </w:rPr>
      </w:pPr>
      <w:r>
        <w:rPr>
          <w:rFonts w:hint="eastAsia" w:ascii="宋体" w:hAnsi="宋体" w:cs="宋体"/>
          <w:szCs w:val="24"/>
          <w:highlight w:val="none"/>
        </w:rPr>
        <w:t xml:space="preserve">本年度投标人的主要财务情况（到  </w:t>
      </w:r>
      <w:r>
        <w:rPr>
          <w:rFonts w:hint="eastAsia" w:ascii="宋体" w:hAnsi="宋体" w:cs="宋体"/>
          <w:szCs w:val="24"/>
          <w:highlight w:val="none"/>
          <w:u w:val="single"/>
        </w:rPr>
        <w:t xml:space="preserve">年  月  日 </w:t>
      </w:r>
      <w:r>
        <w:rPr>
          <w:rFonts w:hint="eastAsia" w:ascii="宋体" w:hAnsi="宋体" w:cs="宋体"/>
          <w:szCs w:val="24"/>
          <w:highlight w:val="none"/>
        </w:rPr>
        <w:t>止）</w:t>
      </w:r>
    </w:p>
    <w:p>
      <w:pPr>
        <w:numPr>
          <w:ilvl w:val="0"/>
          <w:numId w:val="12"/>
        </w:numPr>
        <w:spacing w:line="520" w:lineRule="exact"/>
        <w:ind w:left="691" w:leftChars="329"/>
        <w:jc w:val="left"/>
        <w:rPr>
          <w:rFonts w:ascii="宋体" w:hAnsi="宋体" w:cs="宋体"/>
          <w:szCs w:val="24"/>
          <w:highlight w:val="none"/>
        </w:rPr>
      </w:pPr>
      <w:r>
        <w:rPr>
          <w:rFonts w:hint="eastAsia" w:ascii="宋体" w:hAnsi="宋体" w:cs="宋体"/>
          <w:szCs w:val="24"/>
          <w:highlight w:val="none"/>
        </w:rPr>
        <w:t>注册资金：</w:t>
      </w:r>
      <w:r>
        <w:rPr>
          <w:rFonts w:hint="eastAsia" w:ascii="宋体" w:hAnsi="宋体" w:cs="宋体"/>
          <w:szCs w:val="24"/>
          <w:highlight w:val="none"/>
          <w:u w:val="single"/>
        </w:rPr>
        <w:t xml:space="preserve">                </w:t>
      </w:r>
    </w:p>
    <w:p>
      <w:pPr>
        <w:numPr>
          <w:ilvl w:val="0"/>
          <w:numId w:val="12"/>
        </w:numPr>
        <w:spacing w:line="520" w:lineRule="exact"/>
        <w:ind w:left="691" w:leftChars="329"/>
        <w:jc w:val="left"/>
        <w:rPr>
          <w:rFonts w:ascii="宋体" w:hAnsi="宋体" w:cs="宋体"/>
          <w:szCs w:val="24"/>
          <w:highlight w:val="none"/>
        </w:rPr>
      </w:pPr>
      <w:r>
        <w:rPr>
          <w:rFonts w:hint="eastAsia" w:ascii="宋体" w:hAnsi="宋体" w:cs="宋体"/>
          <w:szCs w:val="24"/>
          <w:highlight w:val="none"/>
        </w:rPr>
        <w:t>固定资产：</w:t>
      </w:r>
      <w:r>
        <w:rPr>
          <w:rFonts w:hint="eastAsia" w:ascii="宋体" w:hAnsi="宋体" w:cs="宋体"/>
          <w:szCs w:val="24"/>
          <w:highlight w:val="none"/>
          <w:u w:val="single"/>
        </w:rPr>
        <w:t xml:space="preserve">                </w:t>
      </w:r>
    </w:p>
    <w:p>
      <w:pPr>
        <w:spacing w:line="520" w:lineRule="exact"/>
        <w:jc w:val="left"/>
        <w:rPr>
          <w:rFonts w:ascii="宋体" w:hAnsi="宋体" w:cs="宋体"/>
          <w:szCs w:val="24"/>
          <w:highlight w:val="none"/>
          <w:u w:val="single"/>
        </w:rPr>
      </w:pPr>
      <w:r>
        <w:rPr>
          <w:rFonts w:hint="eastAsia" w:ascii="宋体" w:hAnsi="宋体" w:cs="宋体"/>
          <w:szCs w:val="24"/>
          <w:highlight w:val="none"/>
        </w:rPr>
        <w:t xml:space="preserve">      原    值：</w:t>
      </w:r>
      <w:r>
        <w:rPr>
          <w:rFonts w:hint="eastAsia" w:ascii="宋体" w:hAnsi="宋体" w:cs="宋体"/>
          <w:szCs w:val="24"/>
          <w:highlight w:val="none"/>
          <w:u w:val="single"/>
        </w:rPr>
        <w:t xml:space="preserve">                      </w:t>
      </w:r>
    </w:p>
    <w:p>
      <w:pPr>
        <w:spacing w:line="520" w:lineRule="exact"/>
        <w:jc w:val="left"/>
        <w:rPr>
          <w:rFonts w:ascii="宋体" w:hAnsi="宋体" w:cs="宋体"/>
          <w:szCs w:val="24"/>
          <w:highlight w:val="none"/>
        </w:rPr>
      </w:pPr>
      <w:r>
        <w:rPr>
          <w:rFonts w:hint="eastAsia" w:ascii="宋体" w:hAnsi="宋体" w:cs="宋体"/>
          <w:szCs w:val="24"/>
          <w:highlight w:val="none"/>
        </w:rPr>
        <w:t xml:space="preserve">      净    值：</w:t>
      </w:r>
      <w:r>
        <w:rPr>
          <w:rFonts w:hint="eastAsia" w:ascii="宋体" w:hAnsi="宋体" w:cs="宋体"/>
          <w:szCs w:val="24"/>
          <w:highlight w:val="none"/>
          <w:u w:val="single"/>
        </w:rPr>
        <w:t xml:space="preserve">                      </w:t>
      </w:r>
    </w:p>
    <w:p>
      <w:pPr>
        <w:numPr>
          <w:ilvl w:val="0"/>
          <w:numId w:val="12"/>
        </w:numPr>
        <w:spacing w:line="520" w:lineRule="exact"/>
        <w:ind w:left="691" w:leftChars="329"/>
        <w:jc w:val="left"/>
        <w:rPr>
          <w:rFonts w:ascii="宋体" w:hAnsi="宋体" w:cs="宋体"/>
          <w:szCs w:val="24"/>
          <w:highlight w:val="none"/>
        </w:rPr>
      </w:pPr>
      <w:r>
        <w:rPr>
          <w:rFonts w:hint="eastAsia" w:ascii="宋体" w:hAnsi="宋体" w:cs="宋体"/>
          <w:szCs w:val="24"/>
          <w:highlight w:val="none"/>
        </w:rPr>
        <w:t>流动资产：</w:t>
      </w:r>
      <w:r>
        <w:rPr>
          <w:rFonts w:hint="eastAsia" w:ascii="宋体" w:hAnsi="宋体" w:cs="宋体"/>
          <w:szCs w:val="24"/>
          <w:highlight w:val="none"/>
          <w:u w:val="single"/>
        </w:rPr>
        <w:t xml:space="preserve">                 </w:t>
      </w:r>
    </w:p>
    <w:p>
      <w:pPr>
        <w:numPr>
          <w:ilvl w:val="0"/>
          <w:numId w:val="12"/>
        </w:numPr>
        <w:spacing w:line="520" w:lineRule="exact"/>
        <w:ind w:left="691" w:leftChars="329"/>
        <w:jc w:val="left"/>
        <w:rPr>
          <w:rFonts w:ascii="宋体" w:hAnsi="宋体" w:cs="宋体"/>
          <w:szCs w:val="24"/>
          <w:highlight w:val="none"/>
        </w:rPr>
      </w:pPr>
      <w:r>
        <w:rPr>
          <w:rFonts w:hint="eastAsia" w:ascii="宋体" w:hAnsi="宋体" w:cs="宋体"/>
          <w:szCs w:val="24"/>
          <w:highlight w:val="none"/>
        </w:rPr>
        <w:t>长期负债：</w:t>
      </w:r>
      <w:r>
        <w:rPr>
          <w:rFonts w:hint="eastAsia" w:ascii="宋体" w:hAnsi="宋体" w:cs="宋体"/>
          <w:szCs w:val="24"/>
          <w:highlight w:val="none"/>
          <w:u w:val="single"/>
        </w:rPr>
        <w:t xml:space="preserve">                 </w:t>
      </w:r>
    </w:p>
    <w:p>
      <w:pPr>
        <w:numPr>
          <w:ilvl w:val="0"/>
          <w:numId w:val="12"/>
        </w:numPr>
        <w:spacing w:line="520" w:lineRule="exact"/>
        <w:ind w:left="691" w:leftChars="329"/>
        <w:jc w:val="left"/>
        <w:rPr>
          <w:rFonts w:ascii="宋体" w:hAnsi="宋体" w:cs="宋体"/>
          <w:szCs w:val="24"/>
          <w:highlight w:val="none"/>
        </w:rPr>
      </w:pPr>
      <w:r>
        <w:rPr>
          <w:rFonts w:hint="eastAsia" w:ascii="宋体" w:hAnsi="宋体" w:cs="宋体"/>
          <w:szCs w:val="24"/>
          <w:highlight w:val="none"/>
        </w:rPr>
        <w:t>短期负债：</w:t>
      </w:r>
      <w:r>
        <w:rPr>
          <w:rFonts w:hint="eastAsia" w:ascii="宋体" w:hAnsi="宋体" w:cs="宋体"/>
          <w:szCs w:val="24"/>
          <w:highlight w:val="none"/>
          <w:u w:val="single"/>
        </w:rPr>
        <w:t xml:space="preserve">                 </w:t>
      </w:r>
    </w:p>
    <w:p>
      <w:pPr>
        <w:numPr>
          <w:ilvl w:val="0"/>
          <w:numId w:val="12"/>
        </w:numPr>
        <w:spacing w:line="520" w:lineRule="exact"/>
        <w:ind w:left="691" w:leftChars="329"/>
        <w:jc w:val="left"/>
        <w:rPr>
          <w:rFonts w:ascii="宋体" w:hAnsi="宋体" w:cs="宋体"/>
          <w:szCs w:val="24"/>
          <w:highlight w:val="none"/>
        </w:rPr>
      </w:pPr>
      <w:r>
        <w:rPr>
          <w:rFonts w:hint="eastAsia" w:ascii="宋体" w:hAnsi="宋体" w:cs="宋体"/>
          <w:szCs w:val="24"/>
          <w:highlight w:val="none"/>
        </w:rPr>
        <w:t>销售收入/主营业务收入：</w:t>
      </w:r>
      <w:r>
        <w:rPr>
          <w:rFonts w:hint="eastAsia" w:ascii="宋体" w:hAnsi="宋体" w:cs="宋体"/>
          <w:szCs w:val="24"/>
          <w:highlight w:val="none"/>
          <w:u w:val="single"/>
        </w:rPr>
        <w:t xml:space="preserve">                   </w:t>
      </w:r>
    </w:p>
    <w:p>
      <w:pPr>
        <w:numPr>
          <w:ilvl w:val="0"/>
          <w:numId w:val="10"/>
        </w:numPr>
        <w:spacing w:line="520" w:lineRule="exact"/>
        <w:jc w:val="left"/>
        <w:rPr>
          <w:rFonts w:ascii="宋体" w:hAnsi="宋体" w:cs="宋体"/>
          <w:szCs w:val="24"/>
          <w:highlight w:val="none"/>
        </w:rPr>
      </w:pPr>
      <w:r>
        <w:rPr>
          <w:rFonts w:hint="eastAsia" w:ascii="宋体" w:hAnsi="宋体" w:cs="宋体"/>
          <w:szCs w:val="24"/>
          <w:highlight w:val="none"/>
        </w:rPr>
        <w:t>最近三年的年度总营业额：</w:t>
      </w:r>
    </w:p>
    <w:p>
      <w:pPr>
        <w:spacing w:line="520" w:lineRule="exact"/>
        <w:ind w:left="480"/>
        <w:jc w:val="left"/>
        <w:rPr>
          <w:rFonts w:ascii="宋体" w:hAnsi="宋体" w:cs="宋体"/>
          <w:szCs w:val="24"/>
          <w:highlight w:val="none"/>
        </w:rPr>
      </w:pPr>
    </w:p>
    <w:p>
      <w:pPr>
        <w:numPr>
          <w:ilvl w:val="0"/>
          <w:numId w:val="10"/>
        </w:numPr>
        <w:spacing w:line="520" w:lineRule="exact"/>
        <w:jc w:val="left"/>
        <w:rPr>
          <w:rFonts w:ascii="宋体" w:hAnsi="宋体" w:cs="宋体"/>
          <w:szCs w:val="24"/>
          <w:highlight w:val="none"/>
        </w:rPr>
      </w:pPr>
      <w:r>
        <w:rPr>
          <w:rFonts w:hint="eastAsia" w:ascii="宋体" w:hAnsi="宋体" w:cs="宋体"/>
          <w:szCs w:val="24"/>
          <w:highlight w:val="none"/>
        </w:rPr>
        <w:t>投标人最近三年法律纠纷情况</w:t>
      </w:r>
    </w:p>
    <w:tbl>
      <w:tblPr>
        <w:tblStyle w:val="33"/>
        <w:tblW w:w="900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280"/>
        <w:gridCol w:w="1826"/>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spacing w:line="520" w:lineRule="exact"/>
              <w:jc w:val="center"/>
              <w:rPr>
                <w:rFonts w:ascii="宋体" w:hAnsi="宋体" w:cs="宋体"/>
                <w:szCs w:val="24"/>
                <w:highlight w:val="none"/>
              </w:rPr>
            </w:pPr>
            <w:r>
              <w:rPr>
                <w:rFonts w:hint="eastAsia" w:ascii="宋体" w:hAnsi="宋体" w:cs="宋体"/>
                <w:szCs w:val="24"/>
                <w:highlight w:val="none"/>
              </w:rPr>
              <w:t>时间</w:t>
            </w:r>
          </w:p>
        </w:tc>
        <w:tc>
          <w:tcPr>
            <w:tcW w:w="2280" w:type="dxa"/>
            <w:vAlign w:val="center"/>
          </w:tcPr>
          <w:p>
            <w:pPr>
              <w:spacing w:line="520" w:lineRule="exact"/>
              <w:jc w:val="center"/>
              <w:rPr>
                <w:rFonts w:ascii="宋体" w:hAnsi="宋体" w:cs="宋体"/>
                <w:szCs w:val="24"/>
                <w:highlight w:val="none"/>
              </w:rPr>
            </w:pPr>
            <w:r>
              <w:rPr>
                <w:rFonts w:hint="eastAsia" w:ascii="宋体" w:hAnsi="宋体" w:cs="宋体"/>
                <w:szCs w:val="24"/>
                <w:highlight w:val="none"/>
              </w:rPr>
              <w:t>案由</w:t>
            </w:r>
          </w:p>
        </w:tc>
        <w:tc>
          <w:tcPr>
            <w:tcW w:w="1826" w:type="dxa"/>
            <w:vAlign w:val="center"/>
          </w:tcPr>
          <w:p>
            <w:pPr>
              <w:spacing w:line="520" w:lineRule="exact"/>
              <w:jc w:val="center"/>
              <w:rPr>
                <w:rFonts w:ascii="宋体" w:hAnsi="宋体" w:cs="宋体"/>
                <w:szCs w:val="24"/>
                <w:highlight w:val="none"/>
              </w:rPr>
            </w:pPr>
            <w:r>
              <w:rPr>
                <w:rFonts w:hint="eastAsia" w:ascii="宋体" w:hAnsi="宋体" w:cs="宋体"/>
                <w:szCs w:val="24"/>
                <w:highlight w:val="none"/>
              </w:rPr>
              <w:t>涉及金额</w:t>
            </w:r>
          </w:p>
        </w:tc>
        <w:tc>
          <w:tcPr>
            <w:tcW w:w="2919" w:type="dxa"/>
            <w:vAlign w:val="center"/>
          </w:tcPr>
          <w:p>
            <w:pPr>
              <w:spacing w:line="520" w:lineRule="exact"/>
              <w:jc w:val="center"/>
              <w:rPr>
                <w:rFonts w:ascii="宋体" w:hAnsi="宋体" w:cs="宋体"/>
                <w:szCs w:val="24"/>
                <w:highlight w:val="none"/>
              </w:rPr>
            </w:pPr>
            <w:r>
              <w:rPr>
                <w:rFonts w:hint="eastAsia" w:ascii="宋体" w:hAnsi="宋体" w:cs="宋体"/>
                <w:szCs w:val="24"/>
                <w:highlight w:val="none"/>
              </w:rPr>
              <w:t>目前办理情况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ascii="宋体" w:hAnsi="宋体" w:cs="宋体"/>
                <w:szCs w:val="24"/>
                <w:highlight w:val="none"/>
              </w:rPr>
            </w:pPr>
          </w:p>
        </w:tc>
        <w:tc>
          <w:tcPr>
            <w:tcW w:w="2280" w:type="dxa"/>
          </w:tcPr>
          <w:p>
            <w:pPr>
              <w:spacing w:line="520" w:lineRule="exact"/>
              <w:jc w:val="left"/>
              <w:rPr>
                <w:rFonts w:ascii="宋体" w:hAnsi="宋体" w:cs="宋体"/>
                <w:szCs w:val="24"/>
                <w:highlight w:val="none"/>
              </w:rPr>
            </w:pPr>
          </w:p>
        </w:tc>
        <w:tc>
          <w:tcPr>
            <w:tcW w:w="1826" w:type="dxa"/>
          </w:tcPr>
          <w:p>
            <w:pPr>
              <w:spacing w:line="520" w:lineRule="exact"/>
              <w:jc w:val="left"/>
              <w:rPr>
                <w:rFonts w:ascii="宋体" w:hAnsi="宋体" w:cs="宋体"/>
                <w:szCs w:val="24"/>
                <w:highlight w:val="none"/>
              </w:rPr>
            </w:pPr>
          </w:p>
        </w:tc>
        <w:tc>
          <w:tcPr>
            <w:tcW w:w="2919" w:type="dxa"/>
          </w:tcPr>
          <w:p>
            <w:pPr>
              <w:spacing w:line="520" w:lineRule="exact"/>
              <w:jc w:val="left"/>
              <w:rPr>
                <w:rFonts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ascii="宋体" w:hAnsi="宋体" w:cs="宋体"/>
                <w:szCs w:val="24"/>
                <w:highlight w:val="none"/>
              </w:rPr>
            </w:pPr>
          </w:p>
        </w:tc>
        <w:tc>
          <w:tcPr>
            <w:tcW w:w="2280" w:type="dxa"/>
          </w:tcPr>
          <w:p>
            <w:pPr>
              <w:spacing w:line="520" w:lineRule="exact"/>
              <w:jc w:val="left"/>
              <w:rPr>
                <w:rFonts w:ascii="宋体" w:hAnsi="宋体" w:cs="宋体"/>
                <w:szCs w:val="24"/>
                <w:highlight w:val="none"/>
              </w:rPr>
            </w:pPr>
          </w:p>
        </w:tc>
        <w:tc>
          <w:tcPr>
            <w:tcW w:w="1826" w:type="dxa"/>
          </w:tcPr>
          <w:p>
            <w:pPr>
              <w:spacing w:line="520" w:lineRule="exact"/>
              <w:jc w:val="left"/>
              <w:rPr>
                <w:rFonts w:ascii="宋体" w:hAnsi="宋体" w:cs="宋体"/>
                <w:szCs w:val="24"/>
                <w:highlight w:val="none"/>
              </w:rPr>
            </w:pPr>
          </w:p>
        </w:tc>
        <w:tc>
          <w:tcPr>
            <w:tcW w:w="2919" w:type="dxa"/>
          </w:tcPr>
          <w:p>
            <w:pPr>
              <w:spacing w:line="520" w:lineRule="exact"/>
              <w:jc w:val="left"/>
              <w:rPr>
                <w:rFonts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ascii="宋体" w:hAnsi="宋体" w:cs="宋体"/>
                <w:szCs w:val="24"/>
                <w:highlight w:val="none"/>
              </w:rPr>
            </w:pPr>
          </w:p>
        </w:tc>
        <w:tc>
          <w:tcPr>
            <w:tcW w:w="2280" w:type="dxa"/>
          </w:tcPr>
          <w:p>
            <w:pPr>
              <w:spacing w:line="520" w:lineRule="exact"/>
              <w:jc w:val="left"/>
              <w:rPr>
                <w:rFonts w:ascii="宋体" w:hAnsi="宋体" w:cs="宋体"/>
                <w:szCs w:val="24"/>
                <w:highlight w:val="none"/>
              </w:rPr>
            </w:pPr>
          </w:p>
        </w:tc>
        <w:tc>
          <w:tcPr>
            <w:tcW w:w="1826" w:type="dxa"/>
          </w:tcPr>
          <w:p>
            <w:pPr>
              <w:spacing w:line="520" w:lineRule="exact"/>
              <w:jc w:val="left"/>
              <w:rPr>
                <w:rFonts w:ascii="宋体" w:hAnsi="宋体" w:cs="宋体"/>
                <w:szCs w:val="24"/>
                <w:highlight w:val="none"/>
              </w:rPr>
            </w:pPr>
          </w:p>
        </w:tc>
        <w:tc>
          <w:tcPr>
            <w:tcW w:w="2919" w:type="dxa"/>
          </w:tcPr>
          <w:p>
            <w:pPr>
              <w:spacing w:line="520" w:lineRule="exact"/>
              <w:jc w:val="left"/>
              <w:rPr>
                <w:rFonts w:ascii="宋体" w:hAnsi="宋体" w:cs="宋体"/>
                <w:szCs w:val="24"/>
                <w:highlight w:val="none"/>
              </w:rPr>
            </w:pPr>
          </w:p>
        </w:tc>
      </w:tr>
    </w:tbl>
    <w:p>
      <w:pPr>
        <w:spacing w:line="520" w:lineRule="exact"/>
        <w:jc w:val="left"/>
        <w:rPr>
          <w:rFonts w:ascii="宋体" w:hAnsi="宋体" w:cs="宋体"/>
          <w:szCs w:val="24"/>
          <w:highlight w:val="none"/>
        </w:rPr>
      </w:pPr>
      <w:r>
        <w:rPr>
          <w:rFonts w:hint="eastAsia" w:ascii="宋体" w:hAnsi="宋体" w:cs="宋体"/>
          <w:szCs w:val="24"/>
          <w:highlight w:val="none"/>
        </w:rPr>
        <w:t>4、有关银行的名称和地址：</w:t>
      </w:r>
      <w:r>
        <w:rPr>
          <w:rFonts w:hint="eastAsia" w:ascii="宋体" w:hAnsi="宋体" w:cs="宋体"/>
          <w:szCs w:val="24"/>
          <w:highlight w:val="none"/>
          <w:u w:val="single"/>
        </w:rPr>
        <w:t xml:space="preserve">                        </w:t>
      </w:r>
    </w:p>
    <w:p>
      <w:pPr>
        <w:spacing w:line="520" w:lineRule="exact"/>
        <w:jc w:val="left"/>
        <w:rPr>
          <w:rFonts w:ascii="宋体" w:hAnsi="宋体" w:cs="宋体"/>
          <w:szCs w:val="24"/>
          <w:highlight w:val="none"/>
        </w:rPr>
      </w:pPr>
      <w:r>
        <w:rPr>
          <w:rFonts w:hint="eastAsia" w:ascii="宋体" w:hAnsi="宋体" w:cs="宋体"/>
          <w:szCs w:val="24"/>
          <w:highlight w:val="none"/>
        </w:rPr>
        <w:t>5、其他情况：</w:t>
      </w:r>
      <w:r>
        <w:rPr>
          <w:rFonts w:hint="eastAsia" w:ascii="宋体" w:hAnsi="宋体" w:cs="宋体"/>
          <w:szCs w:val="24"/>
          <w:highlight w:val="none"/>
          <w:u w:val="single"/>
        </w:rPr>
        <w:t xml:space="preserve">                                    </w:t>
      </w:r>
    </w:p>
    <w:p>
      <w:pPr>
        <w:spacing w:line="520" w:lineRule="exact"/>
        <w:ind w:firstLine="315" w:firstLineChars="150"/>
        <w:jc w:val="left"/>
        <w:rPr>
          <w:rFonts w:ascii="宋体" w:hAnsi="宋体" w:cs="宋体"/>
          <w:szCs w:val="24"/>
          <w:highlight w:val="none"/>
        </w:rPr>
      </w:pPr>
      <w:r>
        <w:rPr>
          <w:rFonts w:hint="eastAsia" w:ascii="宋体" w:hAnsi="宋体" w:cs="宋体"/>
          <w:szCs w:val="24"/>
          <w:highlight w:val="none"/>
        </w:rPr>
        <w:t>我们保证上述声明是真实的、正确的，并提供了全部能提供的资料和数据；如贵方要求我们同意出示进一步证明文件。</w:t>
      </w:r>
    </w:p>
    <w:p>
      <w:pPr>
        <w:spacing w:line="520" w:lineRule="exact"/>
        <w:jc w:val="left"/>
        <w:rPr>
          <w:rFonts w:ascii="宋体" w:hAnsi="宋体" w:cs="宋体"/>
          <w:szCs w:val="24"/>
          <w:highlight w:val="none"/>
        </w:rPr>
      </w:pPr>
      <w:r>
        <w:rPr>
          <w:rFonts w:hint="eastAsia" w:ascii="宋体" w:hAnsi="宋体" w:cs="宋体"/>
          <w:szCs w:val="24"/>
          <w:highlight w:val="none"/>
        </w:rPr>
        <w:t>授权代表签字：</w:t>
      </w:r>
      <w:r>
        <w:rPr>
          <w:rFonts w:hint="eastAsia" w:ascii="宋体" w:hAnsi="宋体" w:cs="宋体"/>
          <w:szCs w:val="24"/>
          <w:highlight w:val="none"/>
          <w:u w:val="single"/>
        </w:rPr>
        <w:t xml:space="preserve">                      </w:t>
      </w:r>
    </w:p>
    <w:p>
      <w:pPr>
        <w:spacing w:line="520" w:lineRule="exact"/>
        <w:jc w:val="left"/>
        <w:rPr>
          <w:rFonts w:ascii="宋体" w:hAnsi="宋体" w:cs="宋体"/>
          <w:szCs w:val="24"/>
          <w:highlight w:val="none"/>
        </w:rPr>
      </w:pPr>
      <w:r>
        <w:rPr>
          <w:rFonts w:hint="eastAsia" w:ascii="宋体" w:hAnsi="宋体" w:cs="宋体"/>
          <w:szCs w:val="24"/>
          <w:highlight w:val="none"/>
        </w:rPr>
        <w:t>授权代表的职务：</w:t>
      </w:r>
      <w:r>
        <w:rPr>
          <w:rFonts w:hint="eastAsia" w:ascii="宋体" w:hAnsi="宋体" w:cs="宋体"/>
          <w:szCs w:val="24"/>
          <w:highlight w:val="none"/>
          <w:u w:val="single"/>
        </w:rPr>
        <w:t xml:space="preserve">                    </w:t>
      </w:r>
    </w:p>
    <w:p>
      <w:pPr>
        <w:spacing w:line="520" w:lineRule="exact"/>
        <w:jc w:val="left"/>
        <w:rPr>
          <w:rFonts w:ascii="宋体" w:hAnsi="宋体" w:cs="宋体"/>
          <w:szCs w:val="24"/>
          <w:highlight w:val="none"/>
        </w:rPr>
      </w:pPr>
      <w:r>
        <w:rPr>
          <w:rFonts w:hint="eastAsia" w:ascii="宋体" w:hAnsi="宋体" w:cs="宋体"/>
          <w:szCs w:val="24"/>
          <w:highlight w:val="none"/>
        </w:rPr>
        <w:t>电话号和传真号：</w:t>
      </w:r>
      <w:r>
        <w:rPr>
          <w:rFonts w:hint="eastAsia" w:ascii="宋体" w:hAnsi="宋体" w:cs="宋体"/>
          <w:szCs w:val="24"/>
          <w:highlight w:val="none"/>
          <w:u w:val="single"/>
        </w:rPr>
        <w:t xml:space="preserve">                    </w:t>
      </w:r>
    </w:p>
    <w:p>
      <w:pPr>
        <w:spacing w:line="520" w:lineRule="exact"/>
        <w:ind w:right="960"/>
        <w:rPr>
          <w:rFonts w:ascii="宋体" w:hAnsi="宋体" w:cs="宋体"/>
          <w:szCs w:val="24"/>
          <w:highlight w:val="none"/>
        </w:rPr>
      </w:pPr>
      <w:r>
        <w:rPr>
          <w:rFonts w:hint="eastAsia" w:ascii="宋体" w:hAnsi="宋体" w:cs="宋体"/>
          <w:szCs w:val="24"/>
          <w:highlight w:val="none"/>
        </w:rPr>
        <w:t xml:space="preserve">                                             </w:t>
      </w:r>
    </w:p>
    <w:p>
      <w:pPr>
        <w:spacing w:line="520" w:lineRule="exact"/>
        <w:ind w:right="960" w:firstLine="4725" w:firstLineChars="2250"/>
        <w:rPr>
          <w:rFonts w:ascii="宋体" w:hAnsi="宋体" w:cs="宋体"/>
          <w:szCs w:val="24"/>
          <w:highlight w:val="none"/>
        </w:rPr>
      </w:pPr>
      <w:r>
        <w:rPr>
          <w:rFonts w:hint="eastAsia" w:ascii="宋体" w:hAnsi="宋体" w:cs="宋体"/>
          <w:szCs w:val="24"/>
          <w:highlight w:val="none"/>
        </w:rPr>
        <w:t xml:space="preserve"> 公   章:</w:t>
      </w:r>
    </w:p>
    <w:p>
      <w:pPr>
        <w:wordWrap w:val="0"/>
        <w:spacing w:line="520" w:lineRule="exact"/>
        <w:ind w:right="480"/>
        <w:jc w:val="right"/>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pPr>
        <w:spacing w:before="240" w:line="360" w:lineRule="auto"/>
        <w:rPr>
          <w:rFonts w:ascii="宋体" w:hAnsi="宋体" w:cs="宋体"/>
          <w:sz w:val="28"/>
          <w:szCs w:val="28"/>
          <w:highlight w:val="none"/>
        </w:rPr>
      </w:pPr>
    </w:p>
    <w:p>
      <w:pPr>
        <w:rPr>
          <w:rFonts w:ascii="宋体" w:hAnsi="宋体" w:cs="宋体"/>
          <w:b/>
          <w:kern w:val="0"/>
          <w:sz w:val="24"/>
          <w:szCs w:val="24"/>
          <w:highlight w:val="none"/>
        </w:rPr>
      </w:pPr>
    </w:p>
    <w:p>
      <w:pPr>
        <w:rPr>
          <w:rFonts w:ascii="宋体" w:hAnsi="宋体" w:cs="宋体"/>
          <w:b/>
          <w:sz w:val="28"/>
          <w:szCs w:val="28"/>
          <w:highlight w:val="none"/>
        </w:rPr>
      </w:pPr>
      <w:r>
        <w:rPr>
          <w:rFonts w:hint="eastAsia" w:ascii="宋体" w:hAnsi="宋体" w:cs="宋体"/>
          <w:b/>
          <w:kern w:val="0"/>
          <w:sz w:val="24"/>
          <w:szCs w:val="24"/>
          <w:highlight w:val="none"/>
        </w:rPr>
        <w:br w:type="page"/>
      </w:r>
      <w:r>
        <w:rPr>
          <w:rFonts w:hint="eastAsia" w:ascii="宋体" w:hAnsi="宋体" w:cs="宋体"/>
          <w:b/>
          <w:sz w:val="28"/>
          <w:szCs w:val="28"/>
          <w:highlight w:val="none"/>
        </w:rPr>
        <w:t>附件2：</w:t>
      </w:r>
    </w:p>
    <w:p>
      <w:pPr>
        <w:spacing w:before="100" w:beforeAutospacing="1" w:after="156" w:afterLines="50" w:line="360" w:lineRule="auto"/>
        <w:jc w:val="center"/>
        <w:rPr>
          <w:rFonts w:ascii="宋体" w:hAnsi="宋体" w:cs="宋体"/>
          <w:b/>
          <w:sz w:val="28"/>
          <w:szCs w:val="28"/>
          <w:highlight w:val="none"/>
        </w:rPr>
      </w:pPr>
      <w:r>
        <w:rPr>
          <w:rFonts w:hint="eastAsia" w:ascii="宋体" w:hAnsi="宋体" w:cs="宋体"/>
          <w:b/>
          <w:sz w:val="28"/>
          <w:szCs w:val="28"/>
          <w:highlight w:val="none"/>
        </w:rPr>
        <w:t>中小企业声明函</w:t>
      </w:r>
    </w:p>
    <w:p>
      <w:pPr>
        <w:tabs>
          <w:tab w:val="left" w:pos="1620"/>
          <w:tab w:val="left" w:pos="1800"/>
        </w:tabs>
        <w:spacing w:line="500" w:lineRule="exact"/>
        <w:ind w:firstLine="420" w:firstLineChars="200"/>
        <w:rPr>
          <w:rFonts w:ascii="宋体" w:hAnsi="宋体" w:cs="宋体"/>
          <w:szCs w:val="24"/>
          <w:highlight w:val="none"/>
        </w:rPr>
      </w:pPr>
      <w:r>
        <w:rPr>
          <w:rFonts w:hint="eastAsia" w:ascii="宋体" w:hAnsi="宋体" w:cs="宋体"/>
          <w:szCs w:val="24"/>
          <w:highlight w:val="none"/>
        </w:rPr>
        <w:t>本公司郑重声明，根据《政府采购促进中小企业发展暂行办法》(财库【2011】181号）的规定，本公司为</w:t>
      </w:r>
      <w:r>
        <w:rPr>
          <w:rFonts w:hint="eastAsia" w:ascii="宋体" w:hAnsi="宋体" w:cs="宋体"/>
          <w:szCs w:val="24"/>
          <w:highlight w:val="none"/>
          <w:u w:val="single"/>
        </w:rPr>
        <w:t xml:space="preserve">        </w:t>
      </w:r>
      <w:r>
        <w:rPr>
          <w:rFonts w:hint="eastAsia" w:ascii="宋体" w:hAnsi="宋体" w:cs="宋体"/>
          <w:szCs w:val="24"/>
          <w:highlight w:val="none"/>
        </w:rPr>
        <w:t>(请填写：中型、小型、微型）企业。即，本公司同时满足以下条件：</w:t>
      </w:r>
    </w:p>
    <w:p>
      <w:pPr>
        <w:numPr>
          <w:ilvl w:val="0"/>
          <w:numId w:val="13"/>
        </w:numPr>
        <w:tabs>
          <w:tab w:val="left" w:pos="1620"/>
          <w:tab w:val="left" w:pos="1800"/>
        </w:tabs>
        <w:spacing w:line="500" w:lineRule="exact"/>
        <w:ind w:firstLine="420" w:firstLineChars="200"/>
        <w:rPr>
          <w:rFonts w:ascii="宋体" w:hAnsi="宋体" w:cs="宋体"/>
          <w:szCs w:val="24"/>
          <w:highlight w:val="none"/>
        </w:rPr>
      </w:pPr>
      <w:r>
        <w:rPr>
          <w:rFonts w:hint="eastAsia" w:ascii="宋体" w:hAnsi="宋体" w:cs="宋体"/>
          <w:szCs w:val="24"/>
          <w:highlight w:val="none"/>
        </w:rPr>
        <w:t>根据《工业和信息化部、国家统计局、国家发展和改革委员会、财政部关于印发中小企业划分标准规定的通知》（工信部联企业【2011】300号）规定的划分标准，本公司为</w:t>
      </w:r>
      <w:r>
        <w:rPr>
          <w:rFonts w:hint="eastAsia" w:ascii="宋体" w:hAnsi="宋体" w:cs="宋体"/>
          <w:szCs w:val="24"/>
          <w:highlight w:val="none"/>
          <w:u w:val="single"/>
        </w:rPr>
        <w:t xml:space="preserve">         </w:t>
      </w:r>
      <w:r>
        <w:rPr>
          <w:rFonts w:hint="eastAsia" w:ascii="宋体" w:hAnsi="宋体" w:cs="宋体"/>
          <w:szCs w:val="24"/>
          <w:highlight w:val="none"/>
        </w:rPr>
        <w:t>（请填写：中型、小型、微型）企业。</w:t>
      </w:r>
    </w:p>
    <w:p>
      <w:pPr>
        <w:numPr>
          <w:ilvl w:val="0"/>
          <w:numId w:val="13"/>
        </w:numPr>
        <w:tabs>
          <w:tab w:val="left" w:pos="1620"/>
          <w:tab w:val="left" w:pos="1800"/>
        </w:tabs>
        <w:spacing w:line="500" w:lineRule="exact"/>
        <w:ind w:firstLine="420" w:firstLineChars="200"/>
        <w:rPr>
          <w:rFonts w:ascii="宋体" w:hAnsi="宋体" w:cs="宋体"/>
          <w:szCs w:val="24"/>
          <w:highlight w:val="none"/>
        </w:rPr>
      </w:pPr>
      <w:r>
        <w:rPr>
          <w:rFonts w:hint="eastAsia" w:ascii="宋体" w:hAnsi="宋体" w:cs="宋体"/>
          <w:szCs w:val="24"/>
          <w:highlight w:val="none"/>
        </w:rPr>
        <w:t>本公司参加</w:t>
      </w:r>
      <w:r>
        <w:rPr>
          <w:rFonts w:hint="eastAsia" w:ascii="宋体" w:hAnsi="宋体" w:cs="宋体"/>
          <w:szCs w:val="24"/>
          <w:highlight w:val="none"/>
          <w:u w:val="single"/>
        </w:rPr>
        <w:t xml:space="preserve">             </w:t>
      </w:r>
      <w:r>
        <w:rPr>
          <w:rFonts w:hint="eastAsia" w:ascii="宋体" w:hAnsi="宋体" w:cs="宋体"/>
          <w:szCs w:val="24"/>
          <w:highlight w:val="none"/>
        </w:rPr>
        <w:t>单位的</w:t>
      </w:r>
      <w:r>
        <w:rPr>
          <w:rFonts w:hint="eastAsia" w:ascii="宋体" w:hAnsi="宋体" w:cs="宋体"/>
          <w:szCs w:val="24"/>
          <w:highlight w:val="none"/>
          <w:u w:val="single"/>
        </w:rPr>
        <w:t xml:space="preserve">            </w:t>
      </w:r>
      <w:r>
        <w:rPr>
          <w:rFonts w:hint="eastAsia" w:ascii="宋体" w:hAnsi="宋体" w:cs="宋体"/>
          <w:szCs w:val="24"/>
          <w:highlight w:val="none"/>
        </w:rPr>
        <w:t>项目采购活动提供本企业制造的货物，由本企业提供服务，或者提供其他</w:t>
      </w:r>
      <w:r>
        <w:rPr>
          <w:rFonts w:hint="eastAsia" w:ascii="宋体" w:hAnsi="宋体" w:cs="宋体"/>
          <w:szCs w:val="24"/>
          <w:highlight w:val="none"/>
          <w:u w:val="single"/>
        </w:rPr>
        <w:t xml:space="preserve">        </w:t>
      </w:r>
      <w:r>
        <w:rPr>
          <w:rFonts w:hint="eastAsia" w:ascii="宋体" w:hAnsi="宋体" w:cs="宋体"/>
          <w:szCs w:val="24"/>
          <w:highlight w:val="none"/>
        </w:rPr>
        <w:t>(请填写：中型、小型、微型）企业制造的货物。本条所称货物不包括使用大型企业注册商标的货物。</w:t>
      </w:r>
    </w:p>
    <w:p>
      <w:pPr>
        <w:spacing w:line="500" w:lineRule="exact"/>
        <w:ind w:firstLine="420" w:firstLineChars="200"/>
        <w:rPr>
          <w:rFonts w:ascii="宋体" w:hAnsi="宋体" w:cs="宋体"/>
          <w:highlight w:val="none"/>
        </w:rPr>
      </w:pPr>
      <w:r>
        <w:rPr>
          <w:rFonts w:hint="eastAsia" w:ascii="宋体" w:hAnsi="宋体" w:cs="宋体"/>
          <w:highlight w:val="none"/>
        </w:rPr>
        <w:t>3、本公司属于</w:t>
      </w:r>
      <w:r>
        <w:rPr>
          <w:rFonts w:hint="eastAsia" w:ascii="宋体" w:hAnsi="宋体" w:cs="宋体"/>
          <w:highlight w:val="none"/>
          <w:u w:val="single"/>
        </w:rPr>
        <w:t xml:space="preserve">       </w:t>
      </w:r>
      <w:r>
        <w:rPr>
          <w:rFonts w:hint="eastAsia" w:ascii="宋体" w:hAnsi="宋体" w:cs="宋体"/>
          <w:highlight w:val="none"/>
        </w:rPr>
        <w:t>行业，有从业人员</w:t>
      </w:r>
      <w:r>
        <w:rPr>
          <w:rFonts w:hint="eastAsia" w:ascii="宋体" w:hAnsi="宋体" w:cs="宋体"/>
          <w:highlight w:val="none"/>
          <w:u w:val="single"/>
        </w:rPr>
        <w:t xml:space="preserve">     </w:t>
      </w:r>
      <w:r>
        <w:rPr>
          <w:rFonts w:hint="eastAsia" w:ascii="宋体" w:hAnsi="宋体" w:cs="宋体"/>
          <w:highlight w:val="none"/>
        </w:rPr>
        <w:t>人，最近一年营业收入为</w:t>
      </w:r>
      <w:r>
        <w:rPr>
          <w:rFonts w:hint="eastAsia" w:ascii="宋体" w:hAnsi="宋体" w:cs="宋体"/>
          <w:highlight w:val="none"/>
          <w:u w:val="single"/>
        </w:rPr>
        <w:t xml:space="preserve">         </w:t>
      </w:r>
      <w:r>
        <w:rPr>
          <w:rFonts w:hint="eastAsia" w:ascii="宋体" w:hAnsi="宋体" w:cs="宋体"/>
          <w:highlight w:val="none"/>
        </w:rPr>
        <w:t>元。</w:t>
      </w:r>
    </w:p>
    <w:p>
      <w:pPr>
        <w:tabs>
          <w:tab w:val="left" w:pos="1620"/>
          <w:tab w:val="left" w:pos="1800"/>
        </w:tabs>
        <w:spacing w:line="500" w:lineRule="exact"/>
        <w:ind w:firstLine="480"/>
        <w:rPr>
          <w:rFonts w:ascii="宋体" w:hAnsi="宋体" w:cs="宋体"/>
          <w:szCs w:val="24"/>
          <w:highlight w:val="none"/>
        </w:rPr>
      </w:pPr>
      <w:r>
        <w:rPr>
          <w:rFonts w:hint="eastAsia" w:ascii="宋体" w:hAnsi="宋体" w:cs="宋体"/>
          <w:szCs w:val="24"/>
          <w:highlight w:val="none"/>
        </w:rPr>
        <w:t>本公司对上述声明的真实性负责。如有虚假，将依法承担相应责任。</w:t>
      </w:r>
    </w:p>
    <w:p>
      <w:pPr>
        <w:tabs>
          <w:tab w:val="left" w:pos="1620"/>
          <w:tab w:val="left" w:pos="1800"/>
        </w:tabs>
        <w:spacing w:line="500" w:lineRule="exact"/>
        <w:ind w:firstLine="480"/>
        <w:rPr>
          <w:rFonts w:ascii="宋体" w:hAnsi="宋体" w:cs="宋体"/>
          <w:szCs w:val="24"/>
          <w:highlight w:val="none"/>
        </w:rPr>
      </w:pPr>
    </w:p>
    <w:p>
      <w:pPr>
        <w:tabs>
          <w:tab w:val="left" w:pos="1620"/>
          <w:tab w:val="left" w:pos="1800"/>
        </w:tabs>
        <w:spacing w:line="500" w:lineRule="exact"/>
        <w:rPr>
          <w:rFonts w:ascii="宋体" w:hAnsi="宋体" w:cs="宋体"/>
          <w:szCs w:val="24"/>
          <w:highlight w:val="none"/>
        </w:rPr>
      </w:pPr>
      <w:r>
        <w:rPr>
          <w:rFonts w:hint="eastAsia" w:ascii="宋体" w:hAnsi="宋体" w:cs="宋体"/>
          <w:szCs w:val="24"/>
          <w:highlight w:val="none"/>
        </w:rPr>
        <w:t xml:space="preserve">                                          单位名称（公章）：</w:t>
      </w:r>
      <w:r>
        <w:rPr>
          <w:rFonts w:hint="eastAsia" w:ascii="宋体" w:hAnsi="宋体" w:cs="宋体"/>
          <w:szCs w:val="24"/>
          <w:highlight w:val="none"/>
          <w:u w:val="single"/>
        </w:rPr>
        <w:t xml:space="preserve">                </w:t>
      </w:r>
    </w:p>
    <w:p>
      <w:pPr>
        <w:tabs>
          <w:tab w:val="left" w:pos="1620"/>
          <w:tab w:val="left" w:pos="1800"/>
        </w:tabs>
        <w:spacing w:line="500" w:lineRule="exact"/>
        <w:rPr>
          <w:rFonts w:ascii="宋体" w:hAnsi="宋体" w:cs="宋体"/>
          <w:szCs w:val="24"/>
          <w:highlight w:val="none"/>
          <w:u w:val="single"/>
        </w:rPr>
      </w:pPr>
      <w:r>
        <w:rPr>
          <w:rFonts w:hint="eastAsia" w:ascii="宋体" w:hAnsi="宋体" w:cs="宋体"/>
          <w:szCs w:val="24"/>
          <w:highlight w:val="none"/>
        </w:rPr>
        <w:t xml:space="preserve">                                           日   期：</w:t>
      </w:r>
      <w:r>
        <w:rPr>
          <w:rFonts w:hint="eastAsia" w:ascii="宋体" w:hAnsi="宋体" w:cs="宋体"/>
          <w:szCs w:val="24"/>
          <w:highlight w:val="none"/>
          <w:u w:val="single"/>
        </w:rPr>
        <w:t xml:space="preserve">                        </w:t>
      </w:r>
    </w:p>
    <w:p>
      <w:pPr>
        <w:tabs>
          <w:tab w:val="left" w:pos="1620"/>
          <w:tab w:val="left" w:pos="1800"/>
        </w:tabs>
        <w:spacing w:line="500" w:lineRule="exact"/>
        <w:rPr>
          <w:rFonts w:ascii="宋体" w:hAnsi="宋体" w:cs="宋体"/>
          <w:szCs w:val="24"/>
          <w:highlight w:val="none"/>
        </w:rPr>
      </w:pPr>
    </w:p>
    <w:p>
      <w:pPr>
        <w:tabs>
          <w:tab w:val="left" w:pos="1620"/>
          <w:tab w:val="left" w:pos="1800"/>
        </w:tabs>
        <w:spacing w:line="500" w:lineRule="exact"/>
        <w:rPr>
          <w:rFonts w:ascii="宋体" w:hAnsi="宋体" w:cs="宋体"/>
          <w:highlight w:val="none"/>
        </w:rPr>
      </w:pPr>
      <w:r>
        <w:rPr>
          <w:rFonts w:hint="eastAsia" w:ascii="宋体" w:hAnsi="宋体" w:cs="宋体"/>
          <w:highlight w:val="none"/>
        </w:rPr>
        <w:t>备注：</w:t>
      </w:r>
    </w:p>
    <w:p>
      <w:pPr>
        <w:tabs>
          <w:tab w:val="left" w:pos="1620"/>
          <w:tab w:val="left" w:pos="1800"/>
        </w:tabs>
        <w:spacing w:line="500" w:lineRule="exact"/>
        <w:ind w:firstLine="480"/>
        <w:rPr>
          <w:rFonts w:hint="eastAsia" w:ascii="宋体" w:hAnsi="宋体" w:cs="宋体"/>
          <w:highlight w:val="none"/>
        </w:rPr>
      </w:pPr>
      <w:r>
        <w:rPr>
          <w:rFonts w:hint="eastAsia" w:ascii="宋体" w:hAnsi="宋体" w:cs="宋体"/>
          <w:highlight w:val="none"/>
        </w:rPr>
        <w:t>1、填写前请认真阅读工业和信息化部、国家统计局、国家发展和改革委员会、财政部关于印发中小企业划分标准规定的通知》（工信部联企业【2011】300号）和《财政部  工业和信息化部关于印发政府采购促进中小企业发展暂行办法的通知》（财库【2011】181号）相关规定。</w:t>
      </w:r>
    </w:p>
    <w:p>
      <w:pPr>
        <w:tabs>
          <w:tab w:val="left" w:pos="1620"/>
          <w:tab w:val="left" w:pos="1800"/>
        </w:tabs>
        <w:spacing w:line="500" w:lineRule="exact"/>
        <w:ind w:firstLine="210" w:firstLineChars="100"/>
        <w:rPr>
          <w:rFonts w:hint="eastAsia" w:ascii="宋体" w:hAnsi="宋体" w:cs="宋体"/>
          <w:highlight w:val="none"/>
        </w:rPr>
      </w:pP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宋体"/>
          <w:highlight w:val="none"/>
        </w:rPr>
        <w:t>2、供应商认为其为小型或微型企业的应提交本函，明确企业类型并提供最近年度经审计的财务报表及政府相关部门出具的证明材料，否则评审时不能享受相应的价格扣除。</w:t>
      </w:r>
    </w:p>
    <w:p>
      <w:pPr>
        <w:spacing w:before="312" w:beforeLines="100" w:after="156" w:afterLines="50"/>
        <w:outlineLvl w:val="0"/>
        <w:rPr>
          <w:rFonts w:ascii="宋体" w:hAnsi="宋体" w:cs="宋体"/>
          <w:b/>
          <w:sz w:val="28"/>
          <w:szCs w:val="28"/>
          <w:highlight w:val="none"/>
        </w:rPr>
      </w:pPr>
    </w:p>
    <w:p>
      <w:pPr>
        <w:pStyle w:val="2"/>
        <w:rPr>
          <w:rFonts w:ascii="宋体" w:hAnsi="宋体" w:cs="宋体"/>
          <w:b/>
          <w:sz w:val="28"/>
          <w:szCs w:val="28"/>
          <w:highlight w:val="none"/>
        </w:rPr>
      </w:pPr>
    </w:p>
    <w:p>
      <w:pPr>
        <w:pStyle w:val="2"/>
        <w:rPr>
          <w:rFonts w:ascii="宋体" w:hAnsi="宋体" w:cs="宋体"/>
          <w:b/>
          <w:sz w:val="28"/>
          <w:szCs w:val="28"/>
          <w:highlight w:val="none"/>
        </w:rPr>
      </w:pPr>
    </w:p>
    <w:p>
      <w:pPr>
        <w:pStyle w:val="2"/>
        <w:rPr>
          <w:rFonts w:ascii="宋体" w:hAnsi="宋体" w:cs="宋体"/>
          <w:b/>
          <w:sz w:val="28"/>
          <w:szCs w:val="28"/>
          <w:highlight w:val="none"/>
        </w:rPr>
      </w:pPr>
    </w:p>
    <w:p>
      <w:pPr>
        <w:spacing w:line="550" w:lineRule="exact"/>
        <w:rPr>
          <w:rFonts w:ascii="宋体" w:hAnsi="宋体" w:cs="宋体"/>
          <w:b/>
          <w:bCs/>
          <w:sz w:val="32"/>
          <w:szCs w:val="32"/>
          <w:highlight w:val="none"/>
        </w:rPr>
      </w:pPr>
      <w:r>
        <w:rPr>
          <w:rFonts w:hint="eastAsia" w:ascii="宋体" w:hAnsi="宋体" w:cs="宋体"/>
          <w:b/>
          <w:sz w:val="28"/>
          <w:szCs w:val="28"/>
          <w:highlight w:val="none"/>
        </w:rPr>
        <w:t xml:space="preserve">附件3：                  </w:t>
      </w:r>
      <w:r>
        <w:rPr>
          <w:rFonts w:hint="eastAsia" w:ascii="宋体" w:hAnsi="宋体" w:cs="宋体"/>
          <w:b/>
          <w:bCs/>
          <w:sz w:val="32"/>
          <w:szCs w:val="32"/>
          <w:highlight w:val="none"/>
        </w:rPr>
        <w:t>磋商担保函</w:t>
      </w:r>
    </w:p>
    <w:p>
      <w:pPr>
        <w:rPr>
          <w:rFonts w:ascii="宋体" w:hAnsi="宋体" w:cs="宋体"/>
          <w:szCs w:val="32"/>
          <w:highlight w:val="none"/>
        </w:rPr>
      </w:pPr>
      <w:r>
        <w:rPr>
          <w:rFonts w:hint="eastAsia" w:ascii="宋体" w:hAnsi="宋体" w:cs="宋体"/>
          <w:szCs w:val="32"/>
          <w:highlight w:val="none"/>
        </w:rPr>
        <w:t xml:space="preserve">                                         </w:t>
      </w:r>
    </w:p>
    <w:p>
      <w:pPr>
        <w:jc w:val="center"/>
        <w:rPr>
          <w:rFonts w:ascii="宋体" w:hAnsi="宋体" w:cs="宋体"/>
          <w:szCs w:val="32"/>
          <w:highlight w:val="none"/>
        </w:rPr>
      </w:pPr>
      <w:r>
        <w:rPr>
          <w:rFonts w:hint="eastAsia" w:ascii="宋体" w:hAnsi="宋体" w:cs="宋体"/>
          <w:szCs w:val="32"/>
          <w:highlight w:val="none"/>
        </w:rPr>
        <w:t xml:space="preserve">                     </w:t>
      </w:r>
      <w:r>
        <w:rPr>
          <w:rFonts w:hint="eastAsia" w:ascii="宋体" w:hAnsi="宋体" w:cs="宋体"/>
          <w:szCs w:val="24"/>
          <w:highlight w:val="none"/>
        </w:rPr>
        <w:t xml:space="preserve">         编号： </w:t>
      </w:r>
    </w:p>
    <w:p>
      <w:pPr>
        <w:rPr>
          <w:rFonts w:ascii="宋体" w:hAnsi="宋体" w:cs="宋体"/>
          <w:szCs w:val="32"/>
          <w:highlight w:val="none"/>
          <w:u w:val="single"/>
        </w:rPr>
      </w:pPr>
    </w:p>
    <w:p>
      <w:pPr>
        <w:spacing w:line="360" w:lineRule="auto"/>
        <w:rPr>
          <w:rFonts w:ascii="宋体" w:hAnsi="宋体" w:cs="宋体"/>
          <w:szCs w:val="24"/>
          <w:highlight w:val="none"/>
        </w:rPr>
      </w:pPr>
      <w:r>
        <w:rPr>
          <w:rFonts w:hint="eastAsia" w:ascii="宋体" w:hAnsi="宋体" w:cs="宋体"/>
          <w:szCs w:val="24"/>
          <w:highlight w:val="none"/>
        </w:rPr>
        <w:t xml:space="preserve">___________________（采购人或采购代理机构）： </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鉴于_______________（以下简称“供应商”）拟参加编号为___________的________________________项目（以下简称“本项目”）磋商，根据本项目竞争性磋商文件，供应商参加磋商时应向你方交纳磋商保证金，且可以磋商担保函的形式交纳磋商保证金。应供应商的申请，我方以保证的方式向你方提供如下磋商保证金担保： </w:t>
      </w:r>
    </w:p>
    <w:p>
      <w:pPr>
        <w:spacing w:line="360" w:lineRule="auto"/>
        <w:rPr>
          <w:rFonts w:ascii="宋体" w:hAnsi="宋体" w:cs="宋体"/>
          <w:b/>
          <w:szCs w:val="24"/>
          <w:highlight w:val="none"/>
        </w:rPr>
      </w:pPr>
      <w:r>
        <w:rPr>
          <w:rFonts w:hint="eastAsia" w:ascii="宋体" w:hAnsi="宋体" w:cs="宋体"/>
          <w:szCs w:val="24"/>
          <w:highlight w:val="none"/>
        </w:rPr>
        <w:t xml:space="preserve">   </w:t>
      </w:r>
      <w:r>
        <w:rPr>
          <w:rFonts w:hint="eastAsia" w:ascii="宋体" w:hAnsi="宋体" w:cs="宋体"/>
          <w:b/>
          <w:szCs w:val="24"/>
          <w:highlight w:val="none"/>
        </w:rPr>
        <w:t xml:space="preserve"> 一、保证责任的情形及保证金额 </w:t>
      </w:r>
    </w:p>
    <w:p>
      <w:pPr>
        <w:spacing w:line="360" w:lineRule="auto"/>
        <w:rPr>
          <w:rFonts w:ascii="宋体" w:hAnsi="宋体" w:cs="宋体"/>
          <w:szCs w:val="24"/>
          <w:highlight w:val="none"/>
        </w:rPr>
      </w:pPr>
      <w:r>
        <w:rPr>
          <w:rFonts w:hint="eastAsia" w:ascii="宋体" w:hAnsi="宋体" w:cs="宋体"/>
          <w:szCs w:val="24"/>
          <w:highlight w:val="none"/>
        </w:rPr>
        <w:t xml:space="preserve">   （一）在供应商出现下列情形之一时，我方承担保证责任： </w:t>
      </w:r>
    </w:p>
    <w:p>
      <w:pPr>
        <w:spacing w:line="360" w:lineRule="auto"/>
        <w:rPr>
          <w:rFonts w:ascii="宋体" w:hAnsi="宋体" w:cs="宋体"/>
          <w:szCs w:val="24"/>
          <w:highlight w:val="none"/>
        </w:rPr>
      </w:pPr>
      <w:r>
        <w:rPr>
          <w:rFonts w:hint="eastAsia" w:ascii="宋体" w:hAnsi="宋体" w:cs="宋体"/>
          <w:szCs w:val="24"/>
          <w:highlight w:val="none"/>
        </w:rPr>
        <w:t xml:space="preserve">    1．中标后供应商无正当理由不与采购人或者采购代理机构签订《政府采购合同》； </w:t>
      </w:r>
    </w:p>
    <w:p>
      <w:pPr>
        <w:spacing w:line="360" w:lineRule="auto"/>
        <w:rPr>
          <w:rFonts w:ascii="宋体" w:hAnsi="宋体" w:cs="宋体"/>
          <w:szCs w:val="24"/>
          <w:highlight w:val="none"/>
        </w:rPr>
      </w:pPr>
      <w:r>
        <w:rPr>
          <w:rFonts w:hint="eastAsia" w:ascii="宋体" w:hAnsi="宋体" w:cs="宋体"/>
          <w:szCs w:val="24"/>
          <w:highlight w:val="none"/>
        </w:rPr>
        <w:t xml:space="preserve">    2．竞争性磋商文件规定的供应商应当缴纳保证金的其他情形。 </w:t>
      </w:r>
    </w:p>
    <w:p>
      <w:pPr>
        <w:spacing w:line="360" w:lineRule="auto"/>
        <w:ind w:firstLine="420" w:firstLineChars="200"/>
        <w:jc w:val="left"/>
        <w:rPr>
          <w:rFonts w:ascii="宋体" w:hAnsi="宋体" w:cs="宋体"/>
          <w:szCs w:val="24"/>
          <w:highlight w:val="none"/>
        </w:rPr>
      </w:pPr>
      <w:r>
        <w:rPr>
          <w:rFonts w:hint="eastAsia" w:ascii="宋体" w:hAnsi="宋体" w:cs="宋体"/>
          <w:szCs w:val="24"/>
          <w:highlight w:val="none"/>
        </w:rPr>
        <w:t xml:space="preserve">  （二）我方承担保证责任的最高金额为人民币______元（大写_____________），即本项目的磋商保证金金额。 </w:t>
      </w:r>
    </w:p>
    <w:p>
      <w:pPr>
        <w:spacing w:line="360" w:lineRule="auto"/>
        <w:rPr>
          <w:rFonts w:ascii="宋体" w:hAnsi="宋体" w:cs="宋体"/>
          <w:b/>
          <w:szCs w:val="24"/>
          <w:highlight w:val="none"/>
        </w:rPr>
      </w:pPr>
      <w:r>
        <w:rPr>
          <w:rFonts w:hint="eastAsia" w:ascii="宋体" w:hAnsi="宋体" w:cs="宋体"/>
          <w:szCs w:val="24"/>
          <w:highlight w:val="none"/>
        </w:rPr>
        <w:t xml:space="preserve">   </w:t>
      </w:r>
      <w:r>
        <w:rPr>
          <w:rFonts w:hint="eastAsia" w:ascii="宋体" w:hAnsi="宋体" w:cs="宋体"/>
          <w:b/>
          <w:szCs w:val="24"/>
          <w:highlight w:val="none"/>
        </w:rPr>
        <w:t xml:space="preserve"> 二、保证的方式及保证期间 </w:t>
      </w:r>
    </w:p>
    <w:p>
      <w:pPr>
        <w:spacing w:line="360" w:lineRule="auto"/>
        <w:rPr>
          <w:rFonts w:ascii="宋体" w:hAnsi="宋体" w:cs="宋体"/>
          <w:szCs w:val="24"/>
          <w:highlight w:val="none"/>
        </w:rPr>
      </w:pPr>
      <w:r>
        <w:rPr>
          <w:rFonts w:hint="eastAsia" w:ascii="宋体" w:hAnsi="宋体" w:cs="宋体"/>
          <w:szCs w:val="24"/>
          <w:highlight w:val="none"/>
        </w:rPr>
        <w:t xml:space="preserve">    我方保证的方式为：连带责任保证。 </w:t>
      </w:r>
    </w:p>
    <w:p>
      <w:pPr>
        <w:spacing w:line="360" w:lineRule="auto"/>
        <w:rPr>
          <w:rFonts w:ascii="宋体" w:hAnsi="宋体" w:cs="宋体"/>
          <w:szCs w:val="24"/>
          <w:highlight w:val="none"/>
        </w:rPr>
      </w:pPr>
      <w:r>
        <w:rPr>
          <w:rFonts w:hint="eastAsia" w:ascii="宋体" w:hAnsi="宋体" w:cs="宋体"/>
          <w:szCs w:val="24"/>
          <w:highlight w:val="none"/>
        </w:rPr>
        <w:t xml:space="preserve">    我方的保证期间为：自本保函生效之日起______个月止。 </w:t>
      </w:r>
    </w:p>
    <w:p>
      <w:pPr>
        <w:spacing w:line="360" w:lineRule="auto"/>
        <w:rPr>
          <w:rFonts w:ascii="宋体" w:hAnsi="宋体" w:cs="宋体"/>
          <w:b/>
          <w:szCs w:val="24"/>
          <w:highlight w:val="none"/>
        </w:rPr>
      </w:pPr>
      <w:r>
        <w:rPr>
          <w:rFonts w:hint="eastAsia" w:ascii="宋体" w:hAnsi="宋体" w:cs="宋体"/>
          <w:szCs w:val="24"/>
          <w:highlight w:val="none"/>
        </w:rPr>
        <w:t xml:space="preserve">   </w:t>
      </w:r>
      <w:r>
        <w:rPr>
          <w:rFonts w:hint="eastAsia" w:ascii="宋体" w:hAnsi="宋体" w:cs="宋体"/>
          <w:b/>
          <w:szCs w:val="24"/>
          <w:highlight w:val="none"/>
        </w:rPr>
        <w:t xml:space="preserve"> 三、承担保证责任的程序 </w:t>
      </w:r>
    </w:p>
    <w:p>
      <w:pPr>
        <w:spacing w:line="360" w:lineRule="auto"/>
        <w:rPr>
          <w:rFonts w:ascii="宋体" w:hAnsi="宋体" w:cs="宋体"/>
          <w:szCs w:val="24"/>
          <w:highlight w:val="none"/>
        </w:rPr>
      </w:pPr>
      <w:r>
        <w:rPr>
          <w:rFonts w:hint="eastAsia" w:ascii="宋体" w:hAnsi="宋体" w:cs="宋体"/>
          <w:szCs w:val="24"/>
          <w:highlight w:val="none"/>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pPr>
        <w:spacing w:line="360" w:lineRule="auto"/>
        <w:rPr>
          <w:rFonts w:ascii="宋体" w:hAnsi="宋体" w:cs="宋体"/>
          <w:szCs w:val="24"/>
          <w:highlight w:val="none"/>
        </w:rPr>
      </w:pPr>
      <w:r>
        <w:rPr>
          <w:rFonts w:hint="eastAsia" w:ascii="宋体" w:hAnsi="宋体" w:cs="宋体"/>
          <w:szCs w:val="24"/>
          <w:highlight w:val="none"/>
        </w:rPr>
        <w:t xml:space="preserve">    2．我方在收到索赔通知及相关证明材料后，在_____个工作日内进行审查，符合应承担保证责任情形的，我方应按照你方的要求代供应商向你方支付磋商保证金。 </w:t>
      </w:r>
    </w:p>
    <w:p>
      <w:pPr>
        <w:spacing w:line="360" w:lineRule="auto"/>
        <w:rPr>
          <w:rFonts w:ascii="宋体" w:hAnsi="宋体" w:cs="宋体"/>
          <w:b/>
          <w:szCs w:val="24"/>
          <w:highlight w:val="none"/>
        </w:rPr>
      </w:pPr>
      <w:r>
        <w:rPr>
          <w:rFonts w:hint="eastAsia" w:ascii="宋体" w:hAnsi="宋体" w:cs="宋体"/>
          <w:b/>
          <w:szCs w:val="24"/>
          <w:highlight w:val="none"/>
        </w:rPr>
        <w:t xml:space="preserve">    四、保证责任的终止 </w:t>
      </w:r>
    </w:p>
    <w:p>
      <w:pPr>
        <w:spacing w:line="360" w:lineRule="auto"/>
        <w:rPr>
          <w:rFonts w:ascii="宋体" w:hAnsi="宋体" w:cs="宋体"/>
          <w:szCs w:val="24"/>
          <w:highlight w:val="none"/>
        </w:rPr>
      </w:pPr>
      <w:r>
        <w:rPr>
          <w:rFonts w:hint="eastAsia" w:ascii="宋体" w:hAnsi="宋体" w:cs="宋体"/>
          <w:szCs w:val="24"/>
          <w:highlight w:val="none"/>
        </w:rPr>
        <w:t xml:space="preserve">    1．保证期间届满你方未向我方书面主张保证责任的，自保证期间届满次日起，我方保证责任自动终止。 </w:t>
      </w:r>
    </w:p>
    <w:p>
      <w:pPr>
        <w:spacing w:line="360" w:lineRule="auto"/>
        <w:rPr>
          <w:rFonts w:ascii="宋体" w:hAnsi="宋体" w:cs="宋体"/>
          <w:szCs w:val="24"/>
          <w:highlight w:val="none"/>
        </w:rPr>
      </w:pPr>
      <w:r>
        <w:rPr>
          <w:rFonts w:hint="eastAsia" w:ascii="宋体" w:hAnsi="宋体" w:cs="宋体"/>
          <w:szCs w:val="24"/>
          <w:highlight w:val="none"/>
        </w:rPr>
        <w:t xml:space="preserve">    2．我方按照本保函向你方履行了保证责任后，自我方向你方支付款项（支付款项从我方账户划出）之日起，保证责任终止。 </w:t>
      </w:r>
    </w:p>
    <w:p>
      <w:pPr>
        <w:spacing w:line="360" w:lineRule="auto"/>
        <w:rPr>
          <w:rFonts w:ascii="宋体" w:hAnsi="宋体" w:cs="宋体"/>
          <w:szCs w:val="24"/>
          <w:highlight w:val="none"/>
        </w:rPr>
      </w:pPr>
      <w:r>
        <w:rPr>
          <w:rFonts w:hint="eastAsia" w:ascii="宋体" w:hAnsi="宋体" w:cs="宋体"/>
          <w:szCs w:val="24"/>
          <w:highlight w:val="none"/>
        </w:rPr>
        <w:t xml:space="preserve">    3．按照法律法规的规定或出现我方保证责任终止的其它情形的，我方在本保函项下的保证责任亦终止。 </w:t>
      </w:r>
    </w:p>
    <w:p>
      <w:pPr>
        <w:spacing w:line="360" w:lineRule="auto"/>
        <w:rPr>
          <w:rFonts w:ascii="宋体" w:hAnsi="宋体" w:cs="宋体"/>
          <w:b/>
          <w:szCs w:val="24"/>
          <w:highlight w:val="none"/>
        </w:rPr>
      </w:pPr>
      <w:r>
        <w:rPr>
          <w:rFonts w:hint="eastAsia" w:ascii="宋体" w:hAnsi="宋体" w:cs="宋体"/>
          <w:b/>
          <w:szCs w:val="24"/>
          <w:highlight w:val="none"/>
        </w:rPr>
        <w:t xml:space="preserve">    五、免责条款 </w:t>
      </w:r>
    </w:p>
    <w:p>
      <w:pPr>
        <w:spacing w:line="360" w:lineRule="auto"/>
        <w:rPr>
          <w:rFonts w:ascii="宋体" w:hAnsi="宋体" w:cs="宋体"/>
          <w:szCs w:val="24"/>
          <w:highlight w:val="none"/>
        </w:rPr>
      </w:pPr>
      <w:r>
        <w:rPr>
          <w:rFonts w:hint="eastAsia" w:ascii="宋体" w:hAnsi="宋体" w:cs="宋体"/>
          <w:szCs w:val="24"/>
          <w:highlight w:val="none"/>
        </w:rPr>
        <w:t xml:space="preserve">    1．依照法律规定或你方与供应商的另行约定，全部或者部分免除供应商磋商保证金义务时，我方亦免除相应的保证责任。 </w:t>
      </w:r>
    </w:p>
    <w:p>
      <w:pPr>
        <w:spacing w:line="360" w:lineRule="auto"/>
        <w:rPr>
          <w:rFonts w:ascii="宋体" w:hAnsi="宋体" w:cs="宋体"/>
          <w:szCs w:val="24"/>
          <w:highlight w:val="none"/>
        </w:rPr>
      </w:pPr>
      <w:r>
        <w:rPr>
          <w:rFonts w:hint="eastAsia" w:ascii="宋体" w:hAnsi="宋体" w:cs="宋体"/>
          <w:szCs w:val="24"/>
          <w:highlight w:val="none"/>
        </w:rPr>
        <w:t xml:space="preserve">    2．因你方原因致使供应商发生本保函第一条第（一）款约定情形的，我方不承担保证责任。 </w:t>
      </w:r>
    </w:p>
    <w:p>
      <w:pPr>
        <w:spacing w:line="360" w:lineRule="auto"/>
        <w:rPr>
          <w:rFonts w:ascii="宋体" w:hAnsi="宋体" w:cs="宋体"/>
          <w:szCs w:val="24"/>
          <w:highlight w:val="none"/>
        </w:rPr>
      </w:pPr>
      <w:r>
        <w:rPr>
          <w:rFonts w:hint="eastAsia" w:ascii="宋体" w:hAnsi="宋体" w:cs="宋体"/>
          <w:szCs w:val="24"/>
          <w:highlight w:val="none"/>
        </w:rPr>
        <w:t xml:space="preserve">    3．因不可抗力造成供应商发生本保函第一条约定情形的，我方不承担保证责任。 </w:t>
      </w:r>
    </w:p>
    <w:p>
      <w:pPr>
        <w:spacing w:line="360" w:lineRule="auto"/>
        <w:rPr>
          <w:rFonts w:ascii="宋体" w:hAnsi="宋体" w:cs="宋体"/>
          <w:szCs w:val="24"/>
          <w:highlight w:val="none"/>
        </w:rPr>
      </w:pPr>
      <w:r>
        <w:rPr>
          <w:rFonts w:hint="eastAsia" w:ascii="宋体" w:hAnsi="宋体" w:cs="宋体"/>
          <w:szCs w:val="24"/>
          <w:highlight w:val="none"/>
        </w:rPr>
        <w:t xml:space="preserve">    4．你方或其他有权机关对竞争性磋商文件进行任何澄清或修改，加重我方保证责任的，我方对加重部分不承担保证责任，但该澄清或修改经我方事先书面同意的除外。 </w:t>
      </w:r>
    </w:p>
    <w:p>
      <w:pPr>
        <w:spacing w:line="360" w:lineRule="auto"/>
        <w:rPr>
          <w:rFonts w:ascii="宋体" w:hAnsi="宋体" w:cs="宋体"/>
          <w:b/>
          <w:szCs w:val="24"/>
          <w:highlight w:val="none"/>
        </w:rPr>
      </w:pPr>
      <w:r>
        <w:rPr>
          <w:rFonts w:hint="eastAsia" w:ascii="宋体" w:hAnsi="宋体" w:cs="宋体"/>
          <w:szCs w:val="24"/>
          <w:highlight w:val="none"/>
        </w:rPr>
        <w:t xml:space="preserve">   </w:t>
      </w:r>
      <w:r>
        <w:rPr>
          <w:rFonts w:hint="eastAsia" w:ascii="宋体" w:hAnsi="宋体" w:cs="宋体"/>
          <w:b/>
          <w:szCs w:val="24"/>
          <w:highlight w:val="none"/>
        </w:rPr>
        <w:t xml:space="preserve"> 六、争议的解决 </w:t>
      </w:r>
    </w:p>
    <w:p>
      <w:pPr>
        <w:spacing w:line="360" w:lineRule="auto"/>
        <w:rPr>
          <w:rFonts w:ascii="宋体" w:hAnsi="宋体" w:cs="宋体"/>
          <w:szCs w:val="24"/>
          <w:highlight w:val="none"/>
        </w:rPr>
      </w:pPr>
      <w:r>
        <w:rPr>
          <w:rFonts w:hint="eastAsia" w:ascii="宋体" w:hAnsi="宋体" w:cs="宋体"/>
          <w:szCs w:val="24"/>
          <w:highlight w:val="none"/>
        </w:rPr>
        <w:t xml:space="preserve">    因本保函发生的纠纷，由你我双方协商解决，协商不成的，通过诉讼程序解决，诉讼管辖地法院为________________法院。 </w:t>
      </w:r>
    </w:p>
    <w:p>
      <w:pPr>
        <w:spacing w:line="360" w:lineRule="auto"/>
        <w:rPr>
          <w:rFonts w:ascii="宋体" w:hAnsi="宋体" w:cs="宋体"/>
          <w:b/>
          <w:szCs w:val="24"/>
          <w:highlight w:val="none"/>
        </w:rPr>
      </w:pPr>
      <w:r>
        <w:rPr>
          <w:rFonts w:hint="eastAsia" w:ascii="宋体" w:hAnsi="宋体" w:cs="宋体"/>
          <w:b/>
          <w:szCs w:val="24"/>
          <w:highlight w:val="none"/>
        </w:rPr>
        <w:t xml:space="preserve">    七、保函的生效 </w:t>
      </w:r>
    </w:p>
    <w:p>
      <w:pPr>
        <w:spacing w:line="360" w:lineRule="auto"/>
        <w:rPr>
          <w:rFonts w:ascii="宋体" w:hAnsi="宋体" w:cs="宋体"/>
          <w:szCs w:val="24"/>
          <w:highlight w:val="none"/>
        </w:rPr>
      </w:pPr>
      <w:r>
        <w:rPr>
          <w:rFonts w:hint="eastAsia" w:ascii="宋体" w:hAnsi="宋体" w:cs="宋体"/>
          <w:szCs w:val="24"/>
          <w:highlight w:val="none"/>
        </w:rPr>
        <w:t xml:space="preserve">    本保函自我方加盖公章之日起生效。 </w:t>
      </w:r>
    </w:p>
    <w:p>
      <w:pPr>
        <w:spacing w:line="360" w:lineRule="auto"/>
        <w:rPr>
          <w:rFonts w:ascii="宋体" w:hAnsi="宋体" w:cs="宋体"/>
          <w:szCs w:val="24"/>
          <w:highlight w:val="none"/>
        </w:rPr>
      </w:pPr>
      <w:r>
        <w:rPr>
          <w:rFonts w:hint="eastAsia" w:ascii="宋体" w:hAnsi="宋体" w:cs="宋体"/>
          <w:szCs w:val="24"/>
          <w:highlight w:val="none"/>
        </w:rPr>
        <w:t xml:space="preserve">                             </w:t>
      </w:r>
    </w:p>
    <w:p>
      <w:pPr>
        <w:spacing w:line="360" w:lineRule="auto"/>
        <w:rPr>
          <w:rFonts w:ascii="宋体" w:hAnsi="宋体" w:cs="宋体"/>
          <w:szCs w:val="24"/>
          <w:highlight w:val="none"/>
        </w:rPr>
      </w:pPr>
    </w:p>
    <w:p>
      <w:pPr>
        <w:spacing w:line="360" w:lineRule="auto"/>
        <w:rPr>
          <w:rFonts w:ascii="宋体" w:hAnsi="宋体" w:cs="宋体"/>
          <w:szCs w:val="24"/>
          <w:highlight w:val="none"/>
        </w:rPr>
      </w:pPr>
      <w:r>
        <w:rPr>
          <w:rFonts w:hint="eastAsia" w:ascii="宋体" w:hAnsi="宋体" w:cs="宋体"/>
          <w:szCs w:val="24"/>
          <w:highlight w:val="none"/>
        </w:rPr>
        <w:t xml:space="preserve">                                </w:t>
      </w:r>
    </w:p>
    <w:p>
      <w:pPr>
        <w:spacing w:line="360" w:lineRule="auto"/>
        <w:rPr>
          <w:rFonts w:ascii="宋体" w:hAnsi="宋体" w:cs="宋体"/>
          <w:szCs w:val="24"/>
          <w:highlight w:val="none"/>
        </w:rPr>
      </w:pPr>
    </w:p>
    <w:p>
      <w:pPr>
        <w:spacing w:line="360" w:lineRule="auto"/>
        <w:ind w:right="640" w:firstLine="3360" w:firstLineChars="1600"/>
        <w:rPr>
          <w:rFonts w:ascii="宋体" w:hAnsi="宋体" w:cs="宋体"/>
          <w:szCs w:val="24"/>
          <w:highlight w:val="none"/>
        </w:rPr>
      </w:pPr>
      <w:r>
        <w:rPr>
          <w:rFonts w:hint="eastAsia" w:ascii="宋体" w:hAnsi="宋体" w:cs="宋体"/>
          <w:szCs w:val="24"/>
          <w:highlight w:val="none"/>
        </w:rPr>
        <w:t>保证人：（公章）</w:t>
      </w:r>
    </w:p>
    <w:p>
      <w:pPr>
        <w:spacing w:line="360" w:lineRule="auto"/>
        <w:ind w:right="640"/>
        <w:rPr>
          <w:rFonts w:ascii="宋体" w:hAnsi="宋体" w:cs="宋体"/>
          <w:szCs w:val="24"/>
          <w:highlight w:val="none"/>
        </w:rPr>
      </w:pPr>
      <w:r>
        <w:rPr>
          <w:rFonts w:hint="eastAsia" w:ascii="宋体" w:hAnsi="宋体" w:cs="宋体"/>
          <w:szCs w:val="24"/>
          <w:highlight w:val="none"/>
        </w:rPr>
        <w:t xml:space="preserve">                              年     月      日</w:t>
      </w:r>
    </w:p>
    <w:p>
      <w:pPr>
        <w:tabs>
          <w:tab w:val="left" w:pos="7839"/>
        </w:tabs>
        <w:rPr>
          <w:rFonts w:ascii="宋体" w:hAnsi="宋体" w:cs="宋体"/>
          <w:szCs w:val="24"/>
          <w:highlight w:val="none"/>
        </w:rPr>
      </w:pPr>
      <w:r>
        <w:rPr>
          <w:rFonts w:hint="eastAsia" w:ascii="宋体" w:hAnsi="宋体" w:cs="宋体"/>
          <w:szCs w:val="24"/>
          <w:highlight w:val="none"/>
        </w:rPr>
        <w:tab/>
      </w:r>
    </w:p>
    <w:p>
      <w:pPr>
        <w:spacing w:before="100" w:beforeAutospacing="1" w:after="156" w:afterLines="50" w:line="360" w:lineRule="auto"/>
        <w:rPr>
          <w:rFonts w:ascii="宋体" w:hAnsi="宋体" w:cs="宋体"/>
          <w:b/>
          <w:bCs/>
          <w:spacing w:val="6"/>
          <w:sz w:val="28"/>
          <w:szCs w:val="28"/>
          <w:highlight w:val="none"/>
        </w:rPr>
      </w:pPr>
      <w:r>
        <w:rPr>
          <w:rFonts w:hint="eastAsia" w:ascii="宋体" w:hAnsi="宋体" w:cs="宋体"/>
          <w:b/>
          <w:bCs/>
          <w:spacing w:val="6"/>
          <w:sz w:val="28"/>
          <w:szCs w:val="28"/>
          <w:highlight w:val="none"/>
        </w:rPr>
        <w:br w:type="page"/>
      </w:r>
      <w:r>
        <w:rPr>
          <w:rFonts w:hint="eastAsia" w:ascii="宋体" w:hAnsi="宋体" w:cs="宋体"/>
          <w:b/>
          <w:bCs/>
          <w:spacing w:val="6"/>
          <w:sz w:val="28"/>
          <w:szCs w:val="28"/>
          <w:highlight w:val="none"/>
        </w:rPr>
        <w:t>附件4（如有）：</w:t>
      </w:r>
    </w:p>
    <w:p>
      <w:pPr>
        <w:spacing w:line="588" w:lineRule="exact"/>
        <w:jc w:val="center"/>
        <w:rPr>
          <w:rFonts w:ascii="宋体" w:hAnsi="宋体" w:cs="宋体"/>
          <w:b/>
          <w:spacing w:val="6"/>
          <w:sz w:val="32"/>
          <w:szCs w:val="32"/>
          <w:highlight w:val="none"/>
        </w:rPr>
      </w:pPr>
      <w:bookmarkStart w:id="116" w:name="OLE_LINK13"/>
      <w:bookmarkStart w:id="117" w:name="OLE_LINK14"/>
      <w:r>
        <w:rPr>
          <w:rFonts w:hint="eastAsia" w:ascii="宋体" w:hAnsi="宋体" w:cs="宋体"/>
          <w:b/>
          <w:spacing w:val="6"/>
          <w:sz w:val="32"/>
          <w:szCs w:val="32"/>
          <w:highlight w:val="none"/>
        </w:rPr>
        <w:t>残疾人福利性单位声明函</w:t>
      </w:r>
    </w:p>
    <w:bookmarkEnd w:id="116"/>
    <w:bookmarkEnd w:id="117"/>
    <w:p>
      <w:pPr>
        <w:spacing w:line="588" w:lineRule="exact"/>
        <w:rPr>
          <w:rFonts w:ascii="宋体" w:hAnsi="宋体" w:cs="宋体"/>
          <w:b/>
          <w:spacing w:val="6"/>
          <w:sz w:val="28"/>
          <w:szCs w:val="28"/>
          <w:highlight w:val="none"/>
        </w:rPr>
      </w:pPr>
    </w:p>
    <w:p>
      <w:pPr>
        <w:spacing w:line="588" w:lineRule="exact"/>
        <w:ind w:firstLine="444" w:firstLineChars="200"/>
        <w:rPr>
          <w:rFonts w:ascii="宋体" w:hAnsi="宋体" w:cs="宋体"/>
          <w:spacing w:val="6"/>
          <w:szCs w:val="24"/>
          <w:highlight w:val="none"/>
        </w:rPr>
      </w:pPr>
      <w:r>
        <w:rPr>
          <w:rFonts w:hint="eastAsia" w:ascii="宋体" w:hAnsi="宋体" w:cs="宋体"/>
          <w:spacing w:val="6"/>
          <w:szCs w:val="24"/>
          <w:highlight w:val="none"/>
        </w:rPr>
        <w:t>本单位郑重声明，根据《财政部 民政部 中国残疾人联合会关于促进残疾人就业政府采购政策的通知》（财库</w:t>
      </w:r>
      <w:r>
        <w:rPr>
          <w:rFonts w:hint="eastAsia" w:ascii="宋体" w:hAnsi="宋体" w:cs="宋体"/>
          <w:szCs w:val="24"/>
          <w:highlight w:val="none"/>
        </w:rPr>
        <w:t>〔2017〕 141</w:t>
      </w:r>
      <w:r>
        <w:rPr>
          <w:rFonts w:hint="eastAsia" w:ascii="宋体"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szCs w:val="24"/>
          <w:highlight w:val="none"/>
        </w:rPr>
      </w:pPr>
      <w:r>
        <w:rPr>
          <w:rFonts w:hint="eastAsia" w:ascii="宋体" w:hAnsi="宋体" w:cs="宋体"/>
          <w:spacing w:val="6"/>
          <w:szCs w:val="24"/>
          <w:highlight w:val="none"/>
        </w:rPr>
        <w:t>本单位对上述声明的真实性负责。如有虚假，将依法承担相应责任。</w:t>
      </w:r>
    </w:p>
    <w:p>
      <w:pPr>
        <w:spacing w:line="588" w:lineRule="exact"/>
        <w:ind w:firstLine="444" w:firstLineChars="200"/>
        <w:rPr>
          <w:rFonts w:ascii="宋体" w:hAnsi="宋体" w:cs="宋体"/>
          <w:spacing w:val="6"/>
          <w:szCs w:val="24"/>
          <w:highlight w:val="none"/>
        </w:rPr>
      </w:pPr>
    </w:p>
    <w:p>
      <w:pPr>
        <w:spacing w:line="588" w:lineRule="exact"/>
        <w:ind w:firstLine="444" w:firstLineChars="200"/>
        <w:rPr>
          <w:rFonts w:ascii="宋体" w:hAnsi="宋体" w:cs="宋体"/>
          <w:spacing w:val="6"/>
          <w:szCs w:val="24"/>
          <w:highlight w:val="none"/>
        </w:rPr>
      </w:pPr>
    </w:p>
    <w:p>
      <w:pPr>
        <w:spacing w:line="588" w:lineRule="exact"/>
        <w:ind w:firstLine="444" w:firstLineChars="200"/>
        <w:rPr>
          <w:rFonts w:ascii="宋体" w:hAnsi="宋体" w:cs="宋体"/>
          <w:spacing w:val="6"/>
          <w:szCs w:val="24"/>
          <w:highlight w:val="none"/>
        </w:rPr>
      </w:pPr>
    </w:p>
    <w:p>
      <w:pPr>
        <w:spacing w:line="588" w:lineRule="exact"/>
        <w:ind w:firstLine="444" w:firstLineChars="200"/>
        <w:rPr>
          <w:rFonts w:ascii="宋体" w:hAnsi="宋体" w:cs="宋体"/>
          <w:spacing w:val="6"/>
          <w:szCs w:val="24"/>
          <w:highlight w:val="none"/>
        </w:rPr>
      </w:pPr>
    </w:p>
    <w:p>
      <w:pPr>
        <w:tabs>
          <w:tab w:val="left" w:pos="4860"/>
        </w:tabs>
        <w:spacing w:line="588" w:lineRule="exact"/>
        <w:ind w:right="1560" w:firstLine="444" w:firstLineChars="200"/>
        <w:jc w:val="center"/>
        <w:rPr>
          <w:rFonts w:ascii="宋体" w:hAnsi="宋体" w:cs="宋体"/>
          <w:spacing w:val="6"/>
          <w:szCs w:val="24"/>
          <w:highlight w:val="none"/>
        </w:rPr>
      </w:pPr>
      <w:r>
        <w:rPr>
          <w:rFonts w:hint="eastAsia" w:ascii="宋体" w:hAnsi="宋体" w:cs="宋体"/>
          <w:spacing w:val="6"/>
          <w:szCs w:val="24"/>
          <w:highlight w:val="none"/>
        </w:rPr>
        <w:t xml:space="preserve">               单位名称（盖章）：</w:t>
      </w:r>
    </w:p>
    <w:p>
      <w:pPr>
        <w:tabs>
          <w:tab w:val="left" w:pos="4860"/>
        </w:tabs>
        <w:spacing w:line="588" w:lineRule="exact"/>
        <w:ind w:right="1560" w:firstLine="444" w:firstLineChars="200"/>
        <w:jc w:val="center"/>
        <w:rPr>
          <w:rFonts w:ascii="宋体" w:hAnsi="宋体" w:cs="宋体"/>
          <w:spacing w:val="6"/>
          <w:szCs w:val="24"/>
          <w:highlight w:val="none"/>
        </w:rPr>
      </w:pPr>
      <w:r>
        <w:rPr>
          <w:rFonts w:hint="eastAsia" w:ascii="宋体" w:hAnsi="宋体" w:cs="宋体"/>
          <w:spacing w:val="6"/>
          <w:szCs w:val="24"/>
          <w:highlight w:val="none"/>
        </w:rPr>
        <w:t xml:space="preserve">       日    期：</w:t>
      </w:r>
    </w:p>
    <w:p>
      <w:pPr>
        <w:tabs>
          <w:tab w:val="left" w:pos="4860"/>
        </w:tabs>
        <w:spacing w:line="588" w:lineRule="exact"/>
        <w:ind w:right="1560" w:firstLine="444" w:firstLineChars="200"/>
        <w:jc w:val="center"/>
        <w:rPr>
          <w:rFonts w:ascii="宋体" w:hAnsi="宋体" w:cs="宋体"/>
          <w:spacing w:val="6"/>
          <w:szCs w:val="24"/>
          <w:highlight w:val="none"/>
        </w:rPr>
      </w:pPr>
      <w:r>
        <w:rPr>
          <w:rFonts w:hint="eastAsia" w:ascii="宋体" w:hAnsi="宋体" w:cs="宋体"/>
          <w:spacing w:val="6"/>
          <w:szCs w:val="24"/>
          <w:highlight w:val="none"/>
        </w:rPr>
        <w:br w:type="page"/>
      </w:r>
    </w:p>
    <w:p>
      <w:pPr>
        <w:tabs>
          <w:tab w:val="left" w:pos="7839"/>
        </w:tabs>
        <w:jc w:val="center"/>
        <w:rPr>
          <w:rFonts w:ascii="宋体" w:hAnsi="宋体" w:cs="宋体"/>
          <w:b/>
          <w:bCs/>
          <w:sz w:val="28"/>
          <w:szCs w:val="28"/>
          <w:highlight w:val="none"/>
        </w:rPr>
      </w:pPr>
      <w:r>
        <w:rPr>
          <w:rFonts w:hint="eastAsia" w:ascii="宋体" w:hAnsi="宋体" w:cs="宋体"/>
          <w:b/>
          <w:bCs/>
          <w:sz w:val="28"/>
          <w:szCs w:val="28"/>
          <w:highlight w:val="none"/>
        </w:rPr>
        <w:t>九、其它</w:t>
      </w:r>
    </w:p>
    <w:p>
      <w:pPr>
        <w:pStyle w:val="2"/>
        <w:spacing w:line="360" w:lineRule="auto"/>
        <w:jc w:val="left"/>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pPr>
        <w:pStyle w:val="2"/>
        <w:spacing w:line="360" w:lineRule="auto"/>
        <w:jc w:val="left"/>
        <w:rPr>
          <w:rFonts w:ascii="宋体" w:hAnsi="宋体" w:cs="宋体"/>
          <w:sz w:val="24"/>
          <w:szCs w:val="24"/>
          <w:highlight w:val="none"/>
        </w:rPr>
      </w:pPr>
      <w:r>
        <w:rPr>
          <w:rFonts w:hint="eastAsia" w:ascii="宋体" w:hAnsi="宋体" w:cs="宋体"/>
          <w:sz w:val="24"/>
          <w:szCs w:val="24"/>
          <w:highlight w:val="none"/>
        </w:rPr>
        <w:t>2、其他可以证明供应商实力的文件</w:t>
      </w:r>
    </w:p>
    <w:p>
      <w:pPr>
        <w:pStyle w:val="2"/>
        <w:spacing w:line="360" w:lineRule="auto"/>
        <w:jc w:val="left"/>
        <w:rPr>
          <w:rFonts w:ascii="宋体" w:hAnsi="宋体" w:cs="宋体"/>
          <w:sz w:val="24"/>
          <w:szCs w:val="24"/>
          <w:highlight w:val="none"/>
        </w:rPr>
      </w:pPr>
    </w:p>
    <w:p>
      <w:pPr>
        <w:pStyle w:val="2"/>
        <w:spacing w:line="360" w:lineRule="auto"/>
        <w:jc w:val="left"/>
        <w:rPr>
          <w:rFonts w:ascii="宋体" w:hAnsi="宋体" w:cs="宋体"/>
          <w:sz w:val="24"/>
          <w:szCs w:val="24"/>
          <w:highlight w:val="none"/>
        </w:rPr>
      </w:pPr>
    </w:p>
    <w:sectPr>
      <w:pgSz w:w="11906" w:h="16838"/>
      <w:pgMar w:top="1417" w:right="1417"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font-weight : 400">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r>
      <w:rPr>
        <w:rFonts w:hint="eastAsia" w:cs="宋体"/>
      </w:rPr>
      <w:t>华夏国际项目管理有限公司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pPr>
    <w:r>
      <w:pict>
        <v:shape id="_x0000_s4097" o:spid="_x0000_s4097" o:spt="202" type="#_x0000_t202" style="position:absolute;left:0pt;margin-left:217.4pt;margin-top:-0.15pt;height:10.35pt;width:9.05pt;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rPr>
        <w:rFonts w:hint="eastAsia" w:cs="宋体"/>
      </w:rPr>
      <w:t xml:space="preserve">华夏国际项目管理有限公司                               </w:t>
    </w:r>
    <w:r>
      <w:rPr>
        <w:rFonts w:hint="eastAsia"/>
      </w:rPr>
      <w:tab/>
    </w:r>
    <w:r>
      <w:rPr>
        <w:rFonts w:hint="eastAsia"/>
      </w:rPr>
      <w:t>地址：西安市高新区科技五路8号数字大厦11楼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251"/>
        <w:tab w:val="clear" w:pos="4153"/>
      </w:tabs>
      <w:jc w:val="both"/>
    </w:pPr>
    <w:r>
      <w:rPr>
        <w:rFonts w:hint="eastAsia" w:hAnsi="宋体"/>
        <w:bCs/>
        <w:lang w:eastAsia="zh-CN"/>
      </w:rPr>
      <w:t>铜川市新区移民（脱贫）搬迁办公室宅基地腾退服务项目</w:t>
    </w:r>
    <w:r>
      <w:rPr>
        <w:rFonts w:hint="eastAsia" w:hAnsi="宋体"/>
        <w:bCs/>
      </w:rPr>
      <w:tab/>
    </w:r>
    <w:r>
      <w:rPr>
        <w:rFonts w:hint="eastAsia" w:ascii="宋体" w:hAnsi="宋体" w:cs="宋体"/>
      </w:rPr>
      <w:t xml:space="preserve">                        </w:t>
    </w:r>
    <w:r>
      <w:rPr>
        <w:rFonts w:hint="eastAsia" w:hAnsi="宋体"/>
        <w:bCs/>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251"/>
        <w:tab w:val="clear" w:pos="4153"/>
      </w:tabs>
      <w:jc w:val="both"/>
    </w:pPr>
    <w:r>
      <w:rPr>
        <w:rFonts w:hint="eastAsia" w:hAnsi="宋体"/>
        <w:bCs/>
        <w:lang w:eastAsia="zh-CN"/>
      </w:rPr>
      <w:t>铜川市新区移民（脱贫）搬迁办公室宅基地腾退服务项目</w:t>
    </w:r>
    <w:r>
      <w:rPr>
        <w:rFonts w:hint="eastAsia" w:hAnsi="宋体"/>
        <w:bCs/>
      </w:rPr>
      <w:tab/>
    </w:r>
    <w:r>
      <w:rPr>
        <w:rFonts w:hint="eastAsia" w:ascii="宋体" w:hAnsi="宋体" w:cs="宋体"/>
      </w:rPr>
      <w:t xml:space="preserve">                        </w:t>
    </w:r>
    <w:r>
      <w:rPr>
        <w:rFonts w:hint="eastAsia" w:hAnsi="宋体"/>
        <w:bCs/>
      </w:rPr>
      <w:t xml:space="preserve"> 竞争性磋商文件</w:t>
    </w:r>
  </w:p>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89DF8D"/>
    <w:multiLevelType w:val="singleLevel"/>
    <w:tmpl w:val="9989DF8D"/>
    <w:lvl w:ilvl="0" w:tentative="0">
      <w:start w:val="5"/>
      <w:numFmt w:val="chineseCounting"/>
      <w:suff w:val="nothing"/>
      <w:lvlText w:val="%1、"/>
      <w:lvlJc w:val="left"/>
      <w:rPr>
        <w:rFonts w:hint="eastAsia"/>
      </w:rPr>
    </w:lvl>
  </w:abstractNum>
  <w:abstractNum w:abstractNumId="1">
    <w:nsid w:val="CA0DA1F4"/>
    <w:multiLevelType w:val="singleLevel"/>
    <w:tmpl w:val="CA0DA1F4"/>
    <w:lvl w:ilvl="0" w:tentative="0">
      <w:start w:val="1"/>
      <w:numFmt w:val="decimal"/>
      <w:suff w:val="nothing"/>
      <w:lvlText w:val="（%1）"/>
      <w:lvlJc w:val="left"/>
    </w:lvl>
  </w:abstractNum>
  <w:abstractNum w:abstractNumId="2">
    <w:nsid w:val="CBA171CF"/>
    <w:multiLevelType w:val="singleLevel"/>
    <w:tmpl w:val="CBA171CF"/>
    <w:lvl w:ilvl="0" w:tentative="0">
      <w:start w:val="1"/>
      <w:numFmt w:val="decimal"/>
      <w:lvlText w:val="%1."/>
      <w:lvlJc w:val="left"/>
      <w:pPr>
        <w:tabs>
          <w:tab w:val="left" w:pos="312"/>
        </w:tabs>
      </w:pPr>
    </w:lvl>
  </w:abstractNum>
  <w:abstractNum w:abstractNumId="3">
    <w:nsid w:val="05B652DA"/>
    <w:multiLevelType w:val="singleLevel"/>
    <w:tmpl w:val="05B652DA"/>
    <w:lvl w:ilvl="0" w:tentative="0">
      <w:start w:val="1"/>
      <w:numFmt w:val="decimalEnclosedCircle"/>
      <w:lvlText w:val="%1"/>
      <w:lvlJc w:val="left"/>
      <w:pPr>
        <w:tabs>
          <w:tab w:val="left" w:pos="810"/>
        </w:tabs>
        <w:ind w:left="810" w:hanging="330"/>
      </w:pPr>
      <w:rPr>
        <w:rFonts w:hint="eastAsia"/>
      </w:rPr>
    </w:lvl>
  </w:abstractNum>
  <w:abstractNum w:abstractNumId="4">
    <w:nsid w:val="240D3E5A"/>
    <w:multiLevelType w:val="singleLevel"/>
    <w:tmpl w:val="240D3E5A"/>
    <w:lvl w:ilvl="0" w:tentative="0">
      <w:start w:val="1"/>
      <w:numFmt w:val="decimal"/>
      <w:lvlText w:val="%1、"/>
      <w:lvlJc w:val="left"/>
      <w:pPr>
        <w:tabs>
          <w:tab w:val="left" w:pos="480"/>
        </w:tabs>
        <w:ind w:left="480" w:hanging="480"/>
      </w:pPr>
      <w:rPr>
        <w:rFonts w:hint="eastAsia"/>
      </w:rPr>
    </w:lvl>
  </w:abstractNum>
  <w:abstractNum w:abstractNumId="5">
    <w:nsid w:val="4C0C1BFB"/>
    <w:multiLevelType w:val="singleLevel"/>
    <w:tmpl w:val="4C0C1BFB"/>
    <w:lvl w:ilvl="0" w:tentative="0">
      <w:start w:val="1"/>
      <w:numFmt w:val="decimal"/>
      <w:lvlText w:val="（%1）"/>
      <w:lvlJc w:val="left"/>
      <w:pPr>
        <w:tabs>
          <w:tab w:val="left" w:pos="810"/>
        </w:tabs>
        <w:ind w:left="810" w:hanging="810"/>
      </w:pPr>
      <w:rPr>
        <w:rFonts w:hint="eastAsia"/>
      </w:rPr>
    </w:lvl>
  </w:abstractNum>
  <w:abstractNum w:abstractNumId="6">
    <w:nsid w:val="5354ECB6"/>
    <w:multiLevelType w:val="singleLevel"/>
    <w:tmpl w:val="5354ECB6"/>
    <w:lvl w:ilvl="0" w:tentative="0">
      <w:start w:val="1"/>
      <w:numFmt w:val="decimal"/>
      <w:suff w:val="nothing"/>
      <w:lvlText w:val="%1、"/>
      <w:lvlJc w:val="left"/>
    </w:lvl>
  </w:abstractNum>
  <w:abstractNum w:abstractNumId="7">
    <w:nsid w:val="5514BF7B"/>
    <w:multiLevelType w:val="singleLevel"/>
    <w:tmpl w:val="5514BF7B"/>
    <w:lvl w:ilvl="0" w:tentative="0">
      <w:start w:val="1"/>
      <w:numFmt w:val="chineseCounting"/>
      <w:suff w:val="nothing"/>
      <w:lvlText w:val="%1、"/>
      <w:lvlJc w:val="left"/>
      <w:rPr>
        <w:rFonts w:cs="Times New Roman"/>
      </w:rPr>
    </w:lvl>
  </w:abstractNum>
  <w:abstractNum w:abstractNumId="8">
    <w:nsid w:val="5846306A"/>
    <w:multiLevelType w:val="singleLevel"/>
    <w:tmpl w:val="5846306A"/>
    <w:lvl w:ilvl="0" w:tentative="0">
      <w:start w:val="1"/>
      <w:numFmt w:val="decimal"/>
      <w:suff w:val="nothing"/>
      <w:lvlText w:val="%1、"/>
      <w:lvlJc w:val="left"/>
    </w:lvl>
  </w:abstractNum>
  <w:abstractNum w:abstractNumId="9">
    <w:nsid w:val="58491603"/>
    <w:multiLevelType w:val="singleLevel"/>
    <w:tmpl w:val="58491603"/>
    <w:lvl w:ilvl="0" w:tentative="0">
      <w:start w:val="1"/>
      <w:numFmt w:val="decimal"/>
      <w:suff w:val="nothing"/>
      <w:lvlText w:val="%1、"/>
      <w:lvlJc w:val="left"/>
    </w:lvl>
  </w:abstractNum>
  <w:abstractNum w:abstractNumId="10">
    <w:nsid w:val="59773F0E"/>
    <w:multiLevelType w:val="singleLevel"/>
    <w:tmpl w:val="59773F0E"/>
    <w:lvl w:ilvl="0" w:tentative="0">
      <w:start w:val="1"/>
      <w:numFmt w:val="decimal"/>
      <w:suff w:val="nothing"/>
      <w:lvlText w:val="%1、"/>
      <w:lvlJc w:val="left"/>
    </w:lvl>
  </w:abstractNum>
  <w:abstractNum w:abstractNumId="11">
    <w:nsid w:val="59CEEE86"/>
    <w:multiLevelType w:val="singleLevel"/>
    <w:tmpl w:val="59CEEE86"/>
    <w:lvl w:ilvl="0" w:tentative="0">
      <w:start w:val="6"/>
      <w:numFmt w:val="chineseCounting"/>
      <w:suff w:val="nothing"/>
      <w:lvlText w:val="%1、"/>
      <w:lvlJc w:val="left"/>
    </w:lvl>
  </w:abstractNum>
  <w:abstractNum w:abstractNumId="12">
    <w:nsid w:val="59CF0981"/>
    <w:multiLevelType w:val="singleLevel"/>
    <w:tmpl w:val="59CF0981"/>
    <w:lvl w:ilvl="0" w:tentative="0">
      <w:start w:val="1"/>
      <w:numFmt w:val="decimal"/>
      <w:suff w:val="nothing"/>
      <w:lvlText w:val="%1、"/>
      <w:lvlJc w:val="left"/>
    </w:lvl>
  </w:abstractNum>
  <w:num w:numId="1">
    <w:abstractNumId w:val="11"/>
  </w:num>
  <w:num w:numId="2">
    <w:abstractNumId w:val="8"/>
  </w:num>
  <w:num w:numId="3">
    <w:abstractNumId w:val="1"/>
  </w:num>
  <w:num w:numId="4">
    <w:abstractNumId w:val="6"/>
  </w:num>
  <w:num w:numId="5">
    <w:abstractNumId w:val="12"/>
  </w:num>
  <w:num w:numId="6">
    <w:abstractNumId w:val="2"/>
  </w:num>
  <w:num w:numId="7">
    <w:abstractNumId w:val="7"/>
  </w:num>
  <w:num w:numId="8">
    <w:abstractNumId w:val="10"/>
  </w:num>
  <w:num w:numId="9">
    <w:abstractNumId w:val="0"/>
  </w:num>
  <w:num w:numId="10">
    <w:abstractNumId w:val="4"/>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B79"/>
    <w:rsid w:val="0000215D"/>
    <w:rsid w:val="00003BCC"/>
    <w:rsid w:val="00003F19"/>
    <w:rsid w:val="0000558E"/>
    <w:rsid w:val="000067FE"/>
    <w:rsid w:val="00006F45"/>
    <w:rsid w:val="00007B0C"/>
    <w:rsid w:val="00010632"/>
    <w:rsid w:val="00010FA5"/>
    <w:rsid w:val="00012150"/>
    <w:rsid w:val="000122FE"/>
    <w:rsid w:val="00013C0B"/>
    <w:rsid w:val="00014D51"/>
    <w:rsid w:val="000150E1"/>
    <w:rsid w:val="0001566F"/>
    <w:rsid w:val="00015A14"/>
    <w:rsid w:val="00016449"/>
    <w:rsid w:val="000207FF"/>
    <w:rsid w:val="00021267"/>
    <w:rsid w:val="0002145E"/>
    <w:rsid w:val="00023783"/>
    <w:rsid w:val="000239F4"/>
    <w:rsid w:val="000250BB"/>
    <w:rsid w:val="000253E5"/>
    <w:rsid w:val="000255CB"/>
    <w:rsid w:val="000261B6"/>
    <w:rsid w:val="000268D2"/>
    <w:rsid w:val="00027D20"/>
    <w:rsid w:val="00031201"/>
    <w:rsid w:val="00034583"/>
    <w:rsid w:val="00034BC2"/>
    <w:rsid w:val="00034C7E"/>
    <w:rsid w:val="00036283"/>
    <w:rsid w:val="00037304"/>
    <w:rsid w:val="000404EA"/>
    <w:rsid w:val="00041B9E"/>
    <w:rsid w:val="00041EDA"/>
    <w:rsid w:val="0004251E"/>
    <w:rsid w:val="00042A62"/>
    <w:rsid w:val="00043948"/>
    <w:rsid w:val="00044508"/>
    <w:rsid w:val="00044AF2"/>
    <w:rsid w:val="00044E7D"/>
    <w:rsid w:val="00045300"/>
    <w:rsid w:val="00045850"/>
    <w:rsid w:val="0005063C"/>
    <w:rsid w:val="00051E3B"/>
    <w:rsid w:val="00051EFE"/>
    <w:rsid w:val="00052AB3"/>
    <w:rsid w:val="00054965"/>
    <w:rsid w:val="00054F2A"/>
    <w:rsid w:val="000566F1"/>
    <w:rsid w:val="00057F94"/>
    <w:rsid w:val="00060ABB"/>
    <w:rsid w:val="00061B72"/>
    <w:rsid w:val="0006202B"/>
    <w:rsid w:val="00062425"/>
    <w:rsid w:val="0006264A"/>
    <w:rsid w:val="00063042"/>
    <w:rsid w:val="00064C8A"/>
    <w:rsid w:val="00067CEF"/>
    <w:rsid w:val="0007163C"/>
    <w:rsid w:val="00072AAF"/>
    <w:rsid w:val="00073176"/>
    <w:rsid w:val="00073C4A"/>
    <w:rsid w:val="000743DF"/>
    <w:rsid w:val="0007508E"/>
    <w:rsid w:val="000757D9"/>
    <w:rsid w:val="00075BFF"/>
    <w:rsid w:val="000766BC"/>
    <w:rsid w:val="00076752"/>
    <w:rsid w:val="00076FBC"/>
    <w:rsid w:val="000775BE"/>
    <w:rsid w:val="000779E0"/>
    <w:rsid w:val="00081F9C"/>
    <w:rsid w:val="000827B7"/>
    <w:rsid w:val="00083F35"/>
    <w:rsid w:val="0008479A"/>
    <w:rsid w:val="0008507C"/>
    <w:rsid w:val="000853F7"/>
    <w:rsid w:val="000858A6"/>
    <w:rsid w:val="000858D9"/>
    <w:rsid w:val="00085F58"/>
    <w:rsid w:val="00086702"/>
    <w:rsid w:val="00086D83"/>
    <w:rsid w:val="00086E59"/>
    <w:rsid w:val="00087B37"/>
    <w:rsid w:val="0009055A"/>
    <w:rsid w:val="00090774"/>
    <w:rsid w:val="00091267"/>
    <w:rsid w:val="00091347"/>
    <w:rsid w:val="00092735"/>
    <w:rsid w:val="00092B1B"/>
    <w:rsid w:val="000951CD"/>
    <w:rsid w:val="000957CC"/>
    <w:rsid w:val="00097DA7"/>
    <w:rsid w:val="000A0454"/>
    <w:rsid w:val="000A1062"/>
    <w:rsid w:val="000A2244"/>
    <w:rsid w:val="000A23E9"/>
    <w:rsid w:val="000A36D5"/>
    <w:rsid w:val="000A4140"/>
    <w:rsid w:val="000A419A"/>
    <w:rsid w:val="000A6318"/>
    <w:rsid w:val="000A6CAF"/>
    <w:rsid w:val="000B0256"/>
    <w:rsid w:val="000B0687"/>
    <w:rsid w:val="000B0EFE"/>
    <w:rsid w:val="000B36B7"/>
    <w:rsid w:val="000B37C2"/>
    <w:rsid w:val="000B3D2B"/>
    <w:rsid w:val="000B5FF5"/>
    <w:rsid w:val="000B76DF"/>
    <w:rsid w:val="000B79AF"/>
    <w:rsid w:val="000C07B5"/>
    <w:rsid w:val="000C2924"/>
    <w:rsid w:val="000C3701"/>
    <w:rsid w:val="000C49DB"/>
    <w:rsid w:val="000C5BE0"/>
    <w:rsid w:val="000C5EC2"/>
    <w:rsid w:val="000C7211"/>
    <w:rsid w:val="000C7440"/>
    <w:rsid w:val="000D0609"/>
    <w:rsid w:val="000D0BDF"/>
    <w:rsid w:val="000D1205"/>
    <w:rsid w:val="000D14CD"/>
    <w:rsid w:val="000D1ED0"/>
    <w:rsid w:val="000D1EF1"/>
    <w:rsid w:val="000D228C"/>
    <w:rsid w:val="000D3416"/>
    <w:rsid w:val="000D3F99"/>
    <w:rsid w:val="000D4D1B"/>
    <w:rsid w:val="000D5AE6"/>
    <w:rsid w:val="000D6425"/>
    <w:rsid w:val="000D693A"/>
    <w:rsid w:val="000D6E95"/>
    <w:rsid w:val="000E007C"/>
    <w:rsid w:val="000E0DB5"/>
    <w:rsid w:val="000E1449"/>
    <w:rsid w:val="000E2E1A"/>
    <w:rsid w:val="000E2E98"/>
    <w:rsid w:val="000E37C1"/>
    <w:rsid w:val="000E49DB"/>
    <w:rsid w:val="000E61E4"/>
    <w:rsid w:val="000E7294"/>
    <w:rsid w:val="000F0F67"/>
    <w:rsid w:val="000F18B6"/>
    <w:rsid w:val="000F1FAC"/>
    <w:rsid w:val="000F2187"/>
    <w:rsid w:val="000F2CF5"/>
    <w:rsid w:val="000F38E6"/>
    <w:rsid w:val="000F4453"/>
    <w:rsid w:val="000F4691"/>
    <w:rsid w:val="000F4C8E"/>
    <w:rsid w:val="000F50FE"/>
    <w:rsid w:val="000F536C"/>
    <w:rsid w:val="000F61F4"/>
    <w:rsid w:val="000F6F95"/>
    <w:rsid w:val="000F7CD7"/>
    <w:rsid w:val="00100E29"/>
    <w:rsid w:val="00105369"/>
    <w:rsid w:val="00105862"/>
    <w:rsid w:val="0010628B"/>
    <w:rsid w:val="001066D1"/>
    <w:rsid w:val="0010704D"/>
    <w:rsid w:val="0010706C"/>
    <w:rsid w:val="001074EA"/>
    <w:rsid w:val="00107737"/>
    <w:rsid w:val="00107DDE"/>
    <w:rsid w:val="001106A2"/>
    <w:rsid w:val="001107E0"/>
    <w:rsid w:val="00110831"/>
    <w:rsid w:val="00110965"/>
    <w:rsid w:val="00111DC3"/>
    <w:rsid w:val="0011393E"/>
    <w:rsid w:val="00113CE9"/>
    <w:rsid w:val="001140D6"/>
    <w:rsid w:val="001149FD"/>
    <w:rsid w:val="00115496"/>
    <w:rsid w:val="001156F4"/>
    <w:rsid w:val="00115775"/>
    <w:rsid w:val="001171E8"/>
    <w:rsid w:val="00117318"/>
    <w:rsid w:val="001177F0"/>
    <w:rsid w:val="00117AF5"/>
    <w:rsid w:val="00117CF8"/>
    <w:rsid w:val="00117F8A"/>
    <w:rsid w:val="00120166"/>
    <w:rsid w:val="001206F3"/>
    <w:rsid w:val="00120890"/>
    <w:rsid w:val="001228AB"/>
    <w:rsid w:val="00122E2F"/>
    <w:rsid w:val="0012400F"/>
    <w:rsid w:val="00124F99"/>
    <w:rsid w:val="00125D85"/>
    <w:rsid w:val="00126EC1"/>
    <w:rsid w:val="001275FA"/>
    <w:rsid w:val="00127AA9"/>
    <w:rsid w:val="00130A9B"/>
    <w:rsid w:val="00131740"/>
    <w:rsid w:val="0013354C"/>
    <w:rsid w:val="00133AED"/>
    <w:rsid w:val="00133E39"/>
    <w:rsid w:val="0013465C"/>
    <w:rsid w:val="00135740"/>
    <w:rsid w:val="0013722A"/>
    <w:rsid w:val="00137566"/>
    <w:rsid w:val="00140847"/>
    <w:rsid w:val="00140DD7"/>
    <w:rsid w:val="00141163"/>
    <w:rsid w:val="00141A92"/>
    <w:rsid w:val="0014274E"/>
    <w:rsid w:val="00143711"/>
    <w:rsid w:val="00143D6F"/>
    <w:rsid w:val="00144199"/>
    <w:rsid w:val="00144496"/>
    <w:rsid w:val="00144BF8"/>
    <w:rsid w:val="001453FC"/>
    <w:rsid w:val="0014592E"/>
    <w:rsid w:val="00146C59"/>
    <w:rsid w:val="00146EF9"/>
    <w:rsid w:val="0014723D"/>
    <w:rsid w:val="001512AC"/>
    <w:rsid w:val="0015152E"/>
    <w:rsid w:val="00152D0A"/>
    <w:rsid w:val="00153D19"/>
    <w:rsid w:val="0015492B"/>
    <w:rsid w:val="001556A0"/>
    <w:rsid w:val="001560AE"/>
    <w:rsid w:val="001573B2"/>
    <w:rsid w:val="001600AE"/>
    <w:rsid w:val="001605A3"/>
    <w:rsid w:val="001605C5"/>
    <w:rsid w:val="00160BDD"/>
    <w:rsid w:val="001610BE"/>
    <w:rsid w:val="00161674"/>
    <w:rsid w:val="00161C80"/>
    <w:rsid w:val="00161E4E"/>
    <w:rsid w:val="00162887"/>
    <w:rsid w:val="00162A0A"/>
    <w:rsid w:val="00163B78"/>
    <w:rsid w:val="00166761"/>
    <w:rsid w:val="001667E9"/>
    <w:rsid w:val="0016771A"/>
    <w:rsid w:val="001700B4"/>
    <w:rsid w:val="001719EB"/>
    <w:rsid w:val="00172A27"/>
    <w:rsid w:val="001731C2"/>
    <w:rsid w:val="00173969"/>
    <w:rsid w:val="001740D0"/>
    <w:rsid w:val="00176B19"/>
    <w:rsid w:val="00176B72"/>
    <w:rsid w:val="00177602"/>
    <w:rsid w:val="001804C7"/>
    <w:rsid w:val="00181C7E"/>
    <w:rsid w:val="00182FAB"/>
    <w:rsid w:val="00183994"/>
    <w:rsid w:val="001851EE"/>
    <w:rsid w:val="001876E9"/>
    <w:rsid w:val="00190942"/>
    <w:rsid w:val="00191A80"/>
    <w:rsid w:val="00192AF9"/>
    <w:rsid w:val="001930CE"/>
    <w:rsid w:val="001935D1"/>
    <w:rsid w:val="00193A79"/>
    <w:rsid w:val="0019465E"/>
    <w:rsid w:val="00195687"/>
    <w:rsid w:val="00196728"/>
    <w:rsid w:val="00196929"/>
    <w:rsid w:val="00197C31"/>
    <w:rsid w:val="001A060F"/>
    <w:rsid w:val="001A1834"/>
    <w:rsid w:val="001A23B9"/>
    <w:rsid w:val="001A3911"/>
    <w:rsid w:val="001A3A75"/>
    <w:rsid w:val="001A3FFF"/>
    <w:rsid w:val="001A4AC9"/>
    <w:rsid w:val="001A4D86"/>
    <w:rsid w:val="001A4DFD"/>
    <w:rsid w:val="001A4FC1"/>
    <w:rsid w:val="001A5705"/>
    <w:rsid w:val="001A5ABF"/>
    <w:rsid w:val="001A66EF"/>
    <w:rsid w:val="001A70A5"/>
    <w:rsid w:val="001A74DC"/>
    <w:rsid w:val="001B0C6C"/>
    <w:rsid w:val="001B1D2F"/>
    <w:rsid w:val="001B32E1"/>
    <w:rsid w:val="001B33C6"/>
    <w:rsid w:val="001B47A4"/>
    <w:rsid w:val="001B4CDE"/>
    <w:rsid w:val="001B4FDA"/>
    <w:rsid w:val="001B55E2"/>
    <w:rsid w:val="001B69BD"/>
    <w:rsid w:val="001C0D55"/>
    <w:rsid w:val="001C284B"/>
    <w:rsid w:val="001C3DAA"/>
    <w:rsid w:val="001C43B7"/>
    <w:rsid w:val="001C4E56"/>
    <w:rsid w:val="001C628C"/>
    <w:rsid w:val="001C6407"/>
    <w:rsid w:val="001D0C72"/>
    <w:rsid w:val="001D203D"/>
    <w:rsid w:val="001D2B52"/>
    <w:rsid w:val="001D3AC7"/>
    <w:rsid w:val="001D5204"/>
    <w:rsid w:val="001D73F4"/>
    <w:rsid w:val="001E02F9"/>
    <w:rsid w:val="001E25AF"/>
    <w:rsid w:val="001E279A"/>
    <w:rsid w:val="001E413F"/>
    <w:rsid w:val="001E4B9A"/>
    <w:rsid w:val="001E5281"/>
    <w:rsid w:val="001E58D2"/>
    <w:rsid w:val="001E634C"/>
    <w:rsid w:val="001E7667"/>
    <w:rsid w:val="001E79C4"/>
    <w:rsid w:val="001F0441"/>
    <w:rsid w:val="001F0F75"/>
    <w:rsid w:val="001F23D3"/>
    <w:rsid w:val="001F248A"/>
    <w:rsid w:val="001F4067"/>
    <w:rsid w:val="001F5288"/>
    <w:rsid w:val="001F57EB"/>
    <w:rsid w:val="001F626C"/>
    <w:rsid w:val="001F6290"/>
    <w:rsid w:val="001F7C94"/>
    <w:rsid w:val="0020010D"/>
    <w:rsid w:val="00200837"/>
    <w:rsid w:val="0020121B"/>
    <w:rsid w:val="00201A4C"/>
    <w:rsid w:val="002039A8"/>
    <w:rsid w:val="00203EBE"/>
    <w:rsid w:val="00203F16"/>
    <w:rsid w:val="00205499"/>
    <w:rsid w:val="002055E6"/>
    <w:rsid w:val="002058B4"/>
    <w:rsid w:val="002064AA"/>
    <w:rsid w:val="002068C4"/>
    <w:rsid w:val="002072DE"/>
    <w:rsid w:val="002079D7"/>
    <w:rsid w:val="0021054F"/>
    <w:rsid w:val="00213086"/>
    <w:rsid w:val="002133C4"/>
    <w:rsid w:val="00213C10"/>
    <w:rsid w:val="002140D4"/>
    <w:rsid w:val="00215EE4"/>
    <w:rsid w:val="00216B93"/>
    <w:rsid w:val="00223FDF"/>
    <w:rsid w:val="00225792"/>
    <w:rsid w:val="00226047"/>
    <w:rsid w:val="00226893"/>
    <w:rsid w:val="00226ECF"/>
    <w:rsid w:val="002308EB"/>
    <w:rsid w:val="002317A8"/>
    <w:rsid w:val="00233377"/>
    <w:rsid w:val="002337D5"/>
    <w:rsid w:val="0023488A"/>
    <w:rsid w:val="002348C5"/>
    <w:rsid w:val="00234E13"/>
    <w:rsid w:val="00236865"/>
    <w:rsid w:val="002369EB"/>
    <w:rsid w:val="002372E1"/>
    <w:rsid w:val="00240261"/>
    <w:rsid w:val="00240310"/>
    <w:rsid w:val="00241476"/>
    <w:rsid w:val="00242784"/>
    <w:rsid w:val="0024369B"/>
    <w:rsid w:val="00244963"/>
    <w:rsid w:val="00244B56"/>
    <w:rsid w:val="00245B38"/>
    <w:rsid w:val="00246D4A"/>
    <w:rsid w:val="00247780"/>
    <w:rsid w:val="00247965"/>
    <w:rsid w:val="00250CDF"/>
    <w:rsid w:val="002516F8"/>
    <w:rsid w:val="0025250C"/>
    <w:rsid w:val="00252E6B"/>
    <w:rsid w:val="00253665"/>
    <w:rsid w:val="002536FB"/>
    <w:rsid w:val="002543BE"/>
    <w:rsid w:val="002548AF"/>
    <w:rsid w:val="00255263"/>
    <w:rsid w:val="00256FBF"/>
    <w:rsid w:val="00257784"/>
    <w:rsid w:val="0025783C"/>
    <w:rsid w:val="00260832"/>
    <w:rsid w:val="002611DA"/>
    <w:rsid w:val="002616DA"/>
    <w:rsid w:val="00261CB6"/>
    <w:rsid w:val="00262354"/>
    <w:rsid w:val="002625AC"/>
    <w:rsid w:val="0026424F"/>
    <w:rsid w:val="00264325"/>
    <w:rsid w:val="002648C1"/>
    <w:rsid w:val="00264D24"/>
    <w:rsid w:val="00265BDA"/>
    <w:rsid w:val="0026675B"/>
    <w:rsid w:val="0026771E"/>
    <w:rsid w:val="00270797"/>
    <w:rsid w:val="002707F7"/>
    <w:rsid w:val="00271396"/>
    <w:rsid w:val="00271A13"/>
    <w:rsid w:val="00271AEE"/>
    <w:rsid w:val="00272085"/>
    <w:rsid w:val="00273A0D"/>
    <w:rsid w:val="002741B4"/>
    <w:rsid w:val="002744D2"/>
    <w:rsid w:val="00274E73"/>
    <w:rsid w:val="00275AD7"/>
    <w:rsid w:val="00276E55"/>
    <w:rsid w:val="00276ED2"/>
    <w:rsid w:val="002777C0"/>
    <w:rsid w:val="00277A72"/>
    <w:rsid w:val="0028145F"/>
    <w:rsid w:val="00281ACC"/>
    <w:rsid w:val="00281F6A"/>
    <w:rsid w:val="002823A6"/>
    <w:rsid w:val="002829A6"/>
    <w:rsid w:val="002836EA"/>
    <w:rsid w:val="00283E70"/>
    <w:rsid w:val="002848E4"/>
    <w:rsid w:val="00285445"/>
    <w:rsid w:val="002856F8"/>
    <w:rsid w:val="002873BC"/>
    <w:rsid w:val="00287927"/>
    <w:rsid w:val="00290D84"/>
    <w:rsid w:val="0029328E"/>
    <w:rsid w:val="00293942"/>
    <w:rsid w:val="00293E7E"/>
    <w:rsid w:val="00294075"/>
    <w:rsid w:val="00294297"/>
    <w:rsid w:val="00294CA0"/>
    <w:rsid w:val="00295AB4"/>
    <w:rsid w:val="00295DEF"/>
    <w:rsid w:val="002963A4"/>
    <w:rsid w:val="002A085F"/>
    <w:rsid w:val="002A11CB"/>
    <w:rsid w:val="002A15ED"/>
    <w:rsid w:val="002A3044"/>
    <w:rsid w:val="002A3444"/>
    <w:rsid w:val="002A34D1"/>
    <w:rsid w:val="002A460D"/>
    <w:rsid w:val="002A56C7"/>
    <w:rsid w:val="002A5964"/>
    <w:rsid w:val="002A5DBA"/>
    <w:rsid w:val="002A5E24"/>
    <w:rsid w:val="002A7061"/>
    <w:rsid w:val="002A7299"/>
    <w:rsid w:val="002A745E"/>
    <w:rsid w:val="002B0500"/>
    <w:rsid w:val="002B0A45"/>
    <w:rsid w:val="002B1E2E"/>
    <w:rsid w:val="002B28D2"/>
    <w:rsid w:val="002B450F"/>
    <w:rsid w:val="002B4694"/>
    <w:rsid w:val="002B747E"/>
    <w:rsid w:val="002C071F"/>
    <w:rsid w:val="002C0D55"/>
    <w:rsid w:val="002C1340"/>
    <w:rsid w:val="002C158B"/>
    <w:rsid w:val="002C3DCF"/>
    <w:rsid w:val="002C3E1B"/>
    <w:rsid w:val="002C4D14"/>
    <w:rsid w:val="002C4E4A"/>
    <w:rsid w:val="002C589E"/>
    <w:rsid w:val="002C74A1"/>
    <w:rsid w:val="002D08E0"/>
    <w:rsid w:val="002D2CC6"/>
    <w:rsid w:val="002D31E0"/>
    <w:rsid w:val="002D3494"/>
    <w:rsid w:val="002D4239"/>
    <w:rsid w:val="002D4B56"/>
    <w:rsid w:val="002D5573"/>
    <w:rsid w:val="002D616A"/>
    <w:rsid w:val="002D652C"/>
    <w:rsid w:val="002D6C1C"/>
    <w:rsid w:val="002D7BA7"/>
    <w:rsid w:val="002D7C37"/>
    <w:rsid w:val="002E1205"/>
    <w:rsid w:val="002E4A0F"/>
    <w:rsid w:val="002E4A7A"/>
    <w:rsid w:val="002E61D6"/>
    <w:rsid w:val="002E719D"/>
    <w:rsid w:val="002E783B"/>
    <w:rsid w:val="002F0E0D"/>
    <w:rsid w:val="002F0F35"/>
    <w:rsid w:val="002F1355"/>
    <w:rsid w:val="002F149D"/>
    <w:rsid w:val="002F1905"/>
    <w:rsid w:val="002F5377"/>
    <w:rsid w:val="002F694A"/>
    <w:rsid w:val="002F6BC6"/>
    <w:rsid w:val="002F71C7"/>
    <w:rsid w:val="002F7AE9"/>
    <w:rsid w:val="002F7BD0"/>
    <w:rsid w:val="002F7D93"/>
    <w:rsid w:val="00300043"/>
    <w:rsid w:val="00300997"/>
    <w:rsid w:val="0030100D"/>
    <w:rsid w:val="003045A3"/>
    <w:rsid w:val="00304B5E"/>
    <w:rsid w:val="00304F2A"/>
    <w:rsid w:val="003053A1"/>
    <w:rsid w:val="003055DB"/>
    <w:rsid w:val="00305E04"/>
    <w:rsid w:val="0030648E"/>
    <w:rsid w:val="0030689B"/>
    <w:rsid w:val="00306A95"/>
    <w:rsid w:val="00307FE7"/>
    <w:rsid w:val="003112C0"/>
    <w:rsid w:val="00312B54"/>
    <w:rsid w:val="00313A8C"/>
    <w:rsid w:val="0031416E"/>
    <w:rsid w:val="003145A1"/>
    <w:rsid w:val="00314B49"/>
    <w:rsid w:val="00314BA6"/>
    <w:rsid w:val="00314DED"/>
    <w:rsid w:val="0031504C"/>
    <w:rsid w:val="003152EB"/>
    <w:rsid w:val="00315DB4"/>
    <w:rsid w:val="003165E9"/>
    <w:rsid w:val="003166BE"/>
    <w:rsid w:val="003168A2"/>
    <w:rsid w:val="00316904"/>
    <w:rsid w:val="0032098B"/>
    <w:rsid w:val="0032098F"/>
    <w:rsid w:val="00320C33"/>
    <w:rsid w:val="00321127"/>
    <w:rsid w:val="003215E9"/>
    <w:rsid w:val="003219D6"/>
    <w:rsid w:val="00322D65"/>
    <w:rsid w:val="00322DA5"/>
    <w:rsid w:val="00324293"/>
    <w:rsid w:val="00324477"/>
    <w:rsid w:val="00324FFF"/>
    <w:rsid w:val="003258FF"/>
    <w:rsid w:val="003259B2"/>
    <w:rsid w:val="00325EF0"/>
    <w:rsid w:val="003269A8"/>
    <w:rsid w:val="00326A3F"/>
    <w:rsid w:val="00326C2C"/>
    <w:rsid w:val="00326F9F"/>
    <w:rsid w:val="0032713D"/>
    <w:rsid w:val="003273BA"/>
    <w:rsid w:val="00330B51"/>
    <w:rsid w:val="003314B6"/>
    <w:rsid w:val="00332B47"/>
    <w:rsid w:val="00332F7B"/>
    <w:rsid w:val="0033316A"/>
    <w:rsid w:val="00334454"/>
    <w:rsid w:val="00334C72"/>
    <w:rsid w:val="00335C95"/>
    <w:rsid w:val="00336655"/>
    <w:rsid w:val="0033751D"/>
    <w:rsid w:val="00337DAF"/>
    <w:rsid w:val="0034158C"/>
    <w:rsid w:val="0034160A"/>
    <w:rsid w:val="003419D1"/>
    <w:rsid w:val="00341C64"/>
    <w:rsid w:val="00342B1D"/>
    <w:rsid w:val="00343297"/>
    <w:rsid w:val="00343341"/>
    <w:rsid w:val="00343455"/>
    <w:rsid w:val="003435C6"/>
    <w:rsid w:val="00343E83"/>
    <w:rsid w:val="003442F3"/>
    <w:rsid w:val="00344AB1"/>
    <w:rsid w:val="00344BB4"/>
    <w:rsid w:val="00345252"/>
    <w:rsid w:val="00345898"/>
    <w:rsid w:val="00345CF8"/>
    <w:rsid w:val="003465A5"/>
    <w:rsid w:val="00350931"/>
    <w:rsid w:val="0035140B"/>
    <w:rsid w:val="00351421"/>
    <w:rsid w:val="00351ABB"/>
    <w:rsid w:val="00351E22"/>
    <w:rsid w:val="00353E0B"/>
    <w:rsid w:val="00355059"/>
    <w:rsid w:val="00355ABB"/>
    <w:rsid w:val="003567E1"/>
    <w:rsid w:val="00356C6C"/>
    <w:rsid w:val="0035748E"/>
    <w:rsid w:val="00357DCF"/>
    <w:rsid w:val="00360820"/>
    <w:rsid w:val="00360C7A"/>
    <w:rsid w:val="00360D21"/>
    <w:rsid w:val="0036213C"/>
    <w:rsid w:val="003628DA"/>
    <w:rsid w:val="003635DF"/>
    <w:rsid w:val="0036504C"/>
    <w:rsid w:val="0036539D"/>
    <w:rsid w:val="00366D46"/>
    <w:rsid w:val="003676C3"/>
    <w:rsid w:val="003709FF"/>
    <w:rsid w:val="00370C7C"/>
    <w:rsid w:val="0037270B"/>
    <w:rsid w:val="00372978"/>
    <w:rsid w:val="00372FE9"/>
    <w:rsid w:val="00376AA0"/>
    <w:rsid w:val="00377517"/>
    <w:rsid w:val="003778E6"/>
    <w:rsid w:val="0038006A"/>
    <w:rsid w:val="00381D92"/>
    <w:rsid w:val="00381E45"/>
    <w:rsid w:val="00382532"/>
    <w:rsid w:val="003826D1"/>
    <w:rsid w:val="003839DF"/>
    <w:rsid w:val="00384677"/>
    <w:rsid w:val="00384B2A"/>
    <w:rsid w:val="00384BA6"/>
    <w:rsid w:val="003869B0"/>
    <w:rsid w:val="00387339"/>
    <w:rsid w:val="00387AC6"/>
    <w:rsid w:val="00387F4C"/>
    <w:rsid w:val="00391036"/>
    <w:rsid w:val="0039378A"/>
    <w:rsid w:val="003943FC"/>
    <w:rsid w:val="003944CC"/>
    <w:rsid w:val="00395253"/>
    <w:rsid w:val="003955B0"/>
    <w:rsid w:val="0039571F"/>
    <w:rsid w:val="00395CFD"/>
    <w:rsid w:val="003965EF"/>
    <w:rsid w:val="00396815"/>
    <w:rsid w:val="00396DE2"/>
    <w:rsid w:val="0039742B"/>
    <w:rsid w:val="00397BC0"/>
    <w:rsid w:val="003A0846"/>
    <w:rsid w:val="003A08B8"/>
    <w:rsid w:val="003A15EC"/>
    <w:rsid w:val="003A2331"/>
    <w:rsid w:val="003A3B47"/>
    <w:rsid w:val="003A403D"/>
    <w:rsid w:val="003A5163"/>
    <w:rsid w:val="003A6636"/>
    <w:rsid w:val="003A6FD1"/>
    <w:rsid w:val="003B020A"/>
    <w:rsid w:val="003B1786"/>
    <w:rsid w:val="003B21BF"/>
    <w:rsid w:val="003B270F"/>
    <w:rsid w:val="003B435C"/>
    <w:rsid w:val="003B465A"/>
    <w:rsid w:val="003B4721"/>
    <w:rsid w:val="003B5ACB"/>
    <w:rsid w:val="003B65AD"/>
    <w:rsid w:val="003B705B"/>
    <w:rsid w:val="003B7837"/>
    <w:rsid w:val="003C13C5"/>
    <w:rsid w:val="003C199E"/>
    <w:rsid w:val="003C263C"/>
    <w:rsid w:val="003C3899"/>
    <w:rsid w:val="003C4297"/>
    <w:rsid w:val="003C4EDE"/>
    <w:rsid w:val="003C56DD"/>
    <w:rsid w:val="003C5C6E"/>
    <w:rsid w:val="003C607E"/>
    <w:rsid w:val="003C705B"/>
    <w:rsid w:val="003C7EEE"/>
    <w:rsid w:val="003D1D9D"/>
    <w:rsid w:val="003D2330"/>
    <w:rsid w:val="003D2963"/>
    <w:rsid w:val="003D413E"/>
    <w:rsid w:val="003D432D"/>
    <w:rsid w:val="003D4474"/>
    <w:rsid w:val="003D44EE"/>
    <w:rsid w:val="003D6C75"/>
    <w:rsid w:val="003D78AE"/>
    <w:rsid w:val="003E24C8"/>
    <w:rsid w:val="003E4F4E"/>
    <w:rsid w:val="003E66EE"/>
    <w:rsid w:val="003E6DE2"/>
    <w:rsid w:val="003E70C5"/>
    <w:rsid w:val="003F1A19"/>
    <w:rsid w:val="003F2889"/>
    <w:rsid w:val="003F29E2"/>
    <w:rsid w:val="003F3D0C"/>
    <w:rsid w:val="003F5EA8"/>
    <w:rsid w:val="003F7747"/>
    <w:rsid w:val="003F7C5E"/>
    <w:rsid w:val="00400424"/>
    <w:rsid w:val="004007DF"/>
    <w:rsid w:val="00400B94"/>
    <w:rsid w:val="00401072"/>
    <w:rsid w:val="00402B06"/>
    <w:rsid w:val="004059B8"/>
    <w:rsid w:val="00406279"/>
    <w:rsid w:val="00406336"/>
    <w:rsid w:val="00406C07"/>
    <w:rsid w:val="00407BD5"/>
    <w:rsid w:val="0041008F"/>
    <w:rsid w:val="00410B10"/>
    <w:rsid w:val="0041149B"/>
    <w:rsid w:val="00412E98"/>
    <w:rsid w:val="004148C2"/>
    <w:rsid w:val="00414940"/>
    <w:rsid w:val="00415502"/>
    <w:rsid w:val="00415682"/>
    <w:rsid w:val="00415B59"/>
    <w:rsid w:val="004164DC"/>
    <w:rsid w:val="00416C79"/>
    <w:rsid w:val="00417BC1"/>
    <w:rsid w:val="00417E61"/>
    <w:rsid w:val="00417FD0"/>
    <w:rsid w:val="0042034E"/>
    <w:rsid w:val="00420D18"/>
    <w:rsid w:val="00421BEF"/>
    <w:rsid w:val="00422A70"/>
    <w:rsid w:val="004234ED"/>
    <w:rsid w:val="0042412F"/>
    <w:rsid w:val="0042482C"/>
    <w:rsid w:val="00424BE0"/>
    <w:rsid w:val="00424D92"/>
    <w:rsid w:val="00426321"/>
    <w:rsid w:val="00426675"/>
    <w:rsid w:val="00426E0C"/>
    <w:rsid w:val="0042751E"/>
    <w:rsid w:val="004275F7"/>
    <w:rsid w:val="00430106"/>
    <w:rsid w:val="0043142C"/>
    <w:rsid w:val="004336CE"/>
    <w:rsid w:val="004339A8"/>
    <w:rsid w:val="00436B63"/>
    <w:rsid w:val="00436E21"/>
    <w:rsid w:val="004373B3"/>
    <w:rsid w:val="00437D15"/>
    <w:rsid w:val="004413DF"/>
    <w:rsid w:val="00443339"/>
    <w:rsid w:val="00443ADB"/>
    <w:rsid w:val="00444ABC"/>
    <w:rsid w:val="00445040"/>
    <w:rsid w:val="0044547A"/>
    <w:rsid w:val="004463AA"/>
    <w:rsid w:val="004468E4"/>
    <w:rsid w:val="004478EA"/>
    <w:rsid w:val="0045090B"/>
    <w:rsid w:val="00450A87"/>
    <w:rsid w:val="00450B27"/>
    <w:rsid w:val="00451EB7"/>
    <w:rsid w:val="00452807"/>
    <w:rsid w:val="00452868"/>
    <w:rsid w:val="004529FC"/>
    <w:rsid w:val="00452DE9"/>
    <w:rsid w:val="00452E0E"/>
    <w:rsid w:val="00453E2B"/>
    <w:rsid w:val="00454002"/>
    <w:rsid w:val="00454FEF"/>
    <w:rsid w:val="00455009"/>
    <w:rsid w:val="00456486"/>
    <w:rsid w:val="00456C1F"/>
    <w:rsid w:val="004573E5"/>
    <w:rsid w:val="0045761A"/>
    <w:rsid w:val="0046147B"/>
    <w:rsid w:val="00463AF9"/>
    <w:rsid w:val="00464883"/>
    <w:rsid w:val="00464A18"/>
    <w:rsid w:val="00464C9F"/>
    <w:rsid w:val="00464FE3"/>
    <w:rsid w:val="0046566C"/>
    <w:rsid w:val="00467AA9"/>
    <w:rsid w:val="00471204"/>
    <w:rsid w:val="0047152D"/>
    <w:rsid w:val="00471C02"/>
    <w:rsid w:val="00472526"/>
    <w:rsid w:val="00472BBF"/>
    <w:rsid w:val="0047365F"/>
    <w:rsid w:val="0047608A"/>
    <w:rsid w:val="00476B1B"/>
    <w:rsid w:val="004775F1"/>
    <w:rsid w:val="004804AF"/>
    <w:rsid w:val="004825BE"/>
    <w:rsid w:val="00483287"/>
    <w:rsid w:val="00483886"/>
    <w:rsid w:val="00483EEF"/>
    <w:rsid w:val="00483F65"/>
    <w:rsid w:val="0048418B"/>
    <w:rsid w:val="00485C12"/>
    <w:rsid w:val="004864CA"/>
    <w:rsid w:val="00486D20"/>
    <w:rsid w:val="004879D4"/>
    <w:rsid w:val="004917C2"/>
    <w:rsid w:val="00492841"/>
    <w:rsid w:val="0049354B"/>
    <w:rsid w:val="004938FE"/>
    <w:rsid w:val="00493ED2"/>
    <w:rsid w:val="004941FA"/>
    <w:rsid w:val="004949CB"/>
    <w:rsid w:val="004952CC"/>
    <w:rsid w:val="00495569"/>
    <w:rsid w:val="004957D0"/>
    <w:rsid w:val="00495A8F"/>
    <w:rsid w:val="00496898"/>
    <w:rsid w:val="00496C07"/>
    <w:rsid w:val="00497D28"/>
    <w:rsid w:val="004A0786"/>
    <w:rsid w:val="004A0C10"/>
    <w:rsid w:val="004A1262"/>
    <w:rsid w:val="004A16C9"/>
    <w:rsid w:val="004A1DE8"/>
    <w:rsid w:val="004A2401"/>
    <w:rsid w:val="004A242E"/>
    <w:rsid w:val="004A2525"/>
    <w:rsid w:val="004A259A"/>
    <w:rsid w:val="004A3228"/>
    <w:rsid w:val="004A3BFE"/>
    <w:rsid w:val="004A3EDB"/>
    <w:rsid w:val="004A3F12"/>
    <w:rsid w:val="004A3F98"/>
    <w:rsid w:val="004A4B21"/>
    <w:rsid w:val="004A4DE6"/>
    <w:rsid w:val="004A5D9F"/>
    <w:rsid w:val="004A5DBB"/>
    <w:rsid w:val="004A6319"/>
    <w:rsid w:val="004A64C7"/>
    <w:rsid w:val="004B0429"/>
    <w:rsid w:val="004B05C4"/>
    <w:rsid w:val="004B1211"/>
    <w:rsid w:val="004B13CA"/>
    <w:rsid w:val="004B23C1"/>
    <w:rsid w:val="004B273F"/>
    <w:rsid w:val="004B28DF"/>
    <w:rsid w:val="004B415D"/>
    <w:rsid w:val="004B452A"/>
    <w:rsid w:val="004B46C8"/>
    <w:rsid w:val="004B4CDA"/>
    <w:rsid w:val="004B583E"/>
    <w:rsid w:val="004B5A39"/>
    <w:rsid w:val="004B5D87"/>
    <w:rsid w:val="004B5FDF"/>
    <w:rsid w:val="004B6C28"/>
    <w:rsid w:val="004B78E1"/>
    <w:rsid w:val="004C00D8"/>
    <w:rsid w:val="004C0F45"/>
    <w:rsid w:val="004C1A8D"/>
    <w:rsid w:val="004C1B0F"/>
    <w:rsid w:val="004C24CD"/>
    <w:rsid w:val="004C28F1"/>
    <w:rsid w:val="004C299D"/>
    <w:rsid w:val="004C35B5"/>
    <w:rsid w:val="004C42E9"/>
    <w:rsid w:val="004C508E"/>
    <w:rsid w:val="004C5CFA"/>
    <w:rsid w:val="004C67CB"/>
    <w:rsid w:val="004C6B00"/>
    <w:rsid w:val="004C71F6"/>
    <w:rsid w:val="004D2348"/>
    <w:rsid w:val="004D24FF"/>
    <w:rsid w:val="004D2903"/>
    <w:rsid w:val="004D5029"/>
    <w:rsid w:val="004D5382"/>
    <w:rsid w:val="004D5933"/>
    <w:rsid w:val="004D6F1D"/>
    <w:rsid w:val="004D70FF"/>
    <w:rsid w:val="004E0834"/>
    <w:rsid w:val="004E0A9C"/>
    <w:rsid w:val="004E1CAA"/>
    <w:rsid w:val="004E296D"/>
    <w:rsid w:val="004E2A7D"/>
    <w:rsid w:val="004E6395"/>
    <w:rsid w:val="004F25CB"/>
    <w:rsid w:val="004F25EE"/>
    <w:rsid w:val="004F2B59"/>
    <w:rsid w:val="004F39F0"/>
    <w:rsid w:val="004F41C3"/>
    <w:rsid w:val="004F5DCD"/>
    <w:rsid w:val="004F6D27"/>
    <w:rsid w:val="004F763B"/>
    <w:rsid w:val="00502CD3"/>
    <w:rsid w:val="00502F4C"/>
    <w:rsid w:val="00503576"/>
    <w:rsid w:val="00503902"/>
    <w:rsid w:val="00504ADC"/>
    <w:rsid w:val="00504BC3"/>
    <w:rsid w:val="00505650"/>
    <w:rsid w:val="005067FE"/>
    <w:rsid w:val="005075A6"/>
    <w:rsid w:val="00507FE4"/>
    <w:rsid w:val="00511488"/>
    <w:rsid w:val="00511A65"/>
    <w:rsid w:val="005136C2"/>
    <w:rsid w:val="00514121"/>
    <w:rsid w:val="00514D22"/>
    <w:rsid w:val="00514F52"/>
    <w:rsid w:val="005159F7"/>
    <w:rsid w:val="00515ED1"/>
    <w:rsid w:val="00516308"/>
    <w:rsid w:val="0051642B"/>
    <w:rsid w:val="005164E8"/>
    <w:rsid w:val="00517B7C"/>
    <w:rsid w:val="005214F2"/>
    <w:rsid w:val="005243FD"/>
    <w:rsid w:val="0052465A"/>
    <w:rsid w:val="005252CA"/>
    <w:rsid w:val="00530B56"/>
    <w:rsid w:val="00531062"/>
    <w:rsid w:val="005320FC"/>
    <w:rsid w:val="00532115"/>
    <w:rsid w:val="00532427"/>
    <w:rsid w:val="005324EA"/>
    <w:rsid w:val="00532A6F"/>
    <w:rsid w:val="005330FD"/>
    <w:rsid w:val="00533263"/>
    <w:rsid w:val="00534EA3"/>
    <w:rsid w:val="005358CF"/>
    <w:rsid w:val="00535A3E"/>
    <w:rsid w:val="005360E7"/>
    <w:rsid w:val="005408D8"/>
    <w:rsid w:val="00541199"/>
    <w:rsid w:val="00542C92"/>
    <w:rsid w:val="00542CE1"/>
    <w:rsid w:val="00542F1A"/>
    <w:rsid w:val="005440E4"/>
    <w:rsid w:val="00544D7C"/>
    <w:rsid w:val="005458E1"/>
    <w:rsid w:val="00546455"/>
    <w:rsid w:val="00546AFC"/>
    <w:rsid w:val="00546ED8"/>
    <w:rsid w:val="00547454"/>
    <w:rsid w:val="005475FC"/>
    <w:rsid w:val="00547FE8"/>
    <w:rsid w:val="00550174"/>
    <w:rsid w:val="0055075A"/>
    <w:rsid w:val="00550ACA"/>
    <w:rsid w:val="00552AD4"/>
    <w:rsid w:val="00553FA5"/>
    <w:rsid w:val="0055415C"/>
    <w:rsid w:val="0055424B"/>
    <w:rsid w:val="00556EF9"/>
    <w:rsid w:val="0055706C"/>
    <w:rsid w:val="00557310"/>
    <w:rsid w:val="005577B7"/>
    <w:rsid w:val="0056018A"/>
    <w:rsid w:val="00560BE2"/>
    <w:rsid w:val="005611C3"/>
    <w:rsid w:val="00561891"/>
    <w:rsid w:val="00562289"/>
    <w:rsid w:val="005623D7"/>
    <w:rsid w:val="00563157"/>
    <w:rsid w:val="00564824"/>
    <w:rsid w:val="00565294"/>
    <w:rsid w:val="0056614E"/>
    <w:rsid w:val="00566DF0"/>
    <w:rsid w:val="00566FAF"/>
    <w:rsid w:val="005670FF"/>
    <w:rsid w:val="00567614"/>
    <w:rsid w:val="005706A1"/>
    <w:rsid w:val="00571181"/>
    <w:rsid w:val="005756F9"/>
    <w:rsid w:val="00575E36"/>
    <w:rsid w:val="00576610"/>
    <w:rsid w:val="00577116"/>
    <w:rsid w:val="005776AE"/>
    <w:rsid w:val="0058068B"/>
    <w:rsid w:val="00581BBD"/>
    <w:rsid w:val="0058448D"/>
    <w:rsid w:val="00584A45"/>
    <w:rsid w:val="00584B97"/>
    <w:rsid w:val="0058555B"/>
    <w:rsid w:val="00586AFC"/>
    <w:rsid w:val="00586D61"/>
    <w:rsid w:val="0058757C"/>
    <w:rsid w:val="00587EF3"/>
    <w:rsid w:val="005916AE"/>
    <w:rsid w:val="00591C56"/>
    <w:rsid w:val="005939DD"/>
    <w:rsid w:val="00593C1E"/>
    <w:rsid w:val="00593CF6"/>
    <w:rsid w:val="00593D05"/>
    <w:rsid w:val="0059488D"/>
    <w:rsid w:val="00594C47"/>
    <w:rsid w:val="00596310"/>
    <w:rsid w:val="00596823"/>
    <w:rsid w:val="00596F90"/>
    <w:rsid w:val="005A0DC1"/>
    <w:rsid w:val="005A16F1"/>
    <w:rsid w:val="005A1715"/>
    <w:rsid w:val="005A2CE8"/>
    <w:rsid w:val="005A33CB"/>
    <w:rsid w:val="005A3777"/>
    <w:rsid w:val="005A3D5C"/>
    <w:rsid w:val="005A4281"/>
    <w:rsid w:val="005A514E"/>
    <w:rsid w:val="005A6C23"/>
    <w:rsid w:val="005A74A9"/>
    <w:rsid w:val="005A7ECC"/>
    <w:rsid w:val="005B0CB5"/>
    <w:rsid w:val="005B158E"/>
    <w:rsid w:val="005B24C4"/>
    <w:rsid w:val="005B2A68"/>
    <w:rsid w:val="005B5E46"/>
    <w:rsid w:val="005B6EC3"/>
    <w:rsid w:val="005B74AB"/>
    <w:rsid w:val="005B7E51"/>
    <w:rsid w:val="005B7E79"/>
    <w:rsid w:val="005C0946"/>
    <w:rsid w:val="005C0A0C"/>
    <w:rsid w:val="005C274F"/>
    <w:rsid w:val="005C2ED4"/>
    <w:rsid w:val="005C42E6"/>
    <w:rsid w:val="005C64C4"/>
    <w:rsid w:val="005C7BF1"/>
    <w:rsid w:val="005C7FD1"/>
    <w:rsid w:val="005D1DB8"/>
    <w:rsid w:val="005D2427"/>
    <w:rsid w:val="005D2FB2"/>
    <w:rsid w:val="005D50D6"/>
    <w:rsid w:val="005D55D6"/>
    <w:rsid w:val="005D55F2"/>
    <w:rsid w:val="005D5D1B"/>
    <w:rsid w:val="005D5DFC"/>
    <w:rsid w:val="005D6EB3"/>
    <w:rsid w:val="005D731F"/>
    <w:rsid w:val="005E02B6"/>
    <w:rsid w:val="005E0D30"/>
    <w:rsid w:val="005E19D5"/>
    <w:rsid w:val="005E207B"/>
    <w:rsid w:val="005E26B3"/>
    <w:rsid w:val="005E2A2F"/>
    <w:rsid w:val="005E39B3"/>
    <w:rsid w:val="005E4047"/>
    <w:rsid w:val="005E428E"/>
    <w:rsid w:val="005E47A5"/>
    <w:rsid w:val="005E4DC1"/>
    <w:rsid w:val="005E5C4C"/>
    <w:rsid w:val="005E6BDA"/>
    <w:rsid w:val="005E7499"/>
    <w:rsid w:val="005E74BC"/>
    <w:rsid w:val="005F1DA8"/>
    <w:rsid w:val="005F34E0"/>
    <w:rsid w:val="005F49D7"/>
    <w:rsid w:val="005F4E8C"/>
    <w:rsid w:val="005F501B"/>
    <w:rsid w:val="005F6034"/>
    <w:rsid w:val="005F62B6"/>
    <w:rsid w:val="005F6A5A"/>
    <w:rsid w:val="005F790C"/>
    <w:rsid w:val="005F7CFD"/>
    <w:rsid w:val="006005D1"/>
    <w:rsid w:val="00601EE4"/>
    <w:rsid w:val="0060395C"/>
    <w:rsid w:val="00604328"/>
    <w:rsid w:val="006043DC"/>
    <w:rsid w:val="006053B5"/>
    <w:rsid w:val="00605807"/>
    <w:rsid w:val="0060766B"/>
    <w:rsid w:val="00607912"/>
    <w:rsid w:val="00610DE2"/>
    <w:rsid w:val="00612465"/>
    <w:rsid w:val="006128B4"/>
    <w:rsid w:val="00613E45"/>
    <w:rsid w:val="00614546"/>
    <w:rsid w:val="00614600"/>
    <w:rsid w:val="006158B7"/>
    <w:rsid w:val="00615A5F"/>
    <w:rsid w:val="00615CA0"/>
    <w:rsid w:val="006164E5"/>
    <w:rsid w:val="00617C80"/>
    <w:rsid w:val="00626914"/>
    <w:rsid w:val="00626D9A"/>
    <w:rsid w:val="006272FE"/>
    <w:rsid w:val="006300BF"/>
    <w:rsid w:val="006306F3"/>
    <w:rsid w:val="0063302D"/>
    <w:rsid w:val="00633B51"/>
    <w:rsid w:val="00633C79"/>
    <w:rsid w:val="00633F2E"/>
    <w:rsid w:val="00634ED8"/>
    <w:rsid w:val="00635FDB"/>
    <w:rsid w:val="00636654"/>
    <w:rsid w:val="0063750B"/>
    <w:rsid w:val="00640763"/>
    <w:rsid w:val="0064098E"/>
    <w:rsid w:val="00640F8F"/>
    <w:rsid w:val="00642103"/>
    <w:rsid w:val="0064239C"/>
    <w:rsid w:val="00642604"/>
    <w:rsid w:val="006435EF"/>
    <w:rsid w:val="00643A52"/>
    <w:rsid w:val="00643A64"/>
    <w:rsid w:val="006443DA"/>
    <w:rsid w:val="0064459F"/>
    <w:rsid w:val="00644E57"/>
    <w:rsid w:val="00645B0C"/>
    <w:rsid w:val="00646D9A"/>
    <w:rsid w:val="006474B9"/>
    <w:rsid w:val="006476DD"/>
    <w:rsid w:val="006477CA"/>
    <w:rsid w:val="00647C89"/>
    <w:rsid w:val="00651B96"/>
    <w:rsid w:val="00651E72"/>
    <w:rsid w:val="00651FDB"/>
    <w:rsid w:val="0065269B"/>
    <w:rsid w:val="00653020"/>
    <w:rsid w:val="006541A4"/>
    <w:rsid w:val="00655B1B"/>
    <w:rsid w:val="006560A3"/>
    <w:rsid w:val="006562D1"/>
    <w:rsid w:val="00656831"/>
    <w:rsid w:val="006574B2"/>
    <w:rsid w:val="00657E88"/>
    <w:rsid w:val="00660096"/>
    <w:rsid w:val="00660AE7"/>
    <w:rsid w:val="006614CE"/>
    <w:rsid w:val="00662E41"/>
    <w:rsid w:val="00662EE3"/>
    <w:rsid w:val="00664655"/>
    <w:rsid w:val="00664EE4"/>
    <w:rsid w:val="0066572F"/>
    <w:rsid w:val="00665EE0"/>
    <w:rsid w:val="006676B6"/>
    <w:rsid w:val="006701AA"/>
    <w:rsid w:val="006706B8"/>
    <w:rsid w:val="00670740"/>
    <w:rsid w:val="00672DB5"/>
    <w:rsid w:val="006743BE"/>
    <w:rsid w:val="006752D4"/>
    <w:rsid w:val="00677E41"/>
    <w:rsid w:val="00681E86"/>
    <w:rsid w:val="0068204C"/>
    <w:rsid w:val="006833B4"/>
    <w:rsid w:val="00683C24"/>
    <w:rsid w:val="00684886"/>
    <w:rsid w:val="00685DB5"/>
    <w:rsid w:val="006861D7"/>
    <w:rsid w:val="006869D1"/>
    <w:rsid w:val="00687A9C"/>
    <w:rsid w:val="00690869"/>
    <w:rsid w:val="00690CA3"/>
    <w:rsid w:val="00690D3B"/>
    <w:rsid w:val="0069226B"/>
    <w:rsid w:val="00692507"/>
    <w:rsid w:val="0069255B"/>
    <w:rsid w:val="0069258B"/>
    <w:rsid w:val="00692C52"/>
    <w:rsid w:val="00694C16"/>
    <w:rsid w:val="006957A4"/>
    <w:rsid w:val="00695C58"/>
    <w:rsid w:val="006964CC"/>
    <w:rsid w:val="00696527"/>
    <w:rsid w:val="00696B3E"/>
    <w:rsid w:val="00696DB6"/>
    <w:rsid w:val="006978E7"/>
    <w:rsid w:val="006A03D8"/>
    <w:rsid w:val="006A1870"/>
    <w:rsid w:val="006A1CF8"/>
    <w:rsid w:val="006A3C30"/>
    <w:rsid w:val="006A3CF4"/>
    <w:rsid w:val="006A4BD7"/>
    <w:rsid w:val="006A54DC"/>
    <w:rsid w:val="006A5E34"/>
    <w:rsid w:val="006A71B8"/>
    <w:rsid w:val="006A7538"/>
    <w:rsid w:val="006A7722"/>
    <w:rsid w:val="006A785C"/>
    <w:rsid w:val="006B1C0E"/>
    <w:rsid w:val="006B33A7"/>
    <w:rsid w:val="006B50E2"/>
    <w:rsid w:val="006B76EF"/>
    <w:rsid w:val="006C07C5"/>
    <w:rsid w:val="006C0FAE"/>
    <w:rsid w:val="006C1D4D"/>
    <w:rsid w:val="006C26D1"/>
    <w:rsid w:val="006C3378"/>
    <w:rsid w:val="006C3E9F"/>
    <w:rsid w:val="006C4286"/>
    <w:rsid w:val="006C43A1"/>
    <w:rsid w:val="006C4BCF"/>
    <w:rsid w:val="006C56E5"/>
    <w:rsid w:val="006C6B24"/>
    <w:rsid w:val="006C79BA"/>
    <w:rsid w:val="006C7E1C"/>
    <w:rsid w:val="006D0516"/>
    <w:rsid w:val="006D0F9C"/>
    <w:rsid w:val="006D15D6"/>
    <w:rsid w:val="006D2CD4"/>
    <w:rsid w:val="006D3818"/>
    <w:rsid w:val="006D3FE8"/>
    <w:rsid w:val="006D4E7D"/>
    <w:rsid w:val="006D7742"/>
    <w:rsid w:val="006E0AAF"/>
    <w:rsid w:val="006E10E3"/>
    <w:rsid w:val="006E3E48"/>
    <w:rsid w:val="006E4252"/>
    <w:rsid w:val="006E4488"/>
    <w:rsid w:val="006E5974"/>
    <w:rsid w:val="006E622A"/>
    <w:rsid w:val="006E6C07"/>
    <w:rsid w:val="006E70B2"/>
    <w:rsid w:val="006F03A6"/>
    <w:rsid w:val="006F1A86"/>
    <w:rsid w:val="006F2065"/>
    <w:rsid w:val="006F5870"/>
    <w:rsid w:val="007004A0"/>
    <w:rsid w:val="007009A0"/>
    <w:rsid w:val="00700E93"/>
    <w:rsid w:val="00700F3C"/>
    <w:rsid w:val="00701464"/>
    <w:rsid w:val="0070301A"/>
    <w:rsid w:val="007043D5"/>
    <w:rsid w:val="00704AFF"/>
    <w:rsid w:val="00705367"/>
    <w:rsid w:val="00705631"/>
    <w:rsid w:val="007058D8"/>
    <w:rsid w:val="00705990"/>
    <w:rsid w:val="007114B4"/>
    <w:rsid w:val="00713395"/>
    <w:rsid w:val="00713CAC"/>
    <w:rsid w:val="00715D2A"/>
    <w:rsid w:val="007160AC"/>
    <w:rsid w:val="007164A3"/>
    <w:rsid w:val="0072059E"/>
    <w:rsid w:val="00720899"/>
    <w:rsid w:val="007208E1"/>
    <w:rsid w:val="007219DC"/>
    <w:rsid w:val="00721E57"/>
    <w:rsid w:val="00722CB9"/>
    <w:rsid w:val="00723F95"/>
    <w:rsid w:val="00723FC8"/>
    <w:rsid w:val="007250D5"/>
    <w:rsid w:val="0072674D"/>
    <w:rsid w:val="00726BE3"/>
    <w:rsid w:val="00730050"/>
    <w:rsid w:val="007302FE"/>
    <w:rsid w:val="00730BD6"/>
    <w:rsid w:val="00730F53"/>
    <w:rsid w:val="00732527"/>
    <w:rsid w:val="00732EB3"/>
    <w:rsid w:val="00734095"/>
    <w:rsid w:val="007340FE"/>
    <w:rsid w:val="00734C2B"/>
    <w:rsid w:val="00736150"/>
    <w:rsid w:val="007371EF"/>
    <w:rsid w:val="00737469"/>
    <w:rsid w:val="0073749D"/>
    <w:rsid w:val="00740A92"/>
    <w:rsid w:val="007440D7"/>
    <w:rsid w:val="00744AAE"/>
    <w:rsid w:val="00745043"/>
    <w:rsid w:val="0074547D"/>
    <w:rsid w:val="007471FC"/>
    <w:rsid w:val="0074758A"/>
    <w:rsid w:val="00747C13"/>
    <w:rsid w:val="00747CD4"/>
    <w:rsid w:val="00753A11"/>
    <w:rsid w:val="00753BFC"/>
    <w:rsid w:val="00754EDE"/>
    <w:rsid w:val="00755C48"/>
    <w:rsid w:val="007562ED"/>
    <w:rsid w:val="0075687B"/>
    <w:rsid w:val="00757242"/>
    <w:rsid w:val="00757A2B"/>
    <w:rsid w:val="00757B02"/>
    <w:rsid w:val="00760272"/>
    <w:rsid w:val="00760AE4"/>
    <w:rsid w:val="00761B42"/>
    <w:rsid w:val="00761BBC"/>
    <w:rsid w:val="00761D26"/>
    <w:rsid w:val="007625E7"/>
    <w:rsid w:val="007652EE"/>
    <w:rsid w:val="00765B7A"/>
    <w:rsid w:val="0076632B"/>
    <w:rsid w:val="0076768B"/>
    <w:rsid w:val="0076772D"/>
    <w:rsid w:val="00770E38"/>
    <w:rsid w:val="00770F71"/>
    <w:rsid w:val="0077116A"/>
    <w:rsid w:val="0077172B"/>
    <w:rsid w:val="00773475"/>
    <w:rsid w:val="00774490"/>
    <w:rsid w:val="00776725"/>
    <w:rsid w:val="00776BEA"/>
    <w:rsid w:val="00776FF2"/>
    <w:rsid w:val="007770B2"/>
    <w:rsid w:val="007778E6"/>
    <w:rsid w:val="00780ADB"/>
    <w:rsid w:val="007828F4"/>
    <w:rsid w:val="00782FAB"/>
    <w:rsid w:val="0078329E"/>
    <w:rsid w:val="007845CB"/>
    <w:rsid w:val="00785AD9"/>
    <w:rsid w:val="00786629"/>
    <w:rsid w:val="00786DDF"/>
    <w:rsid w:val="007874A6"/>
    <w:rsid w:val="00787927"/>
    <w:rsid w:val="00787DFF"/>
    <w:rsid w:val="00790259"/>
    <w:rsid w:val="007907BA"/>
    <w:rsid w:val="00790A70"/>
    <w:rsid w:val="00791709"/>
    <w:rsid w:val="00792B25"/>
    <w:rsid w:val="00793829"/>
    <w:rsid w:val="0079405C"/>
    <w:rsid w:val="00796496"/>
    <w:rsid w:val="00796B92"/>
    <w:rsid w:val="007A0361"/>
    <w:rsid w:val="007A0EF1"/>
    <w:rsid w:val="007A32D3"/>
    <w:rsid w:val="007A55D5"/>
    <w:rsid w:val="007A61F5"/>
    <w:rsid w:val="007A6263"/>
    <w:rsid w:val="007A6A3F"/>
    <w:rsid w:val="007A6E23"/>
    <w:rsid w:val="007A6E70"/>
    <w:rsid w:val="007A7D4C"/>
    <w:rsid w:val="007B112D"/>
    <w:rsid w:val="007B26A4"/>
    <w:rsid w:val="007B39F0"/>
    <w:rsid w:val="007B3DEF"/>
    <w:rsid w:val="007B4CB7"/>
    <w:rsid w:val="007B7E53"/>
    <w:rsid w:val="007B7F53"/>
    <w:rsid w:val="007C0103"/>
    <w:rsid w:val="007C040F"/>
    <w:rsid w:val="007C0561"/>
    <w:rsid w:val="007C0B6D"/>
    <w:rsid w:val="007C0F27"/>
    <w:rsid w:val="007C1458"/>
    <w:rsid w:val="007C1E05"/>
    <w:rsid w:val="007C28CC"/>
    <w:rsid w:val="007C2DF7"/>
    <w:rsid w:val="007C3E26"/>
    <w:rsid w:val="007C40CA"/>
    <w:rsid w:val="007C4132"/>
    <w:rsid w:val="007C5664"/>
    <w:rsid w:val="007C56E3"/>
    <w:rsid w:val="007C6FFA"/>
    <w:rsid w:val="007D0012"/>
    <w:rsid w:val="007D0844"/>
    <w:rsid w:val="007D196F"/>
    <w:rsid w:val="007D2422"/>
    <w:rsid w:val="007D35BD"/>
    <w:rsid w:val="007D39C0"/>
    <w:rsid w:val="007D3C5E"/>
    <w:rsid w:val="007D46B4"/>
    <w:rsid w:val="007D4BC5"/>
    <w:rsid w:val="007D4E85"/>
    <w:rsid w:val="007D673A"/>
    <w:rsid w:val="007D75D2"/>
    <w:rsid w:val="007D7BF4"/>
    <w:rsid w:val="007E1A07"/>
    <w:rsid w:val="007E1C3B"/>
    <w:rsid w:val="007E32DE"/>
    <w:rsid w:val="007E3AD5"/>
    <w:rsid w:val="007E493D"/>
    <w:rsid w:val="007E4A67"/>
    <w:rsid w:val="007E543B"/>
    <w:rsid w:val="007E60DE"/>
    <w:rsid w:val="007E6C3F"/>
    <w:rsid w:val="007F2E3C"/>
    <w:rsid w:val="007F3EEE"/>
    <w:rsid w:val="007F3F52"/>
    <w:rsid w:val="007F524C"/>
    <w:rsid w:val="007F57CC"/>
    <w:rsid w:val="007F6B6F"/>
    <w:rsid w:val="007F6C36"/>
    <w:rsid w:val="007F798B"/>
    <w:rsid w:val="007F7BFA"/>
    <w:rsid w:val="00802206"/>
    <w:rsid w:val="00802AEF"/>
    <w:rsid w:val="00802F34"/>
    <w:rsid w:val="00803770"/>
    <w:rsid w:val="0080544A"/>
    <w:rsid w:val="008071F5"/>
    <w:rsid w:val="00810261"/>
    <w:rsid w:val="0081154C"/>
    <w:rsid w:val="00812569"/>
    <w:rsid w:val="00812E84"/>
    <w:rsid w:val="00812F83"/>
    <w:rsid w:val="00813B2F"/>
    <w:rsid w:val="00813B51"/>
    <w:rsid w:val="00815020"/>
    <w:rsid w:val="0081511E"/>
    <w:rsid w:val="00815CD6"/>
    <w:rsid w:val="008163F9"/>
    <w:rsid w:val="008164CE"/>
    <w:rsid w:val="0081685F"/>
    <w:rsid w:val="00816B2A"/>
    <w:rsid w:val="00816CBF"/>
    <w:rsid w:val="008171DA"/>
    <w:rsid w:val="008210BB"/>
    <w:rsid w:val="00822139"/>
    <w:rsid w:val="008223E3"/>
    <w:rsid w:val="0082399C"/>
    <w:rsid w:val="0082479D"/>
    <w:rsid w:val="008252CB"/>
    <w:rsid w:val="008258E5"/>
    <w:rsid w:val="0083027D"/>
    <w:rsid w:val="008304DA"/>
    <w:rsid w:val="008309FA"/>
    <w:rsid w:val="00831AE2"/>
    <w:rsid w:val="008328DC"/>
    <w:rsid w:val="00832CA2"/>
    <w:rsid w:val="008333CF"/>
    <w:rsid w:val="0083351B"/>
    <w:rsid w:val="00834AF1"/>
    <w:rsid w:val="00835455"/>
    <w:rsid w:val="0083686F"/>
    <w:rsid w:val="008375E0"/>
    <w:rsid w:val="00840A3F"/>
    <w:rsid w:val="00840D35"/>
    <w:rsid w:val="00840D7D"/>
    <w:rsid w:val="00840F5A"/>
    <w:rsid w:val="00841A0D"/>
    <w:rsid w:val="00841BB0"/>
    <w:rsid w:val="0084405E"/>
    <w:rsid w:val="00844BB8"/>
    <w:rsid w:val="0084520D"/>
    <w:rsid w:val="008459DB"/>
    <w:rsid w:val="0084704A"/>
    <w:rsid w:val="0084715E"/>
    <w:rsid w:val="0084746F"/>
    <w:rsid w:val="00847976"/>
    <w:rsid w:val="00850485"/>
    <w:rsid w:val="00851433"/>
    <w:rsid w:val="00851625"/>
    <w:rsid w:val="0085208F"/>
    <w:rsid w:val="008526CA"/>
    <w:rsid w:val="00852CCC"/>
    <w:rsid w:val="008535FC"/>
    <w:rsid w:val="0085438A"/>
    <w:rsid w:val="00856863"/>
    <w:rsid w:val="00857683"/>
    <w:rsid w:val="00857C2A"/>
    <w:rsid w:val="00860CC0"/>
    <w:rsid w:val="00860DEA"/>
    <w:rsid w:val="00862977"/>
    <w:rsid w:val="00863FF0"/>
    <w:rsid w:val="00864505"/>
    <w:rsid w:val="00866569"/>
    <w:rsid w:val="00866628"/>
    <w:rsid w:val="008677FA"/>
    <w:rsid w:val="008678E3"/>
    <w:rsid w:val="00867FD1"/>
    <w:rsid w:val="00870767"/>
    <w:rsid w:val="00870C48"/>
    <w:rsid w:val="00870DE1"/>
    <w:rsid w:val="00870F8B"/>
    <w:rsid w:val="00873713"/>
    <w:rsid w:val="0087372C"/>
    <w:rsid w:val="00875054"/>
    <w:rsid w:val="00875775"/>
    <w:rsid w:val="00875A6B"/>
    <w:rsid w:val="0087634B"/>
    <w:rsid w:val="00877C7C"/>
    <w:rsid w:val="00880AF1"/>
    <w:rsid w:val="00880B6D"/>
    <w:rsid w:val="00881AF8"/>
    <w:rsid w:val="008822AC"/>
    <w:rsid w:val="00882836"/>
    <w:rsid w:val="00884127"/>
    <w:rsid w:val="00884B9A"/>
    <w:rsid w:val="008853E0"/>
    <w:rsid w:val="008855AA"/>
    <w:rsid w:val="00885B72"/>
    <w:rsid w:val="0088703B"/>
    <w:rsid w:val="0088745D"/>
    <w:rsid w:val="008900B2"/>
    <w:rsid w:val="0089036D"/>
    <w:rsid w:val="008906F0"/>
    <w:rsid w:val="00892D20"/>
    <w:rsid w:val="008934F3"/>
    <w:rsid w:val="00893568"/>
    <w:rsid w:val="00894544"/>
    <w:rsid w:val="008952C3"/>
    <w:rsid w:val="00895D6A"/>
    <w:rsid w:val="008A0212"/>
    <w:rsid w:val="008A0A76"/>
    <w:rsid w:val="008A1374"/>
    <w:rsid w:val="008A1631"/>
    <w:rsid w:val="008A1BD6"/>
    <w:rsid w:val="008A1DC9"/>
    <w:rsid w:val="008A3175"/>
    <w:rsid w:val="008A4CFE"/>
    <w:rsid w:val="008A5972"/>
    <w:rsid w:val="008A5FCF"/>
    <w:rsid w:val="008A7DCC"/>
    <w:rsid w:val="008B09B6"/>
    <w:rsid w:val="008B1741"/>
    <w:rsid w:val="008B1D1E"/>
    <w:rsid w:val="008B2F8C"/>
    <w:rsid w:val="008B51F3"/>
    <w:rsid w:val="008B5D20"/>
    <w:rsid w:val="008B6D7E"/>
    <w:rsid w:val="008C1413"/>
    <w:rsid w:val="008C239C"/>
    <w:rsid w:val="008C4691"/>
    <w:rsid w:val="008C4708"/>
    <w:rsid w:val="008C4CE6"/>
    <w:rsid w:val="008C4D25"/>
    <w:rsid w:val="008C63B9"/>
    <w:rsid w:val="008C6D28"/>
    <w:rsid w:val="008C6D66"/>
    <w:rsid w:val="008C778E"/>
    <w:rsid w:val="008C7C01"/>
    <w:rsid w:val="008D1304"/>
    <w:rsid w:val="008D3368"/>
    <w:rsid w:val="008D34BB"/>
    <w:rsid w:val="008D369B"/>
    <w:rsid w:val="008D445D"/>
    <w:rsid w:val="008D57BF"/>
    <w:rsid w:val="008D67CF"/>
    <w:rsid w:val="008E052B"/>
    <w:rsid w:val="008E1515"/>
    <w:rsid w:val="008E3397"/>
    <w:rsid w:val="008E43C7"/>
    <w:rsid w:val="008E63E8"/>
    <w:rsid w:val="008F0418"/>
    <w:rsid w:val="008F08DC"/>
    <w:rsid w:val="008F1381"/>
    <w:rsid w:val="008F1AEF"/>
    <w:rsid w:val="008F1F5D"/>
    <w:rsid w:val="008F1FEF"/>
    <w:rsid w:val="008F2A9E"/>
    <w:rsid w:val="008F3376"/>
    <w:rsid w:val="008F38EE"/>
    <w:rsid w:val="008F6135"/>
    <w:rsid w:val="008F6305"/>
    <w:rsid w:val="008F71AF"/>
    <w:rsid w:val="009008A0"/>
    <w:rsid w:val="00900A44"/>
    <w:rsid w:val="00902F35"/>
    <w:rsid w:val="009032D5"/>
    <w:rsid w:val="0090418B"/>
    <w:rsid w:val="00905055"/>
    <w:rsid w:val="00905D2A"/>
    <w:rsid w:val="00906A2A"/>
    <w:rsid w:val="00907097"/>
    <w:rsid w:val="0091056D"/>
    <w:rsid w:val="00910A7E"/>
    <w:rsid w:val="0091134E"/>
    <w:rsid w:val="00912F26"/>
    <w:rsid w:val="00913A72"/>
    <w:rsid w:val="00913BFD"/>
    <w:rsid w:val="00913C71"/>
    <w:rsid w:val="009153F3"/>
    <w:rsid w:val="00921464"/>
    <w:rsid w:val="0092189F"/>
    <w:rsid w:val="0092192D"/>
    <w:rsid w:val="009222DB"/>
    <w:rsid w:val="00924A26"/>
    <w:rsid w:val="009270FA"/>
    <w:rsid w:val="0092722E"/>
    <w:rsid w:val="009275FC"/>
    <w:rsid w:val="0092774D"/>
    <w:rsid w:val="00930159"/>
    <w:rsid w:val="0093060C"/>
    <w:rsid w:val="00930D99"/>
    <w:rsid w:val="00931116"/>
    <w:rsid w:val="0093260F"/>
    <w:rsid w:val="00932C9E"/>
    <w:rsid w:val="00932EDE"/>
    <w:rsid w:val="00933C86"/>
    <w:rsid w:val="00933D37"/>
    <w:rsid w:val="00933F77"/>
    <w:rsid w:val="0093469D"/>
    <w:rsid w:val="00935035"/>
    <w:rsid w:val="00936700"/>
    <w:rsid w:val="0093675E"/>
    <w:rsid w:val="00937530"/>
    <w:rsid w:val="009375D9"/>
    <w:rsid w:val="009377BE"/>
    <w:rsid w:val="009401A8"/>
    <w:rsid w:val="00940BB3"/>
    <w:rsid w:val="009422E0"/>
    <w:rsid w:val="00943D1E"/>
    <w:rsid w:val="00943E1C"/>
    <w:rsid w:val="00944E26"/>
    <w:rsid w:val="0094581A"/>
    <w:rsid w:val="009478F7"/>
    <w:rsid w:val="00950301"/>
    <w:rsid w:val="00950CD0"/>
    <w:rsid w:val="00953C46"/>
    <w:rsid w:val="00955285"/>
    <w:rsid w:val="00956536"/>
    <w:rsid w:val="00956BD1"/>
    <w:rsid w:val="00956E9E"/>
    <w:rsid w:val="009570EA"/>
    <w:rsid w:val="00957A54"/>
    <w:rsid w:val="0096194D"/>
    <w:rsid w:val="00961986"/>
    <w:rsid w:val="0096221F"/>
    <w:rsid w:val="009637FE"/>
    <w:rsid w:val="00964264"/>
    <w:rsid w:val="00964438"/>
    <w:rsid w:val="00965B78"/>
    <w:rsid w:val="009662CE"/>
    <w:rsid w:val="00966DAA"/>
    <w:rsid w:val="00966E31"/>
    <w:rsid w:val="00966FF8"/>
    <w:rsid w:val="00970CB2"/>
    <w:rsid w:val="00971A0F"/>
    <w:rsid w:val="00971A9E"/>
    <w:rsid w:val="009723FF"/>
    <w:rsid w:val="009735B5"/>
    <w:rsid w:val="009736B0"/>
    <w:rsid w:val="00974A57"/>
    <w:rsid w:val="009774F4"/>
    <w:rsid w:val="00980F75"/>
    <w:rsid w:val="009820C6"/>
    <w:rsid w:val="009831D2"/>
    <w:rsid w:val="00983FA9"/>
    <w:rsid w:val="00984257"/>
    <w:rsid w:val="0098456F"/>
    <w:rsid w:val="00984818"/>
    <w:rsid w:val="009848B7"/>
    <w:rsid w:val="00986852"/>
    <w:rsid w:val="00986891"/>
    <w:rsid w:val="00986CD7"/>
    <w:rsid w:val="00991DBA"/>
    <w:rsid w:val="009923C1"/>
    <w:rsid w:val="009930C0"/>
    <w:rsid w:val="00993A2A"/>
    <w:rsid w:val="00994C29"/>
    <w:rsid w:val="00995510"/>
    <w:rsid w:val="00995C6F"/>
    <w:rsid w:val="00995E71"/>
    <w:rsid w:val="009964A4"/>
    <w:rsid w:val="0099695F"/>
    <w:rsid w:val="009969FF"/>
    <w:rsid w:val="0099726F"/>
    <w:rsid w:val="009A0ABB"/>
    <w:rsid w:val="009A1031"/>
    <w:rsid w:val="009A12EA"/>
    <w:rsid w:val="009A1867"/>
    <w:rsid w:val="009A1EC7"/>
    <w:rsid w:val="009A31C3"/>
    <w:rsid w:val="009A4536"/>
    <w:rsid w:val="009A75C4"/>
    <w:rsid w:val="009A7D6A"/>
    <w:rsid w:val="009B0153"/>
    <w:rsid w:val="009B02EB"/>
    <w:rsid w:val="009B04EF"/>
    <w:rsid w:val="009B0DF4"/>
    <w:rsid w:val="009B1281"/>
    <w:rsid w:val="009B2622"/>
    <w:rsid w:val="009B426B"/>
    <w:rsid w:val="009B4D11"/>
    <w:rsid w:val="009B50D9"/>
    <w:rsid w:val="009B62F1"/>
    <w:rsid w:val="009C0C51"/>
    <w:rsid w:val="009C1706"/>
    <w:rsid w:val="009C1FD3"/>
    <w:rsid w:val="009C2BC1"/>
    <w:rsid w:val="009C3441"/>
    <w:rsid w:val="009C4B3A"/>
    <w:rsid w:val="009C4EA2"/>
    <w:rsid w:val="009C53DF"/>
    <w:rsid w:val="009C5CEA"/>
    <w:rsid w:val="009C5FEC"/>
    <w:rsid w:val="009C73E2"/>
    <w:rsid w:val="009D0907"/>
    <w:rsid w:val="009D1524"/>
    <w:rsid w:val="009D1E2E"/>
    <w:rsid w:val="009D2859"/>
    <w:rsid w:val="009D292F"/>
    <w:rsid w:val="009D2B34"/>
    <w:rsid w:val="009D35BA"/>
    <w:rsid w:val="009D3AF0"/>
    <w:rsid w:val="009D3B13"/>
    <w:rsid w:val="009D3B31"/>
    <w:rsid w:val="009D43B2"/>
    <w:rsid w:val="009D493C"/>
    <w:rsid w:val="009D5217"/>
    <w:rsid w:val="009D5D97"/>
    <w:rsid w:val="009D5F81"/>
    <w:rsid w:val="009D62AD"/>
    <w:rsid w:val="009D6324"/>
    <w:rsid w:val="009D7EAE"/>
    <w:rsid w:val="009E05DC"/>
    <w:rsid w:val="009E0872"/>
    <w:rsid w:val="009E15B7"/>
    <w:rsid w:val="009E291F"/>
    <w:rsid w:val="009E3443"/>
    <w:rsid w:val="009E3BFF"/>
    <w:rsid w:val="009E3CE2"/>
    <w:rsid w:val="009E3D76"/>
    <w:rsid w:val="009E3DFC"/>
    <w:rsid w:val="009F005D"/>
    <w:rsid w:val="009F11D8"/>
    <w:rsid w:val="009F1CD2"/>
    <w:rsid w:val="009F2973"/>
    <w:rsid w:val="009F35F2"/>
    <w:rsid w:val="009F36D4"/>
    <w:rsid w:val="009F4248"/>
    <w:rsid w:val="009F4901"/>
    <w:rsid w:val="009F50F8"/>
    <w:rsid w:val="009F529A"/>
    <w:rsid w:val="009F62E2"/>
    <w:rsid w:val="009F72A9"/>
    <w:rsid w:val="009F767D"/>
    <w:rsid w:val="009F7757"/>
    <w:rsid w:val="009F7798"/>
    <w:rsid w:val="009F7821"/>
    <w:rsid w:val="00A005F2"/>
    <w:rsid w:val="00A00A4D"/>
    <w:rsid w:val="00A00D2B"/>
    <w:rsid w:val="00A0135D"/>
    <w:rsid w:val="00A015CE"/>
    <w:rsid w:val="00A02E5E"/>
    <w:rsid w:val="00A034F0"/>
    <w:rsid w:val="00A05C5E"/>
    <w:rsid w:val="00A05D6E"/>
    <w:rsid w:val="00A0695D"/>
    <w:rsid w:val="00A06B85"/>
    <w:rsid w:val="00A0732C"/>
    <w:rsid w:val="00A0764F"/>
    <w:rsid w:val="00A1131C"/>
    <w:rsid w:val="00A1247C"/>
    <w:rsid w:val="00A12A61"/>
    <w:rsid w:val="00A12E0B"/>
    <w:rsid w:val="00A13293"/>
    <w:rsid w:val="00A13FB4"/>
    <w:rsid w:val="00A1466B"/>
    <w:rsid w:val="00A14C1E"/>
    <w:rsid w:val="00A14FFF"/>
    <w:rsid w:val="00A152A4"/>
    <w:rsid w:val="00A16722"/>
    <w:rsid w:val="00A16881"/>
    <w:rsid w:val="00A16AF8"/>
    <w:rsid w:val="00A17027"/>
    <w:rsid w:val="00A20876"/>
    <w:rsid w:val="00A20985"/>
    <w:rsid w:val="00A22CCF"/>
    <w:rsid w:val="00A235CC"/>
    <w:rsid w:val="00A24464"/>
    <w:rsid w:val="00A2621D"/>
    <w:rsid w:val="00A27C16"/>
    <w:rsid w:val="00A317B8"/>
    <w:rsid w:val="00A32282"/>
    <w:rsid w:val="00A32F43"/>
    <w:rsid w:val="00A3350E"/>
    <w:rsid w:val="00A33644"/>
    <w:rsid w:val="00A336B8"/>
    <w:rsid w:val="00A33DBF"/>
    <w:rsid w:val="00A33FA7"/>
    <w:rsid w:val="00A36AB6"/>
    <w:rsid w:val="00A37946"/>
    <w:rsid w:val="00A40BE1"/>
    <w:rsid w:val="00A40D3F"/>
    <w:rsid w:val="00A40DB4"/>
    <w:rsid w:val="00A42413"/>
    <w:rsid w:val="00A429E9"/>
    <w:rsid w:val="00A42A19"/>
    <w:rsid w:val="00A42AC4"/>
    <w:rsid w:val="00A43D1C"/>
    <w:rsid w:val="00A44950"/>
    <w:rsid w:val="00A45F6A"/>
    <w:rsid w:val="00A460F7"/>
    <w:rsid w:val="00A464D4"/>
    <w:rsid w:val="00A4734C"/>
    <w:rsid w:val="00A4789F"/>
    <w:rsid w:val="00A50496"/>
    <w:rsid w:val="00A512D5"/>
    <w:rsid w:val="00A51391"/>
    <w:rsid w:val="00A513A2"/>
    <w:rsid w:val="00A51F5C"/>
    <w:rsid w:val="00A51F91"/>
    <w:rsid w:val="00A5214B"/>
    <w:rsid w:val="00A523CF"/>
    <w:rsid w:val="00A52596"/>
    <w:rsid w:val="00A52F8F"/>
    <w:rsid w:val="00A5312F"/>
    <w:rsid w:val="00A54A2C"/>
    <w:rsid w:val="00A54F40"/>
    <w:rsid w:val="00A5737B"/>
    <w:rsid w:val="00A5743C"/>
    <w:rsid w:val="00A57CE1"/>
    <w:rsid w:val="00A6065E"/>
    <w:rsid w:val="00A60C5E"/>
    <w:rsid w:val="00A620CF"/>
    <w:rsid w:val="00A63948"/>
    <w:rsid w:val="00A64767"/>
    <w:rsid w:val="00A64D85"/>
    <w:rsid w:val="00A65329"/>
    <w:rsid w:val="00A65377"/>
    <w:rsid w:val="00A65464"/>
    <w:rsid w:val="00A667C5"/>
    <w:rsid w:val="00A66A0D"/>
    <w:rsid w:val="00A6702C"/>
    <w:rsid w:val="00A6771A"/>
    <w:rsid w:val="00A67812"/>
    <w:rsid w:val="00A67E28"/>
    <w:rsid w:val="00A705EB"/>
    <w:rsid w:val="00A70E83"/>
    <w:rsid w:val="00A73075"/>
    <w:rsid w:val="00A733AA"/>
    <w:rsid w:val="00A73767"/>
    <w:rsid w:val="00A73D00"/>
    <w:rsid w:val="00A74E9C"/>
    <w:rsid w:val="00A74EC6"/>
    <w:rsid w:val="00A74F00"/>
    <w:rsid w:val="00A75837"/>
    <w:rsid w:val="00A773D4"/>
    <w:rsid w:val="00A77EF9"/>
    <w:rsid w:val="00A82867"/>
    <w:rsid w:val="00A829A1"/>
    <w:rsid w:val="00A82D09"/>
    <w:rsid w:val="00A82EA5"/>
    <w:rsid w:val="00A86D30"/>
    <w:rsid w:val="00A8725D"/>
    <w:rsid w:val="00A87AC5"/>
    <w:rsid w:val="00A905EA"/>
    <w:rsid w:val="00A908FA"/>
    <w:rsid w:val="00A90DB8"/>
    <w:rsid w:val="00A9400D"/>
    <w:rsid w:val="00A94280"/>
    <w:rsid w:val="00A94792"/>
    <w:rsid w:val="00A949E8"/>
    <w:rsid w:val="00A958A4"/>
    <w:rsid w:val="00A95A9C"/>
    <w:rsid w:val="00A95C34"/>
    <w:rsid w:val="00A95FE5"/>
    <w:rsid w:val="00A96799"/>
    <w:rsid w:val="00A967DC"/>
    <w:rsid w:val="00A9699A"/>
    <w:rsid w:val="00A96CBD"/>
    <w:rsid w:val="00AA1C39"/>
    <w:rsid w:val="00AA25CD"/>
    <w:rsid w:val="00AA2774"/>
    <w:rsid w:val="00AA2A5A"/>
    <w:rsid w:val="00AA32B9"/>
    <w:rsid w:val="00AA3519"/>
    <w:rsid w:val="00AA351D"/>
    <w:rsid w:val="00AA39D7"/>
    <w:rsid w:val="00AA433D"/>
    <w:rsid w:val="00AA4F5D"/>
    <w:rsid w:val="00AA50D1"/>
    <w:rsid w:val="00AA6B4C"/>
    <w:rsid w:val="00AA7399"/>
    <w:rsid w:val="00AA7864"/>
    <w:rsid w:val="00AA7921"/>
    <w:rsid w:val="00AB01C7"/>
    <w:rsid w:val="00AB0A63"/>
    <w:rsid w:val="00AB142D"/>
    <w:rsid w:val="00AB2B9F"/>
    <w:rsid w:val="00AB472A"/>
    <w:rsid w:val="00AB4AD6"/>
    <w:rsid w:val="00AB4F07"/>
    <w:rsid w:val="00AB4F49"/>
    <w:rsid w:val="00AB7187"/>
    <w:rsid w:val="00AB73A2"/>
    <w:rsid w:val="00AC0442"/>
    <w:rsid w:val="00AC07C9"/>
    <w:rsid w:val="00AC33A8"/>
    <w:rsid w:val="00AC360D"/>
    <w:rsid w:val="00AC5948"/>
    <w:rsid w:val="00AC6EBD"/>
    <w:rsid w:val="00AC6EFF"/>
    <w:rsid w:val="00AC7755"/>
    <w:rsid w:val="00AD0890"/>
    <w:rsid w:val="00AD2BBD"/>
    <w:rsid w:val="00AD2BD1"/>
    <w:rsid w:val="00AD3373"/>
    <w:rsid w:val="00AD3FED"/>
    <w:rsid w:val="00AD60BC"/>
    <w:rsid w:val="00AD622A"/>
    <w:rsid w:val="00AD69CD"/>
    <w:rsid w:val="00AD7024"/>
    <w:rsid w:val="00AD7A08"/>
    <w:rsid w:val="00AD7AD5"/>
    <w:rsid w:val="00AD7CD6"/>
    <w:rsid w:val="00AE0460"/>
    <w:rsid w:val="00AE0C6D"/>
    <w:rsid w:val="00AE0FF5"/>
    <w:rsid w:val="00AE2DDE"/>
    <w:rsid w:val="00AE344B"/>
    <w:rsid w:val="00AE3B95"/>
    <w:rsid w:val="00AE60F9"/>
    <w:rsid w:val="00AE63A7"/>
    <w:rsid w:val="00AE6CE5"/>
    <w:rsid w:val="00AE7CD5"/>
    <w:rsid w:val="00AE7E8B"/>
    <w:rsid w:val="00AF1E2F"/>
    <w:rsid w:val="00AF23AD"/>
    <w:rsid w:val="00AF270E"/>
    <w:rsid w:val="00AF28A5"/>
    <w:rsid w:val="00AF2953"/>
    <w:rsid w:val="00AF3B95"/>
    <w:rsid w:val="00AF3D5F"/>
    <w:rsid w:val="00AF5B06"/>
    <w:rsid w:val="00AF5FA9"/>
    <w:rsid w:val="00B01054"/>
    <w:rsid w:val="00B02F64"/>
    <w:rsid w:val="00B037B0"/>
    <w:rsid w:val="00B0472B"/>
    <w:rsid w:val="00B04F2F"/>
    <w:rsid w:val="00B07E99"/>
    <w:rsid w:val="00B1039B"/>
    <w:rsid w:val="00B10887"/>
    <w:rsid w:val="00B10B3D"/>
    <w:rsid w:val="00B12247"/>
    <w:rsid w:val="00B1360F"/>
    <w:rsid w:val="00B1445C"/>
    <w:rsid w:val="00B144E5"/>
    <w:rsid w:val="00B146D9"/>
    <w:rsid w:val="00B14B6A"/>
    <w:rsid w:val="00B14E18"/>
    <w:rsid w:val="00B161F1"/>
    <w:rsid w:val="00B16716"/>
    <w:rsid w:val="00B16976"/>
    <w:rsid w:val="00B17173"/>
    <w:rsid w:val="00B2034D"/>
    <w:rsid w:val="00B208FD"/>
    <w:rsid w:val="00B20D9F"/>
    <w:rsid w:val="00B21725"/>
    <w:rsid w:val="00B21730"/>
    <w:rsid w:val="00B23038"/>
    <w:rsid w:val="00B23678"/>
    <w:rsid w:val="00B23A69"/>
    <w:rsid w:val="00B23C78"/>
    <w:rsid w:val="00B23DB4"/>
    <w:rsid w:val="00B276D3"/>
    <w:rsid w:val="00B27AA9"/>
    <w:rsid w:val="00B30660"/>
    <w:rsid w:val="00B3078F"/>
    <w:rsid w:val="00B30A28"/>
    <w:rsid w:val="00B32771"/>
    <w:rsid w:val="00B359B9"/>
    <w:rsid w:val="00B35C98"/>
    <w:rsid w:val="00B402F6"/>
    <w:rsid w:val="00B40795"/>
    <w:rsid w:val="00B410D4"/>
    <w:rsid w:val="00B41B8D"/>
    <w:rsid w:val="00B42329"/>
    <w:rsid w:val="00B42FA1"/>
    <w:rsid w:val="00B43118"/>
    <w:rsid w:val="00B43178"/>
    <w:rsid w:val="00B43364"/>
    <w:rsid w:val="00B43886"/>
    <w:rsid w:val="00B43FCE"/>
    <w:rsid w:val="00B44E5B"/>
    <w:rsid w:val="00B44EA4"/>
    <w:rsid w:val="00B44F1B"/>
    <w:rsid w:val="00B451FA"/>
    <w:rsid w:val="00B45833"/>
    <w:rsid w:val="00B45C48"/>
    <w:rsid w:val="00B45E67"/>
    <w:rsid w:val="00B46066"/>
    <w:rsid w:val="00B46F2B"/>
    <w:rsid w:val="00B471E1"/>
    <w:rsid w:val="00B473C2"/>
    <w:rsid w:val="00B47624"/>
    <w:rsid w:val="00B47F5F"/>
    <w:rsid w:val="00B5057E"/>
    <w:rsid w:val="00B50D10"/>
    <w:rsid w:val="00B51EC9"/>
    <w:rsid w:val="00B53003"/>
    <w:rsid w:val="00B53F6B"/>
    <w:rsid w:val="00B5475D"/>
    <w:rsid w:val="00B54FCE"/>
    <w:rsid w:val="00B56DE1"/>
    <w:rsid w:val="00B56F89"/>
    <w:rsid w:val="00B57A7C"/>
    <w:rsid w:val="00B57CA0"/>
    <w:rsid w:val="00B600DA"/>
    <w:rsid w:val="00B60104"/>
    <w:rsid w:val="00B6084B"/>
    <w:rsid w:val="00B614C4"/>
    <w:rsid w:val="00B62365"/>
    <w:rsid w:val="00B64671"/>
    <w:rsid w:val="00B6574D"/>
    <w:rsid w:val="00B6596B"/>
    <w:rsid w:val="00B659DC"/>
    <w:rsid w:val="00B65C4F"/>
    <w:rsid w:val="00B67402"/>
    <w:rsid w:val="00B705DC"/>
    <w:rsid w:val="00B71E43"/>
    <w:rsid w:val="00B727F0"/>
    <w:rsid w:val="00B7330E"/>
    <w:rsid w:val="00B73E0E"/>
    <w:rsid w:val="00B75050"/>
    <w:rsid w:val="00B758AB"/>
    <w:rsid w:val="00B807F4"/>
    <w:rsid w:val="00B80C93"/>
    <w:rsid w:val="00B8135F"/>
    <w:rsid w:val="00B813E2"/>
    <w:rsid w:val="00B85E39"/>
    <w:rsid w:val="00B872FA"/>
    <w:rsid w:val="00B8752E"/>
    <w:rsid w:val="00B87829"/>
    <w:rsid w:val="00B87A96"/>
    <w:rsid w:val="00B87AE6"/>
    <w:rsid w:val="00B910F2"/>
    <w:rsid w:val="00B932B0"/>
    <w:rsid w:val="00B944C5"/>
    <w:rsid w:val="00B94A63"/>
    <w:rsid w:val="00B94E20"/>
    <w:rsid w:val="00B94ECD"/>
    <w:rsid w:val="00B9511E"/>
    <w:rsid w:val="00B965A0"/>
    <w:rsid w:val="00B973E6"/>
    <w:rsid w:val="00BA0C34"/>
    <w:rsid w:val="00BA1767"/>
    <w:rsid w:val="00BA1E41"/>
    <w:rsid w:val="00BA2167"/>
    <w:rsid w:val="00BA236C"/>
    <w:rsid w:val="00BA2962"/>
    <w:rsid w:val="00BA38F0"/>
    <w:rsid w:val="00BA3FA5"/>
    <w:rsid w:val="00BA5CB6"/>
    <w:rsid w:val="00BA6B4B"/>
    <w:rsid w:val="00BA6C3D"/>
    <w:rsid w:val="00BA77A3"/>
    <w:rsid w:val="00BB3150"/>
    <w:rsid w:val="00BB4062"/>
    <w:rsid w:val="00BB4137"/>
    <w:rsid w:val="00BB45D2"/>
    <w:rsid w:val="00BB5225"/>
    <w:rsid w:val="00BB6131"/>
    <w:rsid w:val="00BC0BC0"/>
    <w:rsid w:val="00BC1E0F"/>
    <w:rsid w:val="00BC2B7D"/>
    <w:rsid w:val="00BC3C60"/>
    <w:rsid w:val="00BC5FA3"/>
    <w:rsid w:val="00BC75B5"/>
    <w:rsid w:val="00BC76B0"/>
    <w:rsid w:val="00BC7B17"/>
    <w:rsid w:val="00BD01B5"/>
    <w:rsid w:val="00BD1849"/>
    <w:rsid w:val="00BD19FF"/>
    <w:rsid w:val="00BD37E1"/>
    <w:rsid w:val="00BD59A6"/>
    <w:rsid w:val="00BD5F1F"/>
    <w:rsid w:val="00BD6F36"/>
    <w:rsid w:val="00BD6F65"/>
    <w:rsid w:val="00BE0068"/>
    <w:rsid w:val="00BE101D"/>
    <w:rsid w:val="00BE207D"/>
    <w:rsid w:val="00BE2A79"/>
    <w:rsid w:val="00BE2C12"/>
    <w:rsid w:val="00BE2F33"/>
    <w:rsid w:val="00BE36F0"/>
    <w:rsid w:val="00BE4F35"/>
    <w:rsid w:val="00BE7D14"/>
    <w:rsid w:val="00BF0323"/>
    <w:rsid w:val="00BF070D"/>
    <w:rsid w:val="00BF0A68"/>
    <w:rsid w:val="00BF0D6B"/>
    <w:rsid w:val="00BF2777"/>
    <w:rsid w:val="00BF2B86"/>
    <w:rsid w:val="00BF3110"/>
    <w:rsid w:val="00BF36F9"/>
    <w:rsid w:val="00BF3870"/>
    <w:rsid w:val="00BF4F60"/>
    <w:rsid w:val="00BF68FD"/>
    <w:rsid w:val="00BF732E"/>
    <w:rsid w:val="00BF7364"/>
    <w:rsid w:val="00BF75F8"/>
    <w:rsid w:val="00BF7DDE"/>
    <w:rsid w:val="00C00A6A"/>
    <w:rsid w:val="00C03DD7"/>
    <w:rsid w:val="00C03FCA"/>
    <w:rsid w:val="00C04313"/>
    <w:rsid w:val="00C0478A"/>
    <w:rsid w:val="00C06733"/>
    <w:rsid w:val="00C06D59"/>
    <w:rsid w:val="00C107A7"/>
    <w:rsid w:val="00C10CC9"/>
    <w:rsid w:val="00C11C68"/>
    <w:rsid w:val="00C11E5A"/>
    <w:rsid w:val="00C15E0F"/>
    <w:rsid w:val="00C16A68"/>
    <w:rsid w:val="00C16BBD"/>
    <w:rsid w:val="00C171BA"/>
    <w:rsid w:val="00C20582"/>
    <w:rsid w:val="00C22098"/>
    <w:rsid w:val="00C2243C"/>
    <w:rsid w:val="00C23472"/>
    <w:rsid w:val="00C23BB2"/>
    <w:rsid w:val="00C2549E"/>
    <w:rsid w:val="00C26C4E"/>
    <w:rsid w:val="00C33152"/>
    <w:rsid w:val="00C33A46"/>
    <w:rsid w:val="00C33A58"/>
    <w:rsid w:val="00C340E6"/>
    <w:rsid w:val="00C34C14"/>
    <w:rsid w:val="00C36A7B"/>
    <w:rsid w:val="00C36CC6"/>
    <w:rsid w:val="00C37BD5"/>
    <w:rsid w:val="00C4010A"/>
    <w:rsid w:val="00C40F5A"/>
    <w:rsid w:val="00C41584"/>
    <w:rsid w:val="00C41B14"/>
    <w:rsid w:val="00C426B6"/>
    <w:rsid w:val="00C435D4"/>
    <w:rsid w:val="00C44C79"/>
    <w:rsid w:val="00C44E10"/>
    <w:rsid w:val="00C45577"/>
    <w:rsid w:val="00C46473"/>
    <w:rsid w:val="00C46763"/>
    <w:rsid w:val="00C46C19"/>
    <w:rsid w:val="00C5173F"/>
    <w:rsid w:val="00C54244"/>
    <w:rsid w:val="00C5429E"/>
    <w:rsid w:val="00C60502"/>
    <w:rsid w:val="00C61032"/>
    <w:rsid w:val="00C613E1"/>
    <w:rsid w:val="00C6169C"/>
    <w:rsid w:val="00C6303F"/>
    <w:rsid w:val="00C6357D"/>
    <w:rsid w:val="00C635B3"/>
    <w:rsid w:val="00C63DF0"/>
    <w:rsid w:val="00C64121"/>
    <w:rsid w:val="00C66442"/>
    <w:rsid w:val="00C66BBD"/>
    <w:rsid w:val="00C673CB"/>
    <w:rsid w:val="00C67E1B"/>
    <w:rsid w:val="00C7036F"/>
    <w:rsid w:val="00C70395"/>
    <w:rsid w:val="00C706C9"/>
    <w:rsid w:val="00C7189E"/>
    <w:rsid w:val="00C71D3D"/>
    <w:rsid w:val="00C72109"/>
    <w:rsid w:val="00C726DF"/>
    <w:rsid w:val="00C72928"/>
    <w:rsid w:val="00C74181"/>
    <w:rsid w:val="00C752FD"/>
    <w:rsid w:val="00C75F8A"/>
    <w:rsid w:val="00C7728D"/>
    <w:rsid w:val="00C804E2"/>
    <w:rsid w:val="00C80732"/>
    <w:rsid w:val="00C8128E"/>
    <w:rsid w:val="00C8207F"/>
    <w:rsid w:val="00C85968"/>
    <w:rsid w:val="00C86AFD"/>
    <w:rsid w:val="00C87673"/>
    <w:rsid w:val="00C87CD7"/>
    <w:rsid w:val="00C90E5D"/>
    <w:rsid w:val="00C914E8"/>
    <w:rsid w:val="00C9197B"/>
    <w:rsid w:val="00C9224A"/>
    <w:rsid w:val="00C92861"/>
    <w:rsid w:val="00C92A16"/>
    <w:rsid w:val="00C932E6"/>
    <w:rsid w:val="00C9369D"/>
    <w:rsid w:val="00C93B95"/>
    <w:rsid w:val="00C93BD7"/>
    <w:rsid w:val="00C93BF4"/>
    <w:rsid w:val="00C95040"/>
    <w:rsid w:val="00C95596"/>
    <w:rsid w:val="00C96509"/>
    <w:rsid w:val="00C96E07"/>
    <w:rsid w:val="00C9736F"/>
    <w:rsid w:val="00CA021C"/>
    <w:rsid w:val="00CA05F2"/>
    <w:rsid w:val="00CA104E"/>
    <w:rsid w:val="00CA123F"/>
    <w:rsid w:val="00CA2089"/>
    <w:rsid w:val="00CA2540"/>
    <w:rsid w:val="00CA259C"/>
    <w:rsid w:val="00CA3398"/>
    <w:rsid w:val="00CA3C23"/>
    <w:rsid w:val="00CA3F6C"/>
    <w:rsid w:val="00CA45E3"/>
    <w:rsid w:val="00CA4858"/>
    <w:rsid w:val="00CA488B"/>
    <w:rsid w:val="00CA4A96"/>
    <w:rsid w:val="00CA4FEE"/>
    <w:rsid w:val="00CA5788"/>
    <w:rsid w:val="00CA626D"/>
    <w:rsid w:val="00CA64FE"/>
    <w:rsid w:val="00CA6641"/>
    <w:rsid w:val="00CA6D78"/>
    <w:rsid w:val="00CA710A"/>
    <w:rsid w:val="00CA7A32"/>
    <w:rsid w:val="00CB0186"/>
    <w:rsid w:val="00CB1237"/>
    <w:rsid w:val="00CB2266"/>
    <w:rsid w:val="00CB29DB"/>
    <w:rsid w:val="00CB2E95"/>
    <w:rsid w:val="00CB35A8"/>
    <w:rsid w:val="00CB46EC"/>
    <w:rsid w:val="00CB4D0E"/>
    <w:rsid w:val="00CB599E"/>
    <w:rsid w:val="00CB5F9E"/>
    <w:rsid w:val="00CB650F"/>
    <w:rsid w:val="00CB6DD0"/>
    <w:rsid w:val="00CB70AE"/>
    <w:rsid w:val="00CB7D7F"/>
    <w:rsid w:val="00CB7EA8"/>
    <w:rsid w:val="00CC03F7"/>
    <w:rsid w:val="00CC0D11"/>
    <w:rsid w:val="00CC1264"/>
    <w:rsid w:val="00CC1E42"/>
    <w:rsid w:val="00CC319C"/>
    <w:rsid w:val="00CC474A"/>
    <w:rsid w:val="00CC48E7"/>
    <w:rsid w:val="00CC5024"/>
    <w:rsid w:val="00CC56D5"/>
    <w:rsid w:val="00CC5CFF"/>
    <w:rsid w:val="00CC63A1"/>
    <w:rsid w:val="00CD045D"/>
    <w:rsid w:val="00CD09A6"/>
    <w:rsid w:val="00CD09F1"/>
    <w:rsid w:val="00CD0AA7"/>
    <w:rsid w:val="00CD200E"/>
    <w:rsid w:val="00CD3152"/>
    <w:rsid w:val="00CD3516"/>
    <w:rsid w:val="00CD38A4"/>
    <w:rsid w:val="00CD3A55"/>
    <w:rsid w:val="00CD3F00"/>
    <w:rsid w:val="00CD4375"/>
    <w:rsid w:val="00CD4670"/>
    <w:rsid w:val="00CD49AB"/>
    <w:rsid w:val="00CD51A7"/>
    <w:rsid w:val="00CD5645"/>
    <w:rsid w:val="00CD57BA"/>
    <w:rsid w:val="00CD5841"/>
    <w:rsid w:val="00CD662A"/>
    <w:rsid w:val="00CD67A5"/>
    <w:rsid w:val="00CD728C"/>
    <w:rsid w:val="00CD7809"/>
    <w:rsid w:val="00CD7A71"/>
    <w:rsid w:val="00CE0BAC"/>
    <w:rsid w:val="00CE0FD8"/>
    <w:rsid w:val="00CE164A"/>
    <w:rsid w:val="00CE1CB0"/>
    <w:rsid w:val="00CE1E96"/>
    <w:rsid w:val="00CE2E05"/>
    <w:rsid w:val="00CE3024"/>
    <w:rsid w:val="00CE357B"/>
    <w:rsid w:val="00CE3E2B"/>
    <w:rsid w:val="00CE4321"/>
    <w:rsid w:val="00CE4939"/>
    <w:rsid w:val="00CE5D19"/>
    <w:rsid w:val="00CE6E3A"/>
    <w:rsid w:val="00CE72E3"/>
    <w:rsid w:val="00CF0E17"/>
    <w:rsid w:val="00CF19AA"/>
    <w:rsid w:val="00CF28EF"/>
    <w:rsid w:val="00CF2F86"/>
    <w:rsid w:val="00CF3F27"/>
    <w:rsid w:val="00CF5508"/>
    <w:rsid w:val="00CF5BE7"/>
    <w:rsid w:val="00CF6731"/>
    <w:rsid w:val="00CF6825"/>
    <w:rsid w:val="00CF6DD0"/>
    <w:rsid w:val="00CF6EF3"/>
    <w:rsid w:val="00CF7872"/>
    <w:rsid w:val="00CF7F3C"/>
    <w:rsid w:val="00D0081E"/>
    <w:rsid w:val="00D00A95"/>
    <w:rsid w:val="00D03427"/>
    <w:rsid w:val="00D037AC"/>
    <w:rsid w:val="00D043DE"/>
    <w:rsid w:val="00D0445C"/>
    <w:rsid w:val="00D05824"/>
    <w:rsid w:val="00D1007E"/>
    <w:rsid w:val="00D101F6"/>
    <w:rsid w:val="00D10459"/>
    <w:rsid w:val="00D120F0"/>
    <w:rsid w:val="00D1228C"/>
    <w:rsid w:val="00D12998"/>
    <w:rsid w:val="00D12BC2"/>
    <w:rsid w:val="00D1336A"/>
    <w:rsid w:val="00D13DC0"/>
    <w:rsid w:val="00D13F3C"/>
    <w:rsid w:val="00D149AE"/>
    <w:rsid w:val="00D15278"/>
    <w:rsid w:val="00D1546A"/>
    <w:rsid w:val="00D15E7E"/>
    <w:rsid w:val="00D16AB1"/>
    <w:rsid w:val="00D17078"/>
    <w:rsid w:val="00D1731B"/>
    <w:rsid w:val="00D202F2"/>
    <w:rsid w:val="00D20B5D"/>
    <w:rsid w:val="00D20C5B"/>
    <w:rsid w:val="00D20D6B"/>
    <w:rsid w:val="00D21FE4"/>
    <w:rsid w:val="00D2225B"/>
    <w:rsid w:val="00D222BA"/>
    <w:rsid w:val="00D23080"/>
    <w:rsid w:val="00D2380A"/>
    <w:rsid w:val="00D24775"/>
    <w:rsid w:val="00D24B12"/>
    <w:rsid w:val="00D25451"/>
    <w:rsid w:val="00D255A3"/>
    <w:rsid w:val="00D26A6E"/>
    <w:rsid w:val="00D27154"/>
    <w:rsid w:val="00D2762A"/>
    <w:rsid w:val="00D30C27"/>
    <w:rsid w:val="00D30F4D"/>
    <w:rsid w:val="00D31429"/>
    <w:rsid w:val="00D31751"/>
    <w:rsid w:val="00D32CE8"/>
    <w:rsid w:val="00D34377"/>
    <w:rsid w:val="00D343EB"/>
    <w:rsid w:val="00D3452E"/>
    <w:rsid w:val="00D35860"/>
    <w:rsid w:val="00D35B3F"/>
    <w:rsid w:val="00D36099"/>
    <w:rsid w:val="00D36156"/>
    <w:rsid w:val="00D40FE3"/>
    <w:rsid w:val="00D42FBF"/>
    <w:rsid w:val="00D43008"/>
    <w:rsid w:val="00D43014"/>
    <w:rsid w:val="00D43BD4"/>
    <w:rsid w:val="00D44280"/>
    <w:rsid w:val="00D4445F"/>
    <w:rsid w:val="00D447B7"/>
    <w:rsid w:val="00D453EB"/>
    <w:rsid w:val="00D45697"/>
    <w:rsid w:val="00D46CE2"/>
    <w:rsid w:val="00D473B4"/>
    <w:rsid w:val="00D526D1"/>
    <w:rsid w:val="00D52A19"/>
    <w:rsid w:val="00D52AE0"/>
    <w:rsid w:val="00D537D1"/>
    <w:rsid w:val="00D53EE0"/>
    <w:rsid w:val="00D54106"/>
    <w:rsid w:val="00D550F5"/>
    <w:rsid w:val="00D55360"/>
    <w:rsid w:val="00D55628"/>
    <w:rsid w:val="00D579ED"/>
    <w:rsid w:val="00D61A96"/>
    <w:rsid w:val="00D61DE2"/>
    <w:rsid w:val="00D62879"/>
    <w:rsid w:val="00D62E3F"/>
    <w:rsid w:val="00D62F09"/>
    <w:rsid w:val="00D64B66"/>
    <w:rsid w:val="00D66F44"/>
    <w:rsid w:val="00D675FC"/>
    <w:rsid w:val="00D71E7E"/>
    <w:rsid w:val="00D724CA"/>
    <w:rsid w:val="00D72852"/>
    <w:rsid w:val="00D72F18"/>
    <w:rsid w:val="00D739E5"/>
    <w:rsid w:val="00D739FD"/>
    <w:rsid w:val="00D74BBD"/>
    <w:rsid w:val="00D7626E"/>
    <w:rsid w:val="00D76283"/>
    <w:rsid w:val="00D80202"/>
    <w:rsid w:val="00D805C9"/>
    <w:rsid w:val="00D81DA9"/>
    <w:rsid w:val="00D82381"/>
    <w:rsid w:val="00D829C3"/>
    <w:rsid w:val="00D83B01"/>
    <w:rsid w:val="00D85659"/>
    <w:rsid w:val="00D8568B"/>
    <w:rsid w:val="00D85D35"/>
    <w:rsid w:val="00D872C0"/>
    <w:rsid w:val="00D874FB"/>
    <w:rsid w:val="00D907AD"/>
    <w:rsid w:val="00D918B6"/>
    <w:rsid w:val="00D91C86"/>
    <w:rsid w:val="00D92449"/>
    <w:rsid w:val="00D92DA7"/>
    <w:rsid w:val="00D93C0C"/>
    <w:rsid w:val="00D95988"/>
    <w:rsid w:val="00D9599B"/>
    <w:rsid w:val="00D95F6F"/>
    <w:rsid w:val="00D9630A"/>
    <w:rsid w:val="00D967F5"/>
    <w:rsid w:val="00D96BAC"/>
    <w:rsid w:val="00D96FDD"/>
    <w:rsid w:val="00D9705D"/>
    <w:rsid w:val="00D974B9"/>
    <w:rsid w:val="00D97607"/>
    <w:rsid w:val="00DA0CFE"/>
    <w:rsid w:val="00DA0DA2"/>
    <w:rsid w:val="00DA2FC8"/>
    <w:rsid w:val="00DA3160"/>
    <w:rsid w:val="00DA3885"/>
    <w:rsid w:val="00DA3CE6"/>
    <w:rsid w:val="00DA3CF2"/>
    <w:rsid w:val="00DA4611"/>
    <w:rsid w:val="00DA471E"/>
    <w:rsid w:val="00DA4881"/>
    <w:rsid w:val="00DA4F33"/>
    <w:rsid w:val="00DA4F44"/>
    <w:rsid w:val="00DA5433"/>
    <w:rsid w:val="00DA5F52"/>
    <w:rsid w:val="00DA6027"/>
    <w:rsid w:val="00DA63DC"/>
    <w:rsid w:val="00DA70DD"/>
    <w:rsid w:val="00DB02C7"/>
    <w:rsid w:val="00DB0931"/>
    <w:rsid w:val="00DB235F"/>
    <w:rsid w:val="00DB3500"/>
    <w:rsid w:val="00DB3E46"/>
    <w:rsid w:val="00DB3E5B"/>
    <w:rsid w:val="00DB6058"/>
    <w:rsid w:val="00DB627F"/>
    <w:rsid w:val="00DB6287"/>
    <w:rsid w:val="00DB6ADD"/>
    <w:rsid w:val="00DB735F"/>
    <w:rsid w:val="00DB7958"/>
    <w:rsid w:val="00DC0B9A"/>
    <w:rsid w:val="00DC101A"/>
    <w:rsid w:val="00DC1DD8"/>
    <w:rsid w:val="00DC1F9C"/>
    <w:rsid w:val="00DC2914"/>
    <w:rsid w:val="00DC3B97"/>
    <w:rsid w:val="00DC3ED8"/>
    <w:rsid w:val="00DC3F61"/>
    <w:rsid w:val="00DC3F74"/>
    <w:rsid w:val="00DC42F8"/>
    <w:rsid w:val="00DC52E0"/>
    <w:rsid w:val="00DC7798"/>
    <w:rsid w:val="00DD03B4"/>
    <w:rsid w:val="00DD0B5E"/>
    <w:rsid w:val="00DD13A8"/>
    <w:rsid w:val="00DD4AD5"/>
    <w:rsid w:val="00DD52C9"/>
    <w:rsid w:val="00DD5B1F"/>
    <w:rsid w:val="00DD5EA2"/>
    <w:rsid w:val="00DD71AA"/>
    <w:rsid w:val="00DD7366"/>
    <w:rsid w:val="00DD7F6C"/>
    <w:rsid w:val="00DE0127"/>
    <w:rsid w:val="00DE0631"/>
    <w:rsid w:val="00DE10D5"/>
    <w:rsid w:val="00DE1C5D"/>
    <w:rsid w:val="00DE2715"/>
    <w:rsid w:val="00DE3304"/>
    <w:rsid w:val="00DE3681"/>
    <w:rsid w:val="00DE5090"/>
    <w:rsid w:val="00DE523D"/>
    <w:rsid w:val="00DE5844"/>
    <w:rsid w:val="00DE5A36"/>
    <w:rsid w:val="00DE6199"/>
    <w:rsid w:val="00DE6F1C"/>
    <w:rsid w:val="00DE7148"/>
    <w:rsid w:val="00DE7208"/>
    <w:rsid w:val="00DF04E9"/>
    <w:rsid w:val="00DF0EBC"/>
    <w:rsid w:val="00DF13C6"/>
    <w:rsid w:val="00DF14FE"/>
    <w:rsid w:val="00DF1639"/>
    <w:rsid w:val="00DF2F1E"/>
    <w:rsid w:val="00DF3E1D"/>
    <w:rsid w:val="00DF5564"/>
    <w:rsid w:val="00DF6A04"/>
    <w:rsid w:val="00DF6BD3"/>
    <w:rsid w:val="00DF79F6"/>
    <w:rsid w:val="00E00FF0"/>
    <w:rsid w:val="00E01722"/>
    <w:rsid w:val="00E01FE1"/>
    <w:rsid w:val="00E02321"/>
    <w:rsid w:val="00E02600"/>
    <w:rsid w:val="00E031F9"/>
    <w:rsid w:val="00E03254"/>
    <w:rsid w:val="00E03F87"/>
    <w:rsid w:val="00E0548E"/>
    <w:rsid w:val="00E0632D"/>
    <w:rsid w:val="00E06652"/>
    <w:rsid w:val="00E06702"/>
    <w:rsid w:val="00E072AE"/>
    <w:rsid w:val="00E10019"/>
    <w:rsid w:val="00E105C7"/>
    <w:rsid w:val="00E10C40"/>
    <w:rsid w:val="00E121F2"/>
    <w:rsid w:val="00E13520"/>
    <w:rsid w:val="00E13554"/>
    <w:rsid w:val="00E13975"/>
    <w:rsid w:val="00E1437D"/>
    <w:rsid w:val="00E156D4"/>
    <w:rsid w:val="00E15BB2"/>
    <w:rsid w:val="00E164CC"/>
    <w:rsid w:val="00E176C5"/>
    <w:rsid w:val="00E21948"/>
    <w:rsid w:val="00E21C93"/>
    <w:rsid w:val="00E22D7F"/>
    <w:rsid w:val="00E23CDA"/>
    <w:rsid w:val="00E2561B"/>
    <w:rsid w:val="00E25CA6"/>
    <w:rsid w:val="00E25F44"/>
    <w:rsid w:val="00E265D7"/>
    <w:rsid w:val="00E267F4"/>
    <w:rsid w:val="00E26B0F"/>
    <w:rsid w:val="00E26D58"/>
    <w:rsid w:val="00E27629"/>
    <w:rsid w:val="00E2788A"/>
    <w:rsid w:val="00E30319"/>
    <w:rsid w:val="00E321B0"/>
    <w:rsid w:val="00E3258B"/>
    <w:rsid w:val="00E34F4A"/>
    <w:rsid w:val="00E35222"/>
    <w:rsid w:val="00E35AA9"/>
    <w:rsid w:val="00E36D2B"/>
    <w:rsid w:val="00E4044B"/>
    <w:rsid w:val="00E420E7"/>
    <w:rsid w:val="00E42345"/>
    <w:rsid w:val="00E4268A"/>
    <w:rsid w:val="00E42904"/>
    <w:rsid w:val="00E42E04"/>
    <w:rsid w:val="00E436AE"/>
    <w:rsid w:val="00E43B23"/>
    <w:rsid w:val="00E43ED3"/>
    <w:rsid w:val="00E45B64"/>
    <w:rsid w:val="00E4647F"/>
    <w:rsid w:val="00E464E5"/>
    <w:rsid w:val="00E473B3"/>
    <w:rsid w:val="00E504C3"/>
    <w:rsid w:val="00E5092F"/>
    <w:rsid w:val="00E50B26"/>
    <w:rsid w:val="00E51882"/>
    <w:rsid w:val="00E51FFA"/>
    <w:rsid w:val="00E521D6"/>
    <w:rsid w:val="00E53235"/>
    <w:rsid w:val="00E536B6"/>
    <w:rsid w:val="00E5407B"/>
    <w:rsid w:val="00E540EA"/>
    <w:rsid w:val="00E54CAE"/>
    <w:rsid w:val="00E54D27"/>
    <w:rsid w:val="00E55228"/>
    <w:rsid w:val="00E55440"/>
    <w:rsid w:val="00E5591E"/>
    <w:rsid w:val="00E55BD2"/>
    <w:rsid w:val="00E56A12"/>
    <w:rsid w:val="00E57588"/>
    <w:rsid w:val="00E57900"/>
    <w:rsid w:val="00E60240"/>
    <w:rsid w:val="00E6279A"/>
    <w:rsid w:val="00E665D2"/>
    <w:rsid w:val="00E72039"/>
    <w:rsid w:val="00E73795"/>
    <w:rsid w:val="00E748D0"/>
    <w:rsid w:val="00E74FB6"/>
    <w:rsid w:val="00E7585A"/>
    <w:rsid w:val="00E76ABA"/>
    <w:rsid w:val="00E76ED9"/>
    <w:rsid w:val="00E7715C"/>
    <w:rsid w:val="00E7754F"/>
    <w:rsid w:val="00E778D5"/>
    <w:rsid w:val="00E7798F"/>
    <w:rsid w:val="00E807C6"/>
    <w:rsid w:val="00E814EE"/>
    <w:rsid w:val="00E81C41"/>
    <w:rsid w:val="00E8206B"/>
    <w:rsid w:val="00E83AE6"/>
    <w:rsid w:val="00E85B45"/>
    <w:rsid w:val="00E85F21"/>
    <w:rsid w:val="00E86BBC"/>
    <w:rsid w:val="00E87EE0"/>
    <w:rsid w:val="00E901B5"/>
    <w:rsid w:val="00E9031A"/>
    <w:rsid w:val="00E90E0F"/>
    <w:rsid w:val="00E92226"/>
    <w:rsid w:val="00E92A7F"/>
    <w:rsid w:val="00E935E6"/>
    <w:rsid w:val="00E93665"/>
    <w:rsid w:val="00E93FA8"/>
    <w:rsid w:val="00E95668"/>
    <w:rsid w:val="00E95EC2"/>
    <w:rsid w:val="00E9615D"/>
    <w:rsid w:val="00EA0038"/>
    <w:rsid w:val="00EA0C11"/>
    <w:rsid w:val="00EA0FFE"/>
    <w:rsid w:val="00EA1D1F"/>
    <w:rsid w:val="00EA24A0"/>
    <w:rsid w:val="00EA2FF0"/>
    <w:rsid w:val="00EA3474"/>
    <w:rsid w:val="00EA3F81"/>
    <w:rsid w:val="00EA461D"/>
    <w:rsid w:val="00EA5DEC"/>
    <w:rsid w:val="00EA6BDC"/>
    <w:rsid w:val="00EB011D"/>
    <w:rsid w:val="00EB074D"/>
    <w:rsid w:val="00EB1874"/>
    <w:rsid w:val="00EB2997"/>
    <w:rsid w:val="00EB3429"/>
    <w:rsid w:val="00EB3D6D"/>
    <w:rsid w:val="00EB5754"/>
    <w:rsid w:val="00EB589F"/>
    <w:rsid w:val="00EC0520"/>
    <w:rsid w:val="00EC0777"/>
    <w:rsid w:val="00EC097F"/>
    <w:rsid w:val="00EC09EF"/>
    <w:rsid w:val="00EC1459"/>
    <w:rsid w:val="00EC225B"/>
    <w:rsid w:val="00EC2683"/>
    <w:rsid w:val="00EC347D"/>
    <w:rsid w:val="00EC55B5"/>
    <w:rsid w:val="00EC6ABF"/>
    <w:rsid w:val="00ED011F"/>
    <w:rsid w:val="00ED0A9A"/>
    <w:rsid w:val="00ED0D72"/>
    <w:rsid w:val="00ED0F98"/>
    <w:rsid w:val="00ED1292"/>
    <w:rsid w:val="00ED12C2"/>
    <w:rsid w:val="00ED1800"/>
    <w:rsid w:val="00ED1CC0"/>
    <w:rsid w:val="00ED3318"/>
    <w:rsid w:val="00ED36F2"/>
    <w:rsid w:val="00ED39E1"/>
    <w:rsid w:val="00ED55BC"/>
    <w:rsid w:val="00EE008D"/>
    <w:rsid w:val="00EE16F1"/>
    <w:rsid w:val="00EE226B"/>
    <w:rsid w:val="00EE23BB"/>
    <w:rsid w:val="00EE2D11"/>
    <w:rsid w:val="00EE3211"/>
    <w:rsid w:val="00EE3C37"/>
    <w:rsid w:val="00EE3E04"/>
    <w:rsid w:val="00EE5287"/>
    <w:rsid w:val="00EE64FA"/>
    <w:rsid w:val="00EE693B"/>
    <w:rsid w:val="00EE6E27"/>
    <w:rsid w:val="00EE73D6"/>
    <w:rsid w:val="00EE7407"/>
    <w:rsid w:val="00EF004F"/>
    <w:rsid w:val="00EF00E7"/>
    <w:rsid w:val="00EF1121"/>
    <w:rsid w:val="00EF1123"/>
    <w:rsid w:val="00EF196B"/>
    <w:rsid w:val="00EF3661"/>
    <w:rsid w:val="00EF38BF"/>
    <w:rsid w:val="00EF5AED"/>
    <w:rsid w:val="00EF5CA4"/>
    <w:rsid w:val="00EF6252"/>
    <w:rsid w:val="00EF680B"/>
    <w:rsid w:val="00EF699D"/>
    <w:rsid w:val="00EF75F4"/>
    <w:rsid w:val="00EF761B"/>
    <w:rsid w:val="00EF77DA"/>
    <w:rsid w:val="00EF7876"/>
    <w:rsid w:val="00F013A6"/>
    <w:rsid w:val="00F0266E"/>
    <w:rsid w:val="00F05E29"/>
    <w:rsid w:val="00F05E67"/>
    <w:rsid w:val="00F07AC8"/>
    <w:rsid w:val="00F11D2F"/>
    <w:rsid w:val="00F12883"/>
    <w:rsid w:val="00F128F8"/>
    <w:rsid w:val="00F13002"/>
    <w:rsid w:val="00F13BC0"/>
    <w:rsid w:val="00F150D4"/>
    <w:rsid w:val="00F174FD"/>
    <w:rsid w:val="00F17B14"/>
    <w:rsid w:val="00F20DE7"/>
    <w:rsid w:val="00F20E63"/>
    <w:rsid w:val="00F21E84"/>
    <w:rsid w:val="00F230C8"/>
    <w:rsid w:val="00F24056"/>
    <w:rsid w:val="00F241B5"/>
    <w:rsid w:val="00F244B0"/>
    <w:rsid w:val="00F25F03"/>
    <w:rsid w:val="00F26006"/>
    <w:rsid w:val="00F26B86"/>
    <w:rsid w:val="00F2735E"/>
    <w:rsid w:val="00F278C2"/>
    <w:rsid w:val="00F312AC"/>
    <w:rsid w:val="00F313AF"/>
    <w:rsid w:val="00F3149D"/>
    <w:rsid w:val="00F3173F"/>
    <w:rsid w:val="00F320D4"/>
    <w:rsid w:val="00F32657"/>
    <w:rsid w:val="00F32B96"/>
    <w:rsid w:val="00F34981"/>
    <w:rsid w:val="00F37B70"/>
    <w:rsid w:val="00F40397"/>
    <w:rsid w:val="00F403AB"/>
    <w:rsid w:val="00F40EF4"/>
    <w:rsid w:val="00F41E89"/>
    <w:rsid w:val="00F422EF"/>
    <w:rsid w:val="00F42855"/>
    <w:rsid w:val="00F42A07"/>
    <w:rsid w:val="00F42AC6"/>
    <w:rsid w:val="00F441AF"/>
    <w:rsid w:val="00F44363"/>
    <w:rsid w:val="00F466B1"/>
    <w:rsid w:val="00F47A91"/>
    <w:rsid w:val="00F47BAB"/>
    <w:rsid w:val="00F50380"/>
    <w:rsid w:val="00F51D61"/>
    <w:rsid w:val="00F524B5"/>
    <w:rsid w:val="00F528E8"/>
    <w:rsid w:val="00F52CE6"/>
    <w:rsid w:val="00F532EC"/>
    <w:rsid w:val="00F55584"/>
    <w:rsid w:val="00F5571F"/>
    <w:rsid w:val="00F55E4E"/>
    <w:rsid w:val="00F56B9D"/>
    <w:rsid w:val="00F56BB5"/>
    <w:rsid w:val="00F571D7"/>
    <w:rsid w:val="00F574DC"/>
    <w:rsid w:val="00F613EA"/>
    <w:rsid w:val="00F624F1"/>
    <w:rsid w:val="00F636FF"/>
    <w:rsid w:val="00F63FE1"/>
    <w:rsid w:val="00F65831"/>
    <w:rsid w:val="00F65DB1"/>
    <w:rsid w:val="00F66650"/>
    <w:rsid w:val="00F66855"/>
    <w:rsid w:val="00F66BE0"/>
    <w:rsid w:val="00F70147"/>
    <w:rsid w:val="00F713D7"/>
    <w:rsid w:val="00F71C5C"/>
    <w:rsid w:val="00F72251"/>
    <w:rsid w:val="00F72289"/>
    <w:rsid w:val="00F730D1"/>
    <w:rsid w:val="00F74059"/>
    <w:rsid w:val="00F740B5"/>
    <w:rsid w:val="00F74F01"/>
    <w:rsid w:val="00F75B7C"/>
    <w:rsid w:val="00F7656D"/>
    <w:rsid w:val="00F7716B"/>
    <w:rsid w:val="00F8230E"/>
    <w:rsid w:val="00F84A90"/>
    <w:rsid w:val="00F855E3"/>
    <w:rsid w:val="00F85673"/>
    <w:rsid w:val="00F872A9"/>
    <w:rsid w:val="00F9074A"/>
    <w:rsid w:val="00F92ECF"/>
    <w:rsid w:val="00F93D57"/>
    <w:rsid w:val="00F9437E"/>
    <w:rsid w:val="00F944A2"/>
    <w:rsid w:val="00F948BA"/>
    <w:rsid w:val="00F94BCD"/>
    <w:rsid w:val="00F97436"/>
    <w:rsid w:val="00FA014D"/>
    <w:rsid w:val="00FA01BA"/>
    <w:rsid w:val="00FA047C"/>
    <w:rsid w:val="00FA084A"/>
    <w:rsid w:val="00FA13A3"/>
    <w:rsid w:val="00FA15FC"/>
    <w:rsid w:val="00FA3F40"/>
    <w:rsid w:val="00FA50EE"/>
    <w:rsid w:val="00FA5BFD"/>
    <w:rsid w:val="00FA7111"/>
    <w:rsid w:val="00FA7682"/>
    <w:rsid w:val="00FB040A"/>
    <w:rsid w:val="00FB15B6"/>
    <w:rsid w:val="00FB2209"/>
    <w:rsid w:val="00FB3B52"/>
    <w:rsid w:val="00FB6AC4"/>
    <w:rsid w:val="00FC09C6"/>
    <w:rsid w:val="00FC0E1D"/>
    <w:rsid w:val="00FC30DA"/>
    <w:rsid w:val="00FC40B3"/>
    <w:rsid w:val="00FD1225"/>
    <w:rsid w:val="00FD20C6"/>
    <w:rsid w:val="00FD255B"/>
    <w:rsid w:val="00FD2E11"/>
    <w:rsid w:val="00FD460D"/>
    <w:rsid w:val="00FD4804"/>
    <w:rsid w:val="00FD506E"/>
    <w:rsid w:val="00FD5395"/>
    <w:rsid w:val="00FD557A"/>
    <w:rsid w:val="00FD6014"/>
    <w:rsid w:val="00FD6418"/>
    <w:rsid w:val="00FD70ED"/>
    <w:rsid w:val="00FD7573"/>
    <w:rsid w:val="00FD7857"/>
    <w:rsid w:val="00FD7B81"/>
    <w:rsid w:val="00FD7B98"/>
    <w:rsid w:val="00FE0AC9"/>
    <w:rsid w:val="00FE29AA"/>
    <w:rsid w:val="00FE3415"/>
    <w:rsid w:val="00FE37D3"/>
    <w:rsid w:val="00FE5197"/>
    <w:rsid w:val="00FE59C7"/>
    <w:rsid w:val="00FE6093"/>
    <w:rsid w:val="00FE6552"/>
    <w:rsid w:val="00FE6D1B"/>
    <w:rsid w:val="00FE6DA4"/>
    <w:rsid w:val="00FE78C6"/>
    <w:rsid w:val="00FE79AA"/>
    <w:rsid w:val="00FE7DEF"/>
    <w:rsid w:val="00FF0C23"/>
    <w:rsid w:val="00FF127B"/>
    <w:rsid w:val="00FF3C8F"/>
    <w:rsid w:val="00FF3D37"/>
    <w:rsid w:val="00FF3D9F"/>
    <w:rsid w:val="00FF3E62"/>
    <w:rsid w:val="00FF4F84"/>
    <w:rsid w:val="00FF535D"/>
    <w:rsid w:val="00FF58AC"/>
    <w:rsid w:val="00FF5C98"/>
    <w:rsid w:val="00FF6381"/>
    <w:rsid w:val="00FF679D"/>
    <w:rsid w:val="00FF6DB2"/>
    <w:rsid w:val="00FF7E2F"/>
    <w:rsid w:val="01382DB4"/>
    <w:rsid w:val="01457F6F"/>
    <w:rsid w:val="01747D1E"/>
    <w:rsid w:val="01C43576"/>
    <w:rsid w:val="01C47CF3"/>
    <w:rsid w:val="01CF1907"/>
    <w:rsid w:val="01E4051A"/>
    <w:rsid w:val="01F178BE"/>
    <w:rsid w:val="023006A7"/>
    <w:rsid w:val="0252665D"/>
    <w:rsid w:val="025F19CF"/>
    <w:rsid w:val="028A13E5"/>
    <w:rsid w:val="02CE1190"/>
    <w:rsid w:val="02F96595"/>
    <w:rsid w:val="02FF7A7B"/>
    <w:rsid w:val="035203D6"/>
    <w:rsid w:val="03610DE0"/>
    <w:rsid w:val="0361681B"/>
    <w:rsid w:val="03ED1CC0"/>
    <w:rsid w:val="03EE1902"/>
    <w:rsid w:val="04253FDA"/>
    <w:rsid w:val="045C66B2"/>
    <w:rsid w:val="04641540"/>
    <w:rsid w:val="048A515F"/>
    <w:rsid w:val="0491498E"/>
    <w:rsid w:val="04A41675"/>
    <w:rsid w:val="04C837E3"/>
    <w:rsid w:val="04D253F8"/>
    <w:rsid w:val="05084354"/>
    <w:rsid w:val="051076A1"/>
    <w:rsid w:val="0525422D"/>
    <w:rsid w:val="056B1564"/>
    <w:rsid w:val="058B77B2"/>
    <w:rsid w:val="05A671DA"/>
    <w:rsid w:val="05B9261D"/>
    <w:rsid w:val="0623601E"/>
    <w:rsid w:val="06597543"/>
    <w:rsid w:val="06AE47FF"/>
    <w:rsid w:val="06C550DB"/>
    <w:rsid w:val="06D0743C"/>
    <w:rsid w:val="075E2523"/>
    <w:rsid w:val="07944BFB"/>
    <w:rsid w:val="07A36A9F"/>
    <w:rsid w:val="07D26F91"/>
    <w:rsid w:val="08377730"/>
    <w:rsid w:val="086C26E0"/>
    <w:rsid w:val="08822685"/>
    <w:rsid w:val="088C0A16"/>
    <w:rsid w:val="08C52D6F"/>
    <w:rsid w:val="0929584C"/>
    <w:rsid w:val="092E340E"/>
    <w:rsid w:val="093431FC"/>
    <w:rsid w:val="0966617B"/>
    <w:rsid w:val="09DD2B7E"/>
    <w:rsid w:val="09DE12BD"/>
    <w:rsid w:val="09DF5A3E"/>
    <w:rsid w:val="0A303D95"/>
    <w:rsid w:val="0A4038E0"/>
    <w:rsid w:val="0A63155A"/>
    <w:rsid w:val="0A8623B3"/>
    <w:rsid w:val="0A8A0B6F"/>
    <w:rsid w:val="0A9860DD"/>
    <w:rsid w:val="0B243B52"/>
    <w:rsid w:val="0B591E2E"/>
    <w:rsid w:val="0B6049A4"/>
    <w:rsid w:val="0B982B1A"/>
    <w:rsid w:val="0BCD1763"/>
    <w:rsid w:val="0C1D75EE"/>
    <w:rsid w:val="0C5F0057"/>
    <w:rsid w:val="0C691C6B"/>
    <w:rsid w:val="0C890D10"/>
    <w:rsid w:val="0CB50A66"/>
    <w:rsid w:val="0CC06DF7"/>
    <w:rsid w:val="0DAF4501"/>
    <w:rsid w:val="0DE56549"/>
    <w:rsid w:val="0DEF62B6"/>
    <w:rsid w:val="0E062330"/>
    <w:rsid w:val="0E3C75E8"/>
    <w:rsid w:val="0E5C591E"/>
    <w:rsid w:val="0E617934"/>
    <w:rsid w:val="0E8343A6"/>
    <w:rsid w:val="0E8419FF"/>
    <w:rsid w:val="0EEA0A05"/>
    <w:rsid w:val="0EEE65D1"/>
    <w:rsid w:val="0F0273A3"/>
    <w:rsid w:val="0F4E27DE"/>
    <w:rsid w:val="0F6D2474"/>
    <w:rsid w:val="0F6D575B"/>
    <w:rsid w:val="0F8B645F"/>
    <w:rsid w:val="0F971E23"/>
    <w:rsid w:val="0FAB02B9"/>
    <w:rsid w:val="0FCC603C"/>
    <w:rsid w:val="0FE02217"/>
    <w:rsid w:val="103A162C"/>
    <w:rsid w:val="107431BA"/>
    <w:rsid w:val="108172C9"/>
    <w:rsid w:val="109B03CC"/>
    <w:rsid w:val="109E452C"/>
    <w:rsid w:val="10EF75A4"/>
    <w:rsid w:val="10F514A5"/>
    <w:rsid w:val="11127111"/>
    <w:rsid w:val="113D42B9"/>
    <w:rsid w:val="11515D18"/>
    <w:rsid w:val="11645423"/>
    <w:rsid w:val="118B5AD6"/>
    <w:rsid w:val="11942369"/>
    <w:rsid w:val="12912E05"/>
    <w:rsid w:val="12A44024"/>
    <w:rsid w:val="12A97B84"/>
    <w:rsid w:val="13327318"/>
    <w:rsid w:val="13327FF2"/>
    <w:rsid w:val="13451321"/>
    <w:rsid w:val="134770B1"/>
    <w:rsid w:val="13887B1A"/>
    <w:rsid w:val="13AA413F"/>
    <w:rsid w:val="13AB6C0C"/>
    <w:rsid w:val="13D778B6"/>
    <w:rsid w:val="13E93D96"/>
    <w:rsid w:val="140B4870"/>
    <w:rsid w:val="14162C01"/>
    <w:rsid w:val="143015E2"/>
    <w:rsid w:val="14565413"/>
    <w:rsid w:val="14B326B7"/>
    <w:rsid w:val="14D56784"/>
    <w:rsid w:val="14E4621D"/>
    <w:rsid w:val="1508348E"/>
    <w:rsid w:val="150E2655"/>
    <w:rsid w:val="15203C88"/>
    <w:rsid w:val="15242DBE"/>
    <w:rsid w:val="1526273B"/>
    <w:rsid w:val="15317A6C"/>
    <w:rsid w:val="154842EA"/>
    <w:rsid w:val="15B21729"/>
    <w:rsid w:val="15EB4E7C"/>
    <w:rsid w:val="15F92FD8"/>
    <w:rsid w:val="1620557D"/>
    <w:rsid w:val="167071E4"/>
    <w:rsid w:val="16733962"/>
    <w:rsid w:val="16757268"/>
    <w:rsid w:val="16AC5172"/>
    <w:rsid w:val="16FF19EA"/>
    <w:rsid w:val="172179B8"/>
    <w:rsid w:val="17850FB1"/>
    <w:rsid w:val="17DC4231"/>
    <w:rsid w:val="180E3DC2"/>
    <w:rsid w:val="182944A3"/>
    <w:rsid w:val="1852743B"/>
    <w:rsid w:val="186517E1"/>
    <w:rsid w:val="188B43D5"/>
    <w:rsid w:val="19024013"/>
    <w:rsid w:val="19414DFD"/>
    <w:rsid w:val="19420680"/>
    <w:rsid w:val="194C318E"/>
    <w:rsid w:val="19AF5431"/>
    <w:rsid w:val="19CF3767"/>
    <w:rsid w:val="19D528C7"/>
    <w:rsid w:val="19E96131"/>
    <w:rsid w:val="1A1041D0"/>
    <w:rsid w:val="1A247A97"/>
    <w:rsid w:val="1A3A7593"/>
    <w:rsid w:val="1A7C1301"/>
    <w:rsid w:val="1A9C7638"/>
    <w:rsid w:val="1AA530AD"/>
    <w:rsid w:val="1AFB58F2"/>
    <w:rsid w:val="1B2E3201"/>
    <w:rsid w:val="1B376301"/>
    <w:rsid w:val="1B380F38"/>
    <w:rsid w:val="1B415452"/>
    <w:rsid w:val="1B6B6A0B"/>
    <w:rsid w:val="1BBB5C05"/>
    <w:rsid w:val="1C154F6E"/>
    <w:rsid w:val="1C197E29"/>
    <w:rsid w:val="1C4A49B2"/>
    <w:rsid w:val="1C4F6C7E"/>
    <w:rsid w:val="1C625C9F"/>
    <w:rsid w:val="1C912F6B"/>
    <w:rsid w:val="1CD30C0D"/>
    <w:rsid w:val="1CE87546"/>
    <w:rsid w:val="1D03247A"/>
    <w:rsid w:val="1D047EAE"/>
    <w:rsid w:val="1D1552D6"/>
    <w:rsid w:val="1D6E70D6"/>
    <w:rsid w:val="1D7A568E"/>
    <w:rsid w:val="1DB530CD"/>
    <w:rsid w:val="1DC23799"/>
    <w:rsid w:val="1E2101FE"/>
    <w:rsid w:val="1E3B28B6"/>
    <w:rsid w:val="1E5E66D2"/>
    <w:rsid w:val="1EA416D1"/>
    <w:rsid w:val="1EA4585B"/>
    <w:rsid w:val="1EE61241"/>
    <w:rsid w:val="1F010A0B"/>
    <w:rsid w:val="1F06691B"/>
    <w:rsid w:val="1F1C0F96"/>
    <w:rsid w:val="1F1F7A4B"/>
    <w:rsid w:val="1F271CAA"/>
    <w:rsid w:val="1F3C63CC"/>
    <w:rsid w:val="1F8A0ACB"/>
    <w:rsid w:val="1FCD7EB9"/>
    <w:rsid w:val="200A5B20"/>
    <w:rsid w:val="20163B31"/>
    <w:rsid w:val="20201EC2"/>
    <w:rsid w:val="20220951"/>
    <w:rsid w:val="204C14F0"/>
    <w:rsid w:val="20585C30"/>
    <w:rsid w:val="207A3E5E"/>
    <w:rsid w:val="20D17AAC"/>
    <w:rsid w:val="20E91E42"/>
    <w:rsid w:val="20EF3C66"/>
    <w:rsid w:val="21C76D7B"/>
    <w:rsid w:val="21E736FC"/>
    <w:rsid w:val="221E3F06"/>
    <w:rsid w:val="22587EB6"/>
    <w:rsid w:val="22645564"/>
    <w:rsid w:val="229628CB"/>
    <w:rsid w:val="22CC223E"/>
    <w:rsid w:val="22D20532"/>
    <w:rsid w:val="22D66F38"/>
    <w:rsid w:val="22DC346F"/>
    <w:rsid w:val="2364201F"/>
    <w:rsid w:val="23A52A88"/>
    <w:rsid w:val="23B0469D"/>
    <w:rsid w:val="23C1773C"/>
    <w:rsid w:val="24470995"/>
    <w:rsid w:val="24482291"/>
    <w:rsid w:val="24674FCB"/>
    <w:rsid w:val="252A6FED"/>
    <w:rsid w:val="253F1428"/>
    <w:rsid w:val="2562407F"/>
    <w:rsid w:val="260F5480"/>
    <w:rsid w:val="269D1C78"/>
    <w:rsid w:val="26A06F6E"/>
    <w:rsid w:val="26B639D7"/>
    <w:rsid w:val="26DE0FD1"/>
    <w:rsid w:val="26E31B2E"/>
    <w:rsid w:val="26EE1790"/>
    <w:rsid w:val="2781405D"/>
    <w:rsid w:val="280B3FC1"/>
    <w:rsid w:val="285E3505"/>
    <w:rsid w:val="286233FC"/>
    <w:rsid w:val="287149A1"/>
    <w:rsid w:val="288C1087"/>
    <w:rsid w:val="28AF344A"/>
    <w:rsid w:val="28B14910"/>
    <w:rsid w:val="28DC6898"/>
    <w:rsid w:val="29584666"/>
    <w:rsid w:val="29854031"/>
    <w:rsid w:val="29880BEA"/>
    <w:rsid w:val="29980F12"/>
    <w:rsid w:val="2A1A4572"/>
    <w:rsid w:val="2A230DAE"/>
    <w:rsid w:val="2A3B04C1"/>
    <w:rsid w:val="2A423861"/>
    <w:rsid w:val="2AB22C1B"/>
    <w:rsid w:val="2AEA3A1A"/>
    <w:rsid w:val="2B267866"/>
    <w:rsid w:val="2B320F6B"/>
    <w:rsid w:val="2B3C72FC"/>
    <w:rsid w:val="2C25678C"/>
    <w:rsid w:val="2CEF21C5"/>
    <w:rsid w:val="2D452F54"/>
    <w:rsid w:val="2D5A676F"/>
    <w:rsid w:val="2DBD6096"/>
    <w:rsid w:val="2DC77CAA"/>
    <w:rsid w:val="2ECC1AD7"/>
    <w:rsid w:val="2ED72669"/>
    <w:rsid w:val="2F0D2540"/>
    <w:rsid w:val="2F101AB2"/>
    <w:rsid w:val="2F386C07"/>
    <w:rsid w:val="2F7552B2"/>
    <w:rsid w:val="2F9D7121"/>
    <w:rsid w:val="2FD62A87"/>
    <w:rsid w:val="305D6C29"/>
    <w:rsid w:val="307D149D"/>
    <w:rsid w:val="30C10EB6"/>
    <w:rsid w:val="30C44089"/>
    <w:rsid w:val="30D7336F"/>
    <w:rsid w:val="30E531BD"/>
    <w:rsid w:val="30EB624E"/>
    <w:rsid w:val="311D09DC"/>
    <w:rsid w:val="312F5E08"/>
    <w:rsid w:val="3157337F"/>
    <w:rsid w:val="318254C8"/>
    <w:rsid w:val="319A5D04"/>
    <w:rsid w:val="31A17BC3"/>
    <w:rsid w:val="31F9640B"/>
    <w:rsid w:val="3204001F"/>
    <w:rsid w:val="32242AD2"/>
    <w:rsid w:val="322A3DF1"/>
    <w:rsid w:val="328234D4"/>
    <w:rsid w:val="328E1B6C"/>
    <w:rsid w:val="32C91C94"/>
    <w:rsid w:val="32F93DAF"/>
    <w:rsid w:val="330672EA"/>
    <w:rsid w:val="33391532"/>
    <w:rsid w:val="333F0CA1"/>
    <w:rsid w:val="339E77CA"/>
    <w:rsid w:val="33C92B36"/>
    <w:rsid w:val="33CE41B8"/>
    <w:rsid w:val="33D72119"/>
    <w:rsid w:val="33DC6658"/>
    <w:rsid w:val="33F73CD2"/>
    <w:rsid w:val="34270272"/>
    <w:rsid w:val="343B5701"/>
    <w:rsid w:val="344779A5"/>
    <w:rsid w:val="34933B51"/>
    <w:rsid w:val="34A90CC0"/>
    <w:rsid w:val="34F27A73"/>
    <w:rsid w:val="35216666"/>
    <w:rsid w:val="353F7ACA"/>
    <w:rsid w:val="358E1AEB"/>
    <w:rsid w:val="35B80C45"/>
    <w:rsid w:val="35C032BE"/>
    <w:rsid w:val="35D579E0"/>
    <w:rsid w:val="366D46DB"/>
    <w:rsid w:val="36820DFD"/>
    <w:rsid w:val="368D718F"/>
    <w:rsid w:val="36DB4D0F"/>
    <w:rsid w:val="371812F1"/>
    <w:rsid w:val="375201D1"/>
    <w:rsid w:val="378E453E"/>
    <w:rsid w:val="37910FBB"/>
    <w:rsid w:val="37BD5302"/>
    <w:rsid w:val="3801031D"/>
    <w:rsid w:val="3810198E"/>
    <w:rsid w:val="384A2968"/>
    <w:rsid w:val="385641FC"/>
    <w:rsid w:val="386B671F"/>
    <w:rsid w:val="38EE3475"/>
    <w:rsid w:val="390A7481"/>
    <w:rsid w:val="393941D4"/>
    <w:rsid w:val="393F0C84"/>
    <w:rsid w:val="39BB7346"/>
    <w:rsid w:val="39D20B92"/>
    <w:rsid w:val="39EB029D"/>
    <w:rsid w:val="39FC7DAF"/>
    <w:rsid w:val="39FD3633"/>
    <w:rsid w:val="3A0B4374"/>
    <w:rsid w:val="3A29797A"/>
    <w:rsid w:val="3A34659B"/>
    <w:rsid w:val="3A3C2693"/>
    <w:rsid w:val="3A73272E"/>
    <w:rsid w:val="3ACB7183"/>
    <w:rsid w:val="3AEE2E06"/>
    <w:rsid w:val="3B191137"/>
    <w:rsid w:val="3B6405FB"/>
    <w:rsid w:val="3C1C362D"/>
    <w:rsid w:val="3C26613B"/>
    <w:rsid w:val="3C94676F"/>
    <w:rsid w:val="3CA96714"/>
    <w:rsid w:val="3CC66044"/>
    <w:rsid w:val="3CE974FE"/>
    <w:rsid w:val="3D264530"/>
    <w:rsid w:val="3D393E77"/>
    <w:rsid w:val="3D493E51"/>
    <w:rsid w:val="3D61263F"/>
    <w:rsid w:val="3D8C258A"/>
    <w:rsid w:val="3DEC58B0"/>
    <w:rsid w:val="3DFA2BBE"/>
    <w:rsid w:val="3DFE50A4"/>
    <w:rsid w:val="3E0F3A5D"/>
    <w:rsid w:val="3EF43B41"/>
    <w:rsid w:val="3F0874F8"/>
    <w:rsid w:val="3F39320C"/>
    <w:rsid w:val="3F602397"/>
    <w:rsid w:val="3F69137B"/>
    <w:rsid w:val="3F6F5F91"/>
    <w:rsid w:val="3FA12730"/>
    <w:rsid w:val="3FDE08F5"/>
    <w:rsid w:val="401776B5"/>
    <w:rsid w:val="40A57735"/>
    <w:rsid w:val="40C50AD3"/>
    <w:rsid w:val="40E65833"/>
    <w:rsid w:val="414B09AC"/>
    <w:rsid w:val="418A654E"/>
    <w:rsid w:val="41947EA6"/>
    <w:rsid w:val="41D47F93"/>
    <w:rsid w:val="41F533C3"/>
    <w:rsid w:val="42004FD7"/>
    <w:rsid w:val="42014C57"/>
    <w:rsid w:val="4211049B"/>
    <w:rsid w:val="42772D77"/>
    <w:rsid w:val="42C07614"/>
    <w:rsid w:val="42C42797"/>
    <w:rsid w:val="42C8103A"/>
    <w:rsid w:val="42D178AE"/>
    <w:rsid w:val="432418C0"/>
    <w:rsid w:val="4351010D"/>
    <w:rsid w:val="435C3C0F"/>
    <w:rsid w:val="43713BB4"/>
    <w:rsid w:val="438B4FB1"/>
    <w:rsid w:val="43947F98"/>
    <w:rsid w:val="439B601B"/>
    <w:rsid w:val="43A45F3A"/>
    <w:rsid w:val="43AE11BC"/>
    <w:rsid w:val="442339D8"/>
    <w:rsid w:val="44563ED5"/>
    <w:rsid w:val="44605A3B"/>
    <w:rsid w:val="4485477E"/>
    <w:rsid w:val="44D25AAC"/>
    <w:rsid w:val="44F92736"/>
    <w:rsid w:val="45030AC7"/>
    <w:rsid w:val="45441531"/>
    <w:rsid w:val="45647867"/>
    <w:rsid w:val="456E61AA"/>
    <w:rsid w:val="45913BAE"/>
    <w:rsid w:val="45C66607"/>
    <w:rsid w:val="45D55F98"/>
    <w:rsid w:val="46295027"/>
    <w:rsid w:val="4650656B"/>
    <w:rsid w:val="465E3302"/>
    <w:rsid w:val="46816C10"/>
    <w:rsid w:val="47051512"/>
    <w:rsid w:val="4714341E"/>
    <w:rsid w:val="47567722"/>
    <w:rsid w:val="478502E1"/>
    <w:rsid w:val="478E1953"/>
    <w:rsid w:val="47D01EDF"/>
    <w:rsid w:val="47DD782E"/>
    <w:rsid w:val="47F77F51"/>
    <w:rsid w:val="481822D3"/>
    <w:rsid w:val="48AB2F86"/>
    <w:rsid w:val="48BF3D66"/>
    <w:rsid w:val="498C34BA"/>
    <w:rsid w:val="499E6ADA"/>
    <w:rsid w:val="49B8117F"/>
    <w:rsid w:val="4A0202A9"/>
    <w:rsid w:val="4ABD162D"/>
    <w:rsid w:val="4ACE2F74"/>
    <w:rsid w:val="4AEA39F4"/>
    <w:rsid w:val="4B3F2B00"/>
    <w:rsid w:val="4B8B517E"/>
    <w:rsid w:val="4B9B51B7"/>
    <w:rsid w:val="4BD03E62"/>
    <w:rsid w:val="4C0C69D1"/>
    <w:rsid w:val="4C4A4923"/>
    <w:rsid w:val="4C537700"/>
    <w:rsid w:val="4C8F3727"/>
    <w:rsid w:val="4CB06962"/>
    <w:rsid w:val="4CD01F92"/>
    <w:rsid w:val="4D490586"/>
    <w:rsid w:val="4D5E2AFB"/>
    <w:rsid w:val="4D7A64BE"/>
    <w:rsid w:val="4D7E0E31"/>
    <w:rsid w:val="4D8347ED"/>
    <w:rsid w:val="4E0C3F18"/>
    <w:rsid w:val="4E6D2CB8"/>
    <w:rsid w:val="4ED97DE9"/>
    <w:rsid w:val="4F404BC5"/>
    <w:rsid w:val="4F45079D"/>
    <w:rsid w:val="4F7C2E75"/>
    <w:rsid w:val="4F851663"/>
    <w:rsid w:val="500213A2"/>
    <w:rsid w:val="5027550C"/>
    <w:rsid w:val="5054095A"/>
    <w:rsid w:val="507B081A"/>
    <w:rsid w:val="50A75D18"/>
    <w:rsid w:val="50CD3844"/>
    <w:rsid w:val="512A4843"/>
    <w:rsid w:val="513A40D0"/>
    <w:rsid w:val="514946EA"/>
    <w:rsid w:val="515A6B83"/>
    <w:rsid w:val="517A073C"/>
    <w:rsid w:val="517F6B8D"/>
    <w:rsid w:val="519B2E9C"/>
    <w:rsid w:val="51A161BE"/>
    <w:rsid w:val="51D714C7"/>
    <w:rsid w:val="51E00412"/>
    <w:rsid w:val="51F562DF"/>
    <w:rsid w:val="52121BB5"/>
    <w:rsid w:val="521D0102"/>
    <w:rsid w:val="52B513BE"/>
    <w:rsid w:val="52EC03EB"/>
    <w:rsid w:val="530B1DCC"/>
    <w:rsid w:val="530C225C"/>
    <w:rsid w:val="531F0928"/>
    <w:rsid w:val="533E08F9"/>
    <w:rsid w:val="5346672E"/>
    <w:rsid w:val="5357444A"/>
    <w:rsid w:val="53820B12"/>
    <w:rsid w:val="53C548B8"/>
    <w:rsid w:val="53F96DF7"/>
    <w:rsid w:val="54267F9B"/>
    <w:rsid w:val="54555315"/>
    <w:rsid w:val="54782184"/>
    <w:rsid w:val="5509025D"/>
    <w:rsid w:val="551556A5"/>
    <w:rsid w:val="55401D6C"/>
    <w:rsid w:val="554558D8"/>
    <w:rsid w:val="55754AD4"/>
    <w:rsid w:val="557708B5"/>
    <w:rsid w:val="558B778B"/>
    <w:rsid w:val="55C43625"/>
    <w:rsid w:val="55DB77D0"/>
    <w:rsid w:val="55ED318A"/>
    <w:rsid w:val="55FA625C"/>
    <w:rsid w:val="563E54BC"/>
    <w:rsid w:val="565B7F3A"/>
    <w:rsid w:val="56FD77F1"/>
    <w:rsid w:val="571E12FD"/>
    <w:rsid w:val="571F24A8"/>
    <w:rsid w:val="573E3DB0"/>
    <w:rsid w:val="574A0BA6"/>
    <w:rsid w:val="578A642E"/>
    <w:rsid w:val="578C1931"/>
    <w:rsid w:val="57A7215B"/>
    <w:rsid w:val="583408CA"/>
    <w:rsid w:val="58425BDC"/>
    <w:rsid w:val="58803394"/>
    <w:rsid w:val="588562C6"/>
    <w:rsid w:val="58D6513A"/>
    <w:rsid w:val="59522196"/>
    <w:rsid w:val="59686D1A"/>
    <w:rsid w:val="597102E2"/>
    <w:rsid w:val="59A92BA5"/>
    <w:rsid w:val="59AA2204"/>
    <w:rsid w:val="59EC260F"/>
    <w:rsid w:val="5A006E37"/>
    <w:rsid w:val="5A6C3F68"/>
    <w:rsid w:val="5ABF32C5"/>
    <w:rsid w:val="5AEE3DBE"/>
    <w:rsid w:val="5B0F6FF4"/>
    <w:rsid w:val="5B343F5B"/>
    <w:rsid w:val="5B715A14"/>
    <w:rsid w:val="5B7F2E79"/>
    <w:rsid w:val="5B8945B3"/>
    <w:rsid w:val="5B9C20DB"/>
    <w:rsid w:val="5BD347B4"/>
    <w:rsid w:val="5BD42235"/>
    <w:rsid w:val="5BDD2B45"/>
    <w:rsid w:val="5BE701AC"/>
    <w:rsid w:val="5BFA51BE"/>
    <w:rsid w:val="5C3B728F"/>
    <w:rsid w:val="5C493E38"/>
    <w:rsid w:val="5C497C75"/>
    <w:rsid w:val="5C7F0C90"/>
    <w:rsid w:val="5CD765E0"/>
    <w:rsid w:val="5D3743B6"/>
    <w:rsid w:val="5D385380"/>
    <w:rsid w:val="5D6F7A58"/>
    <w:rsid w:val="5D715229"/>
    <w:rsid w:val="5DA80EB7"/>
    <w:rsid w:val="5DD067F8"/>
    <w:rsid w:val="5E12784F"/>
    <w:rsid w:val="5E26061F"/>
    <w:rsid w:val="5ED46B86"/>
    <w:rsid w:val="5ED50624"/>
    <w:rsid w:val="5ED8702A"/>
    <w:rsid w:val="5F164911"/>
    <w:rsid w:val="5F3560BF"/>
    <w:rsid w:val="5FD50E80"/>
    <w:rsid w:val="60467201"/>
    <w:rsid w:val="607F5921"/>
    <w:rsid w:val="611B369C"/>
    <w:rsid w:val="614A6BE5"/>
    <w:rsid w:val="61855A0A"/>
    <w:rsid w:val="62146209"/>
    <w:rsid w:val="623F1E5F"/>
    <w:rsid w:val="627B71A0"/>
    <w:rsid w:val="63130619"/>
    <w:rsid w:val="63483071"/>
    <w:rsid w:val="63800859"/>
    <w:rsid w:val="63936B74"/>
    <w:rsid w:val="64423289"/>
    <w:rsid w:val="645B1696"/>
    <w:rsid w:val="645F60EA"/>
    <w:rsid w:val="647319F7"/>
    <w:rsid w:val="64901066"/>
    <w:rsid w:val="64B1636B"/>
    <w:rsid w:val="6501056A"/>
    <w:rsid w:val="65367019"/>
    <w:rsid w:val="65385BF2"/>
    <w:rsid w:val="654B2B4E"/>
    <w:rsid w:val="659A6D3E"/>
    <w:rsid w:val="65D920A6"/>
    <w:rsid w:val="6619093D"/>
    <w:rsid w:val="661F6E0C"/>
    <w:rsid w:val="663667DB"/>
    <w:rsid w:val="664107D0"/>
    <w:rsid w:val="66515324"/>
    <w:rsid w:val="667A6BE2"/>
    <w:rsid w:val="667B19B6"/>
    <w:rsid w:val="667C162B"/>
    <w:rsid w:val="66990B2F"/>
    <w:rsid w:val="66B229A3"/>
    <w:rsid w:val="66CC7AB7"/>
    <w:rsid w:val="66EC34BE"/>
    <w:rsid w:val="670853FD"/>
    <w:rsid w:val="670E46A1"/>
    <w:rsid w:val="67456D79"/>
    <w:rsid w:val="67602EBD"/>
    <w:rsid w:val="67666032"/>
    <w:rsid w:val="676C7B91"/>
    <w:rsid w:val="67706CC4"/>
    <w:rsid w:val="67742D74"/>
    <w:rsid w:val="677A5055"/>
    <w:rsid w:val="678655E4"/>
    <w:rsid w:val="67BC5ABE"/>
    <w:rsid w:val="683F2814"/>
    <w:rsid w:val="68402ED8"/>
    <w:rsid w:val="68511835"/>
    <w:rsid w:val="686D58E2"/>
    <w:rsid w:val="687E024B"/>
    <w:rsid w:val="688A7410"/>
    <w:rsid w:val="68BE5982"/>
    <w:rsid w:val="690B5432"/>
    <w:rsid w:val="6923630A"/>
    <w:rsid w:val="692E7F1E"/>
    <w:rsid w:val="6974674E"/>
    <w:rsid w:val="698F343B"/>
    <w:rsid w:val="699636A9"/>
    <w:rsid w:val="69AC6C0B"/>
    <w:rsid w:val="69AC7633"/>
    <w:rsid w:val="6A015CF8"/>
    <w:rsid w:val="6A3D00DC"/>
    <w:rsid w:val="6A491970"/>
    <w:rsid w:val="6A5C2B8F"/>
    <w:rsid w:val="6A9A0475"/>
    <w:rsid w:val="6AEA5C76"/>
    <w:rsid w:val="6BB256BF"/>
    <w:rsid w:val="6BC31BD8"/>
    <w:rsid w:val="6BF74B2E"/>
    <w:rsid w:val="6C272092"/>
    <w:rsid w:val="6C2B07E3"/>
    <w:rsid w:val="6C3A689C"/>
    <w:rsid w:val="6C6241DE"/>
    <w:rsid w:val="6C8F7D1B"/>
    <w:rsid w:val="6CAD2E04"/>
    <w:rsid w:val="6CBD35F3"/>
    <w:rsid w:val="6D302924"/>
    <w:rsid w:val="6D341F2A"/>
    <w:rsid w:val="6D400349"/>
    <w:rsid w:val="6D447ADB"/>
    <w:rsid w:val="6D474FD5"/>
    <w:rsid w:val="6D727209"/>
    <w:rsid w:val="6D756624"/>
    <w:rsid w:val="6DAA1F76"/>
    <w:rsid w:val="6DC32DB9"/>
    <w:rsid w:val="6E077F01"/>
    <w:rsid w:val="6E20323A"/>
    <w:rsid w:val="6E283E5B"/>
    <w:rsid w:val="6E4E2A84"/>
    <w:rsid w:val="6E500DC6"/>
    <w:rsid w:val="6EA64798"/>
    <w:rsid w:val="6EB66959"/>
    <w:rsid w:val="6EDC35ED"/>
    <w:rsid w:val="6EFC1923"/>
    <w:rsid w:val="6EFC51A7"/>
    <w:rsid w:val="6FA814C6"/>
    <w:rsid w:val="6FEE0256"/>
    <w:rsid w:val="700C1760"/>
    <w:rsid w:val="703716AB"/>
    <w:rsid w:val="70406A16"/>
    <w:rsid w:val="70593DDE"/>
    <w:rsid w:val="706A37E2"/>
    <w:rsid w:val="70A0333E"/>
    <w:rsid w:val="70A367DC"/>
    <w:rsid w:val="70B97668"/>
    <w:rsid w:val="70C65EC1"/>
    <w:rsid w:val="70DA0EB4"/>
    <w:rsid w:val="714A2FA6"/>
    <w:rsid w:val="715304D9"/>
    <w:rsid w:val="71920663"/>
    <w:rsid w:val="719E6674"/>
    <w:rsid w:val="724C7A91"/>
    <w:rsid w:val="72510C2D"/>
    <w:rsid w:val="726F7A40"/>
    <w:rsid w:val="727A2B5F"/>
    <w:rsid w:val="728241F2"/>
    <w:rsid w:val="728D3B4B"/>
    <w:rsid w:val="72C267D6"/>
    <w:rsid w:val="72CC0813"/>
    <w:rsid w:val="72D95730"/>
    <w:rsid w:val="72F3399E"/>
    <w:rsid w:val="73084A5D"/>
    <w:rsid w:val="73166260"/>
    <w:rsid w:val="733A09A1"/>
    <w:rsid w:val="7359610E"/>
    <w:rsid w:val="7396227D"/>
    <w:rsid w:val="73B1065D"/>
    <w:rsid w:val="73C64D7F"/>
    <w:rsid w:val="73C85151"/>
    <w:rsid w:val="73C93A07"/>
    <w:rsid w:val="740D74D1"/>
    <w:rsid w:val="74887320"/>
    <w:rsid w:val="74944C62"/>
    <w:rsid w:val="74964153"/>
    <w:rsid w:val="74A024E4"/>
    <w:rsid w:val="74A677B5"/>
    <w:rsid w:val="74A9289C"/>
    <w:rsid w:val="74C0081A"/>
    <w:rsid w:val="74CF3C20"/>
    <w:rsid w:val="74E81B55"/>
    <w:rsid w:val="75011284"/>
    <w:rsid w:val="750D3EAE"/>
    <w:rsid w:val="752175BA"/>
    <w:rsid w:val="756D74E4"/>
    <w:rsid w:val="75C42647"/>
    <w:rsid w:val="75D00657"/>
    <w:rsid w:val="75D100C4"/>
    <w:rsid w:val="76435CE5"/>
    <w:rsid w:val="76492891"/>
    <w:rsid w:val="765C3ABF"/>
    <w:rsid w:val="7663757C"/>
    <w:rsid w:val="767720EA"/>
    <w:rsid w:val="76853969"/>
    <w:rsid w:val="76B94407"/>
    <w:rsid w:val="76BC2082"/>
    <w:rsid w:val="76FB7CCC"/>
    <w:rsid w:val="772B760F"/>
    <w:rsid w:val="772D6395"/>
    <w:rsid w:val="774A0BC1"/>
    <w:rsid w:val="77543BCA"/>
    <w:rsid w:val="778238A1"/>
    <w:rsid w:val="778D1C32"/>
    <w:rsid w:val="77FB2266"/>
    <w:rsid w:val="78173D95"/>
    <w:rsid w:val="78304CBF"/>
    <w:rsid w:val="78711EA5"/>
    <w:rsid w:val="78F227FE"/>
    <w:rsid w:val="78FC3F32"/>
    <w:rsid w:val="79BD3F25"/>
    <w:rsid w:val="7A905722"/>
    <w:rsid w:val="7AA51E44"/>
    <w:rsid w:val="7AD0650C"/>
    <w:rsid w:val="7B5D15F3"/>
    <w:rsid w:val="7BBB1C1E"/>
    <w:rsid w:val="7BC36BAD"/>
    <w:rsid w:val="7BFC04F7"/>
    <w:rsid w:val="7BFC0976"/>
    <w:rsid w:val="7C5B3A94"/>
    <w:rsid w:val="7C6552DE"/>
    <w:rsid w:val="7C8313D5"/>
    <w:rsid w:val="7C8E7766"/>
    <w:rsid w:val="7C985AF7"/>
    <w:rsid w:val="7CDC328D"/>
    <w:rsid w:val="7CED6367"/>
    <w:rsid w:val="7CEF6506"/>
    <w:rsid w:val="7CFA011A"/>
    <w:rsid w:val="7D4071CA"/>
    <w:rsid w:val="7D7C1806"/>
    <w:rsid w:val="7D9808C7"/>
    <w:rsid w:val="7D9E6DEE"/>
    <w:rsid w:val="7DC93C6B"/>
    <w:rsid w:val="7DD532C9"/>
    <w:rsid w:val="7DF34AAF"/>
    <w:rsid w:val="7E0A3E44"/>
    <w:rsid w:val="7E286E4E"/>
    <w:rsid w:val="7E4A0D41"/>
    <w:rsid w:val="7E5252B7"/>
    <w:rsid w:val="7E587DBC"/>
    <w:rsid w:val="7E620CB9"/>
    <w:rsid w:val="7EA038CE"/>
    <w:rsid w:val="7EBE3F33"/>
    <w:rsid w:val="7ECD2214"/>
    <w:rsid w:val="7F242240"/>
    <w:rsid w:val="7F2C6E61"/>
    <w:rsid w:val="7F5B0B7E"/>
    <w:rsid w:val="7F5D1C11"/>
    <w:rsid w:val="7F656F0F"/>
    <w:rsid w:val="7F7E7F1B"/>
    <w:rsid w:val="7FA22BE1"/>
    <w:rsid w:val="7FB665F7"/>
    <w:rsid w:val="7FBA383D"/>
    <w:rsid w:val="7FC65CAF"/>
    <w:rsid w:val="7FEF31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9"/>
    <w:pPr>
      <w:keepNext/>
      <w:keepLines/>
      <w:spacing w:line="360" w:lineRule="auto"/>
      <w:outlineLvl w:val="0"/>
    </w:pPr>
    <w:rPr>
      <w:b/>
      <w:bCs/>
      <w:kern w:val="44"/>
      <w:sz w:val="32"/>
      <w:szCs w:val="32"/>
    </w:rPr>
  </w:style>
  <w:style w:type="paragraph" w:styleId="4">
    <w:name w:val="heading 2"/>
    <w:basedOn w:val="1"/>
    <w:next w:val="1"/>
    <w:link w:val="50"/>
    <w:qFormat/>
    <w:uiPriority w:val="99"/>
    <w:pPr>
      <w:keepNext/>
      <w:keepLines/>
      <w:spacing w:before="260" w:after="260" w:line="416" w:lineRule="auto"/>
      <w:jc w:val="left"/>
      <w:outlineLvl w:val="1"/>
    </w:pPr>
    <w:rPr>
      <w:rFonts w:ascii="Cambria" w:hAnsi="Cambria" w:cs="Cambria"/>
      <w:b/>
      <w:bCs/>
      <w:sz w:val="32"/>
      <w:szCs w:val="32"/>
    </w:rPr>
  </w:style>
  <w:style w:type="paragraph" w:styleId="5">
    <w:name w:val="heading 3"/>
    <w:basedOn w:val="1"/>
    <w:next w:val="1"/>
    <w:link w:val="51"/>
    <w:qFormat/>
    <w:uiPriority w:val="99"/>
    <w:pPr>
      <w:keepNext/>
      <w:keepLines/>
      <w:spacing w:line="360" w:lineRule="auto"/>
      <w:outlineLvl w:val="2"/>
    </w:pPr>
    <w:rPr>
      <w:b/>
      <w:bCs/>
      <w:sz w:val="24"/>
      <w:szCs w:val="24"/>
    </w:rPr>
  </w:style>
  <w:style w:type="paragraph" w:styleId="6">
    <w:name w:val="heading 4"/>
    <w:basedOn w:val="1"/>
    <w:next w:val="1"/>
    <w:link w:val="52"/>
    <w:qFormat/>
    <w:uiPriority w:val="99"/>
    <w:pPr>
      <w:keepNext/>
      <w:keepLines/>
      <w:spacing w:line="360" w:lineRule="auto"/>
      <w:outlineLvl w:val="3"/>
    </w:pPr>
    <w:rPr>
      <w:rFonts w:ascii="Arial" w:hAnsi="Arial" w:cs="Arial"/>
      <w:b/>
      <w:bCs/>
    </w:rPr>
  </w:style>
  <w:style w:type="paragraph" w:styleId="7">
    <w:name w:val="heading 5"/>
    <w:basedOn w:val="1"/>
    <w:next w:val="1"/>
    <w:link w:val="53"/>
    <w:qFormat/>
    <w:uiPriority w:val="99"/>
    <w:pPr>
      <w:keepNext/>
      <w:keepLines/>
      <w:spacing w:before="280" w:after="290" w:line="376" w:lineRule="auto"/>
      <w:outlineLvl w:val="4"/>
    </w:pPr>
    <w:rPr>
      <w:b/>
      <w:bCs/>
      <w:sz w:val="28"/>
      <w:szCs w:val="28"/>
    </w:rPr>
  </w:style>
  <w:style w:type="paragraph" w:styleId="8">
    <w:name w:val="heading 6"/>
    <w:basedOn w:val="1"/>
    <w:next w:val="1"/>
    <w:link w:val="54"/>
    <w:qFormat/>
    <w:uiPriority w:val="99"/>
    <w:pPr>
      <w:keepNext/>
      <w:keepLines/>
      <w:spacing w:before="240" w:after="64" w:line="320" w:lineRule="auto"/>
      <w:outlineLvl w:val="5"/>
    </w:pPr>
    <w:rPr>
      <w:rFonts w:ascii="Arial" w:hAnsi="Arial" w:eastAsia="黑体" w:cs="Arial"/>
      <w:b/>
      <w:bCs/>
      <w:sz w:val="24"/>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9"/>
    <w:qFormat/>
    <w:uiPriority w:val="99"/>
    <w:pPr>
      <w:jc w:val="center"/>
    </w:pPr>
  </w:style>
  <w:style w:type="paragraph" w:styleId="9">
    <w:name w:val="toc 7"/>
    <w:basedOn w:val="1"/>
    <w:next w:val="1"/>
    <w:semiHidden/>
    <w:qFormat/>
    <w:uiPriority w:val="99"/>
    <w:pPr>
      <w:ind w:left="1260"/>
      <w:jc w:val="left"/>
    </w:pPr>
    <w:rPr>
      <w:rFonts w:ascii="Calibri" w:hAnsi="Calibri" w:cs="Calibri"/>
      <w:sz w:val="18"/>
      <w:szCs w:val="18"/>
    </w:rPr>
  </w:style>
  <w:style w:type="paragraph" w:styleId="10">
    <w:name w:val="Normal Indent"/>
    <w:basedOn w:val="1"/>
    <w:qFormat/>
    <w:uiPriority w:val="99"/>
    <w:pPr>
      <w:ind w:firstLine="420"/>
    </w:pPr>
  </w:style>
  <w:style w:type="paragraph" w:styleId="11">
    <w:name w:val="Document Map"/>
    <w:basedOn w:val="1"/>
    <w:link w:val="57"/>
    <w:semiHidden/>
    <w:qFormat/>
    <w:uiPriority w:val="99"/>
    <w:pPr>
      <w:shd w:val="clear" w:color="auto" w:fill="000080"/>
    </w:pPr>
  </w:style>
  <w:style w:type="paragraph" w:styleId="12">
    <w:name w:val="annotation text"/>
    <w:basedOn w:val="1"/>
    <w:link w:val="55"/>
    <w:semiHidden/>
    <w:qFormat/>
    <w:uiPriority w:val="99"/>
    <w:pPr>
      <w:jc w:val="left"/>
    </w:pPr>
  </w:style>
  <w:style w:type="paragraph" w:styleId="13">
    <w:name w:val="Body Text 3"/>
    <w:basedOn w:val="1"/>
    <w:link w:val="58"/>
    <w:qFormat/>
    <w:uiPriority w:val="99"/>
    <w:rPr>
      <w:rFonts w:ascii="宋体" w:cs="宋体"/>
      <w:sz w:val="24"/>
      <w:szCs w:val="24"/>
    </w:rPr>
  </w:style>
  <w:style w:type="paragraph" w:styleId="14">
    <w:name w:val="Body Text Indent"/>
    <w:basedOn w:val="1"/>
    <w:link w:val="60"/>
    <w:qFormat/>
    <w:uiPriority w:val="99"/>
    <w:pPr>
      <w:spacing w:line="360" w:lineRule="auto"/>
      <w:ind w:left="424" w:leftChars="202" w:firstLine="567"/>
    </w:pPr>
    <w:rPr>
      <w:sz w:val="24"/>
      <w:szCs w:val="24"/>
    </w:rPr>
  </w:style>
  <w:style w:type="paragraph" w:styleId="15">
    <w:name w:val="toc 5"/>
    <w:basedOn w:val="1"/>
    <w:next w:val="1"/>
    <w:semiHidden/>
    <w:qFormat/>
    <w:uiPriority w:val="99"/>
    <w:pPr>
      <w:ind w:left="840"/>
      <w:jc w:val="left"/>
    </w:pPr>
    <w:rPr>
      <w:rFonts w:ascii="Calibri" w:hAnsi="Calibri" w:cs="Calibri"/>
      <w:sz w:val="18"/>
      <w:szCs w:val="18"/>
    </w:rPr>
  </w:style>
  <w:style w:type="paragraph" w:styleId="16">
    <w:name w:val="toc 3"/>
    <w:basedOn w:val="1"/>
    <w:next w:val="1"/>
    <w:qFormat/>
    <w:uiPriority w:val="39"/>
    <w:pPr>
      <w:ind w:left="420"/>
      <w:jc w:val="left"/>
    </w:pPr>
    <w:rPr>
      <w:rFonts w:ascii="Calibri" w:hAnsi="Calibri" w:cs="Calibri"/>
      <w:i/>
      <w:iCs/>
      <w:sz w:val="20"/>
      <w:szCs w:val="20"/>
    </w:rPr>
  </w:style>
  <w:style w:type="paragraph" w:styleId="17">
    <w:name w:val="Plain Text"/>
    <w:basedOn w:val="1"/>
    <w:link w:val="61"/>
    <w:qFormat/>
    <w:uiPriority w:val="99"/>
    <w:rPr>
      <w:rFonts w:ascii="宋体" w:hAnsi="Courier New" w:cs="宋体"/>
    </w:rPr>
  </w:style>
  <w:style w:type="paragraph" w:styleId="18">
    <w:name w:val="toc 8"/>
    <w:basedOn w:val="1"/>
    <w:next w:val="1"/>
    <w:semiHidden/>
    <w:qFormat/>
    <w:uiPriority w:val="99"/>
    <w:pPr>
      <w:ind w:left="1470"/>
      <w:jc w:val="left"/>
    </w:pPr>
    <w:rPr>
      <w:rFonts w:ascii="Calibri" w:hAnsi="Calibri" w:cs="Calibri"/>
      <w:sz w:val="18"/>
      <w:szCs w:val="18"/>
    </w:rPr>
  </w:style>
  <w:style w:type="paragraph" w:styleId="19">
    <w:name w:val="Date"/>
    <w:basedOn w:val="1"/>
    <w:next w:val="1"/>
    <w:link w:val="62"/>
    <w:qFormat/>
    <w:uiPriority w:val="99"/>
    <w:pPr>
      <w:ind w:left="100" w:leftChars="2500"/>
    </w:pPr>
  </w:style>
  <w:style w:type="paragraph" w:styleId="20">
    <w:name w:val="Body Text Indent 2"/>
    <w:basedOn w:val="1"/>
    <w:link w:val="63"/>
    <w:qFormat/>
    <w:uiPriority w:val="99"/>
    <w:pPr>
      <w:spacing w:line="480" w:lineRule="exact"/>
      <w:ind w:left="-1"/>
    </w:pPr>
    <w:rPr>
      <w:sz w:val="24"/>
      <w:szCs w:val="24"/>
    </w:rPr>
  </w:style>
  <w:style w:type="paragraph" w:styleId="21">
    <w:name w:val="Balloon Text"/>
    <w:basedOn w:val="1"/>
    <w:link w:val="64"/>
    <w:semiHidden/>
    <w:qFormat/>
    <w:uiPriority w:val="99"/>
    <w:rPr>
      <w:sz w:val="18"/>
      <w:szCs w:val="18"/>
    </w:rPr>
  </w:style>
  <w:style w:type="paragraph" w:styleId="22">
    <w:name w:val="footer"/>
    <w:basedOn w:val="1"/>
    <w:link w:val="65"/>
    <w:qFormat/>
    <w:uiPriority w:val="99"/>
    <w:pPr>
      <w:tabs>
        <w:tab w:val="center" w:pos="4153"/>
        <w:tab w:val="right" w:pos="8306"/>
      </w:tabs>
      <w:snapToGrid w:val="0"/>
      <w:jc w:val="left"/>
    </w:pPr>
    <w:rPr>
      <w:sz w:val="18"/>
      <w:szCs w:val="18"/>
    </w:rPr>
  </w:style>
  <w:style w:type="paragraph" w:styleId="23">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Calibri" w:hAnsi="Calibri" w:cs="Calibri"/>
      <w:b/>
      <w:bCs/>
      <w:caps/>
      <w:sz w:val="20"/>
      <w:szCs w:val="20"/>
    </w:rPr>
  </w:style>
  <w:style w:type="paragraph" w:styleId="25">
    <w:name w:val="toc 4"/>
    <w:basedOn w:val="1"/>
    <w:next w:val="1"/>
    <w:semiHidden/>
    <w:qFormat/>
    <w:uiPriority w:val="99"/>
    <w:pPr>
      <w:ind w:left="630"/>
      <w:jc w:val="left"/>
    </w:pPr>
    <w:rPr>
      <w:rFonts w:ascii="Calibri" w:hAnsi="Calibri" w:cs="Calibri"/>
      <w:sz w:val="18"/>
      <w:szCs w:val="18"/>
    </w:rPr>
  </w:style>
  <w:style w:type="paragraph" w:styleId="26">
    <w:name w:val="toc 6"/>
    <w:basedOn w:val="1"/>
    <w:next w:val="1"/>
    <w:semiHidden/>
    <w:qFormat/>
    <w:uiPriority w:val="99"/>
    <w:pPr>
      <w:ind w:left="1050"/>
      <w:jc w:val="left"/>
    </w:pPr>
    <w:rPr>
      <w:rFonts w:ascii="Calibri" w:hAnsi="Calibri" w:cs="Calibri"/>
      <w:sz w:val="18"/>
      <w:szCs w:val="18"/>
    </w:rPr>
  </w:style>
  <w:style w:type="paragraph" w:styleId="27">
    <w:name w:val="Body Text Indent 3"/>
    <w:basedOn w:val="1"/>
    <w:link w:val="67"/>
    <w:qFormat/>
    <w:uiPriority w:val="99"/>
    <w:pPr>
      <w:spacing w:line="360" w:lineRule="auto"/>
      <w:ind w:left="420" w:firstLine="480"/>
    </w:pPr>
    <w:rPr>
      <w:rFonts w:ascii="宋体" w:hAnsi="宋体" w:cs="宋体"/>
      <w:sz w:val="24"/>
      <w:szCs w:val="24"/>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toc 9"/>
    <w:basedOn w:val="1"/>
    <w:next w:val="1"/>
    <w:semiHidden/>
    <w:qFormat/>
    <w:uiPriority w:val="99"/>
    <w:pPr>
      <w:ind w:left="1680"/>
      <w:jc w:val="left"/>
    </w:pPr>
    <w:rPr>
      <w:rFonts w:ascii="Calibri" w:hAnsi="Calibri" w:cs="Calibri"/>
      <w:sz w:val="18"/>
      <w:szCs w:val="18"/>
    </w:rPr>
  </w:style>
  <w:style w:type="paragraph" w:styleId="30">
    <w:name w:val="Body Text 2"/>
    <w:basedOn w:val="1"/>
    <w:link w:val="68"/>
    <w:qFormat/>
    <w:uiPriority w:val="99"/>
    <w:pPr>
      <w:adjustRightInd w:val="0"/>
      <w:snapToGrid w:val="0"/>
      <w:spacing w:before="60" w:after="60" w:line="300" w:lineRule="auto"/>
    </w:pPr>
    <w:rPr>
      <w:rFonts w:ascii="宋体" w:cs="宋体"/>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32">
    <w:name w:val="annotation subject"/>
    <w:basedOn w:val="12"/>
    <w:next w:val="12"/>
    <w:link w:val="56"/>
    <w:semiHidden/>
    <w:qFormat/>
    <w:uiPriority w:val="99"/>
    <w:rPr>
      <w:b/>
      <w:bCs/>
    </w:rPr>
  </w:style>
  <w:style w:type="table" w:styleId="34">
    <w:name w:val="Table Grid"/>
    <w:basedOn w:val="3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99"/>
    <w:rPr>
      <w:b/>
      <w:bCs/>
    </w:rPr>
  </w:style>
  <w:style w:type="character" w:styleId="37">
    <w:name w:val="page number"/>
    <w:basedOn w:val="35"/>
    <w:qFormat/>
    <w:uiPriority w:val="99"/>
  </w:style>
  <w:style w:type="character" w:styleId="38">
    <w:name w:val="FollowedHyperlink"/>
    <w:qFormat/>
    <w:uiPriority w:val="99"/>
    <w:rPr>
      <w:color w:val="auto"/>
      <w:u w:val="none"/>
    </w:rPr>
  </w:style>
  <w:style w:type="character" w:styleId="39">
    <w:name w:val="Emphasis"/>
    <w:qFormat/>
    <w:uiPriority w:val="99"/>
    <w:rPr>
      <w:i/>
      <w:iCs/>
    </w:rPr>
  </w:style>
  <w:style w:type="character" w:styleId="40">
    <w:name w:val="HTML Definition"/>
    <w:basedOn w:val="35"/>
    <w:qFormat/>
    <w:uiPriority w:val="99"/>
  </w:style>
  <w:style w:type="character" w:styleId="41">
    <w:name w:val="HTML Acronym"/>
    <w:basedOn w:val="35"/>
    <w:qFormat/>
    <w:uiPriority w:val="99"/>
  </w:style>
  <w:style w:type="character" w:styleId="42">
    <w:name w:val="HTML Variable"/>
    <w:basedOn w:val="35"/>
    <w:qFormat/>
    <w:uiPriority w:val="99"/>
  </w:style>
  <w:style w:type="character" w:styleId="43">
    <w:name w:val="Hyperlink"/>
    <w:qFormat/>
    <w:uiPriority w:val="99"/>
    <w:rPr>
      <w:color w:val="auto"/>
      <w:u w:val="none"/>
    </w:rPr>
  </w:style>
  <w:style w:type="character" w:styleId="44">
    <w:name w:val="HTML Code"/>
    <w:qFormat/>
    <w:uiPriority w:val="99"/>
    <w:rPr>
      <w:rFonts w:ascii="monospace" w:hAnsi="monospace" w:cs="monospace"/>
      <w:sz w:val="24"/>
      <w:szCs w:val="24"/>
    </w:rPr>
  </w:style>
  <w:style w:type="character" w:styleId="45">
    <w:name w:val="annotation reference"/>
    <w:semiHidden/>
    <w:qFormat/>
    <w:uiPriority w:val="99"/>
    <w:rPr>
      <w:sz w:val="21"/>
      <w:szCs w:val="21"/>
    </w:rPr>
  </w:style>
  <w:style w:type="character" w:styleId="46">
    <w:name w:val="HTML Cite"/>
    <w:basedOn w:val="35"/>
    <w:qFormat/>
    <w:uiPriority w:val="99"/>
  </w:style>
  <w:style w:type="character" w:styleId="47">
    <w:name w:val="HTML Keyboard"/>
    <w:qFormat/>
    <w:uiPriority w:val="99"/>
    <w:rPr>
      <w:rFonts w:ascii="monospace" w:hAnsi="monospace" w:cs="monospace"/>
      <w:sz w:val="24"/>
      <w:szCs w:val="24"/>
    </w:rPr>
  </w:style>
  <w:style w:type="character" w:styleId="48">
    <w:name w:val="HTML Sample"/>
    <w:qFormat/>
    <w:uiPriority w:val="99"/>
    <w:rPr>
      <w:rFonts w:ascii="monospace" w:hAnsi="monospace" w:cs="monospace"/>
      <w:sz w:val="24"/>
      <w:szCs w:val="24"/>
    </w:rPr>
  </w:style>
  <w:style w:type="character" w:customStyle="1" w:styleId="49">
    <w:name w:val="标题 1 Char"/>
    <w:link w:val="3"/>
    <w:qFormat/>
    <w:locked/>
    <w:uiPriority w:val="99"/>
    <w:rPr>
      <w:b/>
      <w:bCs/>
      <w:kern w:val="44"/>
      <w:sz w:val="44"/>
      <w:szCs w:val="44"/>
    </w:rPr>
  </w:style>
  <w:style w:type="character" w:customStyle="1" w:styleId="50">
    <w:name w:val="标题 2 Char"/>
    <w:link w:val="4"/>
    <w:qFormat/>
    <w:locked/>
    <w:uiPriority w:val="99"/>
    <w:rPr>
      <w:rFonts w:ascii="Cambria" w:hAnsi="Cambria" w:cs="Cambria"/>
      <w:b/>
      <w:bCs/>
      <w:kern w:val="2"/>
      <w:sz w:val="32"/>
      <w:szCs w:val="32"/>
    </w:rPr>
  </w:style>
  <w:style w:type="character" w:customStyle="1" w:styleId="51">
    <w:name w:val="标题 3 Char"/>
    <w:link w:val="5"/>
    <w:qFormat/>
    <w:locked/>
    <w:uiPriority w:val="99"/>
    <w:rPr>
      <w:b/>
      <w:bCs/>
      <w:kern w:val="2"/>
      <w:sz w:val="32"/>
      <w:szCs w:val="32"/>
    </w:rPr>
  </w:style>
  <w:style w:type="character" w:customStyle="1" w:styleId="52">
    <w:name w:val="标题 4 Char"/>
    <w:link w:val="6"/>
    <w:semiHidden/>
    <w:qFormat/>
    <w:locked/>
    <w:uiPriority w:val="99"/>
    <w:rPr>
      <w:rFonts w:ascii="Cambria" w:hAnsi="Cambria" w:eastAsia="宋体" w:cs="Cambria"/>
      <w:b/>
      <w:bCs/>
      <w:sz w:val="28"/>
      <w:szCs w:val="28"/>
    </w:rPr>
  </w:style>
  <w:style w:type="character" w:customStyle="1" w:styleId="53">
    <w:name w:val="标题 5 Char"/>
    <w:link w:val="7"/>
    <w:qFormat/>
    <w:locked/>
    <w:uiPriority w:val="99"/>
    <w:rPr>
      <w:b/>
      <w:bCs/>
      <w:kern w:val="2"/>
      <w:sz w:val="28"/>
      <w:szCs w:val="28"/>
    </w:rPr>
  </w:style>
  <w:style w:type="character" w:customStyle="1" w:styleId="54">
    <w:name w:val="标题 6 Char"/>
    <w:link w:val="8"/>
    <w:semiHidden/>
    <w:qFormat/>
    <w:locked/>
    <w:uiPriority w:val="99"/>
    <w:rPr>
      <w:rFonts w:ascii="Cambria" w:hAnsi="Cambria" w:eastAsia="宋体" w:cs="Cambria"/>
      <w:b/>
      <w:bCs/>
      <w:sz w:val="24"/>
      <w:szCs w:val="24"/>
    </w:rPr>
  </w:style>
  <w:style w:type="character" w:customStyle="1" w:styleId="55">
    <w:name w:val="批注文字 Char"/>
    <w:link w:val="12"/>
    <w:semiHidden/>
    <w:qFormat/>
    <w:locked/>
    <w:uiPriority w:val="99"/>
    <w:rPr>
      <w:sz w:val="21"/>
      <w:szCs w:val="21"/>
    </w:rPr>
  </w:style>
  <w:style w:type="character" w:customStyle="1" w:styleId="56">
    <w:name w:val="批注主题 Char"/>
    <w:link w:val="32"/>
    <w:semiHidden/>
    <w:qFormat/>
    <w:locked/>
    <w:uiPriority w:val="99"/>
    <w:rPr>
      <w:b/>
      <w:bCs/>
      <w:sz w:val="21"/>
      <w:szCs w:val="21"/>
    </w:rPr>
  </w:style>
  <w:style w:type="character" w:customStyle="1" w:styleId="57">
    <w:name w:val="文档结构图 Char"/>
    <w:link w:val="11"/>
    <w:semiHidden/>
    <w:qFormat/>
    <w:locked/>
    <w:uiPriority w:val="99"/>
    <w:rPr>
      <w:sz w:val="2"/>
      <w:szCs w:val="2"/>
    </w:rPr>
  </w:style>
  <w:style w:type="character" w:customStyle="1" w:styleId="58">
    <w:name w:val="正文文本 3 Char"/>
    <w:link w:val="13"/>
    <w:semiHidden/>
    <w:qFormat/>
    <w:locked/>
    <w:uiPriority w:val="99"/>
    <w:rPr>
      <w:sz w:val="16"/>
      <w:szCs w:val="16"/>
    </w:rPr>
  </w:style>
  <w:style w:type="character" w:customStyle="1" w:styleId="59">
    <w:name w:val="正文文本 Char"/>
    <w:link w:val="2"/>
    <w:qFormat/>
    <w:locked/>
    <w:uiPriority w:val="99"/>
    <w:rPr>
      <w:rFonts w:eastAsia="宋体"/>
      <w:kern w:val="2"/>
      <w:sz w:val="21"/>
      <w:szCs w:val="21"/>
      <w:lang w:val="en-US" w:eastAsia="zh-CN"/>
    </w:rPr>
  </w:style>
  <w:style w:type="character" w:customStyle="1" w:styleId="60">
    <w:name w:val="正文文本缩进 Char"/>
    <w:link w:val="14"/>
    <w:qFormat/>
    <w:locked/>
    <w:uiPriority w:val="99"/>
    <w:rPr>
      <w:snapToGrid w:val="0"/>
      <w:sz w:val="24"/>
      <w:szCs w:val="24"/>
    </w:rPr>
  </w:style>
  <w:style w:type="character" w:customStyle="1" w:styleId="61">
    <w:name w:val="纯文本 Char"/>
    <w:link w:val="17"/>
    <w:qFormat/>
    <w:locked/>
    <w:uiPriority w:val="99"/>
    <w:rPr>
      <w:rFonts w:ascii="宋体" w:hAnsi="Courier New" w:eastAsia="宋体" w:cs="宋体"/>
      <w:kern w:val="2"/>
      <w:sz w:val="21"/>
      <w:szCs w:val="21"/>
      <w:lang w:val="en-US" w:eastAsia="zh-CN"/>
    </w:rPr>
  </w:style>
  <w:style w:type="character" w:customStyle="1" w:styleId="62">
    <w:name w:val="日期 Char"/>
    <w:link w:val="19"/>
    <w:semiHidden/>
    <w:qFormat/>
    <w:locked/>
    <w:uiPriority w:val="99"/>
    <w:rPr>
      <w:sz w:val="21"/>
      <w:szCs w:val="21"/>
    </w:rPr>
  </w:style>
  <w:style w:type="character" w:customStyle="1" w:styleId="63">
    <w:name w:val="正文文本缩进 2 Char"/>
    <w:link w:val="20"/>
    <w:qFormat/>
    <w:locked/>
    <w:uiPriority w:val="99"/>
    <w:rPr>
      <w:snapToGrid w:val="0"/>
      <w:sz w:val="24"/>
      <w:szCs w:val="24"/>
    </w:rPr>
  </w:style>
  <w:style w:type="character" w:customStyle="1" w:styleId="64">
    <w:name w:val="批注框文本 Char"/>
    <w:link w:val="21"/>
    <w:qFormat/>
    <w:locked/>
    <w:uiPriority w:val="99"/>
    <w:rPr>
      <w:kern w:val="2"/>
      <w:sz w:val="18"/>
      <w:szCs w:val="18"/>
    </w:rPr>
  </w:style>
  <w:style w:type="character" w:customStyle="1" w:styleId="65">
    <w:name w:val="页脚 Char"/>
    <w:link w:val="22"/>
    <w:qFormat/>
    <w:locked/>
    <w:uiPriority w:val="99"/>
    <w:rPr>
      <w:rFonts w:eastAsia="宋体"/>
      <w:kern w:val="2"/>
      <w:sz w:val="18"/>
      <w:szCs w:val="18"/>
      <w:lang w:val="en-US" w:eastAsia="zh-CN"/>
    </w:rPr>
  </w:style>
  <w:style w:type="character" w:customStyle="1" w:styleId="66">
    <w:name w:val="页眉 Char"/>
    <w:link w:val="23"/>
    <w:semiHidden/>
    <w:qFormat/>
    <w:locked/>
    <w:uiPriority w:val="99"/>
    <w:rPr>
      <w:sz w:val="18"/>
      <w:szCs w:val="18"/>
    </w:rPr>
  </w:style>
  <w:style w:type="character" w:customStyle="1" w:styleId="67">
    <w:name w:val="正文文本缩进 3 Char"/>
    <w:link w:val="27"/>
    <w:qFormat/>
    <w:locked/>
    <w:uiPriority w:val="99"/>
    <w:rPr>
      <w:rFonts w:ascii="宋体" w:eastAsia="宋体" w:cs="宋体"/>
      <w:snapToGrid w:val="0"/>
      <w:sz w:val="24"/>
      <w:szCs w:val="24"/>
    </w:rPr>
  </w:style>
  <w:style w:type="character" w:customStyle="1" w:styleId="68">
    <w:name w:val="正文文本 2 Char"/>
    <w:link w:val="30"/>
    <w:qFormat/>
    <w:locked/>
    <w:uiPriority w:val="99"/>
    <w:rPr>
      <w:rFonts w:ascii="宋体" w:cs="宋体"/>
      <w:kern w:val="2"/>
      <w:sz w:val="24"/>
      <w:szCs w:val="24"/>
    </w:rPr>
  </w:style>
  <w:style w:type="character" w:customStyle="1" w:styleId="69">
    <w:name w:val="Char Char24"/>
    <w:qFormat/>
    <w:locked/>
    <w:uiPriority w:val="99"/>
    <w:rPr>
      <w:rFonts w:eastAsia="宋体"/>
      <w:b/>
      <w:bCs/>
      <w:kern w:val="2"/>
      <w:sz w:val="32"/>
      <w:szCs w:val="32"/>
      <w:lang w:val="en-US" w:eastAsia="zh-CN"/>
    </w:rPr>
  </w:style>
  <w:style w:type="character" w:customStyle="1" w:styleId="70">
    <w:name w:val="t_tag"/>
    <w:basedOn w:val="35"/>
    <w:qFormat/>
    <w:uiPriority w:val="99"/>
  </w:style>
  <w:style w:type="character" w:customStyle="1" w:styleId="71">
    <w:name w:val="Char Char3"/>
    <w:qFormat/>
    <w:uiPriority w:val="99"/>
    <w:rPr>
      <w:rFonts w:eastAsia="宋体"/>
      <w:kern w:val="2"/>
      <w:sz w:val="24"/>
      <w:szCs w:val="24"/>
      <w:lang w:val="en-US" w:eastAsia="zh-CN"/>
    </w:rPr>
  </w:style>
  <w:style w:type="paragraph" w:customStyle="1" w:styleId="72">
    <w:name w:val="Char Char Char Char"/>
    <w:basedOn w:val="1"/>
    <w:qFormat/>
    <w:uiPriority w:val="99"/>
    <w:rPr>
      <w:rFonts w:ascii="Tahoma" w:hAnsi="Tahoma" w:cs="Tahoma"/>
      <w:sz w:val="24"/>
      <w:szCs w:val="24"/>
    </w:rPr>
  </w:style>
  <w:style w:type="paragraph" w:customStyle="1" w:styleId="73">
    <w:name w:val="Char Char Char"/>
    <w:basedOn w:val="1"/>
    <w:qFormat/>
    <w:uiPriority w:val="99"/>
    <w:pPr>
      <w:spacing w:line="360" w:lineRule="auto"/>
    </w:pPr>
  </w:style>
  <w:style w:type="paragraph" w:customStyle="1" w:styleId="74">
    <w:name w:val="列出段落1"/>
    <w:basedOn w:val="1"/>
    <w:qFormat/>
    <w:uiPriority w:val="99"/>
    <w:pPr>
      <w:ind w:firstLine="420" w:firstLineChars="200"/>
    </w:pPr>
    <w:rPr>
      <w:rFonts w:ascii="Calibri" w:hAnsi="Calibri" w:cs="Calibri"/>
    </w:rPr>
  </w:style>
  <w:style w:type="paragraph" w:customStyle="1" w:styleId="75">
    <w:name w:val="Char"/>
    <w:basedOn w:val="1"/>
    <w:qFormat/>
    <w:uiPriority w:val="99"/>
    <w:pPr>
      <w:spacing w:line="360" w:lineRule="auto"/>
    </w:pPr>
    <w:rPr>
      <w:rFonts w:ascii="仿宋_GB2312" w:eastAsia="仿宋_GB2312" w:cs="仿宋_GB2312"/>
      <w:b/>
      <w:bCs/>
      <w:sz w:val="32"/>
      <w:szCs w:val="32"/>
    </w:rPr>
  </w:style>
  <w:style w:type="paragraph" w:customStyle="1" w:styleId="76">
    <w:name w:val="保留正文"/>
    <w:basedOn w:val="2"/>
    <w:qFormat/>
    <w:uiPriority w:val="99"/>
    <w:pPr>
      <w:keepNext/>
      <w:spacing w:after="160"/>
      <w:jc w:val="both"/>
    </w:pPr>
  </w:style>
  <w:style w:type="paragraph" w:customStyle="1" w:styleId="77">
    <w:name w:val="普通 (Web)"/>
    <w:basedOn w:val="1"/>
    <w:qFormat/>
    <w:uiPriority w:val="99"/>
    <w:pPr>
      <w:widowControl/>
      <w:spacing w:before="100" w:beforeAutospacing="1" w:after="100" w:afterAutospacing="1"/>
      <w:jc w:val="left"/>
    </w:pPr>
    <w:rPr>
      <w:rFonts w:ascii="宋体" w:hAnsi="宋体" w:cs="宋体"/>
      <w:sz w:val="24"/>
      <w:szCs w:val="24"/>
    </w:rPr>
  </w:style>
  <w:style w:type="paragraph" w:customStyle="1" w:styleId="78">
    <w:name w:val="目录"/>
    <w:basedOn w:val="1"/>
    <w:qFormat/>
    <w:uiPriority w:val="99"/>
    <w:pPr>
      <w:widowControl/>
      <w:jc w:val="center"/>
    </w:pPr>
    <w:rPr>
      <w:rFonts w:ascii="宋体" w:cs="宋体"/>
      <w:b/>
      <w:bCs/>
      <w:sz w:val="36"/>
      <w:szCs w:val="36"/>
    </w:rPr>
  </w:style>
  <w:style w:type="paragraph" w:customStyle="1" w:styleId="79">
    <w:name w:val="Char Char Char Char1"/>
    <w:basedOn w:val="1"/>
    <w:qFormat/>
    <w:uiPriority w:val="99"/>
    <w:pPr>
      <w:adjustRightInd w:val="0"/>
      <w:spacing w:line="440" w:lineRule="exact"/>
    </w:pPr>
    <w:rPr>
      <w:sz w:val="20"/>
      <w:szCs w:val="20"/>
    </w:rPr>
  </w:style>
  <w:style w:type="character" w:customStyle="1" w:styleId="80">
    <w:name w:val="ui-bz-bg-hover"/>
    <w:qFormat/>
    <w:uiPriority w:val="99"/>
    <w:rPr>
      <w:shd w:val="clear" w:color="auto" w:fill="000000"/>
    </w:rPr>
  </w:style>
  <w:style w:type="character" w:customStyle="1" w:styleId="81">
    <w:name w:val="ui-bz-bg-hover1"/>
    <w:basedOn w:val="35"/>
    <w:qFormat/>
    <w:uiPriority w:val="99"/>
  </w:style>
  <w:style w:type="character" w:customStyle="1" w:styleId="82">
    <w:name w:val="top-icon"/>
    <w:basedOn w:val="35"/>
    <w:qFormat/>
    <w:uiPriority w:val="99"/>
  </w:style>
  <w:style w:type="character" w:customStyle="1" w:styleId="83">
    <w:name w:val="t-tag"/>
    <w:qFormat/>
    <w:uiPriority w:val="99"/>
    <w:rPr>
      <w:color w:val="FFFFFF"/>
      <w:sz w:val="18"/>
      <w:szCs w:val="18"/>
      <w:shd w:val="clear" w:color="auto" w:fill="auto"/>
    </w:rPr>
  </w:style>
  <w:style w:type="character" w:customStyle="1" w:styleId="84">
    <w:name w:val="bds_more2"/>
    <w:basedOn w:val="35"/>
    <w:qFormat/>
    <w:uiPriority w:val="99"/>
  </w:style>
  <w:style w:type="character" w:customStyle="1" w:styleId="85">
    <w:name w:val="bds_more3"/>
    <w:basedOn w:val="35"/>
    <w:qFormat/>
    <w:uiPriority w:val="99"/>
  </w:style>
  <w:style w:type="character" w:customStyle="1" w:styleId="86">
    <w:name w:val="f-star"/>
    <w:qFormat/>
    <w:uiPriority w:val="99"/>
    <w:rPr>
      <w:color w:val="auto"/>
      <w:sz w:val="21"/>
      <w:szCs w:val="21"/>
    </w:rPr>
  </w:style>
  <w:style w:type="character" w:customStyle="1" w:styleId="87">
    <w:name w:val="bds_nopic"/>
    <w:basedOn w:val="35"/>
    <w:qFormat/>
    <w:uiPriority w:val="99"/>
  </w:style>
  <w:style w:type="character" w:customStyle="1" w:styleId="88">
    <w:name w:val="orange"/>
    <w:qFormat/>
    <w:uiPriority w:val="99"/>
    <w:rPr>
      <w:color w:val="auto"/>
    </w:rPr>
  </w:style>
  <w:style w:type="character" w:customStyle="1" w:styleId="89">
    <w:name w:val="org_name"/>
    <w:basedOn w:val="35"/>
    <w:qFormat/>
    <w:uiPriority w:val="99"/>
  </w:style>
  <w:style w:type="character" w:customStyle="1" w:styleId="90">
    <w:name w:val="no42"/>
    <w:basedOn w:val="35"/>
    <w:qFormat/>
    <w:uiPriority w:val="99"/>
  </w:style>
  <w:style w:type="character" w:customStyle="1" w:styleId="91">
    <w:name w:val="no52"/>
    <w:basedOn w:val="35"/>
    <w:qFormat/>
    <w:uiPriority w:val="99"/>
  </w:style>
  <w:style w:type="character" w:customStyle="1" w:styleId="92">
    <w:name w:val="no62"/>
    <w:basedOn w:val="35"/>
    <w:qFormat/>
    <w:uiPriority w:val="99"/>
  </w:style>
  <w:style w:type="character" w:customStyle="1" w:styleId="93">
    <w:name w:val="no72"/>
    <w:basedOn w:val="35"/>
    <w:qFormat/>
    <w:uiPriority w:val="99"/>
  </w:style>
  <w:style w:type="character" w:customStyle="1" w:styleId="94">
    <w:name w:val="ico-jiang"/>
    <w:basedOn w:val="35"/>
    <w:qFormat/>
    <w:uiPriority w:val="99"/>
  </w:style>
  <w:style w:type="character" w:customStyle="1" w:styleId="95">
    <w:name w:val="ico-jiang1"/>
    <w:basedOn w:val="35"/>
    <w:qFormat/>
    <w:uiPriority w:val="99"/>
  </w:style>
  <w:style w:type="character" w:customStyle="1" w:styleId="96">
    <w:name w:val="my-notice1"/>
    <w:basedOn w:val="35"/>
    <w:qFormat/>
    <w:uiPriority w:val="99"/>
  </w:style>
  <w:style w:type="character" w:customStyle="1" w:styleId="97">
    <w:name w:val="my-class"/>
    <w:basedOn w:val="35"/>
    <w:qFormat/>
    <w:uiPriority w:val="99"/>
  </w:style>
  <w:style w:type="character" w:customStyle="1" w:styleId="98">
    <w:name w:val="tip10"/>
    <w:qFormat/>
    <w:uiPriority w:val="99"/>
    <w:rPr>
      <w:vanish/>
      <w:color w:val="FF0000"/>
      <w:sz w:val="18"/>
      <w:szCs w:val="18"/>
    </w:rPr>
  </w:style>
  <w:style w:type="character" w:customStyle="1" w:styleId="99">
    <w:name w:val="my-class2"/>
    <w:basedOn w:val="35"/>
    <w:qFormat/>
    <w:uiPriority w:val="99"/>
  </w:style>
  <w:style w:type="character" w:customStyle="1" w:styleId="100">
    <w:name w:val="bds_more"/>
    <w:basedOn w:val="35"/>
    <w:qFormat/>
    <w:uiPriority w:val="99"/>
  </w:style>
  <w:style w:type="character" w:customStyle="1" w:styleId="101">
    <w:name w:val="bds_more1"/>
    <w:qFormat/>
    <w:uiPriority w:val="99"/>
    <w:rPr>
      <w:rFonts w:ascii="宋体" w:hAnsi="宋体" w:eastAsia="宋体" w:cs="宋体"/>
    </w:rPr>
  </w:style>
  <w:style w:type="character" w:customStyle="1" w:styleId="102">
    <w:name w:val="bds_nopic1"/>
    <w:basedOn w:val="35"/>
    <w:qFormat/>
    <w:uiPriority w:val="99"/>
  </w:style>
  <w:style w:type="character" w:customStyle="1" w:styleId="103">
    <w:name w:val="bds_nopic2"/>
    <w:basedOn w:val="35"/>
    <w:qFormat/>
    <w:uiPriority w:val="99"/>
  </w:style>
  <w:style w:type="character" w:customStyle="1" w:styleId="104">
    <w:name w:val="orange6"/>
    <w:qFormat/>
    <w:uiPriority w:val="99"/>
    <w:rPr>
      <w:color w:val="auto"/>
    </w:rPr>
  </w:style>
  <w:style w:type="character" w:customStyle="1" w:styleId="105">
    <w:name w:val="font31"/>
    <w:qFormat/>
    <w:uiPriority w:val="99"/>
    <w:rPr>
      <w:rFonts w:ascii="font-weight : 400" w:hAnsi="font-weight : 400" w:cs="font-weight : 400"/>
      <w:color w:val="000000"/>
      <w:sz w:val="20"/>
      <w:szCs w:val="20"/>
      <w:u w:val="none"/>
      <w:vertAlign w:val="superscript"/>
    </w:rPr>
  </w:style>
  <w:style w:type="character" w:customStyle="1" w:styleId="106">
    <w:name w:val="font01"/>
    <w:qFormat/>
    <w:uiPriority w:val="99"/>
    <w:rPr>
      <w:rFonts w:ascii="宋体" w:hAnsi="宋体" w:eastAsia="宋体" w:cs="宋体"/>
      <w:color w:val="FF0000"/>
      <w:sz w:val="20"/>
      <w:szCs w:val="20"/>
      <w:u w:val="none"/>
    </w:rPr>
  </w:style>
  <w:style w:type="character" w:customStyle="1" w:styleId="107">
    <w:name w:val="font11"/>
    <w:qFormat/>
    <w:uiPriority w:val="99"/>
    <w:rPr>
      <w:rFonts w:ascii="宋体" w:hAnsi="宋体" w:eastAsia="宋体" w:cs="宋体"/>
      <w:color w:val="000000"/>
      <w:sz w:val="20"/>
      <w:szCs w:val="20"/>
      <w:u w:val="none"/>
    </w:rPr>
  </w:style>
  <w:style w:type="paragraph" w:customStyle="1" w:styleId="108">
    <w:name w:val="Revision1"/>
    <w:hidden/>
    <w:qFormat/>
    <w:uiPriority w:val="99"/>
    <w:rPr>
      <w:rFonts w:ascii="Times New Roman" w:hAnsi="Times New Roman" w:eastAsia="宋体" w:cs="Times New Roman"/>
      <w:kern w:val="2"/>
      <w:sz w:val="21"/>
      <w:szCs w:val="21"/>
      <w:lang w:val="en-US" w:eastAsia="zh-CN" w:bidi="ar-SA"/>
    </w:rPr>
  </w:style>
  <w:style w:type="paragraph" w:customStyle="1" w:styleId="109">
    <w:name w:val="表注1"/>
    <w:basedOn w:val="1"/>
    <w:unhideWhenUsed/>
    <w:qFormat/>
    <w:uiPriority w:val="0"/>
    <w:pPr>
      <w:adjustRightInd w:val="0"/>
      <w:snapToGrid w:val="0"/>
      <w:spacing w:beforeLines="50" w:line="300" w:lineRule="auto"/>
      <w:ind w:left="350" w:hanging="350" w:hangingChars="350"/>
    </w:pPr>
    <w:rPr>
      <w:rFonts w:hint="eastAsia" w:eastAsia="仿宋_GB2312"/>
      <w:color w:val="000000"/>
    </w:rPr>
  </w:style>
  <w:style w:type="paragraph" w:customStyle="1" w:styleId="110">
    <w:name w:val="列出段落2"/>
    <w:basedOn w:val="1"/>
    <w:qFormat/>
    <w:uiPriority w:val="34"/>
    <w:pPr>
      <w:ind w:firstLine="420" w:firstLineChars="200"/>
    </w:pPr>
  </w:style>
  <w:style w:type="character" w:customStyle="1" w:styleId="111">
    <w:name w:val="页脚 Char1"/>
    <w:qFormat/>
    <w:uiPriority w:val="99"/>
    <w:rPr>
      <w:kern w:val="2"/>
      <w:sz w:val="18"/>
      <w:szCs w:val="18"/>
    </w:rPr>
  </w:style>
  <w:style w:type="character" w:customStyle="1" w:styleId="112">
    <w:name w:val="页眉 Char1"/>
    <w:qFormat/>
    <w:uiPriority w:val="99"/>
    <w:rPr>
      <w:kern w:val="2"/>
      <w:sz w:val="18"/>
      <w:szCs w:val="18"/>
    </w:rPr>
  </w:style>
  <w:style w:type="paragraph" w:customStyle="1" w:styleId="113">
    <w:name w:val="title11"/>
    <w:basedOn w:val="1"/>
    <w:qFormat/>
    <w:uiPriority w:val="0"/>
    <w:pPr>
      <w:spacing w:before="150" w:line="450" w:lineRule="atLeast"/>
      <w:jc w:val="left"/>
    </w:pPr>
    <w:rPr>
      <w:b/>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104</Pages>
  <Words>60373</Words>
  <Characters>65257</Characters>
  <Lines>511</Lines>
  <Paragraphs>143</Paragraphs>
  <TotalTime>1</TotalTime>
  <ScaleCrop>false</ScaleCrop>
  <LinksUpToDate>false</LinksUpToDate>
  <CharactersWithSpaces>69296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2015-07-29T10:12:00Z</dcterms:created>
  <dc:creator>Longwill-4</dc:creator>
  <cp:lastModifiedBy>墨瞳</cp:lastModifiedBy>
  <cp:lastPrinted>2019-08-26T11:50:00Z</cp:lastPrinted>
  <dcterms:modified xsi:type="dcterms:W3CDTF">2019-12-09T10:47:26Z</dcterms:modified>
  <dc:title>招标编号:SXLHZB2009-276</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