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rPr>
          <w:rFonts w:hAnsi="宋体" w:cs="宋体"/>
          <w:b/>
          <w:bCs/>
          <w:sz w:val="32"/>
          <w:szCs w:val="32"/>
          <w:highlight w:val="none"/>
        </w:rPr>
      </w:pPr>
    </w:p>
    <w:p>
      <w:pPr>
        <w:shd w:val="clear"/>
        <w:rPr>
          <w:rFonts w:hint="default" w:eastAsia="宋体"/>
          <w:b/>
          <w:bCs/>
          <w:sz w:val="36"/>
          <w:szCs w:val="36"/>
          <w:highlight w:val="none"/>
          <w:lang w:val="en-US" w:eastAsia="zh-CN"/>
        </w:rPr>
      </w:pPr>
      <w:r>
        <w:rPr>
          <w:rFonts w:hint="eastAsia" w:hAnsi="宋体" w:cs="宋体"/>
          <w:b/>
          <w:bCs/>
          <w:sz w:val="32"/>
          <w:szCs w:val="32"/>
          <w:highlight w:val="none"/>
        </w:rPr>
        <w:t>项目编号：</w:t>
      </w:r>
      <w:r>
        <w:rPr>
          <w:rFonts w:hint="eastAsia" w:hAnsi="宋体"/>
          <w:b/>
          <w:bCs/>
          <w:sz w:val="32"/>
          <w:szCs w:val="32"/>
          <w:highlight w:val="none"/>
          <w:lang w:eastAsia="zh-CN"/>
        </w:rPr>
        <w:t>SXHXZB2019-ZC-CS12</w:t>
      </w:r>
      <w:r>
        <w:rPr>
          <w:rFonts w:hint="eastAsia" w:hAnsi="宋体"/>
          <w:b/>
          <w:bCs/>
          <w:sz w:val="32"/>
          <w:szCs w:val="32"/>
          <w:highlight w:val="none"/>
          <w:lang w:val="en-US" w:eastAsia="zh-CN"/>
        </w:rPr>
        <w:t>89</w:t>
      </w:r>
    </w:p>
    <w:p>
      <w:pPr>
        <w:shd w:val="clear"/>
        <w:rPr>
          <w:b/>
          <w:bCs/>
          <w:sz w:val="36"/>
          <w:szCs w:val="36"/>
          <w:highlight w:val="none"/>
        </w:rPr>
      </w:pPr>
    </w:p>
    <w:p>
      <w:pPr>
        <w:shd w:val="clear"/>
        <w:rPr>
          <w:rFonts w:hAnsi="宋体"/>
          <w:b/>
          <w:bCs/>
          <w:sz w:val="70"/>
          <w:szCs w:val="70"/>
          <w:highlight w:val="none"/>
        </w:rPr>
      </w:pPr>
    </w:p>
    <w:p>
      <w:pPr>
        <w:pStyle w:val="2"/>
        <w:rPr>
          <w:rFonts w:hAnsi="宋体"/>
          <w:b/>
          <w:bCs/>
          <w:sz w:val="70"/>
          <w:szCs w:val="70"/>
          <w:highlight w:val="none"/>
        </w:rPr>
      </w:pPr>
    </w:p>
    <w:p/>
    <w:p>
      <w:pPr>
        <w:shd w:val="clear"/>
        <w:spacing w:line="780" w:lineRule="auto"/>
        <w:jc w:val="center"/>
        <w:rPr>
          <w:rFonts w:hint="eastAsia" w:hAnsi="宋体" w:cs="宋体"/>
          <w:b/>
          <w:sz w:val="52"/>
          <w:szCs w:val="52"/>
          <w:highlight w:val="none"/>
          <w:lang w:val="en-US" w:eastAsia="zh-CN"/>
        </w:rPr>
      </w:pPr>
      <w:bookmarkStart w:id="0" w:name="_Toc363463325"/>
      <w:r>
        <w:rPr>
          <w:rFonts w:hint="eastAsia" w:hAnsi="宋体" w:cs="宋体"/>
          <w:b/>
          <w:sz w:val="52"/>
          <w:szCs w:val="52"/>
          <w:highlight w:val="none"/>
          <w:lang w:val="en-US" w:eastAsia="zh-CN"/>
        </w:rPr>
        <w:t>铜川市新区创文办老旧小区基础设施改造提升项目</w:t>
      </w:r>
    </w:p>
    <w:p>
      <w:pPr>
        <w:pStyle w:val="2"/>
        <w:shd w:val="clear"/>
        <w:rPr>
          <w:rFonts w:hint="eastAsia" w:hAnsi="宋体" w:cs="宋体"/>
          <w:b/>
          <w:sz w:val="52"/>
          <w:szCs w:val="52"/>
          <w:highlight w:val="none"/>
          <w:lang w:val="en-US" w:eastAsia="zh-CN"/>
        </w:rPr>
      </w:pPr>
    </w:p>
    <w:p>
      <w:pPr>
        <w:rPr>
          <w:rFonts w:hint="eastAsia"/>
          <w:lang w:val="en-US" w:eastAsia="zh-CN"/>
        </w:rPr>
      </w:pPr>
    </w:p>
    <w:p>
      <w:pPr>
        <w:shd w:val="clear"/>
        <w:rPr>
          <w:rFonts w:hint="eastAsia"/>
          <w:highlight w:val="none"/>
          <w:lang w:val="en-US" w:eastAsia="zh-CN"/>
        </w:rPr>
      </w:pPr>
    </w:p>
    <w:p>
      <w:pPr>
        <w:shd w:val="clear"/>
        <w:spacing w:line="780" w:lineRule="auto"/>
        <w:jc w:val="center"/>
        <w:rPr>
          <w:rFonts w:hAnsi="宋体" w:cs="宋体"/>
          <w:b/>
          <w:sz w:val="72"/>
          <w:szCs w:val="72"/>
          <w:highlight w:val="none"/>
        </w:rPr>
      </w:pPr>
      <w:r>
        <w:rPr>
          <w:rFonts w:hint="eastAsia" w:hAnsi="宋体" w:cs="宋体"/>
          <w:b/>
          <w:sz w:val="72"/>
          <w:szCs w:val="72"/>
          <w:highlight w:val="none"/>
        </w:rPr>
        <w:t>竞争性磋商文件</w:t>
      </w:r>
    </w:p>
    <w:p>
      <w:pPr>
        <w:shd w:val="clear"/>
        <w:rPr>
          <w:highlight w:val="none"/>
        </w:rPr>
      </w:pPr>
    </w:p>
    <w:p>
      <w:pPr>
        <w:shd w:val="clear"/>
        <w:rPr>
          <w:highlight w:val="none"/>
        </w:rPr>
      </w:pPr>
    </w:p>
    <w:bookmarkEnd w:id="0"/>
    <w:p>
      <w:pPr>
        <w:shd w:val="clear"/>
        <w:jc w:val="center"/>
        <w:rPr>
          <w:rFonts w:ascii="方正大标宋简体" w:eastAsia="方正大标宋简体"/>
          <w:sz w:val="36"/>
          <w:szCs w:val="36"/>
          <w:highlight w:val="none"/>
        </w:rPr>
      </w:pPr>
    </w:p>
    <w:p>
      <w:pPr>
        <w:shd w:val="clear"/>
        <w:jc w:val="center"/>
        <w:rPr>
          <w:rFonts w:ascii="方正大标宋简体" w:eastAsia="方正大标宋简体"/>
          <w:sz w:val="36"/>
          <w:szCs w:val="36"/>
          <w:highlight w:val="none"/>
        </w:rPr>
      </w:pPr>
    </w:p>
    <w:p>
      <w:pPr>
        <w:shd w:val="clear"/>
        <w:rPr>
          <w:rFonts w:ascii="方正大标宋简体" w:eastAsia="方正大标宋简体"/>
          <w:sz w:val="18"/>
          <w:szCs w:val="18"/>
          <w:highlight w:val="none"/>
        </w:rPr>
      </w:pPr>
    </w:p>
    <w:p>
      <w:pPr>
        <w:pStyle w:val="2"/>
        <w:shd w:val="clear"/>
        <w:jc w:val="both"/>
        <w:rPr>
          <w:highlight w:val="none"/>
        </w:rPr>
      </w:pPr>
    </w:p>
    <w:p>
      <w:pPr>
        <w:shd w:val="clear"/>
        <w:rPr>
          <w:rFonts w:ascii="方正大标宋简体" w:eastAsia="方正大标宋简体"/>
          <w:sz w:val="18"/>
          <w:szCs w:val="18"/>
          <w:highlight w:val="none"/>
        </w:rPr>
      </w:pPr>
    </w:p>
    <w:p>
      <w:pPr>
        <w:shd w:val="clear"/>
        <w:rPr>
          <w:rFonts w:ascii="方正大标宋简体" w:eastAsia="方正大标宋简体"/>
          <w:sz w:val="18"/>
          <w:szCs w:val="18"/>
          <w:highlight w:val="none"/>
        </w:rPr>
      </w:pPr>
    </w:p>
    <w:p>
      <w:pPr>
        <w:shd w:val="clear"/>
        <w:rPr>
          <w:rFonts w:ascii="方正大标宋简体" w:eastAsia="方正大标宋简体"/>
          <w:sz w:val="18"/>
          <w:szCs w:val="18"/>
          <w:highlight w:val="none"/>
        </w:rPr>
      </w:pPr>
    </w:p>
    <w:p>
      <w:pPr>
        <w:shd w:val="clear"/>
        <w:rPr>
          <w:rFonts w:ascii="方正大标宋简体" w:eastAsia="方正大标宋简体"/>
          <w:sz w:val="18"/>
          <w:szCs w:val="18"/>
          <w:highlight w:val="none"/>
        </w:rPr>
      </w:pPr>
    </w:p>
    <w:p>
      <w:pPr>
        <w:shd w:val="clear"/>
        <w:jc w:val="center"/>
        <w:rPr>
          <w:rFonts w:ascii="方正大标宋简体" w:eastAsia="方正大标宋简体"/>
          <w:b/>
          <w:bCs/>
          <w:sz w:val="32"/>
          <w:szCs w:val="32"/>
          <w:highlight w:val="none"/>
        </w:rPr>
      </w:pPr>
      <w:r>
        <w:rPr>
          <w:rFonts w:hint="eastAsia" w:ascii="方正大标宋简体" w:eastAsia="方正大标宋简体" w:cs="方正大标宋简体"/>
          <w:b/>
          <w:bCs/>
          <w:sz w:val="32"/>
          <w:szCs w:val="32"/>
          <w:highlight w:val="none"/>
        </w:rPr>
        <w:t>华夏国际项目管理有限公司</w:t>
      </w:r>
    </w:p>
    <w:p>
      <w:pPr>
        <w:shd w:val="clear"/>
        <w:tabs>
          <w:tab w:val="left" w:pos="525"/>
        </w:tabs>
        <w:ind w:left="-2" w:leftChars="-1" w:firstLine="1"/>
        <w:jc w:val="center"/>
        <w:rPr>
          <w:rFonts w:ascii="方正大标宋简体" w:eastAsia="方正大标宋简体"/>
          <w:b/>
          <w:bCs/>
          <w:sz w:val="32"/>
          <w:szCs w:val="32"/>
          <w:highlight w:val="none"/>
        </w:rPr>
      </w:pPr>
      <w:r>
        <w:rPr>
          <w:rFonts w:hint="eastAsia" w:ascii="方正大标宋简体" w:eastAsia="方正大标宋简体" w:cs="方正大标宋简体"/>
          <w:b/>
          <w:bCs/>
          <w:sz w:val="32"/>
          <w:szCs w:val="32"/>
          <w:highlight w:val="none"/>
        </w:rPr>
        <w:t>二〇一九年</w:t>
      </w:r>
      <w:r>
        <w:rPr>
          <w:rFonts w:hint="eastAsia" w:ascii="方正大标宋简体" w:eastAsia="方正大标宋简体" w:cs="方正大标宋简体"/>
          <w:b/>
          <w:bCs/>
          <w:sz w:val="32"/>
          <w:szCs w:val="32"/>
          <w:highlight w:val="none"/>
          <w:lang w:eastAsia="zh-CN"/>
        </w:rPr>
        <w:t>十二</w:t>
      </w:r>
      <w:r>
        <w:rPr>
          <w:rFonts w:hint="eastAsia" w:ascii="方正大标宋简体" w:eastAsia="方正大标宋简体" w:cs="方正大标宋简体"/>
          <w:b/>
          <w:bCs/>
          <w:sz w:val="32"/>
          <w:szCs w:val="32"/>
          <w:highlight w:val="none"/>
        </w:rPr>
        <w:t>月</w:t>
      </w:r>
    </w:p>
    <w:p>
      <w:pPr>
        <w:shd w:val="clear"/>
        <w:spacing w:afterLines="50"/>
        <w:jc w:val="both"/>
        <w:rPr>
          <w:rFonts w:hint="eastAsia"/>
          <w:b/>
          <w:bCs/>
          <w:sz w:val="36"/>
          <w:szCs w:val="36"/>
          <w:highlight w:val="none"/>
        </w:rPr>
      </w:pPr>
      <w:bookmarkStart w:id="1" w:name="_Toc389582033"/>
      <w:bookmarkStart w:id="2" w:name="_Toc20858"/>
      <w:bookmarkStart w:id="3" w:name="_Toc21518"/>
      <w:bookmarkStart w:id="4" w:name="_Toc438073527"/>
      <w:bookmarkStart w:id="5" w:name="_Toc16218"/>
      <w:bookmarkStart w:id="6" w:name="_Toc20652"/>
      <w:bookmarkStart w:id="7" w:name="_Toc19886"/>
      <w:bookmarkStart w:id="8" w:name="_Toc5293"/>
    </w:p>
    <w:p>
      <w:pPr>
        <w:pStyle w:val="2"/>
        <w:shd w:val="clear"/>
        <w:rPr>
          <w:rFonts w:hint="eastAsia"/>
          <w:b/>
          <w:bCs/>
          <w:sz w:val="36"/>
          <w:szCs w:val="36"/>
          <w:highlight w:val="none"/>
        </w:rPr>
      </w:pPr>
    </w:p>
    <w:p>
      <w:pPr>
        <w:shd w:val="clear"/>
        <w:rPr>
          <w:rFonts w:hint="eastAsia"/>
          <w:highlight w:val="none"/>
        </w:rPr>
      </w:pPr>
    </w:p>
    <w:p>
      <w:pPr>
        <w:shd w:val="clear"/>
        <w:spacing w:afterLines="50"/>
        <w:jc w:val="center"/>
        <w:rPr>
          <w:b/>
          <w:bCs/>
          <w:sz w:val="36"/>
          <w:szCs w:val="36"/>
          <w:highlight w:val="none"/>
        </w:rPr>
      </w:pPr>
      <w:r>
        <w:rPr>
          <w:rFonts w:hint="eastAsia"/>
          <w:b/>
          <w:bCs/>
          <w:sz w:val="36"/>
          <w:szCs w:val="36"/>
          <w:highlight w:val="none"/>
        </w:rPr>
        <w:t>特别提示</w:t>
      </w:r>
    </w:p>
    <w:p>
      <w:pPr>
        <w:shd w:val="clear"/>
        <w:spacing w:line="480" w:lineRule="exact"/>
        <w:rPr>
          <w:rFonts w:ascii="宋体" w:hAnsi="宋体" w:cs="宋体"/>
          <w:sz w:val="24"/>
          <w:szCs w:val="24"/>
          <w:highlight w:val="none"/>
        </w:rPr>
      </w:pPr>
      <w:r>
        <w:rPr>
          <w:rFonts w:hint="eastAsia" w:ascii="宋体" w:hAnsi="宋体" w:cs="宋体"/>
          <w:sz w:val="24"/>
          <w:szCs w:val="24"/>
          <w:highlight w:val="none"/>
        </w:rPr>
        <w:t>各</w:t>
      </w:r>
      <w:r>
        <w:rPr>
          <w:rFonts w:hint="eastAsia" w:hAnsi="宋体" w:cs="宋体"/>
          <w:sz w:val="24"/>
          <w:szCs w:val="24"/>
          <w:highlight w:val="none"/>
        </w:rPr>
        <w:t>供应商</w:t>
      </w:r>
      <w:r>
        <w:rPr>
          <w:rFonts w:hint="eastAsia" w:ascii="宋体" w:hAnsi="宋体" w:cs="宋体"/>
          <w:sz w:val="24"/>
          <w:szCs w:val="24"/>
          <w:highlight w:val="none"/>
        </w:rPr>
        <w:t>，在此我们特别提醒您注意以下事项：</w:t>
      </w:r>
    </w:p>
    <w:p>
      <w:pPr>
        <w:shd w:val="clear"/>
        <w:spacing w:line="480" w:lineRule="exact"/>
        <w:rPr>
          <w:rFonts w:ascii="宋体" w:hAnsi="宋体" w:cs="宋体"/>
          <w:sz w:val="24"/>
          <w:szCs w:val="24"/>
          <w:highlight w:val="none"/>
        </w:rPr>
      </w:pPr>
      <w:r>
        <w:rPr>
          <w:rFonts w:hint="eastAsia" w:ascii="宋体" w:hAnsi="宋体" w:cs="宋体"/>
          <w:sz w:val="24"/>
          <w:szCs w:val="24"/>
          <w:highlight w:val="none"/>
        </w:rPr>
        <w:t>一、有关</w:t>
      </w:r>
      <w:r>
        <w:rPr>
          <w:rFonts w:hint="eastAsia" w:hAnsi="宋体" w:cs="宋体"/>
          <w:sz w:val="24"/>
          <w:szCs w:val="24"/>
          <w:highlight w:val="none"/>
        </w:rPr>
        <w:t>磋商响应</w:t>
      </w:r>
      <w:r>
        <w:rPr>
          <w:rFonts w:hint="eastAsia" w:ascii="宋体" w:hAnsi="宋体" w:cs="宋体"/>
          <w:sz w:val="24"/>
          <w:szCs w:val="24"/>
          <w:highlight w:val="none"/>
        </w:rPr>
        <w:t>文件：</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1、请您仔细阅读</w:t>
      </w:r>
      <w:r>
        <w:rPr>
          <w:rFonts w:hint="eastAsia" w:hAnsi="宋体" w:cs="宋体"/>
          <w:sz w:val="24"/>
          <w:szCs w:val="24"/>
          <w:highlight w:val="none"/>
        </w:rPr>
        <w:t>磋商</w:t>
      </w:r>
      <w:r>
        <w:rPr>
          <w:rFonts w:hint="eastAsia" w:ascii="宋体" w:hAnsi="宋体" w:cs="宋体"/>
          <w:sz w:val="24"/>
          <w:szCs w:val="24"/>
          <w:highlight w:val="none"/>
        </w:rPr>
        <w:t>文件并正确理解</w:t>
      </w:r>
      <w:r>
        <w:rPr>
          <w:rFonts w:hint="eastAsia" w:hAnsi="宋体" w:cs="宋体"/>
          <w:sz w:val="24"/>
          <w:szCs w:val="24"/>
          <w:highlight w:val="none"/>
        </w:rPr>
        <w:t>磋商</w:t>
      </w:r>
      <w:r>
        <w:rPr>
          <w:rFonts w:hint="eastAsia" w:ascii="宋体" w:hAnsi="宋体" w:cs="宋体"/>
          <w:sz w:val="24"/>
          <w:szCs w:val="24"/>
          <w:highlight w:val="none"/>
        </w:rPr>
        <w:t>文件中各项具体要求。如您对</w:t>
      </w:r>
      <w:r>
        <w:rPr>
          <w:rFonts w:hint="eastAsia" w:hAnsi="宋体" w:cs="宋体"/>
          <w:sz w:val="24"/>
          <w:szCs w:val="24"/>
          <w:highlight w:val="none"/>
        </w:rPr>
        <w:t>磋商</w:t>
      </w:r>
      <w:r>
        <w:rPr>
          <w:rFonts w:hint="eastAsia" w:ascii="宋体" w:hAnsi="宋体" w:cs="宋体"/>
          <w:sz w:val="24"/>
          <w:szCs w:val="24"/>
          <w:highlight w:val="none"/>
        </w:rPr>
        <w:t>文件有疑问，请在</w:t>
      </w:r>
      <w:r>
        <w:rPr>
          <w:rFonts w:hint="eastAsia" w:hAnsi="宋体" w:cs="宋体"/>
          <w:sz w:val="24"/>
          <w:szCs w:val="24"/>
          <w:highlight w:val="none"/>
        </w:rPr>
        <w:t>磋商</w:t>
      </w:r>
      <w:r>
        <w:rPr>
          <w:rFonts w:hint="eastAsia" w:ascii="宋体" w:hAnsi="宋体" w:cs="宋体"/>
          <w:sz w:val="24"/>
          <w:szCs w:val="24"/>
          <w:highlight w:val="none"/>
        </w:rPr>
        <w:t>文件规定的时间内以书面形式提出，逾期将被拒绝受理。</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2、请您严格按照</w:t>
      </w:r>
      <w:r>
        <w:rPr>
          <w:rFonts w:hint="eastAsia" w:hAnsi="宋体" w:cs="宋体"/>
          <w:sz w:val="24"/>
          <w:szCs w:val="24"/>
          <w:highlight w:val="none"/>
        </w:rPr>
        <w:t>磋商</w:t>
      </w:r>
      <w:r>
        <w:rPr>
          <w:rFonts w:hint="eastAsia" w:ascii="宋体" w:hAnsi="宋体" w:cs="宋体"/>
          <w:sz w:val="24"/>
          <w:szCs w:val="24"/>
          <w:highlight w:val="none"/>
        </w:rPr>
        <w:t>文件载明的</w:t>
      </w:r>
      <w:r>
        <w:rPr>
          <w:rFonts w:hint="eastAsia" w:hAnsi="宋体" w:cs="宋体"/>
          <w:sz w:val="24"/>
          <w:szCs w:val="24"/>
          <w:highlight w:val="none"/>
        </w:rPr>
        <w:t>磋商响应</w:t>
      </w:r>
      <w:r>
        <w:rPr>
          <w:rFonts w:hint="eastAsia" w:ascii="宋体" w:hAnsi="宋体" w:cs="宋体"/>
          <w:sz w:val="24"/>
          <w:szCs w:val="24"/>
          <w:highlight w:val="none"/>
        </w:rPr>
        <w:t>文件的格式要求编制</w:t>
      </w:r>
      <w:r>
        <w:rPr>
          <w:rFonts w:hint="eastAsia" w:hAnsi="宋体" w:cs="宋体"/>
          <w:sz w:val="24"/>
          <w:szCs w:val="24"/>
          <w:highlight w:val="none"/>
        </w:rPr>
        <w:t>磋商响应</w:t>
      </w:r>
      <w:r>
        <w:rPr>
          <w:rFonts w:hint="eastAsia" w:ascii="宋体" w:hAnsi="宋体" w:cs="宋体"/>
          <w:sz w:val="24"/>
          <w:szCs w:val="24"/>
          <w:highlight w:val="none"/>
        </w:rPr>
        <w:t>文件</w:t>
      </w:r>
      <w:r>
        <w:rPr>
          <w:rFonts w:hint="eastAsia" w:hAnsi="宋体" w:cs="宋体"/>
          <w:sz w:val="24"/>
          <w:szCs w:val="24"/>
          <w:highlight w:val="none"/>
        </w:rPr>
        <w:t>，磋商响应</w:t>
      </w:r>
      <w:r>
        <w:rPr>
          <w:rFonts w:hint="eastAsia" w:ascii="宋体" w:hAnsi="宋体" w:cs="宋体"/>
          <w:sz w:val="24"/>
          <w:szCs w:val="24"/>
          <w:highlight w:val="none"/>
        </w:rPr>
        <w:t>文件须胶装成册。</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3、请您仔细核对您的</w:t>
      </w:r>
      <w:r>
        <w:rPr>
          <w:rFonts w:hint="eastAsia" w:hAnsi="宋体" w:cs="宋体"/>
          <w:sz w:val="24"/>
          <w:szCs w:val="24"/>
          <w:highlight w:val="none"/>
        </w:rPr>
        <w:t>磋商响应</w:t>
      </w:r>
      <w:r>
        <w:rPr>
          <w:rFonts w:hint="eastAsia" w:ascii="宋体" w:hAnsi="宋体" w:cs="宋体"/>
          <w:sz w:val="24"/>
          <w:szCs w:val="24"/>
          <w:highlight w:val="none"/>
        </w:rPr>
        <w:t>文件是否已按照</w:t>
      </w:r>
      <w:r>
        <w:rPr>
          <w:rFonts w:hint="eastAsia" w:hAnsi="宋体" w:cs="宋体"/>
          <w:sz w:val="24"/>
          <w:szCs w:val="24"/>
          <w:highlight w:val="none"/>
        </w:rPr>
        <w:t>磋商</w:t>
      </w:r>
      <w:r>
        <w:rPr>
          <w:rFonts w:hint="eastAsia" w:ascii="宋体" w:hAnsi="宋体" w:cs="宋体"/>
          <w:sz w:val="24"/>
          <w:szCs w:val="24"/>
          <w:highlight w:val="none"/>
        </w:rPr>
        <w:t>文件的要求签字、签章和加盖单位公章，您的实质性条款是否满足</w:t>
      </w:r>
      <w:r>
        <w:rPr>
          <w:rFonts w:hint="eastAsia" w:hAnsi="宋体" w:cs="宋体"/>
          <w:sz w:val="24"/>
          <w:szCs w:val="24"/>
          <w:highlight w:val="none"/>
        </w:rPr>
        <w:t>磋商</w:t>
      </w:r>
      <w:r>
        <w:rPr>
          <w:rFonts w:hint="eastAsia" w:ascii="宋体" w:hAnsi="宋体" w:cs="宋体"/>
          <w:sz w:val="24"/>
          <w:szCs w:val="24"/>
          <w:highlight w:val="none"/>
        </w:rPr>
        <w:t>文件要求，您的</w:t>
      </w:r>
      <w:r>
        <w:rPr>
          <w:rFonts w:hint="eastAsia" w:hAnsi="宋体" w:cs="宋体"/>
          <w:sz w:val="24"/>
          <w:szCs w:val="24"/>
          <w:highlight w:val="none"/>
        </w:rPr>
        <w:t>磋商响应</w:t>
      </w:r>
      <w:r>
        <w:rPr>
          <w:rFonts w:hint="eastAsia" w:ascii="宋体" w:hAnsi="宋体" w:cs="宋体"/>
          <w:sz w:val="24"/>
          <w:szCs w:val="24"/>
          <w:highlight w:val="none"/>
        </w:rPr>
        <w:t>文件中所附资格证明等资料是否齐全、有效且是否满足</w:t>
      </w:r>
      <w:r>
        <w:rPr>
          <w:rFonts w:hint="eastAsia" w:hAnsi="宋体" w:cs="宋体"/>
          <w:sz w:val="24"/>
          <w:szCs w:val="24"/>
          <w:highlight w:val="none"/>
        </w:rPr>
        <w:t>磋商</w:t>
      </w:r>
      <w:r>
        <w:rPr>
          <w:rFonts w:hint="eastAsia" w:ascii="宋体" w:hAnsi="宋体" w:cs="宋体"/>
          <w:sz w:val="24"/>
          <w:szCs w:val="24"/>
          <w:highlight w:val="none"/>
        </w:rPr>
        <w:t>文件要求。</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4、请于规定时</w:t>
      </w:r>
      <w:r>
        <w:rPr>
          <w:rFonts w:hint="eastAsia" w:hAnsi="宋体" w:cs="宋体"/>
          <w:sz w:val="24"/>
          <w:szCs w:val="24"/>
          <w:highlight w:val="none"/>
        </w:rPr>
        <w:t>间</w:t>
      </w:r>
      <w:r>
        <w:rPr>
          <w:rFonts w:hint="eastAsia" w:ascii="宋体" w:hAnsi="宋体" w:cs="宋体"/>
          <w:sz w:val="24"/>
          <w:szCs w:val="24"/>
          <w:highlight w:val="none"/>
        </w:rPr>
        <w:t>内按</w:t>
      </w:r>
      <w:r>
        <w:rPr>
          <w:rFonts w:hint="eastAsia" w:hAnsi="宋体" w:cs="宋体"/>
          <w:sz w:val="24"/>
          <w:szCs w:val="24"/>
          <w:highlight w:val="none"/>
        </w:rPr>
        <w:t>磋商</w:t>
      </w:r>
      <w:r>
        <w:rPr>
          <w:rFonts w:hint="eastAsia" w:ascii="宋体" w:hAnsi="宋体" w:cs="宋体"/>
          <w:sz w:val="24"/>
          <w:szCs w:val="24"/>
          <w:highlight w:val="none"/>
        </w:rPr>
        <w:t>文件要求递交保证金（保证金必须足额、必须在</w:t>
      </w:r>
      <w:r>
        <w:rPr>
          <w:rFonts w:hint="eastAsia" w:hAnsi="宋体" w:cs="宋体"/>
          <w:sz w:val="24"/>
          <w:szCs w:val="24"/>
          <w:highlight w:val="none"/>
        </w:rPr>
        <w:t>磋商响应文件递交截止时间</w:t>
      </w:r>
      <w:r>
        <w:rPr>
          <w:rFonts w:hint="eastAsia" w:ascii="宋体" w:hAnsi="宋体" w:cs="宋体"/>
          <w:sz w:val="24"/>
          <w:szCs w:val="24"/>
          <w:highlight w:val="none"/>
        </w:rPr>
        <w:t>前从您基本账户转出且到账，保证金缴纳凭证须附在</w:t>
      </w:r>
      <w:r>
        <w:rPr>
          <w:rFonts w:hint="eastAsia" w:hAnsi="宋体" w:cs="宋体"/>
          <w:sz w:val="24"/>
          <w:szCs w:val="24"/>
          <w:highlight w:val="none"/>
        </w:rPr>
        <w:t>磋商响应</w:t>
      </w:r>
      <w:r>
        <w:rPr>
          <w:rFonts w:hint="eastAsia" w:ascii="宋体" w:hAnsi="宋体" w:cs="宋体"/>
          <w:sz w:val="24"/>
          <w:szCs w:val="24"/>
          <w:highlight w:val="none"/>
        </w:rPr>
        <w:t>文件中）。</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5、请您按照</w:t>
      </w:r>
      <w:r>
        <w:rPr>
          <w:rFonts w:hint="eastAsia" w:hAnsi="宋体" w:cs="宋体"/>
          <w:sz w:val="24"/>
          <w:szCs w:val="24"/>
          <w:highlight w:val="none"/>
        </w:rPr>
        <w:t>磋商</w:t>
      </w:r>
      <w:r>
        <w:rPr>
          <w:rFonts w:hint="eastAsia" w:ascii="宋体" w:hAnsi="宋体" w:cs="宋体"/>
          <w:sz w:val="24"/>
          <w:szCs w:val="24"/>
          <w:highlight w:val="none"/>
        </w:rPr>
        <w:t>文件要求密封</w:t>
      </w:r>
      <w:r>
        <w:rPr>
          <w:rFonts w:hint="eastAsia" w:hAnsi="宋体" w:cs="宋体"/>
          <w:sz w:val="24"/>
          <w:szCs w:val="24"/>
          <w:highlight w:val="none"/>
        </w:rPr>
        <w:t>磋商响应</w:t>
      </w:r>
      <w:r>
        <w:rPr>
          <w:rFonts w:hint="eastAsia" w:ascii="宋体" w:hAnsi="宋体" w:cs="宋体"/>
          <w:sz w:val="24"/>
          <w:szCs w:val="24"/>
          <w:highlight w:val="none"/>
        </w:rPr>
        <w:t>文件，并正确标记。</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提示：您的</w:t>
      </w:r>
      <w:r>
        <w:rPr>
          <w:rFonts w:hint="eastAsia" w:hAnsi="宋体" w:cs="宋体"/>
          <w:sz w:val="24"/>
          <w:szCs w:val="24"/>
          <w:highlight w:val="none"/>
        </w:rPr>
        <w:t>磋商响应</w:t>
      </w:r>
      <w:r>
        <w:rPr>
          <w:rFonts w:hint="eastAsia" w:ascii="宋体" w:hAnsi="宋体" w:cs="宋体"/>
          <w:sz w:val="24"/>
          <w:szCs w:val="24"/>
          <w:highlight w:val="none"/>
        </w:rPr>
        <w:t>文件若不满足以上条件将有被否决的风险。</w:t>
      </w:r>
    </w:p>
    <w:p>
      <w:pPr>
        <w:shd w:val="clear"/>
        <w:spacing w:line="480" w:lineRule="exact"/>
        <w:rPr>
          <w:rFonts w:ascii="宋体" w:hAnsi="宋体" w:cs="宋体"/>
          <w:sz w:val="24"/>
          <w:szCs w:val="24"/>
          <w:highlight w:val="none"/>
        </w:rPr>
      </w:pPr>
      <w:r>
        <w:rPr>
          <w:rFonts w:hint="eastAsia" w:ascii="宋体" w:hAnsi="宋体" w:cs="宋体"/>
          <w:sz w:val="24"/>
          <w:szCs w:val="24"/>
          <w:highlight w:val="none"/>
        </w:rPr>
        <w:t>二、有关</w:t>
      </w:r>
      <w:r>
        <w:rPr>
          <w:rFonts w:hint="eastAsia" w:hAnsi="宋体" w:cs="宋体"/>
          <w:sz w:val="24"/>
          <w:szCs w:val="24"/>
          <w:highlight w:val="none"/>
        </w:rPr>
        <w:t>磋商</w:t>
      </w:r>
      <w:r>
        <w:rPr>
          <w:rFonts w:hint="eastAsia" w:ascii="宋体" w:hAnsi="宋体" w:cs="宋体"/>
          <w:sz w:val="24"/>
          <w:szCs w:val="24"/>
          <w:highlight w:val="none"/>
        </w:rPr>
        <w:t>：</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hAnsi="宋体" w:cs="宋体"/>
          <w:sz w:val="24"/>
          <w:szCs w:val="24"/>
          <w:highlight w:val="none"/>
        </w:rPr>
        <w:t>除磋商文件要求递交的文件和资料外，</w:t>
      </w:r>
      <w:r>
        <w:rPr>
          <w:rFonts w:hint="eastAsia" w:ascii="宋体" w:hAnsi="宋体" w:cs="宋体"/>
          <w:sz w:val="24"/>
          <w:szCs w:val="24"/>
          <w:highlight w:val="none"/>
        </w:rPr>
        <w:t>请您随身携带</w:t>
      </w:r>
      <w:r>
        <w:rPr>
          <w:rFonts w:hint="eastAsia" w:hAnsi="宋体" w:cs="宋体"/>
          <w:sz w:val="24"/>
          <w:szCs w:val="24"/>
          <w:highlight w:val="none"/>
        </w:rPr>
        <w:t>磋商</w:t>
      </w:r>
      <w:r>
        <w:rPr>
          <w:rFonts w:hint="eastAsia" w:ascii="宋体" w:hAnsi="宋体" w:cs="宋体"/>
          <w:sz w:val="24"/>
          <w:szCs w:val="24"/>
          <w:highlight w:val="none"/>
        </w:rPr>
        <w:t>文件要求提供的其他备查文件原件。</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2、请您务必考虑天气情况、交通情况以及您对</w:t>
      </w:r>
      <w:r>
        <w:rPr>
          <w:rFonts w:hint="eastAsia" w:hAnsi="宋体" w:cs="宋体"/>
          <w:sz w:val="24"/>
          <w:szCs w:val="24"/>
          <w:highlight w:val="none"/>
        </w:rPr>
        <w:t>磋商</w:t>
      </w:r>
      <w:r>
        <w:rPr>
          <w:rFonts w:hint="eastAsia" w:ascii="宋体" w:hAnsi="宋体" w:cs="宋体"/>
          <w:sz w:val="24"/>
          <w:szCs w:val="24"/>
          <w:highlight w:val="none"/>
        </w:rPr>
        <w:t>地址的路线熟悉等情况于</w:t>
      </w:r>
      <w:r>
        <w:rPr>
          <w:rFonts w:hint="eastAsia" w:ascii="宋体" w:hAnsi="宋体" w:cs="宋体"/>
          <w:sz w:val="24"/>
          <w:szCs w:val="24"/>
          <w:highlight w:val="none"/>
          <w:lang w:eastAsia="zh-CN"/>
        </w:rPr>
        <w:t>公告规定的时间</w:t>
      </w:r>
      <w:r>
        <w:rPr>
          <w:rFonts w:hint="eastAsia" w:ascii="宋体" w:hAnsi="宋体" w:cs="宋体"/>
          <w:sz w:val="24"/>
          <w:szCs w:val="24"/>
          <w:highlight w:val="none"/>
        </w:rPr>
        <w:t>到西安市高新区科技五路8号数字大厦11楼递交</w:t>
      </w:r>
      <w:r>
        <w:rPr>
          <w:rFonts w:hint="eastAsia" w:hAnsi="宋体" w:cs="宋体"/>
          <w:sz w:val="24"/>
          <w:szCs w:val="24"/>
          <w:highlight w:val="none"/>
        </w:rPr>
        <w:t>磋商响应</w:t>
      </w:r>
      <w:r>
        <w:rPr>
          <w:rFonts w:hint="eastAsia" w:ascii="宋体" w:hAnsi="宋体" w:cs="宋体"/>
          <w:sz w:val="24"/>
          <w:szCs w:val="24"/>
          <w:highlight w:val="none"/>
        </w:rPr>
        <w:t>文件，</w:t>
      </w:r>
      <w:r>
        <w:rPr>
          <w:rFonts w:hint="eastAsia" w:hAnsi="宋体" w:cs="宋体"/>
          <w:sz w:val="24"/>
          <w:szCs w:val="24"/>
          <w:highlight w:val="none"/>
        </w:rPr>
        <w:t>磋商响应</w:t>
      </w:r>
      <w:r>
        <w:rPr>
          <w:rFonts w:hint="eastAsia" w:ascii="宋体" w:hAnsi="宋体" w:cs="宋体"/>
          <w:sz w:val="24"/>
          <w:szCs w:val="24"/>
          <w:highlight w:val="none"/>
        </w:rPr>
        <w:t>文件逾期到达，将被拒绝接收。</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3、请您到达文件递交地点后及时到</w:t>
      </w:r>
      <w:r>
        <w:rPr>
          <w:rFonts w:hint="eastAsia" w:hAnsi="宋体" w:cs="宋体"/>
          <w:sz w:val="24"/>
          <w:szCs w:val="24"/>
          <w:highlight w:val="none"/>
        </w:rPr>
        <w:t>磋商响应</w:t>
      </w:r>
      <w:r>
        <w:rPr>
          <w:rFonts w:hint="eastAsia" w:ascii="宋体" w:hAnsi="宋体" w:cs="宋体"/>
          <w:sz w:val="24"/>
          <w:szCs w:val="24"/>
          <w:highlight w:val="none"/>
        </w:rPr>
        <w:t>文件接收处签字登记。</w:t>
      </w:r>
    </w:p>
    <w:p>
      <w:pPr>
        <w:shd w:val="clear"/>
        <w:spacing w:line="480" w:lineRule="exact"/>
        <w:rPr>
          <w:rFonts w:ascii="宋体" w:hAnsi="宋体" w:cs="宋体"/>
          <w:sz w:val="24"/>
          <w:szCs w:val="24"/>
          <w:highlight w:val="none"/>
        </w:rPr>
      </w:pPr>
      <w:r>
        <w:rPr>
          <w:rFonts w:hint="eastAsia" w:ascii="宋体" w:hAnsi="宋体" w:cs="宋体"/>
          <w:sz w:val="24"/>
          <w:szCs w:val="24"/>
          <w:highlight w:val="none"/>
        </w:rPr>
        <w:t>三、关于弃标的说明</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若您因为一些特殊原因不能参加本次</w:t>
      </w:r>
      <w:r>
        <w:rPr>
          <w:rFonts w:hint="eastAsia" w:hAnsi="宋体" w:cs="宋体"/>
          <w:sz w:val="24"/>
          <w:szCs w:val="24"/>
          <w:highlight w:val="none"/>
        </w:rPr>
        <w:t>磋商</w:t>
      </w:r>
      <w:r>
        <w:rPr>
          <w:rFonts w:hint="eastAsia" w:ascii="宋体" w:hAnsi="宋体" w:cs="宋体"/>
          <w:sz w:val="24"/>
          <w:szCs w:val="24"/>
          <w:highlight w:val="none"/>
        </w:rPr>
        <w:t>活动，请您务必以书面形式告知我们，以便我们正常开展后期工作，同时也避免再次打扰您，感谢您的配合。</w:t>
      </w:r>
    </w:p>
    <w:p>
      <w:pPr>
        <w:shd w:val="clea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请各</w:t>
      </w:r>
      <w:r>
        <w:rPr>
          <w:rFonts w:hint="eastAsia" w:hAnsi="宋体" w:cs="宋体"/>
          <w:sz w:val="24"/>
          <w:szCs w:val="24"/>
          <w:highlight w:val="none"/>
        </w:rPr>
        <w:t>供应商</w:t>
      </w:r>
      <w:r>
        <w:rPr>
          <w:rFonts w:hint="eastAsia" w:ascii="宋体" w:hAnsi="宋体" w:cs="宋体"/>
          <w:sz w:val="24"/>
          <w:szCs w:val="24"/>
          <w:highlight w:val="none"/>
        </w:rPr>
        <w:t>仔细阅读上述提示。如需帮助，请您与我们的工作人员联系（</w:t>
      </w:r>
      <w:r>
        <w:rPr>
          <w:rFonts w:hint="eastAsia" w:ascii="宋体" w:hAnsi="宋体" w:cs="宋体"/>
          <w:sz w:val="24"/>
          <w:szCs w:val="24"/>
          <w:highlight w:val="none"/>
          <w:lang w:eastAsia="zh-CN"/>
        </w:rPr>
        <w:t>杜</w:t>
      </w:r>
      <w:r>
        <w:rPr>
          <w:rFonts w:hint="eastAsia" w:ascii="宋体" w:hAnsi="宋体" w:cs="宋体"/>
          <w:sz w:val="24"/>
          <w:szCs w:val="24"/>
          <w:highlight w:val="none"/>
        </w:rPr>
        <w:t>工：029-88</w:t>
      </w:r>
      <w:r>
        <w:rPr>
          <w:rFonts w:hint="eastAsia" w:ascii="宋体" w:hAnsi="宋体" w:eastAsia="宋体" w:cs="宋体"/>
          <w:sz w:val="24"/>
          <w:szCs w:val="24"/>
          <w:highlight w:val="none"/>
        </w:rPr>
        <w:t>899970/73/75-81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），我们将非常高兴地为您服务</w:t>
      </w:r>
      <w:r>
        <w:rPr>
          <w:rFonts w:hint="eastAsia" w:ascii="宋体" w:hAnsi="宋体" w:cs="宋体"/>
          <w:sz w:val="24"/>
          <w:szCs w:val="24"/>
          <w:highlight w:val="none"/>
        </w:rPr>
        <w:t>。</w:t>
      </w:r>
    </w:p>
    <w:p>
      <w:pPr>
        <w:shd w:val="clear"/>
        <w:spacing w:line="360" w:lineRule="auto"/>
        <w:jc w:val="center"/>
        <w:rPr>
          <w:rFonts w:ascii="宋体" w:hAnsi="宋体" w:cs="宋体"/>
          <w:b/>
          <w:bCs/>
          <w:sz w:val="28"/>
          <w:szCs w:val="28"/>
          <w:highlight w:val="none"/>
        </w:rPr>
        <w:sectPr>
          <w:headerReference r:id="rId4" w:type="first"/>
          <w:headerReference r:id="rId3" w:type="default"/>
          <w:footerReference r:id="rId5" w:type="default"/>
          <w:pgSz w:w="11906" w:h="16838"/>
          <w:pgMar w:top="1417" w:right="1417" w:bottom="1417" w:left="1701" w:header="851" w:footer="992" w:gutter="0"/>
          <w:cols w:space="0" w:num="1"/>
          <w:titlePg/>
          <w:docGrid w:type="lines" w:linePitch="312" w:charSpace="0"/>
        </w:sectPr>
      </w:pPr>
    </w:p>
    <w:p>
      <w:pPr>
        <w:shd w:val="clear"/>
        <w:spacing w:line="360" w:lineRule="auto"/>
        <w:jc w:val="center"/>
        <w:rPr>
          <w:rFonts w:ascii="宋体"/>
          <w:b/>
          <w:bCs/>
          <w:sz w:val="32"/>
          <w:szCs w:val="32"/>
          <w:highlight w:val="none"/>
        </w:rPr>
      </w:pPr>
      <w:r>
        <w:rPr>
          <w:rFonts w:hint="eastAsia" w:ascii="宋体" w:hAnsi="宋体" w:cs="宋体"/>
          <w:b/>
          <w:bCs/>
          <w:sz w:val="32"/>
          <w:szCs w:val="32"/>
          <w:highlight w:val="none"/>
        </w:rPr>
        <w:t>目  录</w:t>
      </w:r>
    </w:p>
    <w:p>
      <w:pPr>
        <w:pStyle w:val="24"/>
        <w:shd w:val="clear"/>
        <w:tabs>
          <w:tab w:val="right" w:leader="dot" w:pos="8788"/>
        </w:tabs>
        <w:spacing w:line="480" w:lineRule="auto"/>
        <w:rPr>
          <w:rFonts w:asciiTheme="minorEastAsia" w:hAnsiTheme="minorEastAsia" w:eastAsiaTheme="minorEastAsia" w:cstheme="minorEastAsia"/>
          <w:b w:val="0"/>
          <w:bCs w:val="0"/>
          <w:sz w:val="24"/>
          <w:szCs w:val="24"/>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"_Toc30112" </w:instrText>
      </w:r>
      <w:r>
        <w:rPr>
          <w:highlight w:val="none"/>
        </w:rPr>
        <w:fldChar w:fldCharType="separate"/>
      </w:r>
      <w:r>
        <w:rPr>
          <w:rFonts w:hint="eastAsia" w:asciiTheme="minorEastAsia" w:hAnsiTheme="minorEastAsia" w:eastAsiaTheme="minorEastAsia" w:cstheme="minorEastAsia"/>
          <w:b w:val="0"/>
          <w:bCs w:val="0"/>
          <w:sz w:val="24"/>
          <w:szCs w:val="24"/>
          <w:highlight w:val="none"/>
        </w:rPr>
        <w:t>第一章 竞争性磋商公告</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fldChar w:fldCharType="begin"/>
      </w:r>
      <w:r>
        <w:rPr>
          <w:rFonts w:hint="eastAsia" w:asciiTheme="minorEastAsia" w:hAnsiTheme="minorEastAsia" w:eastAsiaTheme="minorEastAsia" w:cstheme="minorEastAsia"/>
          <w:b w:val="0"/>
          <w:bCs w:val="0"/>
          <w:sz w:val="24"/>
          <w:szCs w:val="24"/>
          <w:highlight w:val="none"/>
        </w:rPr>
        <w:instrText xml:space="preserve"> PAGEREF _Toc30112 </w:instrText>
      </w:r>
      <w:r>
        <w:rPr>
          <w:rFonts w:hint="eastAsia" w:asciiTheme="minorEastAsia" w:hAnsiTheme="minorEastAsia" w:eastAsiaTheme="minorEastAsia" w:cstheme="minorEastAsia"/>
          <w:b w:val="0"/>
          <w:bCs w:val="0"/>
          <w:sz w:val="24"/>
          <w:szCs w:val="24"/>
          <w:highlight w:val="none"/>
        </w:rPr>
        <w:fldChar w:fldCharType="separate"/>
      </w: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rPr>
        <w:fldChar w:fldCharType="end"/>
      </w:r>
      <w:r>
        <w:rPr>
          <w:rFonts w:hint="eastAsia" w:asciiTheme="minorEastAsia" w:hAnsiTheme="minorEastAsia" w:eastAsiaTheme="minorEastAsia" w:cstheme="minorEastAsia"/>
          <w:b w:val="0"/>
          <w:bCs w:val="0"/>
          <w:sz w:val="24"/>
          <w:szCs w:val="24"/>
          <w:highlight w:val="none"/>
        </w:rPr>
        <w:fldChar w:fldCharType="end"/>
      </w:r>
    </w:p>
    <w:p>
      <w:pPr>
        <w:pStyle w:val="24"/>
        <w:shd w:val="clear"/>
        <w:tabs>
          <w:tab w:val="right" w:leader="dot" w:pos="8788"/>
        </w:tabs>
        <w:spacing w:line="480" w:lineRule="auto"/>
        <w:rPr>
          <w:rFonts w:asciiTheme="minorEastAsia" w:hAnsiTheme="minorEastAsia" w:eastAsiaTheme="minorEastAsia" w:cstheme="minorEastAsia"/>
          <w:b w:val="0"/>
          <w:bCs w:val="0"/>
          <w:sz w:val="24"/>
          <w:szCs w:val="24"/>
          <w:highlight w:val="none"/>
        </w:rPr>
      </w:pPr>
      <w:r>
        <w:rPr>
          <w:highlight w:val="none"/>
        </w:rPr>
        <w:fldChar w:fldCharType="begin"/>
      </w:r>
      <w:r>
        <w:rPr>
          <w:highlight w:val="none"/>
        </w:rPr>
        <w:instrText xml:space="preserve"> HYPERLINK \l "_Toc15168" </w:instrText>
      </w:r>
      <w:r>
        <w:rPr>
          <w:highlight w:val="none"/>
        </w:rPr>
        <w:fldChar w:fldCharType="separate"/>
      </w:r>
      <w:r>
        <w:rPr>
          <w:rFonts w:hint="eastAsia" w:asciiTheme="minorEastAsia" w:hAnsiTheme="minorEastAsia" w:eastAsiaTheme="minorEastAsia" w:cstheme="minorEastAsia"/>
          <w:b w:val="0"/>
          <w:bCs w:val="0"/>
          <w:sz w:val="24"/>
          <w:szCs w:val="24"/>
          <w:highlight w:val="none"/>
        </w:rPr>
        <w:t>第二章 供应商须知</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fldChar w:fldCharType="begin"/>
      </w:r>
      <w:r>
        <w:rPr>
          <w:rFonts w:hint="eastAsia" w:asciiTheme="minorEastAsia" w:hAnsiTheme="minorEastAsia" w:eastAsiaTheme="minorEastAsia" w:cstheme="minorEastAsia"/>
          <w:b w:val="0"/>
          <w:bCs w:val="0"/>
          <w:sz w:val="24"/>
          <w:szCs w:val="24"/>
          <w:highlight w:val="none"/>
        </w:rPr>
        <w:instrText xml:space="preserve"> PAGEREF _Toc15168 </w:instrText>
      </w:r>
      <w:r>
        <w:rPr>
          <w:rFonts w:hint="eastAsia" w:asciiTheme="minorEastAsia" w:hAnsiTheme="minorEastAsia" w:eastAsiaTheme="minorEastAsia" w:cstheme="minorEastAsia"/>
          <w:b w:val="0"/>
          <w:bCs w:val="0"/>
          <w:sz w:val="24"/>
          <w:szCs w:val="24"/>
          <w:highlight w:val="none"/>
        </w:rPr>
        <w:fldChar w:fldCharType="separate"/>
      </w:r>
      <w:r>
        <w:rPr>
          <w:rFonts w:hint="eastAsia" w:asciiTheme="minorEastAsia" w:hAnsiTheme="minorEastAsia" w:eastAsiaTheme="minorEastAsia" w:cstheme="minorEastAsia"/>
          <w:b w:val="0"/>
          <w:bCs w:val="0"/>
          <w:sz w:val="24"/>
          <w:szCs w:val="24"/>
          <w:highlight w:val="none"/>
        </w:rPr>
        <w:t>5</w:t>
      </w:r>
      <w:r>
        <w:rPr>
          <w:rFonts w:hint="eastAsia" w:asciiTheme="minorEastAsia" w:hAnsiTheme="minorEastAsia" w:eastAsiaTheme="minorEastAsia" w:cstheme="minorEastAsia"/>
          <w:b w:val="0"/>
          <w:bCs w:val="0"/>
          <w:sz w:val="24"/>
          <w:szCs w:val="24"/>
          <w:highlight w:val="none"/>
        </w:rPr>
        <w:fldChar w:fldCharType="end"/>
      </w:r>
      <w:r>
        <w:rPr>
          <w:rFonts w:hint="eastAsia" w:asciiTheme="minorEastAsia" w:hAnsiTheme="minorEastAsia" w:eastAsiaTheme="minorEastAsia" w:cstheme="minorEastAsia"/>
          <w:b w:val="0"/>
          <w:bCs w:val="0"/>
          <w:sz w:val="24"/>
          <w:szCs w:val="24"/>
          <w:highlight w:val="none"/>
        </w:rPr>
        <w:fldChar w:fldCharType="end"/>
      </w:r>
    </w:p>
    <w:p>
      <w:pPr>
        <w:pStyle w:val="24"/>
        <w:shd w:val="clear"/>
        <w:tabs>
          <w:tab w:val="right" w:leader="dot" w:pos="8788"/>
        </w:tabs>
        <w:spacing w:line="480" w:lineRule="auto"/>
        <w:rPr>
          <w:rFonts w:asciiTheme="minorEastAsia" w:hAnsiTheme="minorEastAsia" w:eastAsiaTheme="minorEastAsia" w:cstheme="minorEastAsia"/>
          <w:b w:val="0"/>
          <w:bCs w:val="0"/>
          <w:sz w:val="24"/>
          <w:szCs w:val="24"/>
          <w:highlight w:val="none"/>
        </w:rPr>
      </w:pPr>
      <w:r>
        <w:rPr>
          <w:highlight w:val="none"/>
        </w:rPr>
        <w:fldChar w:fldCharType="begin"/>
      </w:r>
      <w:r>
        <w:rPr>
          <w:highlight w:val="none"/>
        </w:rPr>
        <w:instrText xml:space="preserve"> HYPERLINK \l "_Toc14383" </w:instrText>
      </w:r>
      <w:r>
        <w:rPr>
          <w:highlight w:val="none"/>
        </w:rPr>
        <w:fldChar w:fldCharType="separate"/>
      </w:r>
      <w:r>
        <w:rPr>
          <w:rFonts w:hint="eastAsia" w:asciiTheme="minorEastAsia" w:hAnsiTheme="minorEastAsia" w:eastAsiaTheme="minorEastAsia" w:cstheme="minorEastAsia"/>
          <w:b w:val="0"/>
          <w:bCs w:val="0"/>
          <w:sz w:val="24"/>
          <w:szCs w:val="24"/>
          <w:highlight w:val="none"/>
        </w:rPr>
        <w:t>第三章 评审方法</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fldChar w:fldCharType="begin"/>
      </w:r>
      <w:r>
        <w:rPr>
          <w:rFonts w:hint="eastAsia" w:asciiTheme="minorEastAsia" w:hAnsiTheme="minorEastAsia" w:eastAsiaTheme="minorEastAsia" w:cstheme="minorEastAsia"/>
          <w:b w:val="0"/>
          <w:bCs w:val="0"/>
          <w:sz w:val="24"/>
          <w:szCs w:val="24"/>
          <w:highlight w:val="none"/>
        </w:rPr>
        <w:instrText xml:space="preserve"> PAGEREF _Toc14383 </w:instrText>
      </w:r>
      <w:r>
        <w:rPr>
          <w:rFonts w:hint="eastAsia" w:asciiTheme="minorEastAsia" w:hAnsiTheme="minorEastAsia" w:eastAsiaTheme="minorEastAsia" w:cstheme="minorEastAsia"/>
          <w:b w:val="0"/>
          <w:bCs w:val="0"/>
          <w:sz w:val="24"/>
          <w:szCs w:val="24"/>
          <w:highlight w:val="none"/>
        </w:rPr>
        <w:fldChar w:fldCharType="separate"/>
      </w:r>
      <w:r>
        <w:rPr>
          <w:rFonts w:hint="eastAsia" w:asciiTheme="minorEastAsia" w:hAnsiTheme="minorEastAsia" w:eastAsiaTheme="minorEastAsia" w:cstheme="minorEastAsia"/>
          <w:b w:val="0"/>
          <w:bCs w:val="0"/>
          <w:sz w:val="24"/>
          <w:szCs w:val="24"/>
          <w:highlight w:val="none"/>
        </w:rPr>
        <w:t>25</w:t>
      </w:r>
      <w:r>
        <w:rPr>
          <w:rFonts w:hint="eastAsia" w:asciiTheme="minorEastAsia" w:hAnsiTheme="minorEastAsia" w:eastAsiaTheme="minorEastAsia" w:cstheme="minorEastAsia"/>
          <w:b w:val="0"/>
          <w:bCs w:val="0"/>
          <w:sz w:val="24"/>
          <w:szCs w:val="24"/>
          <w:highlight w:val="none"/>
        </w:rPr>
        <w:fldChar w:fldCharType="end"/>
      </w:r>
      <w:r>
        <w:rPr>
          <w:rFonts w:hint="eastAsia" w:asciiTheme="minorEastAsia" w:hAnsiTheme="minorEastAsia" w:eastAsiaTheme="minorEastAsia" w:cstheme="minorEastAsia"/>
          <w:b w:val="0"/>
          <w:bCs w:val="0"/>
          <w:sz w:val="24"/>
          <w:szCs w:val="24"/>
          <w:highlight w:val="none"/>
        </w:rPr>
        <w:fldChar w:fldCharType="end"/>
      </w:r>
    </w:p>
    <w:p>
      <w:pPr>
        <w:pStyle w:val="24"/>
        <w:shd w:val="clear"/>
        <w:tabs>
          <w:tab w:val="right" w:leader="dot" w:pos="8788"/>
        </w:tabs>
        <w:spacing w:line="480" w:lineRule="auto"/>
        <w:rPr>
          <w:rFonts w:asciiTheme="minorEastAsia" w:hAnsiTheme="minorEastAsia" w:eastAsiaTheme="minorEastAsia" w:cstheme="minorEastAsia"/>
          <w:b w:val="0"/>
          <w:bCs w:val="0"/>
          <w:sz w:val="24"/>
          <w:szCs w:val="24"/>
          <w:highlight w:val="none"/>
        </w:rPr>
      </w:pPr>
      <w:r>
        <w:rPr>
          <w:highlight w:val="none"/>
        </w:rPr>
        <w:fldChar w:fldCharType="begin"/>
      </w:r>
      <w:r>
        <w:rPr>
          <w:highlight w:val="none"/>
        </w:rPr>
        <w:instrText xml:space="preserve"> HYPERLINK \l "_Toc22903" </w:instrText>
      </w:r>
      <w:r>
        <w:rPr>
          <w:highlight w:val="none"/>
        </w:rPr>
        <w:fldChar w:fldCharType="separate"/>
      </w:r>
      <w:r>
        <w:rPr>
          <w:rFonts w:hint="eastAsia" w:asciiTheme="minorEastAsia" w:hAnsiTheme="minorEastAsia" w:eastAsiaTheme="minorEastAsia" w:cstheme="minorEastAsia"/>
          <w:b w:val="0"/>
          <w:bCs w:val="0"/>
          <w:sz w:val="24"/>
          <w:szCs w:val="24"/>
          <w:highlight w:val="none"/>
        </w:rPr>
        <w:t>第四章 建设工程施工合同</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fldChar w:fldCharType="begin"/>
      </w:r>
      <w:r>
        <w:rPr>
          <w:rFonts w:hint="eastAsia" w:asciiTheme="minorEastAsia" w:hAnsiTheme="minorEastAsia" w:eastAsiaTheme="minorEastAsia" w:cstheme="minorEastAsia"/>
          <w:b w:val="0"/>
          <w:bCs w:val="0"/>
          <w:sz w:val="24"/>
          <w:szCs w:val="24"/>
          <w:highlight w:val="none"/>
        </w:rPr>
        <w:instrText xml:space="preserve"> PAGEREF _Toc22903 </w:instrText>
      </w:r>
      <w:r>
        <w:rPr>
          <w:rFonts w:hint="eastAsia" w:asciiTheme="minorEastAsia" w:hAnsiTheme="minorEastAsia" w:eastAsiaTheme="minorEastAsia" w:cstheme="minorEastAsia"/>
          <w:b w:val="0"/>
          <w:bCs w:val="0"/>
          <w:sz w:val="24"/>
          <w:szCs w:val="24"/>
          <w:highlight w:val="none"/>
        </w:rPr>
        <w:fldChar w:fldCharType="separate"/>
      </w:r>
      <w:r>
        <w:rPr>
          <w:rFonts w:hint="eastAsia" w:asciiTheme="minorEastAsia" w:hAnsiTheme="minorEastAsia" w:eastAsiaTheme="minorEastAsia" w:cstheme="minorEastAsia"/>
          <w:b w:val="0"/>
          <w:bCs w:val="0"/>
          <w:sz w:val="24"/>
          <w:szCs w:val="24"/>
          <w:highlight w:val="none"/>
        </w:rPr>
        <w:t>32</w:t>
      </w:r>
      <w:r>
        <w:rPr>
          <w:rFonts w:hint="eastAsia" w:asciiTheme="minorEastAsia" w:hAnsiTheme="minorEastAsia" w:eastAsiaTheme="minorEastAsia" w:cstheme="minorEastAsia"/>
          <w:b w:val="0"/>
          <w:bCs w:val="0"/>
          <w:sz w:val="24"/>
          <w:szCs w:val="24"/>
          <w:highlight w:val="none"/>
        </w:rPr>
        <w:fldChar w:fldCharType="end"/>
      </w:r>
      <w:r>
        <w:rPr>
          <w:rFonts w:hint="eastAsia" w:asciiTheme="minorEastAsia" w:hAnsiTheme="minorEastAsia" w:eastAsiaTheme="minorEastAsia" w:cstheme="minorEastAsia"/>
          <w:b w:val="0"/>
          <w:bCs w:val="0"/>
          <w:sz w:val="24"/>
          <w:szCs w:val="24"/>
          <w:highlight w:val="none"/>
        </w:rPr>
        <w:fldChar w:fldCharType="end"/>
      </w:r>
    </w:p>
    <w:p>
      <w:pPr>
        <w:pStyle w:val="24"/>
        <w:shd w:val="clear"/>
        <w:tabs>
          <w:tab w:val="right" w:leader="dot" w:pos="8788"/>
        </w:tabs>
        <w:spacing w:line="480" w:lineRule="auto"/>
        <w:rPr>
          <w:rFonts w:asciiTheme="minorEastAsia" w:hAnsiTheme="minorEastAsia" w:eastAsiaTheme="minorEastAsia" w:cstheme="minorEastAsia"/>
          <w:b w:val="0"/>
          <w:bCs w:val="0"/>
          <w:sz w:val="24"/>
          <w:szCs w:val="24"/>
          <w:highlight w:val="none"/>
        </w:rPr>
      </w:pPr>
      <w:r>
        <w:rPr>
          <w:highlight w:val="none"/>
        </w:rPr>
        <w:fldChar w:fldCharType="begin"/>
      </w:r>
      <w:r>
        <w:rPr>
          <w:highlight w:val="none"/>
        </w:rPr>
        <w:instrText xml:space="preserve"> HYPERLINK \l "_Toc16582" </w:instrText>
      </w:r>
      <w:r>
        <w:rPr>
          <w:highlight w:val="none"/>
        </w:rPr>
        <w:fldChar w:fldCharType="separate"/>
      </w:r>
      <w:r>
        <w:rPr>
          <w:rFonts w:hint="eastAsia" w:asciiTheme="minorEastAsia" w:hAnsiTheme="minorEastAsia" w:eastAsiaTheme="minorEastAsia" w:cstheme="minorEastAsia"/>
          <w:b w:val="0"/>
          <w:bCs w:val="0"/>
          <w:sz w:val="24"/>
          <w:szCs w:val="24"/>
          <w:highlight w:val="none"/>
        </w:rPr>
        <w:t>第五章 工程量清单</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fldChar w:fldCharType="begin"/>
      </w:r>
      <w:r>
        <w:rPr>
          <w:rFonts w:hint="eastAsia" w:asciiTheme="minorEastAsia" w:hAnsiTheme="minorEastAsia" w:eastAsiaTheme="minorEastAsia" w:cstheme="minorEastAsia"/>
          <w:b w:val="0"/>
          <w:bCs w:val="0"/>
          <w:sz w:val="24"/>
          <w:szCs w:val="24"/>
          <w:highlight w:val="none"/>
        </w:rPr>
        <w:instrText xml:space="preserve"> PAGEREF _Toc16582 </w:instrText>
      </w:r>
      <w:r>
        <w:rPr>
          <w:rFonts w:hint="eastAsia" w:asciiTheme="minorEastAsia" w:hAnsiTheme="minorEastAsia" w:eastAsiaTheme="minorEastAsia" w:cstheme="minorEastAsia"/>
          <w:b w:val="0"/>
          <w:bCs w:val="0"/>
          <w:sz w:val="24"/>
          <w:szCs w:val="24"/>
          <w:highlight w:val="none"/>
        </w:rPr>
        <w:fldChar w:fldCharType="separate"/>
      </w:r>
      <w:r>
        <w:rPr>
          <w:rFonts w:hint="eastAsia" w:asciiTheme="minorEastAsia" w:hAnsiTheme="minorEastAsia" w:eastAsiaTheme="minorEastAsia" w:cstheme="minorEastAsia"/>
          <w:b w:val="0"/>
          <w:bCs w:val="0"/>
          <w:sz w:val="24"/>
          <w:szCs w:val="24"/>
          <w:highlight w:val="none"/>
        </w:rPr>
        <w:t>38</w:t>
      </w:r>
      <w:r>
        <w:rPr>
          <w:rFonts w:hint="eastAsia" w:asciiTheme="minorEastAsia" w:hAnsiTheme="minorEastAsia" w:eastAsiaTheme="minorEastAsia" w:cstheme="minorEastAsia"/>
          <w:b w:val="0"/>
          <w:bCs w:val="0"/>
          <w:sz w:val="24"/>
          <w:szCs w:val="24"/>
          <w:highlight w:val="none"/>
        </w:rPr>
        <w:fldChar w:fldCharType="end"/>
      </w:r>
      <w:r>
        <w:rPr>
          <w:rFonts w:hint="eastAsia" w:asciiTheme="minorEastAsia" w:hAnsiTheme="minorEastAsia" w:eastAsiaTheme="minorEastAsia" w:cstheme="minorEastAsia"/>
          <w:b w:val="0"/>
          <w:bCs w:val="0"/>
          <w:sz w:val="24"/>
          <w:szCs w:val="24"/>
          <w:highlight w:val="none"/>
        </w:rPr>
        <w:fldChar w:fldCharType="end"/>
      </w:r>
    </w:p>
    <w:p>
      <w:pPr>
        <w:pStyle w:val="24"/>
        <w:shd w:val="clear"/>
        <w:tabs>
          <w:tab w:val="right" w:leader="dot" w:pos="8788"/>
        </w:tabs>
        <w:spacing w:line="480" w:lineRule="auto"/>
        <w:rPr>
          <w:rFonts w:asciiTheme="minorEastAsia" w:hAnsiTheme="minorEastAsia" w:eastAsiaTheme="minorEastAsia" w:cstheme="minorEastAsia"/>
          <w:b w:val="0"/>
          <w:bCs w:val="0"/>
          <w:sz w:val="24"/>
          <w:szCs w:val="24"/>
          <w:highlight w:val="none"/>
        </w:rPr>
      </w:pPr>
      <w:r>
        <w:rPr>
          <w:highlight w:val="none"/>
        </w:rPr>
        <w:fldChar w:fldCharType="begin"/>
      </w:r>
      <w:r>
        <w:rPr>
          <w:highlight w:val="none"/>
        </w:rPr>
        <w:instrText xml:space="preserve"> HYPERLINK \l "_Toc721" </w:instrText>
      </w:r>
      <w:r>
        <w:rPr>
          <w:highlight w:val="none"/>
        </w:rPr>
        <w:fldChar w:fldCharType="separate"/>
      </w:r>
      <w:r>
        <w:rPr>
          <w:rFonts w:hint="eastAsia" w:asciiTheme="minorEastAsia" w:hAnsiTheme="minorEastAsia" w:eastAsiaTheme="minorEastAsia" w:cstheme="minorEastAsia"/>
          <w:b w:val="0"/>
          <w:bCs w:val="0"/>
          <w:sz w:val="24"/>
          <w:szCs w:val="24"/>
          <w:highlight w:val="none"/>
        </w:rPr>
        <w:t>第六章 项目概况及技术要求</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rPr>
        <w:fldChar w:fldCharType="begin"/>
      </w:r>
      <w:r>
        <w:rPr>
          <w:rFonts w:hint="eastAsia" w:asciiTheme="minorEastAsia" w:hAnsiTheme="minorEastAsia" w:eastAsiaTheme="minorEastAsia" w:cstheme="minorEastAsia"/>
          <w:b w:val="0"/>
          <w:bCs w:val="0"/>
          <w:sz w:val="24"/>
          <w:szCs w:val="24"/>
          <w:highlight w:val="none"/>
        </w:rPr>
        <w:instrText xml:space="preserve"> PAGEREF _Toc721 </w:instrText>
      </w:r>
      <w:r>
        <w:rPr>
          <w:rFonts w:hint="eastAsia" w:asciiTheme="minorEastAsia" w:hAnsiTheme="minorEastAsia" w:eastAsiaTheme="minorEastAsia" w:cstheme="minorEastAsia"/>
          <w:b w:val="0"/>
          <w:bCs w:val="0"/>
          <w:sz w:val="24"/>
          <w:szCs w:val="24"/>
          <w:highlight w:val="none"/>
        </w:rPr>
        <w:fldChar w:fldCharType="separate"/>
      </w:r>
      <w:r>
        <w:rPr>
          <w:rFonts w:hint="eastAsia" w:asciiTheme="minorEastAsia" w:hAnsiTheme="minorEastAsia" w:eastAsiaTheme="minorEastAsia" w:cstheme="minorEastAsia"/>
          <w:b w:val="0"/>
          <w:bCs w:val="0"/>
          <w:sz w:val="24"/>
          <w:szCs w:val="24"/>
          <w:highlight w:val="none"/>
        </w:rPr>
        <w:t>44</w:t>
      </w:r>
      <w:r>
        <w:rPr>
          <w:rFonts w:hint="eastAsia" w:asciiTheme="minorEastAsia" w:hAnsiTheme="minorEastAsia" w:eastAsiaTheme="minorEastAsia" w:cstheme="minorEastAsia"/>
          <w:b w:val="0"/>
          <w:bCs w:val="0"/>
          <w:sz w:val="24"/>
          <w:szCs w:val="24"/>
          <w:highlight w:val="none"/>
        </w:rPr>
        <w:fldChar w:fldCharType="end"/>
      </w:r>
      <w:r>
        <w:rPr>
          <w:rFonts w:hint="eastAsia" w:asciiTheme="minorEastAsia" w:hAnsiTheme="minorEastAsia" w:eastAsiaTheme="minorEastAsia" w:cstheme="minorEastAsia"/>
          <w:b w:val="0"/>
          <w:bCs w:val="0"/>
          <w:sz w:val="24"/>
          <w:szCs w:val="24"/>
          <w:highlight w:val="none"/>
        </w:rPr>
        <w:fldChar w:fldCharType="end"/>
      </w:r>
    </w:p>
    <w:p>
      <w:pPr>
        <w:pStyle w:val="24"/>
        <w:shd w:val="clear"/>
        <w:tabs>
          <w:tab w:val="right" w:leader="dot" w:pos="8788"/>
        </w:tabs>
        <w:spacing w:line="480" w:lineRule="auto"/>
        <w:rPr>
          <w:rFonts w:hint="eastAsia" w:eastAsiaTheme="minorEastAsia"/>
          <w:highlight w:val="none"/>
          <w:lang w:val="en-US" w:eastAsia="zh-CN"/>
        </w:rPr>
      </w:pPr>
      <w:r>
        <w:rPr>
          <w:highlight w:val="none"/>
        </w:rPr>
        <w:fldChar w:fldCharType="begin"/>
      </w:r>
      <w:r>
        <w:rPr>
          <w:highlight w:val="none"/>
        </w:rPr>
        <w:instrText xml:space="preserve"> HYPERLINK \l "_Toc14636" </w:instrText>
      </w:r>
      <w:r>
        <w:rPr>
          <w:highlight w:val="none"/>
        </w:rPr>
        <w:fldChar w:fldCharType="separate"/>
      </w:r>
      <w:r>
        <w:rPr>
          <w:rFonts w:hint="eastAsia" w:asciiTheme="minorEastAsia" w:hAnsiTheme="minorEastAsia" w:eastAsiaTheme="minorEastAsia" w:cstheme="minorEastAsia"/>
          <w:b w:val="0"/>
          <w:bCs w:val="0"/>
          <w:sz w:val="24"/>
          <w:szCs w:val="24"/>
          <w:highlight w:val="none"/>
        </w:rPr>
        <w:t>第</w:t>
      </w:r>
      <w:r>
        <w:rPr>
          <w:rFonts w:hint="eastAsia" w:asciiTheme="minorEastAsia" w:hAnsiTheme="minorEastAsia" w:eastAsiaTheme="minorEastAsia" w:cstheme="minorEastAsia"/>
          <w:b w:val="0"/>
          <w:bCs w:val="0"/>
          <w:sz w:val="24"/>
          <w:szCs w:val="24"/>
          <w:highlight w:val="none"/>
          <w:lang w:eastAsia="zh-CN"/>
        </w:rPr>
        <w:t>七</w:t>
      </w:r>
      <w:r>
        <w:rPr>
          <w:rFonts w:hint="eastAsia" w:asciiTheme="minorEastAsia" w:hAnsiTheme="minorEastAsia" w:eastAsiaTheme="minorEastAsia" w:cstheme="minorEastAsia"/>
          <w:b w:val="0"/>
          <w:bCs w:val="0"/>
          <w:sz w:val="24"/>
          <w:szCs w:val="24"/>
          <w:highlight w:val="none"/>
        </w:rPr>
        <w:t>章 竞争性磋商响应文件构成及格式</w:t>
      </w:r>
      <w:r>
        <w:rPr>
          <w:rFonts w:hint="eastAsia" w:asciiTheme="minorEastAsia" w:hAnsiTheme="minorEastAsia" w:eastAsiaTheme="minorEastAsia" w:cstheme="minorEastAsia"/>
          <w:b w:val="0"/>
          <w:bCs w:val="0"/>
          <w:sz w:val="24"/>
          <w:szCs w:val="24"/>
          <w:highlight w:val="none"/>
        </w:rPr>
        <w:tab/>
      </w:r>
      <w:r>
        <w:rPr>
          <w:rFonts w:hint="eastAsia" w:asciiTheme="minorEastAsia" w:hAnsiTheme="minorEastAsia" w:eastAsiaTheme="minorEastAsia" w:cstheme="minorEastAsia"/>
          <w:b w:val="0"/>
          <w:bCs w:val="0"/>
          <w:sz w:val="24"/>
          <w:szCs w:val="24"/>
          <w:highlight w:val="none"/>
          <w:lang w:val="en-US" w:eastAsia="zh-CN"/>
        </w:rPr>
        <w:t>4</w:t>
      </w:r>
      <w:r>
        <w:rPr>
          <w:rFonts w:hint="eastAsia" w:asciiTheme="minorEastAsia" w:hAnsiTheme="minorEastAsia" w:eastAsiaTheme="minorEastAsia" w:cstheme="minorEastAsia"/>
          <w:b w:val="0"/>
          <w:bCs w:val="0"/>
          <w:sz w:val="24"/>
          <w:szCs w:val="24"/>
          <w:highlight w:val="none"/>
        </w:rPr>
        <w:fldChar w:fldCharType="end"/>
      </w:r>
      <w:r>
        <w:rPr>
          <w:rFonts w:hint="eastAsia" w:asciiTheme="minorEastAsia" w:hAnsiTheme="minorEastAsia" w:eastAsiaTheme="minorEastAsia" w:cstheme="minorEastAsia"/>
          <w:b w:val="0"/>
          <w:bCs w:val="0"/>
          <w:sz w:val="24"/>
          <w:szCs w:val="24"/>
          <w:highlight w:val="none"/>
          <w:lang w:val="en-US" w:eastAsia="zh-CN"/>
        </w:rPr>
        <w:t>5</w:t>
      </w:r>
    </w:p>
    <w:p>
      <w:pPr>
        <w:pStyle w:val="24"/>
        <w:shd w:val="clear"/>
        <w:tabs>
          <w:tab w:val="right" w:leader="dot" w:pos="8787"/>
        </w:tabs>
        <w:spacing w:before="0" w:after="0" w:line="480" w:lineRule="auto"/>
        <w:rPr>
          <w:rFonts w:cs="Times New Roman"/>
          <w:sz w:val="24"/>
          <w:szCs w:val="24"/>
          <w:highlight w:val="none"/>
        </w:rPr>
      </w:pPr>
      <w:r>
        <w:rPr>
          <w:highlight w:val="none"/>
        </w:rPr>
        <w:fldChar w:fldCharType="end"/>
      </w:r>
    </w:p>
    <w:p>
      <w:pPr>
        <w:shd w:val="clear"/>
        <w:rPr>
          <w:highlight w:val="none"/>
        </w:rPr>
      </w:pPr>
    </w:p>
    <w:p>
      <w:pPr>
        <w:shd w:val="clear"/>
        <w:rPr>
          <w:rFonts w:ascii="宋体"/>
          <w:sz w:val="36"/>
          <w:szCs w:val="36"/>
          <w:highlight w:val="none"/>
        </w:rPr>
      </w:pPr>
    </w:p>
    <w:p>
      <w:pPr>
        <w:shd w:val="clear"/>
        <w:rPr>
          <w:rFonts w:ascii="宋体"/>
          <w:sz w:val="36"/>
          <w:szCs w:val="36"/>
          <w:highlight w:val="none"/>
        </w:rPr>
      </w:pPr>
    </w:p>
    <w:p>
      <w:pPr>
        <w:shd w:val="clear"/>
        <w:rPr>
          <w:rFonts w:ascii="宋体"/>
          <w:sz w:val="36"/>
          <w:szCs w:val="36"/>
          <w:highlight w:val="none"/>
        </w:rPr>
      </w:pPr>
    </w:p>
    <w:p>
      <w:pPr>
        <w:shd w:val="clear"/>
        <w:rPr>
          <w:rFonts w:ascii="宋体"/>
          <w:sz w:val="36"/>
          <w:szCs w:val="36"/>
          <w:highlight w:val="none"/>
        </w:rPr>
      </w:pPr>
    </w:p>
    <w:p>
      <w:pPr>
        <w:shd w:val="clear"/>
        <w:rPr>
          <w:rFonts w:ascii="宋体"/>
          <w:sz w:val="36"/>
          <w:szCs w:val="36"/>
          <w:highlight w:val="none"/>
        </w:rPr>
      </w:pPr>
    </w:p>
    <w:p>
      <w:pPr>
        <w:shd w:val="clear"/>
        <w:rPr>
          <w:rFonts w:ascii="宋体"/>
          <w:sz w:val="36"/>
          <w:szCs w:val="36"/>
          <w:highlight w:val="none"/>
        </w:rPr>
      </w:pPr>
    </w:p>
    <w:p>
      <w:pPr>
        <w:shd w:val="clear"/>
        <w:rPr>
          <w:rFonts w:ascii="宋体"/>
          <w:sz w:val="36"/>
          <w:szCs w:val="36"/>
          <w:highlight w:val="none"/>
        </w:rPr>
      </w:pPr>
    </w:p>
    <w:p>
      <w:pPr>
        <w:shd w:val="clear"/>
        <w:rPr>
          <w:rFonts w:ascii="宋体"/>
          <w:sz w:val="36"/>
          <w:szCs w:val="36"/>
          <w:highlight w:val="none"/>
        </w:rPr>
      </w:pPr>
    </w:p>
    <w:bookmarkEnd w:id="1"/>
    <w:bookmarkEnd w:id="2"/>
    <w:bookmarkEnd w:id="3"/>
    <w:bookmarkEnd w:id="4"/>
    <w:bookmarkEnd w:id="5"/>
    <w:bookmarkEnd w:id="6"/>
    <w:bookmarkEnd w:id="7"/>
    <w:bookmarkEnd w:id="8"/>
    <w:p>
      <w:pPr>
        <w:widowControl/>
        <w:shd w:val="clear"/>
        <w:spacing w:line="360" w:lineRule="auto"/>
        <w:ind w:firstLine="482" w:firstLineChars="150"/>
        <w:jc w:val="center"/>
        <w:outlineLvl w:val="0"/>
        <w:rPr>
          <w:rFonts w:ascii="宋体" w:hAnsi="宋体" w:cs="宋体"/>
          <w:b/>
          <w:bCs/>
          <w:sz w:val="32"/>
          <w:szCs w:val="32"/>
          <w:highlight w:val="none"/>
        </w:rPr>
        <w:sectPr>
          <w:footerReference r:id="rId7" w:type="first"/>
          <w:footerReference r:id="rId6" w:type="default"/>
          <w:pgSz w:w="11906" w:h="16838"/>
          <w:pgMar w:top="1417" w:right="1417" w:bottom="1417" w:left="1701" w:header="851" w:footer="992" w:gutter="0"/>
          <w:pgNumType w:start="1"/>
          <w:cols w:space="0" w:num="1"/>
          <w:docGrid w:type="lines" w:linePitch="312" w:charSpace="0"/>
        </w:sectPr>
      </w:pPr>
      <w:bookmarkStart w:id="9" w:name="_Toc452384741"/>
    </w:p>
    <w:p>
      <w:pPr>
        <w:pStyle w:val="3"/>
        <w:keepNext w:val="0"/>
        <w:pageBreakBefore/>
        <w:shd w:val="clear"/>
        <w:spacing w:beforeLines="50" w:afterLines="50"/>
        <w:jc w:val="center"/>
        <w:rPr>
          <w:rFonts w:ascii="宋体"/>
          <w:sz w:val="36"/>
          <w:szCs w:val="36"/>
          <w:highlight w:val="none"/>
        </w:rPr>
      </w:pPr>
      <w:bookmarkStart w:id="10" w:name="_Toc30112"/>
      <w:r>
        <w:rPr>
          <w:rFonts w:hint="eastAsia" w:ascii="宋体" w:hAnsi="宋体" w:cs="宋体"/>
          <w:sz w:val="36"/>
          <w:szCs w:val="36"/>
          <w:highlight w:val="none"/>
        </w:rPr>
        <w:t>第一章</w:t>
      </w:r>
      <w:bookmarkEnd w:id="9"/>
      <w:r>
        <w:rPr>
          <w:rFonts w:hint="eastAsia" w:ascii="宋体" w:hAnsi="宋体" w:cs="宋体"/>
          <w:sz w:val="36"/>
          <w:szCs w:val="36"/>
          <w:highlight w:val="none"/>
        </w:rPr>
        <w:t xml:space="preserve">  竞争性磋商公告</w:t>
      </w:r>
      <w:bookmarkEnd w:id="10"/>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华夏国际项目管理有限公司受</w:t>
      </w:r>
      <w:r>
        <w:rPr>
          <w:rFonts w:hint="eastAsia" w:ascii="微软雅黑" w:hAnsi="微软雅黑" w:eastAsia="微软雅黑" w:cs="微软雅黑"/>
          <w:i w:val="0"/>
          <w:caps w:val="0"/>
          <w:color w:val="333333"/>
          <w:spacing w:val="0"/>
          <w:sz w:val="21"/>
          <w:szCs w:val="21"/>
          <w:highlight w:val="none"/>
          <w:shd w:val="clear" w:fill="FFFFFF"/>
          <w:lang w:eastAsia="zh-CN"/>
        </w:rPr>
        <w:t>铜川市新区创建全国文明城市工作领导小组办公室</w:t>
      </w:r>
      <w:r>
        <w:rPr>
          <w:rFonts w:hint="eastAsia" w:ascii="微软雅黑" w:hAnsi="微软雅黑" w:eastAsia="微软雅黑" w:cs="微软雅黑"/>
          <w:i w:val="0"/>
          <w:caps w:val="0"/>
          <w:color w:val="333333"/>
          <w:spacing w:val="0"/>
          <w:sz w:val="21"/>
          <w:szCs w:val="21"/>
          <w:highlight w:val="none"/>
          <w:shd w:val="clear" w:fill="FFFFFF"/>
        </w:rPr>
        <w:t>的委托，按照政府采购程序，对</w:t>
      </w:r>
      <w:r>
        <w:rPr>
          <w:rFonts w:hint="eastAsia" w:ascii="微软雅黑" w:hAnsi="微软雅黑" w:eastAsia="微软雅黑" w:cs="微软雅黑"/>
          <w:i w:val="0"/>
          <w:caps w:val="0"/>
          <w:color w:val="333333"/>
          <w:spacing w:val="0"/>
          <w:sz w:val="21"/>
          <w:szCs w:val="21"/>
          <w:highlight w:val="none"/>
          <w:shd w:val="clear" w:fill="FFFFFF"/>
          <w:lang w:eastAsia="zh-CN"/>
        </w:rPr>
        <w:t>铜川市新区创文办老旧小区基础设施改造提升项目</w:t>
      </w:r>
      <w:r>
        <w:rPr>
          <w:rFonts w:hint="eastAsia" w:ascii="微软雅黑" w:hAnsi="微软雅黑" w:eastAsia="微软雅黑" w:cs="微软雅黑"/>
          <w:i w:val="0"/>
          <w:caps w:val="0"/>
          <w:color w:val="333333"/>
          <w:spacing w:val="0"/>
          <w:sz w:val="21"/>
          <w:szCs w:val="21"/>
          <w:highlight w:val="none"/>
          <w:shd w:val="clear" w:fill="FFFFFF"/>
        </w:rPr>
        <w:t>进行竞争性磋商采购，欢迎符合资格条件的、有能力提供本项目所需货物和服务的供应商参加投标。</w:t>
      </w:r>
    </w:p>
    <w:p>
      <w:pPr>
        <w:pStyle w:val="3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shd w:val="clear" w:fill="FFFFFF"/>
          <w:lang w:eastAsia="zh-CN"/>
        </w:rPr>
      </w:pPr>
      <w:r>
        <w:rPr>
          <w:rFonts w:hint="eastAsia" w:ascii="微软雅黑" w:hAnsi="微软雅黑" w:eastAsia="微软雅黑" w:cs="微软雅黑"/>
          <w:b/>
          <w:i w:val="0"/>
          <w:caps w:val="0"/>
          <w:color w:val="333333"/>
          <w:spacing w:val="0"/>
          <w:sz w:val="22"/>
          <w:szCs w:val="22"/>
          <w:highlight w:val="none"/>
          <w:shd w:val="clear" w:fill="FFFFFF"/>
        </w:rPr>
        <w:t>采购项目名称：</w:t>
      </w:r>
      <w:r>
        <w:rPr>
          <w:rFonts w:hint="eastAsia" w:ascii="微软雅黑" w:hAnsi="微软雅黑" w:eastAsia="微软雅黑" w:cs="微软雅黑"/>
          <w:b/>
          <w:i w:val="0"/>
          <w:caps w:val="0"/>
          <w:color w:val="333333"/>
          <w:spacing w:val="0"/>
          <w:sz w:val="22"/>
          <w:szCs w:val="22"/>
          <w:highlight w:val="none"/>
          <w:shd w:val="clear" w:fill="FFFFFF"/>
          <w:lang w:eastAsia="zh-CN"/>
        </w:rPr>
        <w:t>铜川市新区创文办老旧小区基础设施改造提升项目</w:t>
      </w:r>
    </w:p>
    <w:p>
      <w:pPr>
        <w:pStyle w:val="3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lang w:eastAsia="zh-CN"/>
        </w:rPr>
      </w:pPr>
      <w:r>
        <w:rPr>
          <w:rFonts w:hint="eastAsia" w:ascii="微软雅黑" w:hAnsi="微软雅黑" w:eastAsia="微软雅黑" w:cs="微软雅黑"/>
          <w:b/>
          <w:i w:val="0"/>
          <w:caps w:val="0"/>
          <w:color w:val="333333"/>
          <w:spacing w:val="0"/>
          <w:sz w:val="22"/>
          <w:szCs w:val="22"/>
          <w:highlight w:val="none"/>
          <w:shd w:val="clear" w:fill="FFFFFF"/>
        </w:rPr>
        <w:t>采购项目编号：</w:t>
      </w:r>
      <w:r>
        <w:rPr>
          <w:rFonts w:hint="eastAsia" w:ascii="微软雅黑" w:hAnsi="微软雅黑" w:eastAsia="微软雅黑" w:cs="微软雅黑"/>
          <w:b/>
          <w:i w:val="0"/>
          <w:caps w:val="0"/>
          <w:color w:val="333333"/>
          <w:spacing w:val="0"/>
          <w:sz w:val="22"/>
          <w:szCs w:val="22"/>
          <w:highlight w:val="none"/>
          <w:shd w:val="clear" w:fill="FFFFFF"/>
          <w:lang w:eastAsia="zh-CN"/>
        </w:rPr>
        <w:t>SXHXZB2019-ZC-CS1289</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lang w:eastAsia="zh-CN"/>
        </w:rPr>
      </w:pPr>
      <w:r>
        <w:rPr>
          <w:rFonts w:hint="eastAsia" w:ascii="微软雅黑" w:hAnsi="微软雅黑" w:eastAsia="微软雅黑" w:cs="微软雅黑"/>
          <w:b/>
          <w:i w:val="0"/>
          <w:caps w:val="0"/>
          <w:color w:val="333333"/>
          <w:spacing w:val="0"/>
          <w:sz w:val="22"/>
          <w:szCs w:val="22"/>
          <w:highlight w:val="none"/>
          <w:shd w:val="clear" w:fill="FFFFFF"/>
        </w:rPr>
        <w:t>三、采购人名称：</w:t>
      </w:r>
      <w:r>
        <w:rPr>
          <w:rFonts w:hint="eastAsia" w:ascii="微软雅黑" w:hAnsi="微软雅黑" w:eastAsia="微软雅黑" w:cs="微软雅黑"/>
          <w:b/>
          <w:i w:val="0"/>
          <w:caps w:val="0"/>
          <w:color w:val="333333"/>
          <w:spacing w:val="0"/>
          <w:sz w:val="22"/>
          <w:szCs w:val="22"/>
          <w:highlight w:val="none"/>
          <w:shd w:val="clear" w:fill="FFFFFF"/>
          <w:lang w:eastAsia="zh-CN"/>
        </w:rPr>
        <w:t>铜川市新区创建全国文明城市工作领导小组办公室</w:t>
      </w:r>
      <w:r>
        <w:rPr>
          <w:rFonts w:hint="eastAsia" w:ascii="微软雅黑" w:hAnsi="微软雅黑" w:eastAsia="微软雅黑" w:cs="微软雅黑"/>
          <w:b/>
          <w:i w:val="0"/>
          <w:caps w:val="0"/>
          <w:color w:val="333333"/>
          <w:spacing w:val="0"/>
          <w:sz w:val="22"/>
          <w:szCs w:val="22"/>
          <w:highlight w:val="none"/>
          <w:shd w:val="clear" w:fill="FFFFFF"/>
          <w:lang w:val="en-US" w:eastAsia="zh-CN"/>
        </w:rPr>
        <w:t xml:space="preserve">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fill="FFFFFF"/>
          <w:lang w:eastAsia="zh-CN"/>
        </w:rPr>
      </w:pPr>
      <w:r>
        <w:rPr>
          <w:rFonts w:hint="eastAsia" w:ascii="微软雅黑" w:hAnsi="微软雅黑" w:eastAsia="微软雅黑" w:cs="微软雅黑"/>
          <w:i w:val="0"/>
          <w:caps w:val="0"/>
          <w:color w:val="333333"/>
          <w:spacing w:val="0"/>
          <w:sz w:val="21"/>
          <w:szCs w:val="21"/>
          <w:highlight w:val="none"/>
          <w:shd w:val="clear" w:fill="FFFFFF"/>
        </w:rPr>
        <w:t>地址：铜川市新区金谟西路崇文街D排3号</w:t>
      </w:r>
      <w:r>
        <w:rPr>
          <w:rFonts w:hint="eastAsia" w:ascii="微软雅黑" w:hAnsi="微软雅黑" w:eastAsia="微软雅黑" w:cs="微软雅黑"/>
          <w:i w:val="0"/>
          <w:caps w:val="0"/>
          <w:color w:val="333333"/>
          <w:spacing w:val="0"/>
          <w:sz w:val="21"/>
          <w:szCs w:val="21"/>
          <w:highlight w:val="none"/>
          <w:shd w:val="clear" w:fill="FFFFFF"/>
          <w:lang w:val="en-US" w:eastAsia="zh-CN"/>
        </w:rPr>
        <w:t xml:space="preserve">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lang w:val="en-US" w:eastAsia="zh-CN"/>
        </w:rPr>
      </w:pPr>
      <w:r>
        <w:rPr>
          <w:rFonts w:hint="eastAsia" w:ascii="微软雅黑" w:hAnsi="微软雅黑" w:eastAsia="微软雅黑" w:cs="微软雅黑"/>
          <w:i w:val="0"/>
          <w:caps w:val="0"/>
          <w:color w:val="333333"/>
          <w:spacing w:val="0"/>
          <w:sz w:val="21"/>
          <w:szCs w:val="21"/>
          <w:highlight w:val="none"/>
          <w:shd w:val="clear" w:fill="FFFFFF"/>
        </w:rPr>
        <w:t>联系人：</w:t>
      </w:r>
      <w:r>
        <w:rPr>
          <w:rFonts w:hint="eastAsia" w:ascii="微软雅黑" w:hAnsi="微软雅黑" w:eastAsia="微软雅黑" w:cs="微软雅黑"/>
          <w:i w:val="0"/>
          <w:caps w:val="0"/>
          <w:color w:val="333333"/>
          <w:spacing w:val="0"/>
          <w:sz w:val="21"/>
          <w:szCs w:val="21"/>
          <w:highlight w:val="none"/>
          <w:shd w:val="clear" w:fill="FFFFFF"/>
          <w:lang w:eastAsia="zh-CN"/>
        </w:rPr>
        <w:t>新区创文办经办</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电话：</w:t>
      </w:r>
      <w:r>
        <w:rPr>
          <w:rFonts w:hint="eastAsia" w:ascii="微软雅黑" w:hAnsi="微软雅黑" w:eastAsia="微软雅黑" w:cs="微软雅黑"/>
          <w:i w:val="0"/>
          <w:caps w:val="0"/>
          <w:color w:val="333333"/>
          <w:spacing w:val="0"/>
          <w:sz w:val="21"/>
          <w:szCs w:val="21"/>
          <w:highlight w:val="none"/>
          <w:shd w:val="clear" w:fill="FFFFFF"/>
          <w:lang w:val="en-US" w:eastAsia="zh-CN"/>
        </w:rPr>
        <w:t>0919-3180716</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rPr>
      </w:pPr>
      <w:r>
        <w:rPr>
          <w:rFonts w:hint="eastAsia" w:ascii="微软雅黑" w:hAnsi="微软雅黑" w:eastAsia="微软雅黑" w:cs="微软雅黑"/>
          <w:b/>
          <w:i w:val="0"/>
          <w:caps w:val="0"/>
          <w:color w:val="333333"/>
          <w:spacing w:val="0"/>
          <w:sz w:val="22"/>
          <w:szCs w:val="22"/>
          <w:highlight w:val="none"/>
          <w:shd w:val="clear" w:fill="FFFFFF"/>
        </w:rPr>
        <w:t>四、采购代理机构名称：华夏国际项目管理有限公司</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地址：西安市高新区科技五路8号数字大厦11楼</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联系人：</w:t>
      </w:r>
      <w:r>
        <w:rPr>
          <w:rFonts w:hint="eastAsia" w:ascii="微软雅黑" w:hAnsi="微软雅黑" w:eastAsia="微软雅黑" w:cs="微软雅黑"/>
          <w:i w:val="0"/>
          <w:caps w:val="0"/>
          <w:color w:val="333333"/>
          <w:spacing w:val="0"/>
          <w:sz w:val="21"/>
          <w:szCs w:val="21"/>
          <w:highlight w:val="none"/>
          <w:shd w:val="clear" w:fill="FFFFFF"/>
          <w:lang w:eastAsia="zh-CN"/>
        </w:rPr>
        <w:t>杜婷</w:t>
      </w:r>
      <w:r>
        <w:rPr>
          <w:rFonts w:hint="eastAsia" w:ascii="微软雅黑" w:hAnsi="微软雅黑" w:eastAsia="微软雅黑" w:cs="微软雅黑"/>
          <w:i w:val="0"/>
          <w:caps w:val="0"/>
          <w:color w:val="333333"/>
          <w:spacing w:val="0"/>
          <w:sz w:val="21"/>
          <w:szCs w:val="21"/>
          <w:highlight w:val="none"/>
          <w:shd w:val="clear" w:fill="FFFFFF"/>
        </w:rPr>
        <w:t xml:space="preserve"> 李莹 张艳萍</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lang w:val="en-US" w:eastAsia="zh-CN"/>
        </w:rPr>
      </w:pPr>
      <w:r>
        <w:rPr>
          <w:rFonts w:hint="eastAsia" w:ascii="微软雅黑" w:hAnsi="微软雅黑" w:eastAsia="微软雅黑" w:cs="微软雅黑"/>
          <w:i w:val="0"/>
          <w:caps w:val="0"/>
          <w:color w:val="333333"/>
          <w:spacing w:val="0"/>
          <w:sz w:val="21"/>
          <w:szCs w:val="21"/>
          <w:highlight w:val="none"/>
          <w:shd w:val="clear" w:fill="FFFFFF"/>
        </w:rPr>
        <w:t>电话：029-88899970-81</w:t>
      </w:r>
      <w:r>
        <w:rPr>
          <w:rFonts w:hint="eastAsia" w:ascii="微软雅黑" w:hAnsi="微软雅黑" w:eastAsia="微软雅黑" w:cs="微软雅黑"/>
          <w:i w:val="0"/>
          <w:caps w:val="0"/>
          <w:color w:val="333333"/>
          <w:spacing w:val="0"/>
          <w:sz w:val="21"/>
          <w:szCs w:val="21"/>
          <w:highlight w:val="none"/>
          <w:shd w:val="clear" w:fill="FFFFFF"/>
          <w:lang w:val="en-US" w:eastAsia="zh-CN"/>
        </w:rPr>
        <w:t>8</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传真：/</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rPr>
      </w:pPr>
      <w:r>
        <w:rPr>
          <w:rFonts w:hint="eastAsia" w:ascii="微软雅黑" w:hAnsi="微软雅黑" w:eastAsia="微软雅黑" w:cs="微软雅黑"/>
          <w:b/>
          <w:i w:val="0"/>
          <w:caps w:val="0"/>
          <w:color w:val="333333"/>
          <w:spacing w:val="0"/>
          <w:sz w:val="22"/>
          <w:szCs w:val="22"/>
          <w:highlight w:val="none"/>
          <w:shd w:val="clear" w:fill="FFFFFF"/>
        </w:rPr>
        <w:t>五、采购内容和需求：</w:t>
      </w:r>
      <w:r>
        <w:rPr>
          <w:rFonts w:hint="eastAsia" w:ascii="微软雅黑" w:hAnsi="微软雅黑" w:eastAsia="微软雅黑" w:cs="微软雅黑"/>
          <w:b/>
          <w:i w:val="0"/>
          <w:caps w:val="0"/>
          <w:color w:val="333333"/>
          <w:spacing w:val="0"/>
          <w:sz w:val="22"/>
          <w:szCs w:val="22"/>
          <w:highlight w:val="none"/>
          <w:shd w:val="clear" w:fill="FFFFFF"/>
          <w:lang w:eastAsia="zh-CN"/>
        </w:rPr>
        <w:t>铜川市新区创文办老旧小区基础设施改造提升项目</w:t>
      </w:r>
      <w:r>
        <w:rPr>
          <w:rFonts w:hint="eastAsia" w:ascii="微软雅黑" w:hAnsi="微软雅黑" w:eastAsia="微软雅黑" w:cs="微软雅黑"/>
          <w:b/>
          <w:i w:val="0"/>
          <w:caps w:val="0"/>
          <w:color w:val="333333"/>
          <w:spacing w:val="0"/>
          <w:sz w:val="22"/>
          <w:szCs w:val="22"/>
          <w:highlight w:val="none"/>
          <w:shd w:val="clear" w:fill="FFFFFF"/>
        </w:rPr>
        <w:t>1项</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项目概况：</w:t>
      </w:r>
      <w:r>
        <w:rPr>
          <w:rFonts w:hint="eastAsia" w:ascii="微软雅黑" w:hAnsi="微软雅黑" w:eastAsia="微软雅黑" w:cs="微软雅黑"/>
          <w:i w:val="0"/>
          <w:caps w:val="0"/>
          <w:color w:val="333333"/>
          <w:spacing w:val="0"/>
          <w:sz w:val="21"/>
          <w:szCs w:val="21"/>
          <w:highlight w:val="none"/>
          <w:shd w:val="clear" w:fill="FFFFFF"/>
          <w:lang w:eastAsia="zh-CN"/>
        </w:rPr>
        <w:t>铜川市新区创文办老旧小区基础设施改造提升项目</w:t>
      </w:r>
      <w:r>
        <w:rPr>
          <w:rFonts w:hint="eastAsia" w:ascii="微软雅黑" w:hAnsi="微软雅黑" w:eastAsia="微软雅黑" w:cs="微软雅黑"/>
          <w:i w:val="0"/>
          <w:caps w:val="0"/>
          <w:color w:val="333333"/>
          <w:spacing w:val="0"/>
          <w:sz w:val="21"/>
          <w:szCs w:val="21"/>
          <w:highlight w:val="none"/>
          <w:shd w:val="clear" w:fill="FFFFFF"/>
        </w:rPr>
        <w:t>（详见工程量清单）</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lang w:eastAsia="zh-CN"/>
        </w:rPr>
      </w:pPr>
      <w:r>
        <w:rPr>
          <w:rFonts w:hint="eastAsia" w:ascii="微软雅黑" w:hAnsi="微软雅黑" w:eastAsia="微软雅黑" w:cs="微软雅黑"/>
          <w:i w:val="0"/>
          <w:caps w:val="0"/>
          <w:color w:val="333333"/>
          <w:spacing w:val="0"/>
          <w:sz w:val="21"/>
          <w:szCs w:val="21"/>
          <w:highlight w:val="none"/>
          <w:shd w:val="clear" w:fill="FFFFFF"/>
        </w:rPr>
        <w:t>项目用途：</w:t>
      </w:r>
      <w:r>
        <w:rPr>
          <w:rFonts w:hint="eastAsia" w:ascii="微软雅黑" w:hAnsi="微软雅黑" w:eastAsia="微软雅黑" w:cs="微软雅黑"/>
          <w:i w:val="0"/>
          <w:caps w:val="0"/>
          <w:color w:val="333333"/>
          <w:spacing w:val="0"/>
          <w:sz w:val="21"/>
          <w:szCs w:val="21"/>
          <w:highlight w:val="none"/>
          <w:shd w:val="clear" w:fill="FFFFFF"/>
          <w:lang w:eastAsia="zh-CN"/>
        </w:rPr>
        <w:t>改善居住环境</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采购预算：</w:t>
      </w:r>
      <w:r>
        <w:rPr>
          <w:rFonts w:hint="eastAsia" w:ascii="微软雅黑" w:hAnsi="微软雅黑" w:eastAsia="微软雅黑" w:cs="微软雅黑"/>
          <w:i w:val="0"/>
          <w:caps w:val="0"/>
          <w:color w:val="333333"/>
          <w:spacing w:val="0"/>
          <w:sz w:val="21"/>
          <w:szCs w:val="21"/>
          <w:highlight w:val="none"/>
          <w:shd w:val="clear" w:fill="FFFFFF"/>
          <w:lang w:val="en-US" w:eastAsia="zh-CN"/>
        </w:rPr>
        <w:t>788574.13</w:t>
      </w:r>
      <w:r>
        <w:rPr>
          <w:rFonts w:hint="eastAsia" w:ascii="微软雅黑" w:hAnsi="微软雅黑" w:eastAsia="微软雅黑" w:cs="微软雅黑"/>
          <w:i w:val="0"/>
          <w:caps w:val="0"/>
          <w:color w:val="333333"/>
          <w:spacing w:val="0"/>
          <w:sz w:val="21"/>
          <w:szCs w:val="21"/>
          <w:highlight w:val="none"/>
          <w:shd w:val="clear" w:fill="FFFFFF"/>
        </w:rPr>
        <w:t>元</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rPr>
      </w:pPr>
      <w:r>
        <w:rPr>
          <w:rFonts w:hint="eastAsia" w:ascii="微软雅黑" w:hAnsi="微软雅黑" w:eastAsia="微软雅黑" w:cs="微软雅黑"/>
          <w:b/>
          <w:i w:val="0"/>
          <w:caps w:val="0"/>
          <w:color w:val="333333"/>
          <w:spacing w:val="0"/>
          <w:sz w:val="22"/>
          <w:szCs w:val="22"/>
          <w:highlight w:val="none"/>
          <w:shd w:val="clear" w:fill="FFFFFF"/>
        </w:rPr>
        <w:t>六、投标供应商资格要求：</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（1）基本资格条件：符合《中华人民共和国政府采购法》第二十二条的规定；</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fill="FFFFFF"/>
        </w:rPr>
      </w:pPr>
      <w:r>
        <w:rPr>
          <w:rFonts w:hint="eastAsia" w:ascii="微软雅黑" w:hAnsi="微软雅黑" w:eastAsia="微软雅黑" w:cs="微软雅黑"/>
          <w:i w:val="0"/>
          <w:caps w:val="0"/>
          <w:color w:val="333333"/>
          <w:spacing w:val="0"/>
          <w:sz w:val="21"/>
          <w:szCs w:val="21"/>
          <w:highlight w:val="none"/>
          <w:shd w:val="clear" w:fill="FFFFFF"/>
        </w:rPr>
        <w:t>（2）特定资格条件：</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fill="FFFFFF"/>
        </w:rPr>
      </w:pPr>
      <w:r>
        <w:rPr>
          <w:rFonts w:hint="eastAsia" w:ascii="微软雅黑" w:hAnsi="微软雅黑" w:eastAsia="微软雅黑" w:cs="微软雅黑"/>
          <w:i w:val="0"/>
          <w:caps w:val="0"/>
          <w:color w:val="333333"/>
          <w:spacing w:val="0"/>
          <w:sz w:val="21"/>
          <w:szCs w:val="21"/>
          <w:highlight w:val="none"/>
          <w:shd w:val="clear" w:fill="FFFFFF"/>
        </w:rPr>
        <w:t xml:space="preserve">1、提供合格有效的法人或者其他组织的营业执照等证明文件，自然人的身份证明；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fill="FFFFFF"/>
        </w:rPr>
      </w:pPr>
      <w:r>
        <w:rPr>
          <w:rFonts w:hint="eastAsia" w:ascii="微软雅黑" w:hAnsi="微软雅黑" w:eastAsia="微软雅黑" w:cs="微软雅黑"/>
          <w:i w:val="0"/>
          <w:caps w:val="0"/>
          <w:color w:val="333333"/>
          <w:spacing w:val="0"/>
          <w:sz w:val="21"/>
          <w:szCs w:val="21"/>
          <w:highlight w:val="none"/>
          <w:shd w:val="clear" w:fill="FFFFFF"/>
        </w:rPr>
        <w:t xml:space="preserve">2、法定代表人授权书（附法定代表人、被授权人身份证复印件）及被授权人身份证（法定代表人直接参加磋商，须提供法定代表人身份证明及身份证原件）；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fill="FFFFFF"/>
        </w:rPr>
      </w:pPr>
      <w:r>
        <w:rPr>
          <w:rFonts w:hint="eastAsia" w:ascii="微软雅黑" w:hAnsi="微软雅黑" w:eastAsia="微软雅黑" w:cs="微软雅黑"/>
          <w:i w:val="0"/>
          <w:caps w:val="0"/>
          <w:color w:val="333333"/>
          <w:spacing w:val="0"/>
          <w:sz w:val="21"/>
          <w:szCs w:val="21"/>
          <w:highlight w:val="none"/>
          <w:shd w:val="clear" w:fill="FFFFFF"/>
          <w:lang w:val="en-US" w:eastAsia="zh-CN"/>
        </w:rPr>
        <w:t>3</w:t>
      </w:r>
      <w:r>
        <w:rPr>
          <w:rFonts w:hint="eastAsia" w:ascii="微软雅黑" w:hAnsi="微软雅黑" w:eastAsia="微软雅黑" w:cs="微软雅黑"/>
          <w:i w:val="0"/>
          <w:caps w:val="0"/>
          <w:color w:val="333333"/>
          <w:spacing w:val="0"/>
          <w:sz w:val="21"/>
          <w:szCs w:val="21"/>
          <w:highlight w:val="none"/>
          <w:shd w:val="clear" w:fill="FFFFFF"/>
        </w:rPr>
        <w:t xml:space="preserve">、财务状况报告：提供2018年度经审计的财务报告（成立时间至提交响应文件截止时间不足一年的可提供成立后任意时段的资产负债表），或其基本存款账户开户银行出具的资信证明及基本存款账户开户许可证；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fill="FFFFFF"/>
        </w:rPr>
      </w:pPr>
      <w:r>
        <w:rPr>
          <w:rFonts w:hint="eastAsia" w:ascii="微软雅黑" w:hAnsi="微软雅黑" w:eastAsia="微软雅黑" w:cs="微软雅黑"/>
          <w:i w:val="0"/>
          <w:caps w:val="0"/>
          <w:color w:val="333333"/>
          <w:spacing w:val="0"/>
          <w:sz w:val="21"/>
          <w:szCs w:val="21"/>
          <w:highlight w:val="none"/>
          <w:shd w:val="clear" w:fill="FFFFFF"/>
          <w:lang w:val="en-US" w:eastAsia="zh-CN"/>
        </w:rPr>
        <w:t>4</w:t>
      </w:r>
      <w:r>
        <w:rPr>
          <w:rFonts w:hint="eastAsia" w:ascii="微软雅黑" w:hAnsi="微软雅黑" w:eastAsia="微软雅黑" w:cs="微软雅黑"/>
          <w:i w:val="0"/>
          <w:caps w:val="0"/>
          <w:color w:val="333333"/>
          <w:spacing w:val="0"/>
          <w:sz w:val="21"/>
          <w:szCs w:val="21"/>
          <w:highlight w:val="none"/>
          <w:shd w:val="clear" w:fill="FFFFFF"/>
        </w:rPr>
        <w:t xml:space="preserve">、税收缴纳证明：提供磋商响应文件递交截止日前一年内至少一个月的纳税证明或完税证明，纳税证明或完税证明上应有代收机构或税务机关的公章或业务专用章。依法免税的供应商应提供相关文件证明；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fill="FFFFFF"/>
        </w:rPr>
      </w:pPr>
      <w:r>
        <w:rPr>
          <w:rFonts w:hint="eastAsia" w:ascii="微软雅黑" w:hAnsi="微软雅黑" w:eastAsia="微软雅黑" w:cs="微软雅黑"/>
          <w:i w:val="0"/>
          <w:caps w:val="0"/>
          <w:color w:val="333333"/>
          <w:spacing w:val="0"/>
          <w:sz w:val="21"/>
          <w:szCs w:val="21"/>
          <w:highlight w:val="none"/>
          <w:shd w:val="clear" w:fill="FFFFFF"/>
          <w:lang w:val="en-US" w:eastAsia="zh-CN"/>
        </w:rPr>
        <w:t>5</w:t>
      </w:r>
      <w:r>
        <w:rPr>
          <w:rFonts w:hint="eastAsia" w:ascii="微软雅黑" w:hAnsi="微软雅黑" w:eastAsia="微软雅黑" w:cs="微软雅黑"/>
          <w:i w:val="0"/>
          <w:caps w:val="0"/>
          <w:color w:val="333333"/>
          <w:spacing w:val="0"/>
          <w:sz w:val="21"/>
          <w:szCs w:val="21"/>
          <w:highlight w:val="none"/>
          <w:shd w:val="clear" w:fill="FFFFFF"/>
        </w:rPr>
        <w:t xml:space="preserve">、社会保障资金缴纳证明：提供磋商响应文件递交截止日前一年内已缴存的至少一个月的社会保障资金缴存单据或社保机构开具的社会保险参保缴费情况证明，依法不需要缴纳社会保障资金的单位应提供相关证明材料；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fill="FFFFFF"/>
        </w:rPr>
      </w:pPr>
      <w:r>
        <w:rPr>
          <w:rFonts w:hint="eastAsia" w:ascii="微软雅黑" w:hAnsi="微软雅黑" w:eastAsia="微软雅黑" w:cs="微软雅黑"/>
          <w:i w:val="0"/>
          <w:caps w:val="0"/>
          <w:color w:val="333333"/>
          <w:spacing w:val="0"/>
          <w:sz w:val="21"/>
          <w:szCs w:val="21"/>
          <w:highlight w:val="none"/>
          <w:shd w:val="clear" w:fill="FFFFFF"/>
          <w:lang w:val="en-US" w:eastAsia="zh-CN"/>
        </w:rPr>
        <w:t>6</w:t>
      </w:r>
      <w:r>
        <w:rPr>
          <w:rFonts w:hint="eastAsia" w:ascii="微软雅黑" w:hAnsi="微软雅黑" w:eastAsia="微软雅黑" w:cs="微软雅黑"/>
          <w:i w:val="0"/>
          <w:caps w:val="0"/>
          <w:color w:val="333333"/>
          <w:spacing w:val="0"/>
          <w:sz w:val="21"/>
          <w:szCs w:val="21"/>
          <w:highlight w:val="none"/>
          <w:shd w:val="clear" w:fill="FFFFFF"/>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fill="FFFFFF"/>
        </w:rPr>
      </w:pPr>
      <w:r>
        <w:rPr>
          <w:rFonts w:hint="eastAsia" w:ascii="微软雅黑" w:hAnsi="微软雅黑" w:eastAsia="微软雅黑" w:cs="微软雅黑"/>
          <w:i w:val="0"/>
          <w:caps w:val="0"/>
          <w:color w:val="333333"/>
          <w:spacing w:val="0"/>
          <w:sz w:val="21"/>
          <w:szCs w:val="21"/>
          <w:highlight w:val="none"/>
          <w:shd w:val="clear" w:fill="FFFFFF"/>
          <w:lang w:val="en-US" w:eastAsia="zh-CN"/>
        </w:rPr>
        <w:t>7</w:t>
      </w:r>
      <w:r>
        <w:rPr>
          <w:rFonts w:hint="eastAsia" w:ascii="微软雅黑" w:hAnsi="微软雅黑" w:eastAsia="微软雅黑" w:cs="微软雅黑"/>
          <w:i w:val="0"/>
          <w:caps w:val="0"/>
          <w:color w:val="333333"/>
          <w:spacing w:val="0"/>
          <w:sz w:val="21"/>
          <w:szCs w:val="21"/>
          <w:highlight w:val="none"/>
          <w:shd w:val="clear" w:fill="FFFFFF"/>
        </w:rPr>
        <w:t xml:space="preserve">、参加政府采购活动前3年内，在经营活动中没有重大违法记录的书面声明；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shd w:val="clear" w:fill="FFFFFF"/>
        </w:rPr>
      </w:pPr>
      <w:r>
        <w:rPr>
          <w:rFonts w:hint="eastAsia" w:ascii="微软雅黑" w:hAnsi="微软雅黑" w:eastAsia="微软雅黑" w:cs="微软雅黑"/>
          <w:i w:val="0"/>
          <w:caps w:val="0"/>
          <w:color w:val="333333"/>
          <w:spacing w:val="0"/>
          <w:sz w:val="21"/>
          <w:szCs w:val="21"/>
          <w:highlight w:val="none"/>
          <w:shd w:val="clear" w:fill="FFFFFF"/>
          <w:lang w:val="en-US" w:eastAsia="zh-CN"/>
        </w:rPr>
        <w:t>8</w:t>
      </w:r>
      <w:r>
        <w:rPr>
          <w:rFonts w:hint="eastAsia" w:ascii="微软雅黑" w:hAnsi="微软雅黑" w:eastAsia="微软雅黑" w:cs="微软雅黑"/>
          <w:i w:val="0"/>
          <w:caps w:val="0"/>
          <w:color w:val="333333"/>
          <w:spacing w:val="0"/>
          <w:sz w:val="21"/>
          <w:szCs w:val="21"/>
          <w:highlight w:val="none"/>
          <w:shd w:val="clear" w:fill="FFFFFF"/>
        </w:rPr>
        <w:t xml:space="preserve">、磋商保证金缴纳凭证或担保机构出具的保函正本；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lang w:val="en-US" w:eastAsia="zh-CN"/>
        </w:rPr>
        <w:t>9</w:t>
      </w:r>
      <w:r>
        <w:rPr>
          <w:rFonts w:hint="eastAsia" w:ascii="微软雅黑" w:hAnsi="微软雅黑" w:eastAsia="微软雅黑" w:cs="微软雅黑"/>
          <w:i w:val="0"/>
          <w:caps w:val="0"/>
          <w:color w:val="333333"/>
          <w:spacing w:val="0"/>
          <w:sz w:val="21"/>
          <w:szCs w:val="21"/>
          <w:highlight w:val="none"/>
          <w:shd w:val="clear" w:fill="FFFFFF"/>
        </w:rPr>
        <w:t>、本项目不接受联合体磋商。</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rPr>
      </w:pPr>
      <w:r>
        <w:rPr>
          <w:rFonts w:hint="eastAsia" w:ascii="微软雅黑" w:hAnsi="微软雅黑" w:eastAsia="微软雅黑" w:cs="微软雅黑"/>
          <w:b/>
          <w:i w:val="0"/>
          <w:caps w:val="0"/>
          <w:color w:val="333333"/>
          <w:spacing w:val="0"/>
          <w:sz w:val="22"/>
          <w:szCs w:val="22"/>
          <w:highlight w:val="none"/>
          <w:shd w:val="clear" w:fill="FFFFFF"/>
        </w:rPr>
        <w:t>七、采购项目需要落实的政府采购政策</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1、《政府采购促进中小企业发展暂行办法》（财库【2011】181号）； 2、《财政部 司法部关于政府采购支持监狱企业发展有关问题的通知》（财库【2014】68号）； 3、《国务院办公厅关于建立政府强制采购节能产品制度的通知》（国发办【2007】51号）； 4、《节能产品政府采购实施意见》（财库【2004】185号）； 5、《环境标志产品政府采购实施的意见》（财库【2006】90号）； 6、《三部门联合发布关于促进残疾人就业政府采购政策的通知》（财库【2017】141号）。</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rPr>
      </w:pPr>
      <w:r>
        <w:rPr>
          <w:rFonts w:hint="eastAsia" w:ascii="微软雅黑" w:hAnsi="微软雅黑" w:eastAsia="微软雅黑" w:cs="微软雅黑"/>
          <w:b/>
          <w:i w:val="0"/>
          <w:caps w:val="0"/>
          <w:color w:val="333333"/>
          <w:spacing w:val="0"/>
          <w:sz w:val="22"/>
          <w:szCs w:val="22"/>
          <w:highlight w:val="none"/>
          <w:shd w:val="clear" w:fill="FFFFFF"/>
        </w:rPr>
        <w:t>八、磋商文件 发售时间、地点</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jc w:val="left"/>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1、发售时间：2019</w:t>
      </w:r>
      <w:r>
        <w:rPr>
          <w:rFonts w:hint="eastAsia" w:ascii="微软雅黑" w:hAnsi="微软雅黑" w:eastAsia="微软雅黑" w:cs="微软雅黑"/>
          <w:i w:val="0"/>
          <w:caps w:val="0"/>
          <w:color w:val="333333"/>
          <w:spacing w:val="0"/>
          <w:sz w:val="21"/>
          <w:szCs w:val="21"/>
          <w:highlight w:val="none"/>
          <w:shd w:val="clear" w:fill="FFFFFF"/>
          <w:lang w:eastAsia="zh-CN"/>
        </w:rPr>
        <w:t>年</w:t>
      </w:r>
      <w:r>
        <w:rPr>
          <w:rFonts w:hint="eastAsia" w:ascii="微软雅黑" w:hAnsi="微软雅黑" w:eastAsia="微软雅黑" w:cs="微软雅黑"/>
          <w:i w:val="0"/>
          <w:caps w:val="0"/>
          <w:color w:val="333333"/>
          <w:spacing w:val="0"/>
          <w:sz w:val="21"/>
          <w:szCs w:val="21"/>
          <w:highlight w:val="none"/>
          <w:shd w:val="clear" w:fill="FFFFFF"/>
          <w:lang w:val="en-US" w:eastAsia="zh-CN"/>
        </w:rPr>
        <w:t>12</w:t>
      </w:r>
      <w:r>
        <w:rPr>
          <w:rFonts w:hint="eastAsia" w:ascii="微软雅黑" w:hAnsi="微软雅黑" w:eastAsia="微软雅黑" w:cs="微软雅黑"/>
          <w:i w:val="0"/>
          <w:caps w:val="0"/>
          <w:color w:val="333333"/>
          <w:spacing w:val="0"/>
          <w:sz w:val="21"/>
          <w:szCs w:val="21"/>
          <w:highlight w:val="none"/>
          <w:shd w:val="clear" w:fill="FFFFFF"/>
          <w:lang w:eastAsia="zh-CN"/>
        </w:rPr>
        <w:t>月</w:t>
      </w:r>
      <w:r>
        <w:rPr>
          <w:rFonts w:hint="eastAsia" w:ascii="微软雅黑" w:hAnsi="微软雅黑" w:eastAsia="微软雅黑" w:cs="微软雅黑"/>
          <w:i w:val="0"/>
          <w:caps w:val="0"/>
          <w:color w:val="333333"/>
          <w:spacing w:val="0"/>
          <w:sz w:val="21"/>
          <w:szCs w:val="21"/>
          <w:highlight w:val="none"/>
          <w:shd w:val="clear" w:fill="FFFFFF"/>
          <w:lang w:val="en-US" w:eastAsia="zh-CN"/>
        </w:rPr>
        <w:t>17日</w:t>
      </w:r>
      <w:r>
        <w:rPr>
          <w:rFonts w:hint="eastAsia" w:ascii="微软雅黑" w:hAnsi="微软雅黑" w:eastAsia="微软雅黑" w:cs="微软雅黑"/>
          <w:i w:val="0"/>
          <w:caps w:val="0"/>
          <w:color w:val="333333"/>
          <w:spacing w:val="0"/>
          <w:sz w:val="21"/>
          <w:szCs w:val="21"/>
          <w:highlight w:val="none"/>
          <w:shd w:val="clear" w:fill="FFFFFF"/>
        </w:rPr>
        <w:t xml:space="preserve"> 09:00:00至2019</w:t>
      </w:r>
      <w:r>
        <w:rPr>
          <w:rFonts w:hint="eastAsia" w:ascii="微软雅黑" w:hAnsi="微软雅黑" w:eastAsia="微软雅黑" w:cs="微软雅黑"/>
          <w:i w:val="0"/>
          <w:caps w:val="0"/>
          <w:color w:val="333333"/>
          <w:spacing w:val="0"/>
          <w:sz w:val="21"/>
          <w:szCs w:val="21"/>
          <w:highlight w:val="none"/>
          <w:shd w:val="clear" w:fill="FFFFFF"/>
          <w:lang w:eastAsia="zh-CN"/>
        </w:rPr>
        <w:t>年</w:t>
      </w:r>
      <w:r>
        <w:rPr>
          <w:rFonts w:hint="eastAsia" w:ascii="微软雅黑" w:hAnsi="微软雅黑" w:eastAsia="微软雅黑" w:cs="微软雅黑"/>
          <w:i w:val="0"/>
          <w:caps w:val="0"/>
          <w:color w:val="333333"/>
          <w:spacing w:val="0"/>
          <w:sz w:val="21"/>
          <w:szCs w:val="21"/>
          <w:highlight w:val="none"/>
          <w:shd w:val="clear" w:fill="FFFFFF"/>
          <w:lang w:val="en-US" w:eastAsia="zh-CN"/>
        </w:rPr>
        <w:t>12</w:t>
      </w:r>
      <w:r>
        <w:rPr>
          <w:rFonts w:hint="eastAsia" w:ascii="微软雅黑" w:hAnsi="微软雅黑" w:eastAsia="微软雅黑" w:cs="微软雅黑"/>
          <w:i w:val="0"/>
          <w:caps w:val="0"/>
          <w:color w:val="333333"/>
          <w:spacing w:val="0"/>
          <w:sz w:val="21"/>
          <w:szCs w:val="21"/>
          <w:highlight w:val="none"/>
          <w:shd w:val="clear" w:fill="FFFFFF"/>
          <w:lang w:eastAsia="zh-CN"/>
        </w:rPr>
        <w:t>月</w:t>
      </w:r>
      <w:r>
        <w:rPr>
          <w:rFonts w:hint="eastAsia" w:ascii="微软雅黑" w:hAnsi="微软雅黑" w:eastAsia="微软雅黑" w:cs="微软雅黑"/>
          <w:i w:val="0"/>
          <w:caps w:val="0"/>
          <w:color w:val="333333"/>
          <w:spacing w:val="0"/>
          <w:sz w:val="21"/>
          <w:szCs w:val="21"/>
          <w:highlight w:val="none"/>
          <w:shd w:val="clear" w:fill="FFFFFF"/>
          <w:lang w:val="en-US" w:eastAsia="zh-CN"/>
        </w:rPr>
        <w:t>23日</w:t>
      </w:r>
      <w:r>
        <w:rPr>
          <w:rFonts w:hint="eastAsia" w:ascii="微软雅黑" w:hAnsi="微软雅黑" w:eastAsia="微软雅黑" w:cs="微软雅黑"/>
          <w:i w:val="0"/>
          <w:caps w:val="0"/>
          <w:color w:val="333333"/>
          <w:spacing w:val="0"/>
          <w:sz w:val="21"/>
          <w:szCs w:val="21"/>
          <w:highlight w:val="none"/>
          <w:shd w:val="clear" w:fill="FFFFFF"/>
        </w:rPr>
        <w:t xml:space="preserve"> 17:00:00（双休日及法定节假日除外）</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2、发售地点：陕西省西安市高新区科技五路8号数字大厦11层</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3、文件售价：</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每套500.00元（人民币），售后不退</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Style w:val="38"/>
          <w:rFonts w:hint="eastAsia" w:ascii="微软雅黑" w:hAnsi="微软雅黑" w:eastAsia="微软雅黑" w:cs="微软雅黑"/>
          <w:b/>
          <w:i w:val="0"/>
          <w:caps w:val="0"/>
          <w:color w:val="333333"/>
          <w:spacing w:val="0"/>
          <w:sz w:val="21"/>
          <w:szCs w:val="21"/>
          <w:highlight w:val="none"/>
          <w:shd w:val="clear" w:fill="FFFFFF"/>
        </w:rPr>
        <w:t>注：购买竞争性磋商文件请携带单位介绍信原件,经办人身份证原件及加盖供应商公章的复印件。</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rPr>
      </w:pPr>
      <w:r>
        <w:rPr>
          <w:rFonts w:hint="eastAsia" w:ascii="微软雅黑" w:hAnsi="微软雅黑" w:eastAsia="微软雅黑" w:cs="微软雅黑"/>
          <w:b/>
          <w:i w:val="0"/>
          <w:caps w:val="0"/>
          <w:color w:val="333333"/>
          <w:spacing w:val="0"/>
          <w:sz w:val="22"/>
          <w:szCs w:val="22"/>
          <w:highlight w:val="none"/>
          <w:shd w:val="clear" w:fill="FFFFFF"/>
        </w:rPr>
        <w:t>九、磋商文件 递交截止时间及开标时间和地点</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1、文件递交截止时间：2019</w:t>
      </w:r>
      <w:r>
        <w:rPr>
          <w:rFonts w:hint="eastAsia" w:ascii="微软雅黑" w:hAnsi="微软雅黑" w:eastAsia="微软雅黑" w:cs="微软雅黑"/>
          <w:i w:val="0"/>
          <w:caps w:val="0"/>
          <w:color w:val="333333"/>
          <w:spacing w:val="0"/>
          <w:sz w:val="21"/>
          <w:szCs w:val="21"/>
          <w:highlight w:val="none"/>
          <w:shd w:val="clear" w:fill="FFFFFF"/>
          <w:lang w:eastAsia="zh-CN"/>
        </w:rPr>
        <w:t>年</w:t>
      </w:r>
      <w:r>
        <w:rPr>
          <w:rFonts w:hint="eastAsia" w:ascii="微软雅黑" w:hAnsi="微软雅黑" w:eastAsia="微软雅黑" w:cs="微软雅黑"/>
          <w:i w:val="0"/>
          <w:caps w:val="0"/>
          <w:color w:val="333333"/>
          <w:spacing w:val="0"/>
          <w:sz w:val="21"/>
          <w:szCs w:val="21"/>
          <w:highlight w:val="none"/>
          <w:shd w:val="clear" w:fill="FFFFFF"/>
          <w:lang w:val="en-US" w:eastAsia="zh-CN"/>
        </w:rPr>
        <w:t>12</w:t>
      </w:r>
      <w:r>
        <w:rPr>
          <w:rFonts w:hint="eastAsia" w:ascii="微软雅黑" w:hAnsi="微软雅黑" w:eastAsia="微软雅黑" w:cs="微软雅黑"/>
          <w:i w:val="0"/>
          <w:caps w:val="0"/>
          <w:color w:val="333333"/>
          <w:spacing w:val="0"/>
          <w:sz w:val="21"/>
          <w:szCs w:val="21"/>
          <w:highlight w:val="none"/>
          <w:shd w:val="clear" w:fill="FFFFFF"/>
          <w:lang w:eastAsia="zh-CN"/>
        </w:rPr>
        <w:t>月</w:t>
      </w:r>
      <w:r>
        <w:rPr>
          <w:rFonts w:hint="eastAsia" w:ascii="微软雅黑" w:hAnsi="微软雅黑" w:eastAsia="微软雅黑" w:cs="微软雅黑"/>
          <w:i w:val="0"/>
          <w:caps w:val="0"/>
          <w:color w:val="333333"/>
          <w:spacing w:val="0"/>
          <w:sz w:val="21"/>
          <w:szCs w:val="21"/>
          <w:highlight w:val="none"/>
          <w:shd w:val="clear" w:fill="FFFFFF"/>
          <w:lang w:val="en-US" w:eastAsia="zh-CN"/>
        </w:rPr>
        <w:t>27日</w:t>
      </w:r>
      <w:r>
        <w:rPr>
          <w:rFonts w:hint="eastAsia" w:ascii="微软雅黑" w:hAnsi="微软雅黑" w:eastAsia="微软雅黑" w:cs="微软雅黑"/>
          <w:i w:val="0"/>
          <w:caps w:val="0"/>
          <w:color w:val="333333"/>
          <w:spacing w:val="0"/>
          <w:sz w:val="21"/>
          <w:szCs w:val="21"/>
          <w:highlight w:val="none"/>
          <w:shd w:val="clear" w:fill="FFFFFF"/>
        </w:rPr>
        <w:t>1</w:t>
      </w:r>
      <w:r>
        <w:rPr>
          <w:rFonts w:hint="eastAsia" w:ascii="微软雅黑" w:hAnsi="微软雅黑" w:eastAsia="微软雅黑" w:cs="微软雅黑"/>
          <w:i w:val="0"/>
          <w:caps w:val="0"/>
          <w:color w:val="333333"/>
          <w:spacing w:val="0"/>
          <w:sz w:val="21"/>
          <w:szCs w:val="21"/>
          <w:highlight w:val="none"/>
          <w:shd w:val="clear" w:fill="FFFFFF"/>
          <w:lang w:val="en-US" w:eastAsia="zh-CN"/>
        </w:rPr>
        <w:t>4:30</w:t>
      </w:r>
      <w:r>
        <w:rPr>
          <w:rFonts w:hint="eastAsia" w:ascii="微软雅黑" w:hAnsi="微软雅黑" w:eastAsia="微软雅黑" w:cs="微软雅黑"/>
          <w:i w:val="0"/>
          <w:caps w:val="0"/>
          <w:color w:val="333333"/>
          <w:spacing w:val="0"/>
          <w:sz w:val="21"/>
          <w:szCs w:val="21"/>
          <w:highlight w:val="none"/>
          <w:shd w:val="clear" w:fill="FFFFFF"/>
        </w:rPr>
        <w:t>:00</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default" w:ascii="微软雅黑" w:hAnsi="微软雅黑" w:eastAsia="微软雅黑" w:cs="微软雅黑"/>
          <w:i w:val="0"/>
          <w:caps w:val="0"/>
          <w:color w:val="333333"/>
          <w:spacing w:val="0"/>
          <w:sz w:val="21"/>
          <w:szCs w:val="21"/>
          <w:highlight w:val="none"/>
          <w:shd w:val="clear" w:fill="FFFFFF"/>
          <w:lang w:val="en-US" w:eastAsia="zh-CN"/>
        </w:rPr>
      </w:pPr>
      <w:r>
        <w:rPr>
          <w:rFonts w:hint="eastAsia" w:ascii="微软雅黑" w:hAnsi="微软雅黑" w:eastAsia="微软雅黑" w:cs="微软雅黑"/>
          <w:i w:val="0"/>
          <w:caps w:val="0"/>
          <w:color w:val="333333"/>
          <w:spacing w:val="0"/>
          <w:sz w:val="21"/>
          <w:szCs w:val="21"/>
          <w:highlight w:val="none"/>
          <w:shd w:val="clear" w:fill="FFFFFF"/>
        </w:rPr>
        <w:t>2、投标地点：陕西省西安市高新区科技五路8号数字大厦11层</w:t>
      </w:r>
      <w:r>
        <w:rPr>
          <w:rFonts w:hint="eastAsia" w:ascii="微软雅黑" w:hAnsi="微软雅黑" w:eastAsia="微软雅黑" w:cs="微软雅黑"/>
          <w:i w:val="0"/>
          <w:caps w:val="0"/>
          <w:color w:val="333333"/>
          <w:spacing w:val="0"/>
          <w:sz w:val="21"/>
          <w:szCs w:val="21"/>
          <w:highlight w:val="none"/>
          <w:shd w:val="clear" w:fill="FFFFFF"/>
          <w:lang w:val="en-US" w:eastAsia="zh-CN"/>
        </w:rPr>
        <w:t xml:space="preserve">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3、开标时间：2019</w:t>
      </w:r>
      <w:r>
        <w:rPr>
          <w:rFonts w:hint="eastAsia" w:ascii="微软雅黑" w:hAnsi="微软雅黑" w:eastAsia="微软雅黑" w:cs="微软雅黑"/>
          <w:i w:val="0"/>
          <w:caps w:val="0"/>
          <w:color w:val="333333"/>
          <w:spacing w:val="0"/>
          <w:sz w:val="21"/>
          <w:szCs w:val="21"/>
          <w:highlight w:val="none"/>
          <w:shd w:val="clear" w:fill="FFFFFF"/>
          <w:lang w:eastAsia="zh-CN"/>
        </w:rPr>
        <w:t>年</w:t>
      </w:r>
      <w:r>
        <w:rPr>
          <w:rFonts w:hint="eastAsia" w:ascii="微软雅黑" w:hAnsi="微软雅黑" w:eastAsia="微软雅黑" w:cs="微软雅黑"/>
          <w:i w:val="0"/>
          <w:caps w:val="0"/>
          <w:color w:val="333333"/>
          <w:spacing w:val="0"/>
          <w:sz w:val="21"/>
          <w:szCs w:val="21"/>
          <w:highlight w:val="none"/>
          <w:shd w:val="clear" w:fill="FFFFFF"/>
          <w:lang w:val="en-US" w:eastAsia="zh-CN"/>
        </w:rPr>
        <w:t>12</w:t>
      </w:r>
      <w:r>
        <w:rPr>
          <w:rFonts w:hint="eastAsia" w:ascii="微软雅黑" w:hAnsi="微软雅黑" w:eastAsia="微软雅黑" w:cs="微软雅黑"/>
          <w:i w:val="0"/>
          <w:caps w:val="0"/>
          <w:color w:val="333333"/>
          <w:spacing w:val="0"/>
          <w:sz w:val="21"/>
          <w:szCs w:val="21"/>
          <w:highlight w:val="none"/>
          <w:shd w:val="clear" w:fill="FFFFFF"/>
          <w:lang w:eastAsia="zh-CN"/>
        </w:rPr>
        <w:t>月</w:t>
      </w:r>
      <w:r>
        <w:rPr>
          <w:rFonts w:hint="eastAsia" w:ascii="微软雅黑" w:hAnsi="微软雅黑" w:eastAsia="微软雅黑" w:cs="微软雅黑"/>
          <w:i w:val="0"/>
          <w:caps w:val="0"/>
          <w:color w:val="333333"/>
          <w:spacing w:val="0"/>
          <w:sz w:val="21"/>
          <w:szCs w:val="21"/>
          <w:highlight w:val="none"/>
          <w:shd w:val="clear" w:fill="FFFFFF"/>
          <w:lang w:val="en-US" w:eastAsia="zh-CN"/>
        </w:rPr>
        <w:t>27日</w:t>
      </w:r>
      <w:r>
        <w:rPr>
          <w:rFonts w:hint="eastAsia" w:ascii="微软雅黑" w:hAnsi="微软雅黑" w:eastAsia="微软雅黑" w:cs="微软雅黑"/>
          <w:i w:val="0"/>
          <w:caps w:val="0"/>
          <w:color w:val="333333"/>
          <w:spacing w:val="0"/>
          <w:sz w:val="21"/>
          <w:szCs w:val="21"/>
          <w:highlight w:val="none"/>
          <w:shd w:val="clear" w:fill="FFFFFF"/>
        </w:rPr>
        <w:t>1</w:t>
      </w:r>
      <w:r>
        <w:rPr>
          <w:rFonts w:hint="eastAsia" w:ascii="微软雅黑" w:hAnsi="微软雅黑" w:eastAsia="微软雅黑" w:cs="微软雅黑"/>
          <w:i w:val="0"/>
          <w:caps w:val="0"/>
          <w:color w:val="333333"/>
          <w:spacing w:val="0"/>
          <w:sz w:val="21"/>
          <w:szCs w:val="21"/>
          <w:highlight w:val="none"/>
          <w:shd w:val="clear" w:fill="FFFFFF"/>
          <w:lang w:val="en-US" w:eastAsia="zh-CN"/>
        </w:rPr>
        <w:t>4:30</w:t>
      </w:r>
      <w:r>
        <w:rPr>
          <w:rFonts w:hint="eastAsia" w:ascii="微软雅黑" w:hAnsi="微软雅黑" w:eastAsia="微软雅黑" w:cs="微软雅黑"/>
          <w:i w:val="0"/>
          <w:caps w:val="0"/>
          <w:color w:val="333333"/>
          <w:spacing w:val="0"/>
          <w:sz w:val="21"/>
          <w:szCs w:val="21"/>
          <w:highlight w:val="none"/>
          <w:shd w:val="clear" w:fill="FFFFFF"/>
        </w:rPr>
        <w:t>:00</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lang w:eastAsia="zh-CN"/>
        </w:rPr>
      </w:pPr>
      <w:r>
        <w:rPr>
          <w:rFonts w:hint="eastAsia" w:ascii="微软雅黑" w:hAnsi="微软雅黑" w:eastAsia="微软雅黑" w:cs="微软雅黑"/>
          <w:i w:val="0"/>
          <w:caps w:val="0"/>
          <w:color w:val="333333"/>
          <w:spacing w:val="0"/>
          <w:sz w:val="21"/>
          <w:szCs w:val="21"/>
          <w:highlight w:val="none"/>
          <w:shd w:val="clear" w:fill="FFFFFF"/>
        </w:rPr>
        <w:t>4、开标地点：陕西省西安市高新区科技五路8号数字大厦11层</w:t>
      </w:r>
      <w:r>
        <w:rPr>
          <w:rFonts w:hint="eastAsia" w:ascii="微软雅黑" w:hAnsi="微软雅黑" w:eastAsia="微软雅黑" w:cs="微软雅黑"/>
          <w:i w:val="0"/>
          <w:caps w:val="0"/>
          <w:color w:val="333333"/>
          <w:spacing w:val="0"/>
          <w:sz w:val="21"/>
          <w:szCs w:val="21"/>
          <w:highlight w:val="none"/>
          <w:shd w:val="clear" w:fill="FFFFFF"/>
          <w:lang w:val="en-US" w:eastAsia="zh-CN"/>
        </w:rPr>
        <w:t xml:space="preserve"> </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rPr>
      </w:pPr>
      <w:r>
        <w:rPr>
          <w:rFonts w:hint="eastAsia" w:ascii="微软雅黑" w:hAnsi="微软雅黑" w:eastAsia="微软雅黑" w:cs="微软雅黑"/>
          <w:b/>
          <w:i w:val="0"/>
          <w:caps w:val="0"/>
          <w:color w:val="333333"/>
          <w:spacing w:val="0"/>
          <w:sz w:val="22"/>
          <w:szCs w:val="22"/>
          <w:highlight w:val="none"/>
          <w:shd w:val="clear" w:fill="FFFFFF"/>
        </w:rPr>
        <w:t>十、其他应说明的事项</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lang w:eastAsia="zh-CN"/>
        </w:rPr>
      </w:pPr>
      <w:r>
        <w:rPr>
          <w:rFonts w:hint="eastAsia" w:ascii="微软雅黑" w:hAnsi="微软雅黑" w:eastAsia="微软雅黑" w:cs="微软雅黑"/>
          <w:i w:val="0"/>
          <w:caps w:val="0"/>
          <w:color w:val="333333"/>
          <w:spacing w:val="0"/>
          <w:sz w:val="21"/>
          <w:szCs w:val="21"/>
          <w:highlight w:val="none"/>
          <w:shd w:val="clear" w:fill="FFFFFF"/>
        </w:rPr>
        <w:t>1、采购代理机构联系方式：029-88899970-81</w:t>
      </w:r>
      <w:r>
        <w:rPr>
          <w:rFonts w:hint="eastAsia" w:ascii="微软雅黑" w:hAnsi="微软雅黑" w:eastAsia="微软雅黑" w:cs="微软雅黑"/>
          <w:i w:val="0"/>
          <w:caps w:val="0"/>
          <w:color w:val="333333"/>
          <w:spacing w:val="0"/>
          <w:sz w:val="21"/>
          <w:szCs w:val="21"/>
          <w:highlight w:val="none"/>
          <w:shd w:val="clear" w:fill="FFFFFF"/>
          <w:lang w:val="en-US" w:eastAsia="zh-CN"/>
        </w:rPr>
        <w:t>8</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2、开户名称：华夏国际项目管理有限公司</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3、开户银行：工行西安城南科技支行</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4、账 号：3700024819200130193</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510" w:lineRule="atLeast"/>
        <w:ind w:left="0" w:right="0" w:firstLine="0"/>
        <w:rPr>
          <w:rFonts w:hint="eastAsia" w:ascii="微软雅黑" w:hAnsi="微软雅黑" w:eastAsia="微软雅黑" w:cs="微软雅黑"/>
          <w:b/>
          <w:i w:val="0"/>
          <w:caps w:val="0"/>
          <w:color w:val="333333"/>
          <w:spacing w:val="0"/>
          <w:sz w:val="22"/>
          <w:szCs w:val="22"/>
          <w:highlight w:val="none"/>
        </w:rPr>
      </w:pPr>
      <w:r>
        <w:rPr>
          <w:rFonts w:hint="eastAsia" w:ascii="微软雅黑" w:hAnsi="微软雅黑" w:eastAsia="微软雅黑" w:cs="微软雅黑"/>
          <w:b/>
          <w:i w:val="0"/>
          <w:caps w:val="0"/>
          <w:color w:val="333333"/>
          <w:spacing w:val="0"/>
          <w:sz w:val="22"/>
          <w:szCs w:val="22"/>
          <w:highlight w:val="none"/>
          <w:shd w:val="clear" w:fill="FFFFFF"/>
        </w:rPr>
        <w:t>十一、本竞争性磋商公告期限为自发布之日起3个工作日。</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900" w:beforeAutospacing="0" w:after="0" w:afterAutospacing="0" w:line="510" w:lineRule="atLeast"/>
        <w:ind w:left="0" w:right="0" w:firstLine="420"/>
        <w:jc w:val="right"/>
        <w:rPr>
          <w:rFonts w:hint="eastAsia" w:ascii="微软雅黑" w:hAnsi="微软雅黑" w:eastAsia="微软雅黑" w:cs="微软雅黑"/>
          <w:i w:val="0"/>
          <w:caps w:val="0"/>
          <w:color w:val="333333"/>
          <w:spacing w:val="0"/>
          <w:sz w:val="21"/>
          <w:szCs w:val="21"/>
          <w:highlight w:val="none"/>
        </w:rPr>
      </w:pPr>
      <w:r>
        <w:rPr>
          <w:rFonts w:hint="eastAsia" w:ascii="微软雅黑" w:hAnsi="微软雅黑" w:eastAsia="微软雅黑" w:cs="微软雅黑"/>
          <w:i w:val="0"/>
          <w:caps w:val="0"/>
          <w:color w:val="333333"/>
          <w:spacing w:val="0"/>
          <w:sz w:val="21"/>
          <w:szCs w:val="21"/>
          <w:highlight w:val="none"/>
          <w:shd w:val="clear" w:fill="FFFFFF"/>
        </w:rPr>
        <w:t>华夏国际项目管理有限公司</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0" w:right="0" w:firstLine="420"/>
        <w:jc w:val="right"/>
        <w:rPr>
          <w:rFonts w:hint="default" w:ascii="微软雅黑" w:hAnsi="微软雅黑" w:eastAsia="微软雅黑" w:cs="微软雅黑"/>
          <w:i w:val="0"/>
          <w:caps w:val="0"/>
          <w:color w:val="333333"/>
          <w:spacing w:val="0"/>
          <w:sz w:val="21"/>
          <w:szCs w:val="21"/>
          <w:highlight w:val="none"/>
          <w:lang w:val="en-US" w:eastAsia="zh-CN"/>
        </w:rPr>
      </w:pPr>
      <w:r>
        <w:rPr>
          <w:rFonts w:hint="eastAsia" w:ascii="微软雅黑" w:hAnsi="微软雅黑" w:eastAsia="微软雅黑" w:cs="微软雅黑"/>
          <w:i w:val="0"/>
          <w:caps w:val="0"/>
          <w:color w:val="333333"/>
          <w:spacing w:val="0"/>
          <w:sz w:val="21"/>
          <w:szCs w:val="21"/>
          <w:highlight w:val="none"/>
          <w:shd w:val="clear" w:fill="FFFFFF"/>
        </w:rPr>
        <w:t>2019</w:t>
      </w:r>
      <w:r>
        <w:rPr>
          <w:rFonts w:hint="eastAsia" w:ascii="微软雅黑" w:hAnsi="微软雅黑" w:eastAsia="微软雅黑" w:cs="微软雅黑"/>
          <w:i w:val="0"/>
          <w:caps w:val="0"/>
          <w:color w:val="333333"/>
          <w:spacing w:val="0"/>
          <w:sz w:val="21"/>
          <w:szCs w:val="21"/>
          <w:highlight w:val="none"/>
          <w:shd w:val="clear" w:fill="FFFFFF"/>
          <w:lang w:eastAsia="zh-CN"/>
        </w:rPr>
        <w:t>年</w:t>
      </w:r>
      <w:r>
        <w:rPr>
          <w:rFonts w:hint="eastAsia" w:ascii="微软雅黑" w:hAnsi="微软雅黑" w:eastAsia="微软雅黑" w:cs="微软雅黑"/>
          <w:i w:val="0"/>
          <w:caps w:val="0"/>
          <w:color w:val="333333"/>
          <w:spacing w:val="0"/>
          <w:sz w:val="21"/>
          <w:szCs w:val="21"/>
          <w:highlight w:val="none"/>
          <w:shd w:val="clear" w:fill="FFFFFF"/>
          <w:lang w:val="en-US" w:eastAsia="zh-CN"/>
        </w:rPr>
        <w:t>12月16日</w:t>
      </w:r>
    </w:p>
    <w:p>
      <w:pPr>
        <w:shd w:val="clear"/>
        <w:rPr>
          <w:highlight w:val="none"/>
        </w:rPr>
      </w:pPr>
    </w:p>
    <w:p>
      <w:pPr>
        <w:pStyle w:val="3"/>
        <w:keepNext w:val="0"/>
        <w:pageBreakBefore/>
        <w:shd w:val="clear"/>
        <w:spacing w:line="350" w:lineRule="auto"/>
        <w:jc w:val="center"/>
        <w:rPr>
          <w:rFonts w:cs="宋体"/>
          <w:sz w:val="36"/>
          <w:szCs w:val="36"/>
          <w:highlight w:val="none"/>
        </w:rPr>
      </w:pPr>
      <w:bookmarkStart w:id="11" w:name="_Toc421778363"/>
      <w:bookmarkStart w:id="12" w:name="_Toc15168"/>
      <w:r>
        <w:rPr>
          <w:rFonts w:hint="eastAsia" w:cs="宋体"/>
          <w:sz w:val="36"/>
          <w:szCs w:val="36"/>
          <w:highlight w:val="none"/>
        </w:rPr>
        <w:t>第二章</w:t>
      </w:r>
      <w:bookmarkEnd w:id="11"/>
      <w:r>
        <w:rPr>
          <w:rFonts w:hint="eastAsia" w:cs="宋体"/>
          <w:sz w:val="36"/>
          <w:szCs w:val="36"/>
          <w:highlight w:val="none"/>
        </w:rPr>
        <w:t xml:space="preserve">  供应商须知</w:t>
      </w:r>
      <w:bookmarkEnd w:id="12"/>
    </w:p>
    <w:p>
      <w:pPr>
        <w:shd w:val="clear"/>
        <w:spacing w:line="360" w:lineRule="auto"/>
        <w:jc w:val="center"/>
        <w:outlineLvl w:val="1"/>
        <w:rPr>
          <w:b/>
          <w:bCs/>
          <w:sz w:val="28"/>
          <w:szCs w:val="28"/>
          <w:highlight w:val="none"/>
        </w:rPr>
      </w:pPr>
      <w:bookmarkStart w:id="13" w:name="_Toc421778364"/>
      <w:bookmarkStart w:id="14" w:name="_Toc420591642"/>
      <w:bookmarkStart w:id="15" w:name="_Toc25670"/>
      <w:r>
        <w:rPr>
          <w:rFonts w:hint="eastAsia" w:cs="宋体"/>
          <w:b/>
          <w:bCs/>
          <w:sz w:val="28"/>
          <w:szCs w:val="28"/>
          <w:highlight w:val="none"/>
        </w:rPr>
        <w:t>供应商须知前附表</w:t>
      </w:r>
      <w:bookmarkEnd w:id="13"/>
      <w:bookmarkEnd w:id="14"/>
      <w:bookmarkEnd w:id="15"/>
    </w:p>
    <w:tbl>
      <w:tblPr>
        <w:tblStyle w:val="35"/>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493"/>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hd w:val="clea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2493" w:type="dxa"/>
            <w:vAlign w:val="center"/>
          </w:tcPr>
          <w:p>
            <w:pPr>
              <w:shd w:val="clea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条款名称</w:t>
            </w:r>
          </w:p>
        </w:tc>
        <w:tc>
          <w:tcPr>
            <w:tcW w:w="6240" w:type="dxa"/>
            <w:vAlign w:val="center"/>
          </w:tcPr>
          <w:p>
            <w:pPr>
              <w:shd w:val="clea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1.1.2</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采购人</w:t>
            </w:r>
          </w:p>
        </w:tc>
        <w:tc>
          <w:tcPr>
            <w:tcW w:w="6240" w:type="dxa"/>
            <w:vAlign w:val="center"/>
          </w:tcPr>
          <w:p>
            <w:pPr>
              <w:shd w:val="clea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采购人：</w:t>
            </w:r>
            <w:r>
              <w:rPr>
                <w:rFonts w:hint="eastAsia" w:ascii="宋体" w:hAnsi="宋体" w:cs="宋体"/>
                <w:sz w:val="24"/>
                <w:szCs w:val="24"/>
                <w:highlight w:val="none"/>
                <w:lang w:eastAsia="zh-CN"/>
              </w:rPr>
              <w:t>铜川市新区创建全国文明城市工作领导小组办公室</w:t>
            </w:r>
          </w:p>
          <w:p>
            <w:pPr>
              <w:shd w:val="clear"/>
              <w:spacing w:line="36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址：铜川市新区金谟西路崇文街D排3号</w:t>
            </w:r>
            <w:r>
              <w:rPr>
                <w:rFonts w:hint="eastAsia" w:ascii="宋体" w:hAnsi="宋体" w:cs="宋体"/>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1.1.3</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采购代理机构</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名称：华夏国际项目管理有限公司</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地址：西安市高新区科技五路8号数字大厦11楼</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杜</w:t>
            </w:r>
            <w:r>
              <w:rPr>
                <w:rFonts w:hint="eastAsia" w:ascii="宋体" w:hAnsi="宋体" w:cs="宋体"/>
                <w:sz w:val="24"/>
                <w:szCs w:val="24"/>
                <w:highlight w:val="none"/>
              </w:rPr>
              <w:t>工</w:t>
            </w:r>
          </w:p>
          <w:p>
            <w:pPr>
              <w:shd w:val="clea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电话：88899970/73/75-81</w:t>
            </w:r>
            <w:r>
              <w:rPr>
                <w:rFonts w:hint="eastAsia" w:ascii="宋体" w:hAnsi="宋体" w:cs="宋体"/>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1.1.5</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建设地点</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lang w:eastAsia="zh-CN"/>
              </w:rPr>
              <w:t>铜川市新区创文办（采购人指定地点）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1.2.1</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资金来源</w:t>
            </w:r>
          </w:p>
        </w:tc>
        <w:tc>
          <w:tcPr>
            <w:tcW w:w="6240" w:type="dxa"/>
            <w:vAlign w:val="center"/>
          </w:tcPr>
          <w:p>
            <w:pPr>
              <w:shd w:val="clear"/>
              <w:spacing w:line="560" w:lineRule="exact"/>
              <w:rPr>
                <w:rFonts w:ascii="宋体" w:hAnsi="宋体" w:cs="宋体"/>
                <w:sz w:val="24"/>
                <w:szCs w:val="24"/>
                <w:highlight w:val="none"/>
              </w:rPr>
            </w:pPr>
            <w:r>
              <w:rPr>
                <w:rFonts w:hint="eastAsia" w:ascii="宋体" w:hAnsi="宋体" w:cs="宋体"/>
                <w:sz w:val="24"/>
                <w:szCs w:val="32"/>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1.2.2</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资金落实情况</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1.3.1</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磋商范围</w:t>
            </w:r>
          </w:p>
        </w:tc>
        <w:tc>
          <w:tcPr>
            <w:tcW w:w="6240" w:type="dxa"/>
            <w:vAlign w:val="center"/>
          </w:tcPr>
          <w:p>
            <w:pPr>
              <w:shd w:val="clea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铜川市新区创文办老旧小区基础设施改造提升项目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1.3.2</w:t>
            </w:r>
          </w:p>
        </w:tc>
        <w:tc>
          <w:tcPr>
            <w:tcW w:w="2493" w:type="dxa"/>
            <w:shd w:val="clear" w:color="auto" w:fill="auto"/>
            <w:vAlign w:val="center"/>
          </w:tcPr>
          <w:p>
            <w:pPr>
              <w:shd w:val="clear"/>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计划工期</w:t>
            </w:r>
          </w:p>
        </w:tc>
        <w:tc>
          <w:tcPr>
            <w:tcW w:w="6240" w:type="dxa"/>
            <w:shd w:val="clear" w:color="auto" w:fill="auto"/>
            <w:vAlign w:val="center"/>
          </w:tcPr>
          <w:p>
            <w:pPr>
              <w:pStyle w:val="12"/>
              <w:shd w:val="clear"/>
              <w:rPr>
                <w:rFonts w:ascii="宋体" w:hAnsi="宋体" w:cs="宋体"/>
                <w:sz w:val="24"/>
                <w:szCs w:val="24"/>
                <w:highlight w:val="none"/>
              </w:rPr>
            </w:pPr>
            <w:r>
              <w:rPr>
                <w:rFonts w:hint="eastAsia" w:ascii="宋体" w:hAnsi="宋体" w:eastAsia="宋体" w:cs="宋体"/>
                <w:sz w:val="24"/>
                <w:szCs w:val="24"/>
                <w:highlight w:val="none"/>
                <w:lang w:val="en-US" w:eastAsia="zh-CN"/>
              </w:rPr>
              <w:t>自合同签订之日起</w:t>
            </w:r>
            <w:r>
              <w:rPr>
                <w:rFonts w:hint="eastAsia" w:ascii="宋体" w:hAnsi="宋体" w:cs="宋体"/>
                <w:sz w:val="24"/>
                <w:szCs w:val="24"/>
                <w:highlight w:val="none"/>
                <w:lang w:val="en-US" w:eastAsia="zh-CN"/>
              </w:rPr>
              <w:t>1个月</w:t>
            </w:r>
            <w:r>
              <w:rPr>
                <w:rFonts w:hint="eastAsia" w:ascii="宋体" w:hAnsi="宋体" w:eastAsia="宋体" w:cs="宋体"/>
                <w:sz w:val="24"/>
                <w:szCs w:val="24"/>
                <w:highlight w:val="none"/>
                <w:lang w:val="en-US" w:eastAsia="zh-CN"/>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1.3.3</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质量标准</w:t>
            </w:r>
          </w:p>
        </w:tc>
        <w:tc>
          <w:tcPr>
            <w:tcW w:w="6240" w:type="dxa"/>
            <w:vAlign w:val="center"/>
          </w:tcPr>
          <w:p>
            <w:pPr>
              <w:shd w:val="clear"/>
              <w:spacing w:line="360" w:lineRule="auto"/>
              <w:jc w:val="both"/>
              <w:rPr>
                <w:highlight w:val="none"/>
              </w:rPr>
            </w:pPr>
            <w:bookmarkStart w:id="16" w:name="OLE_LINK18"/>
            <w:bookmarkStart w:id="17" w:name="OLE_LINK34"/>
            <w:r>
              <w:rPr>
                <w:rFonts w:hint="eastAsia" w:ascii="宋体" w:hAnsi="宋体" w:cs="宋体"/>
                <w:sz w:val="24"/>
                <w:szCs w:val="24"/>
                <w:highlight w:val="none"/>
              </w:rPr>
              <w:t>符合国家现行有关施工质量验收规范“合格”要求。</w:t>
            </w:r>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1.4.1</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资质证明文件</w:t>
            </w:r>
          </w:p>
        </w:tc>
        <w:tc>
          <w:tcPr>
            <w:tcW w:w="6240" w:type="dxa"/>
            <w:vAlign w:val="center"/>
          </w:tcPr>
          <w:p>
            <w:pPr>
              <w:shd w:val="clear"/>
              <w:spacing w:line="360" w:lineRule="auto"/>
              <w:jc w:val="left"/>
              <w:rPr>
                <w:rFonts w:ascii="宋体" w:hAnsi="宋体" w:cs="宋体"/>
                <w:sz w:val="24"/>
                <w:szCs w:val="24"/>
                <w:highlight w:val="none"/>
              </w:rPr>
            </w:pPr>
            <w:r>
              <w:rPr>
                <w:rFonts w:hint="eastAsia" w:ascii="宋体" w:hAnsi="宋体" w:cs="宋体"/>
                <w:sz w:val="24"/>
                <w:szCs w:val="24"/>
                <w:highlight w:val="none"/>
              </w:rPr>
              <w:t>（1）基本资格条件：符合《中华人民共和国政府采购法》第二十二条的规定；</w:t>
            </w:r>
          </w:p>
          <w:p>
            <w:pPr>
              <w:shd w:val="clear"/>
              <w:spacing w:line="360" w:lineRule="auto"/>
              <w:jc w:val="left"/>
              <w:rPr>
                <w:rFonts w:ascii="宋体" w:hAnsi="宋体" w:cs="宋体"/>
                <w:sz w:val="24"/>
                <w:szCs w:val="24"/>
                <w:highlight w:val="none"/>
              </w:rPr>
            </w:pPr>
            <w:r>
              <w:rPr>
                <w:rFonts w:hint="eastAsia" w:ascii="宋体" w:hAnsi="宋体" w:cs="宋体"/>
                <w:sz w:val="24"/>
                <w:szCs w:val="24"/>
                <w:highlight w:val="none"/>
              </w:rPr>
              <w:t>（2）特定资格条件：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leftChars="0"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提供合格有效的法人或者其他组织的营业执照等证明文件，自然人的身份证明；</w:t>
            </w:r>
          </w:p>
          <w:p>
            <w:pPr>
              <w:shd w:val="clear"/>
              <w:spacing w:line="600" w:lineRule="exact"/>
              <w:ind w:firstLine="480" w:firstLineChars="200"/>
              <w:rPr>
                <w:highlight w:val="none"/>
              </w:rPr>
            </w:pPr>
            <w:r>
              <w:rPr>
                <w:rFonts w:hint="eastAsia" w:ascii="宋体" w:hAnsi="宋体" w:cs="宋体"/>
                <w:sz w:val="24"/>
                <w:szCs w:val="24"/>
                <w:highlight w:val="none"/>
              </w:rPr>
              <w:t>2、法定代表人授权书（附法定代表人、被授权人身份证复印件）及被授权人身份证（法定代表人直接参加磋商，须提供法定代表人身份证明及身份证原件）</w:t>
            </w:r>
            <w:r>
              <w:rPr>
                <w:rFonts w:hint="eastAsia"/>
                <w:highlight w:val="none"/>
              </w:rPr>
              <w:t>；</w:t>
            </w:r>
          </w:p>
          <w:p>
            <w:pPr>
              <w:shd w:val="clear"/>
              <w:spacing w:line="60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、财务状况报告</w:t>
            </w:r>
            <w:r>
              <w:rPr>
                <w:rFonts w:hint="eastAsia" w:hAnsi="宋体"/>
                <w:sz w:val="24"/>
                <w:szCs w:val="24"/>
                <w:highlight w:val="none"/>
              </w:rPr>
              <w:t>：提供2018年度经审计的财务报告（成立时间至提交响应文件截止时间不足一年的可提供成立后任意时段的资产负债表），或其基本存款账户开户银行出具的资信证明及基本存款账户开户许可证；</w:t>
            </w:r>
          </w:p>
          <w:p>
            <w:pPr>
              <w:shd w:val="clear"/>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、税收缴纳证明：提供</w:t>
            </w:r>
            <w:r>
              <w:rPr>
                <w:rFonts w:hint="eastAsia" w:ascii="宋体" w:hAnsi="宋体" w:cs="宋体"/>
                <w:sz w:val="24"/>
                <w:szCs w:val="24"/>
                <w:highlight w:val="none"/>
                <w:lang w:eastAsia="zh-CN"/>
              </w:rPr>
              <w:t>磋商响应文件</w:t>
            </w:r>
            <w:r>
              <w:rPr>
                <w:rFonts w:hint="eastAsia" w:ascii="宋体" w:hAnsi="宋体" w:cs="宋体"/>
                <w:sz w:val="24"/>
                <w:szCs w:val="24"/>
                <w:highlight w:val="none"/>
              </w:rPr>
              <w:t>递交截止日前一年内至少一个月的纳税证明或完税证明，纳税证明或完税证明上应有代收机构或税务机关的公章或业务专用章。依法免税的供应商应提供相关文件证明；</w:t>
            </w:r>
          </w:p>
          <w:p>
            <w:pPr>
              <w:shd w:val="clea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p>
          <w:p>
            <w:pPr>
              <w:shd w:val="clear"/>
              <w:spacing w:line="500" w:lineRule="exact"/>
              <w:ind w:firstLine="480" w:firstLineChars="200"/>
              <w:rPr>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eastAsia="宋体" w:cs="宋体"/>
                <w:sz w:val="24"/>
                <w:szCs w:val="24"/>
                <w:highlight w:val="none"/>
              </w:rPr>
              <w:t>供应商不得为“信用中国”网站（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EF%BC%89%E4%B8%AD%E5%88%97%E5%85%A5%E5%A4%B1%E4%BF%A1%E8%A2%AB%E6%89%A7%E8%A1%8C%E4%BA%BA%E5%92%8C%E9%87%8D%E5%A4%A7%E7%A8%8E%E6%94%B6%E8%BF%9D%E6%B3%95%E6%A1%88%E4%BB%B6%E5%BD%93%E4%BA%8B%E4%BA%BA%E5%90%8D%E5%8D%95%E7%9A%84%E4%BE%9B%E5%BA%94%E5%95%86/"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www.creditchina.gov.cn）中列入失信被执行人和重大税收违法案件当事人名单的供应商</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，不得为中国政府采购网（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gov.cn%EF%BC%89%E6%94%BF%E5%BA%9C%E9%87%87%E8%B4%AD%E4%B8%A5%E9%87%8D%E8%BF%9D%E6%B3%95%E5%A4%B1%E4%BF%A1%E8%A1%8C%E4%B8%BA%E8%AE%B0%E5%BD%95%E5%90%8D%E5%8D%95%E4%B8%AD%E8%A2%AB%E8%B4%A2%E6%94%BF%E9%83%A8%E9%97%A8%E7%A6%81%E6%AD%A2%E5%8F%82%E5%8A%A0%E6%94%BF%E5%BA%9C%E9%87%87%E8%B4%AD%E6%B4%BB%E5%8A%A8%E7%9A%84%E4%BE%9B%E5%BA%94%E5%95%86/"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www.ccgp.gov.cn）政府采购严重违法失信行为记录名单中被财政部门禁止参加政府采购活动的供应商</w:t>
            </w:r>
            <w:r>
              <w:rPr>
                <w:rFonts w:hint="eastAsia" w:ascii="宋体" w:hAnsi="宋体" w:eastAsia="宋体" w:cs="宋体"/>
                <w:sz w:val="24"/>
                <w:szCs w:val="24"/>
                <w:highlight w:val="none"/>
              </w:rPr>
              <w:fldChar w:fldCharType="end"/>
            </w:r>
          </w:p>
          <w:p>
            <w:pPr>
              <w:shd w:val="clear"/>
              <w:spacing w:line="440" w:lineRule="exact"/>
              <w:ind w:firstLine="480"/>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、参加政府采购活动前3年内，在经营活动中没有重大违法记录的书面声明；</w:t>
            </w:r>
          </w:p>
          <w:p>
            <w:pPr>
              <w:shd w:val="clear"/>
              <w:spacing w:line="440" w:lineRule="exact"/>
              <w:ind w:firstLine="480"/>
              <w:rPr>
                <w:rFonts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、磋商保证金缴纳凭证或担保机构出具的保函正本</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right="0" w:rightChars="0" w:firstLine="482" w:firstLineChars="200"/>
              <w:jc w:val="both"/>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单位负责人为同一人或者存在直接</w:t>
            </w:r>
            <w:r>
              <w:rPr>
                <w:rFonts w:hint="eastAsia" w:ascii="宋体" w:hAnsi="宋体" w:eastAsia="宋体" w:cs="宋体"/>
                <w:b/>
                <w:bCs/>
                <w:kern w:val="2"/>
                <w:sz w:val="24"/>
                <w:szCs w:val="24"/>
                <w:highlight w:val="none"/>
                <w:lang w:val="en-US" w:eastAsia="zh-CN" w:bidi="ar-SA"/>
              </w:rPr>
              <w:t>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hd w:val="clear"/>
              <w:spacing w:line="360" w:lineRule="auto"/>
              <w:ind w:firstLine="480" w:firstLineChars="200"/>
              <w:rPr>
                <w:rFonts w:ascii="宋体" w:hAnsi="宋体" w:cs="宋体"/>
                <w:sz w:val="24"/>
                <w:szCs w:val="24"/>
                <w:highlight w:val="none"/>
              </w:rPr>
            </w:pPr>
            <w:r>
              <w:rPr>
                <w:rFonts w:hint="eastAsia" w:ascii="宋体" w:hAnsi="宋体" w:eastAsia="宋体" w:cs="宋体"/>
                <w:sz w:val="24"/>
                <w:szCs w:val="24"/>
                <w:highlight w:val="none"/>
                <w:lang w:val="en-US" w:eastAsia="zh-CN"/>
              </w:rPr>
              <w:t>以上为必备资质，缺一项或某项达不到要求，按无效</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lang w:val="en-US" w:eastAsia="zh-CN"/>
              </w:rPr>
              <w:t>处理。资格审查时以</w:t>
            </w:r>
            <w:r>
              <w:rPr>
                <w:rFonts w:hint="eastAsia" w:ascii="宋体" w:hAnsi="宋体" w:cs="宋体"/>
                <w:sz w:val="24"/>
                <w:szCs w:val="24"/>
                <w:highlight w:val="none"/>
                <w:lang w:val="en-US" w:eastAsia="zh-CN"/>
              </w:rPr>
              <w:t>磋商响应</w:t>
            </w:r>
            <w:r>
              <w:rPr>
                <w:rFonts w:hint="eastAsia" w:ascii="宋体" w:hAnsi="宋体" w:eastAsia="宋体" w:cs="宋体"/>
                <w:sz w:val="24"/>
                <w:szCs w:val="24"/>
                <w:highlight w:val="none"/>
                <w:lang w:val="en-US" w:eastAsia="zh-CN"/>
              </w:rPr>
              <w:t>文件中所附证明材料为准（信用记录可不提供，由代理机构查询并留存），原件备查</w:t>
            </w:r>
            <w:r>
              <w:rPr>
                <w:rFonts w:hint="eastAsia" w:ascii="宋体" w:hAnsi="宋体" w:eastAsia="宋体" w:cs="宋体"/>
                <w:sz w:val="24"/>
                <w:szCs w:val="24"/>
                <w:highlight w:val="none"/>
              </w:rPr>
              <w:t>。以上资质在</w:t>
            </w:r>
            <w:r>
              <w:rPr>
                <w:rFonts w:hint="eastAsia" w:ascii="宋体" w:hAnsi="宋体" w:eastAsia="宋体" w:cs="宋体"/>
                <w:sz w:val="24"/>
                <w:szCs w:val="24"/>
                <w:highlight w:val="none"/>
                <w:lang w:eastAsia="zh-CN"/>
              </w:rPr>
              <w:t>竞争性磋商响应文件</w:t>
            </w:r>
            <w:r>
              <w:rPr>
                <w:rFonts w:hint="eastAsia" w:ascii="宋体" w:hAnsi="宋体" w:eastAsia="宋体" w:cs="宋体"/>
                <w:sz w:val="24"/>
                <w:szCs w:val="24"/>
                <w:highlight w:val="none"/>
              </w:rPr>
              <w:t>正副本中各附一套复印件加盖公章（其中</w:t>
            </w:r>
            <w:r>
              <w:rPr>
                <w:rFonts w:hint="eastAsia" w:ascii="宋体" w:hAnsi="宋体" w:eastAsia="宋体" w:cs="宋体"/>
                <w:sz w:val="24"/>
                <w:szCs w:val="24"/>
                <w:highlight w:val="none"/>
                <w:lang w:eastAsia="zh-CN"/>
              </w:rPr>
              <w:t>竞争性磋商响应文件</w:t>
            </w:r>
            <w:r>
              <w:rPr>
                <w:rFonts w:hint="eastAsia" w:ascii="宋体" w:hAnsi="宋体" w:eastAsia="宋体" w:cs="宋体"/>
                <w:sz w:val="24"/>
                <w:szCs w:val="24"/>
                <w:highlight w:val="none"/>
              </w:rPr>
              <w:t>正本中的法定代表人授权书</w:t>
            </w:r>
            <w:r>
              <w:rPr>
                <w:rFonts w:hint="eastAsia" w:ascii="宋体" w:hAnsi="宋体" w:eastAsia="宋体" w:cs="宋体"/>
                <w:color w:val="auto"/>
                <w:sz w:val="24"/>
                <w:szCs w:val="24"/>
                <w:highlight w:val="none"/>
                <w:lang w:eastAsia="zh-CN"/>
              </w:rPr>
              <w:t>及重大违法记录书面声明均</w:t>
            </w:r>
            <w:r>
              <w:rPr>
                <w:rFonts w:hint="eastAsia" w:ascii="宋体" w:hAnsi="宋体" w:eastAsia="宋体" w:cs="宋体"/>
                <w:sz w:val="24"/>
                <w:szCs w:val="24"/>
                <w:highlight w:val="none"/>
              </w:rPr>
              <w:t>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1.4.2</w:t>
            </w:r>
          </w:p>
        </w:tc>
        <w:tc>
          <w:tcPr>
            <w:tcW w:w="2493" w:type="dxa"/>
            <w:shd w:val="clear" w:color="auto" w:fill="auto"/>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竞争性磋商</w:t>
            </w:r>
          </w:p>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文件发售时间</w:t>
            </w:r>
          </w:p>
        </w:tc>
        <w:tc>
          <w:tcPr>
            <w:tcW w:w="6240" w:type="dxa"/>
            <w:shd w:val="clear" w:color="auto" w:fill="auto"/>
            <w:vAlign w:val="center"/>
          </w:tcPr>
          <w:p>
            <w:pPr>
              <w:shd w:val="clear"/>
              <w:spacing w:line="520" w:lineRule="exact"/>
              <w:rPr>
                <w:rFonts w:ascii="宋体" w:hAnsi="宋体" w:cs="宋体"/>
                <w:sz w:val="24"/>
                <w:szCs w:val="24"/>
                <w:highlight w:val="none"/>
              </w:rPr>
            </w:pPr>
            <w:r>
              <w:rPr>
                <w:rFonts w:hint="eastAsia" w:ascii="宋体" w:hAnsi="宋体" w:cs="宋体"/>
                <w:sz w:val="24"/>
                <w:szCs w:val="24"/>
                <w:highlight w:val="none"/>
              </w:rPr>
              <w:t>2019年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17</w:t>
            </w:r>
            <w:r>
              <w:rPr>
                <w:rFonts w:hint="eastAsia" w:ascii="宋体" w:hAnsi="宋体" w:cs="宋体"/>
                <w:sz w:val="24"/>
                <w:szCs w:val="24"/>
                <w:highlight w:val="none"/>
              </w:rPr>
              <w:t>日至2019年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23</w:t>
            </w:r>
            <w:r>
              <w:rPr>
                <w:rFonts w:hint="eastAsia" w:ascii="宋体" w:hAnsi="宋体" w:cs="宋体"/>
                <w:sz w:val="24"/>
                <w:szCs w:val="24"/>
                <w:highlight w:val="none"/>
              </w:rPr>
              <w:t>日</w:t>
            </w:r>
            <w:r>
              <w:rPr>
                <w:rFonts w:hint="eastAsia" w:ascii="宋体" w:hAnsi="宋体" w:cs="宋体"/>
                <w:sz w:val="24"/>
                <w:szCs w:val="24"/>
                <w:highlight w:val="none"/>
                <w:lang w:val="en-US" w:eastAsia="zh-CN"/>
              </w:rPr>
              <w:t>9：00</w:t>
            </w:r>
            <w:r>
              <w:rPr>
                <w:rFonts w:hint="eastAsia" w:ascii="宋体" w:hAnsi="宋体" w:cs="宋体"/>
                <w:sz w:val="24"/>
                <w:szCs w:val="24"/>
                <w:highlight w:val="none"/>
              </w:rPr>
              <w:t>-17:</w:t>
            </w:r>
            <w:r>
              <w:rPr>
                <w:rFonts w:hint="eastAsia" w:ascii="宋体" w:hAnsi="宋体" w:cs="宋体"/>
                <w:sz w:val="24"/>
                <w:szCs w:val="24"/>
                <w:highlight w:val="none"/>
                <w:lang w:val="en-US" w:eastAsia="zh-CN"/>
              </w:rPr>
              <w:t>00</w:t>
            </w:r>
            <w:r>
              <w:rPr>
                <w:rFonts w:hint="eastAsia" w:ascii="宋体" w:hAnsi="宋体" w:cs="宋体"/>
                <w:sz w:val="24"/>
                <w:szCs w:val="24"/>
                <w:highlight w:val="none"/>
              </w:rPr>
              <w:t xml:space="preserve">（节假日除外）。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1.9</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踏勘现场</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采购代理机构不组织统一踏勘，各供应商自行踏勘，相关费用及安全由供应商自行承担，踏勘时不得扰民，如有疑问请以书面的形式提交给采购代理机构。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1.10</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磋商答疑会</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不召开；若有疑问，均应在磋商响应文件递交截止时间3日前以书面形式向采购代理机构提出。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1.11</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分包</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2.1</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构成竞争性磋商文件的其他材料</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澄清、修改、答疑文件、工程量清单等相关材料。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2.2.1</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供应商对竞争性磋商文件的疑问</w:t>
            </w:r>
          </w:p>
        </w:tc>
        <w:tc>
          <w:tcPr>
            <w:tcW w:w="6240" w:type="dxa"/>
            <w:vAlign w:val="center"/>
          </w:tcPr>
          <w:p>
            <w:pPr>
              <w:pStyle w:val="12"/>
              <w:shd w:val="clear"/>
              <w:rPr>
                <w:rFonts w:ascii="宋体" w:hAnsi="宋体" w:cs="宋体"/>
                <w:sz w:val="24"/>
                <w:szCs w:val="24"/>
                <w:highlight w:val="none"/>
              </w:rPr>
            </w:pPr>
            <w:r>
              <w:rPr>
                <w:rFonts w:hint="eastAsia" w:ascii="宋体" w:hAnsi="宋体" w:cs="宋体"/>
                <w:sz w:val="24"/>
                <w:szCs w:val="24"/>
                <w:highlight w:val="none"/>
              </w:rPr>
              <w:t>磋商响应文件递交截止时间3日前。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2.2.2</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采购人澄清</w:t>
            </w:r>
          </w:p>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竞争性磋商文件的截止时间</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磋商响应文件递交截止时间5日前。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3.1.1</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构成竞争性磋商响应文件的其他材料</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供应商按照竞争性磋商文件的要求认为有利于磋商的材料。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3.2.1</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工程计价方式</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工程量清单综合单价法，按《陕西省建设工程工程量清单计价规则》（2009）计价。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3.2.10</w:t>
            </w:r>
          </w:p>
        </w:tc>
        <w:tc>
          <w:tcPr>
            <w:tcW w:w="2493" w:type="dxa"/>
            <w:shd w:val="clear" w:color="auto" w:fill="auto"/>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采购预算</w:t>
            </w:r>
          </w:p>
        </w:tc>
        <w:tc>
          <w:tcPr>
            <w:tcW w:w="6240" w:type="dxa"/>
            <w:shd w:val="clear" w:color="auto" w:fill="auto"/>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788574.13元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3.3.1</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磋商有效期</w:t>
            </w:r>
          </w:p>
        </w:tc>
        <w:tc>
          <w:tcPr>
            <w:tcW w:w="6240" w:type="dxa"/>
            <w:vAlign w:val="center"/>
          </w:tcPr>
          <w:p>
            <w:pPr>
              <w:shd w:val="clear"/>
              <w:spacing w:line="360" w:lineRule="auto"/>
              <w:jc w:val="left"/>
              <w:rPr>
                <w:rFonts w:ascii="宋体" w:hAnsi="宋体" w:cs="宋体"/>
                <w:sz w:val="24"/>
                <w:szCs w:val="24"/>
                <w:highlight w:val="none"/>
              </w:rPr>
            </w:pPr>
            <w:r>
              <w:rPr>
                <w:rFonts w:hint="eastAsia" w:ascii="宋体" w:hAnsi="宋体" w:cs="宋体"/>
                <w:sz w:val="24"/>
                <w:szCs w:val="24"/>
                <w:highlight w:val="none"/>
              </w:rPr>
              <w:t>90日历天（从磋商截止之日算起）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3.4.1</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磋商保证金</w:t>
            </w:r>
          </w:p>
        </w:tc>
        <w:tc>
          <w:tcPr>
            <w:tcW w:w="6240" w:type="dxa"/>
            <w:vAlign w:val="center"/>
          </w:tcPr>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本次磋商活动供应商需交纳的磋商保证金为:</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人民币</w:t>
            </w:r>
            <w:r>
              <w:rPr>
                <w:rFonts w:hint="eastAsia" w:ascii="宋体" w:hAnsi="宋体" w:cs="宋体"/>
                <w:sz w:val="24"/>
                <w:szCs w:val="24"/>
                <w:highlight w:val="none"/>
                <w:lang w:eastAsia="zh-CN"/>
              </w:rPr>
              <w:t>壹万肆仟元整</w:t>
            </w:r>
            <w:r>
              <w:rPr>
                <w:rFonts w:hint="eastAsia" w:ascii="宋体" w:hAnsi="宋体" w:cs="宋体"/>
                <w:sz w:val="24"/>
                <w:szCs w:val="24"/>
                <w:highlight w:val="none"/>
              </w:rPr>
              <w:t>（￥</w:t>
            </w:r>
            <w:r>
              <w:rPr>
                <w:rFonts w:hint="eastAsia" w:ascii="宋体" w:hAnsi="宋体" w:cs="宋体"/>
                <w:sz w:val="24"/>
                <w:szCs w:val="24"/>
                <w:highlight w:val="none"/>
                <w:lang w:val="en-US" w:eastAsia="zh-CN"/>
              </w:rPr>
              <w:t>140</w:t>
            </w:r>
            <w:r>
              <w:rPr>
                <w:rFonts w:hint="eastAsia" w:ascii="宋体" w:hAnsi="宋体" w:cs="宋体"/>
                <w:sz w:val="24"/>
                <w:szCs w:val="24"/>
                <w:highlight w:val="none"/>
              </w:rPr>
              <w:t>00.00元）</w:t>
            </w:r>
            <w:bookmarkStart w:id="18" w:name="OLE_LINK45"/>
            <w:r>
              <w:rPr>
                <w:rFonts w:hint="eastAsia" w:ascii="宋体" w:hAnsi="宋体" w:cs="宋体"/>
                <w:sz w:val="24"/>
                <w:szCs w:val="24"/>
                <w:highlight w:val="none"/>
              </w:rPr>
              <w:t>。</w:t>
            </w:r>
            <w:bookmarkEnd w:id="18"/>
          </w:p>
          <w:p>
            <w:pPr>
              <w:shd w:val="clea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磋商保证金的有效期与磋商有效期一致。担保机构出具的保函的有效期为磋商有效期延长一个月。</w:t>
            </w:r>
          </w:p>
          <w:p>
            <w:pPr>
              <w:shd w:val="clear"/>
              <w:spacing w:line="500" w:lineRule="exact"/>
              <w:ind w:firstLine="480"/>
              <w:rPr>
                <w:rFonts w:ascii="宋体" w:hAnsi="宋体" w:cs="宋体"/>
                <w:sz w:val="24"/>
                <w:szCs w:val="24"/>
                <w:highlight w:val="none"/>
              </w:rPr>
            </w:pPr>
            <w:r>
              <w:rPr>
                <w:rFonts w:hint="eastAsia" w:ascii="宋体" w:hAnsi="宋体" w:cs="宋体"/>
                <w:sz w:val="24"/>
                <w:szCs w:val="24"/>
                <w:highlight w:val="none"/>
              </w:rPr>
              <w:t>磋商保证金的交纳形式：转账、电汇、担保机构保函。</w:t>
            </w:r>
          </w:p>
          <w:p>
            <w:pPr>
              <w:shd w:val="clear"/>
              <w:spacing w:line="500" w:lineRule="exact"/>
              <w:ind w:firstLine="480"/>
              <w:rPr>
                <w:rFonts w:hAnsi="宋体" w:cs="宋体"/>
                <w:b/>
                <w:bCs/>
                <w:sz w:val="24"/>
                <w:szCs w:val="24"/>
                <w:highlight w:val="none"/>
              </w:rPr>
            </w:pPr>
            <w:r>
              <w:rPr>
                <w:rFonts w:hint="eastAsia" w:ascii="宋体" w:hAnsi="宋体" w:cs="宋体"/>
                <w:sz w:val="24"/>
                <w:szCs w:val="24"/>
                <w:highlight w:val="none"/>
              </w:rPr>
              <w:t>供应商以银行转账、电汇形式交纳磋商保证金的，</w:t>
            </w:r>
            <w:r>
              <w:rPr>
                <w:rFonts w:hint="eastAsia" w:ascii="宋体" w:hAnsi="宋体" w:cs="宋体"/>
                <w:sz w:val="24"/>
                <w:szCs w:val="24"/>
                <w:highlight w:val="none"/>
                <w:lang w:eastAsia="zh-CN"/>
              </w:rPr>
              <w:t>须</w:t>
            </w:r>
            <w:r>
              <w:rPr>
                <w:rFonts w:hint="eastAsia" w:ascii="宋体" w:hAnsi="宋体" w:cs="宋体"/>
                <w:sz w:val="24"/>
                <w:szCs w:val="24"/>
                <w:highlight w:val="none"/>
              </w:rPr>
              <w:t>在磋商响应文件递交截止前</w:t>
            </w:r>
            <w:r>
              <w:rPr>
                <w:rFonts w:hint="eastAsia" w:ascii="宋体" w:hAnsi="宋体" w:cs="宋体"/>
                <w:b/>
                <w:bCs/>
                <w:sz w:val="24"/>
                <w:szCs w:val="24"/>
                <w:highlight w:val="none"/>
              </w:rPr>
              <w:t>到达</w:t>
            </w:r>
            <w:r>
              <w:rPr>
                <w:rFonts w:hint="eastAsia" w:ascii="宋体" w:hAnsi="宋体" w:cs="宋体"/>
                <w:sz w:val="24"/>
                <w:szCs w:val="24"/>
                <w:highlight w:val="none"/>
              </w:rPr>
              <w:t>采购代理机构指定账户（转账时请注明</w:t>
            </w:r>
            <w:r>
              <w:rPr>
                <w:rFonts w:hint="eastAsia" w:ascii="宋体" w:hAnsi="宋体" w:cs="宋体"/>
                <w:b/>
                <w:bCs/>
                <w:sz w:val="24"/>
                <w:szCs w:val="24"/>
                <w:highlight w:val="none"/>
              </w:rPr>
              <w:t>项目编号：</w:t>
            </w:r>
            <w:r>
              <w:rPr>
                <w:rFonts w:hint="eastAsia" w:ascii="宋体" w:hAnsi="宋体" w:cs="宋体"/>
                <w:b/>
                <w:bCs/>
                <w:sz w:val="24"/>
                <w:szCs w:val="24"/>
                <w:highlight w:val="none"/>
                <w:lang w:eastAsia="zh-CN"/>
              </w:rPr>
              <w:t>CS1289</w:t>
            </w:r>
            <w:r>
              <w:rPr>
                <w:rFonts w:hint="eastAsia" w:ascii="宋体" w:hAnsi="宋体" w:cs="宋体"/>
                <w:b/>
                <w:bCs/>
                <w:sz w:val="24"/>
                <w:szCs w:val="24"/>
                <w:highlight w:val="none"/>
              </w:rPr>
              <w:t>）</w:t>
            </w:r>
            <w:r>
              <w:rPr>
                <w:rFonts w:hint="eastAsia" w:ascii="宋体" w:hAnsi="宋体" w:cs="宋体"/>
                <w:sz w:val="24"/>
                <w:szCs w:val="24"/>
                <w:highlight w:val="none"/>
              </w:rPr>
              <w:t>。</w:t>
            </w:r>
            <w:r>
              <w:rPr>
                <w:rFonts w:hint="eastAsia" w:ascii="宋体" w:hAnsi="宋体" w:cs="宋体"/>
                <w:kern w:val="0"/>
                <w:sz w:val="24"/>
                <w:szCs w:val="24"/>
                <w:highlight w:val="none"/>
              </w:rPr>
              <w:t>保证金到达采购代理机构指定账户后，供应商须与华夏国际项目管理有限公司财务部联系确认到账后（联系电话88899970</w:t>
            </w:r>
            <w:r>
              <w:rPr>
                <w:rFonts w:hint="eastAsia" w:ascii="宋体" w:hAnsi="宋体" w:cs="宋体"/>
                <w:kern w:val="0"/>
                <w:sz w:val="24"/>
                <w:szCs w:val="24"/>
                <w:highlight w:val="none"/>
                <w:lang w:val="en-US" w:eastAsia="zh-CN"/>
              </w:rPr>
              <w:t>/</w:t>
            </w:r>
            <w:r>
              <w:rPr>
                <w:rFonts w:hint="eastAsia" w:hAnsi="宋体" w:cs="宋体"/>
                <w:kern w:val="0"/>
                <w:sz w:val="24"/>
                <w:szCs w:val="24"/>
                <w:highlight w:val="none"/>
              </w:rPr>
              <w:t>7</w:t>
            </w:r>
            <w:r>
              <w:rPr>
                <w:rFonts w:hint="eastAsia" w:ascii="宋体" w:hAnsi="宋体" w:cs="宋体"/>
                <w:kern w:val="0"/>
                <w:sz w:val="24"/>
                <w:szCs w:val="24"/>
                <w:highlight w:val="none"/>
              </w:rPr>
              <w:t>3/75-846），将磋商保证金缴纳凭证复印件粘贴于招标文件规定处。</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供应商以保函形式缴纳磋商保证金的，须在磋商响应文件递交截止时间前将担保机构保函</w:t>
            </w:r>
            <w:r>
              <w:rPr>
                <w:rFonts w:hint="eastAsia" w:ascii="宋体" w:hAnsi="宋体" w:cs="宋体"/>
                <w:b/>
                <w:bCs/>
                <w:sz w:val="24"/>
                <w:szCs w:val="24"/>
                <w:highlight w:val="none"/>
              </w:rPr>
              <w:t>正本原件</w:t>
            </w:r>
            <w:r>
              <w:rPr>
                <w:rFonts w:hint="eastAsia" w:ascii="宋体" w:hAnsi="宋体" w:cs="宋体"/>
                <w:sz w:val="24"/>
                <w:szCs w:val="24"/>
                <w:highlight w:val="none"/>
              </w:rPr>
              <w:t>提交至采购代理机构备案，并将保函正本复印件</w:t>
            </w:r>
            <w:r>
              <w:rPr>
                <w:rFonts w:hint="eastAsia" w:hAnsi="宋体" w:cs="宋体"/>
                <w:sz w:val="24"/>
                <w:szCs w:val="24"/>
                <w:highlight w:val="none"/>
              </w:rPr>
              <w:t>附在</w:t>
            </w:r>
            <w:r>
              <w:rPr>
                <w:rFonts w:hint="eastAsia" w:ascii="宋体" w:hAnsi="宋体" w:cs="宋体"/>
                <w:sz w:val="24"/>
                <w:szCs w:val="24"/>
                <w:highlight w:val="none"/>
              </w:rPr>
              <w:t>磋商响应文件规定处</w:t>
            </w:r>
            <w:r>
              <w:rPr>
                <w:rFonts w:hint="eastAsia"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3.5</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是否允许递交</w:t>
            </w:r>
          </w:p>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备选磋商方案</w:t>
            </w:r>
          </w:p>
        </w:tc>
        <w:tc>
          <w:tcPr>
            <w:tcW w:w="6240" w:type="dxa"/>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3.6.3</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签字或盖章要求</w:t>
            </w:r>
          </w:p>
        </w:tc>
        <w:tc>
          <w:tcPr>
            <w:tcW w:w="6240" w:type="dxa"/>
            <w:vAlign w:val="center"/>
          </w:tcPr>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竞争性磋商响应文件封面、磋商响应函及其它有要求处必须加盖供应商公章并经法定代表人或其委托代理人签字或盖章。</w:t>
            </w:r>
            <w:bookmarkStart w:id="19" w:name="_Toc343511347"/>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竞争性磋商响应文件应无涂改或行间插字和增删。如确需修改，修改处必须由供应商加盖供应商公章并经法定代表人或其委托代理人签字或盖章。</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3.6.4</w:t>
            </w:r>
          </w:p>
        </w:tc>
        <w:tc>
          <w:tcPr>
            <w:tcW w:w="249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竞争性磋商响应文件份数</w:t>
            </w:r>
          </w:p>
        </w:tc>
        <w:tc>
          <w:tcPr>
            <w:tcW w:w="6240" w:type="dxa"/>
            <w:vAlign w:val="center"/>
          </w:tcPr>
          <w:p>
            <w:pPr>
              <w:shd w:val="clear"/>
              <w:spacing w:line="360" w:lineRule="auto"/>
              <w:rPr>
                <w:rFonts w:hAnsi="宋体" w:cs="宋体"/>
                <w:sz w:val="24"/>
                <w:szCs w:val="24"/>
                <w:highlight w:val="none"/>
              </w:rPr>
            </w:pPr>
            <w:r>
              <w:rPr>
                <w:rFonts w:hint="eastAsia"/>
                <w:sz w:val="24"/>
                <w:szCs w:val="24"/>
                <w:highlight w:val="none"/>
              </w:rPr>
              <w:t>正本的份数：壹份；副本的份数：贰份；</w:t>
            </w:r>
            <w:r>
              <w:rPr>
                <w:rFonts w:hint="eastAsia" w:hAnsi="宋体"/>
                <w:sz w:val="24"/>
                <w:szCs w:val="24"/>
                <w:highlight w:val="none"/>
              </w:rPr>
              <w:t>报价一览表：</w:t>
            </w:r>
            <w:r>
              <w:rPr>
                <w:rFonts w:hint="eastAsia"/>
                <w:sz w:val="24"/>
                <w:szCs w:val="24"/>
                <w:highlight w:val="none"/>
              </w:rPr>
              <w:t>壹</w:t>
            </w:r>
            <w:r>
              <w:rPr>
                <w:rFonts w:hint="eastAsia" w:hAnsi="宋体"/>
                <w:sz w:val="24"/>
                <w:szCs w:val="24"/>
                <w:highlight w:val="none"/>
              </w:rPr>
              <w:t>份</w:t>
            </w:r>
            <w:r>
              <w:rPr>
                <w:rFonts w:hint="eastAsia" w:hAnsi="宋体" w:cs="宋体"/>
                <w:sz w:val="24"/>
                <w:szCs w:val="24"/>
                <w:highlight w:val="none"/>
              </w:rPr>
              <w:t>；电子版（</w:t>
            </w:r>
            <w:r>
              <w:rPr>
                <w:rFonts w:hint="eastAsia"/>
                <w:sz w:val="24"/>
                <w:szCs w:val="24"/>
                <w:highlight w:val="none"/>
              </w:rPr>
              <w:t>U盘</w:t>
            </w:r>
            <w:r>
              <w:rPr>
                <w:rFonts w:hint="eastAsia" w:hAnsi="宋体" w:cs="宋体"/>
                <w:sz w:val="24"/>
                <w:szCs w:val="24"/>
                <w:highlight w:val="none"/>
              </w:rPr>
              <w:t>）：贰份</w:t>
            </w:r>
            <w:r>
              <w:rPr>
                <w:rFonts w:hint="eastAsia"/>
                <w:sz w:val="24"/>
                <w:szCs w:val="24"/>
                <w:highlight w:val="none"/>
              </w:rPr>
              <w:t>，</w:t>
            </w:r>
            <w:r>
              <w:rPr>
                <w:rFonts w:hint="eastAsia" w:hAnsi="宋体" w:cs="宋体"/>
                <w:sz w:val="24"/>
                <w:szCs w:val="24"/>
                <w:highlight w:val="none"/>
              </w:rPr>
              <w:t>需在盘面上标注供应商全称、项目名称、编号）。</w:t>
            </w:r>
          </w:p>
          <w:p>
            <w:pPr>
              <w:pStyle w:val="2"/>
              <w:shd w:val="clear"/>
              <w:spacing w:line="360" w:lineRule="auto"/>
              <w:jc w:val="left"/>
              <w:rPr>
                <w:rFonts w:hAnsi="宋体" w:cs="宋体"/>
                <w:b/>
                <w:bCs/>
                <w:sz w:val="24"/>
                <w:szCs w:val="24"/>
                <w:highlight w:val="none"/>
              </w:rPr>
            </w:pPr>
            <w:r>
              <w:rPr>
                <w:rFonts w:hint="eastAsia" w:hAnsi="宋体" w:cs="宋体"/>
                <w:b/>
                <w:bCs/>
                <w:sz w:val="24"/>
                <w:szCs w:val="24"/>
                <w:highlight w:val="none"/>
              </w:rPr>
              <w:t>电子版包括：</w:t>
            </w:r>
          </w:p>
          <w:p>
            <w:pPr>
              <w:numPr>
                <w:ilvl w:val="0"/>
                <w:numId w:val="2"/>
              </w:numPr>
              <w:shd w:val="clea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word版磋商响应文件；</w:t>
            </w:r>
          </w:p>
          <w:p>
            <w:pPr>
              <w:numPr>
                <w:ilvl w:val="0"/>
                <w:numId w:val="0"/>
              </w:numPr>
              <w:shd w:val="clear"/>
              <w:spacing w:line="360" w:lineRule="auto"/>
              <w:rPr>
                <w:rFonts w:hAnsi="宋体" w:cs="宋体"/>
                <w:sz w:val="24"/>
                <w:szCs w:val="24"/>
                <w:highlight w:val="none"/>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磋商响应文件正本签字盖章后的PDF格式扫描件。（与正本具有同等法律效力）</w:t>
            </w:r>
            <w:r>
              <w:rPr>
                <w:rFonts w:hint="eastAsia" w:ascii="宋体" w:hAnsi="宋体" w:cs="宋体"/>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4.1.2</w:t>
            </w:r>
          </w:p>
        </w:tc>
        <w:tc>
          <w:tcPr>
            <w:tcW w:w="2493" w:type="dxa"/>
            <w:shd w:val="clear" w:color="auto" w:fill="auto"/>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封套上写明</w:t>
            </w:r>
          </w:p>
        </w:tc>
        <w:tc>
          <w:tcPr>
            <w:tcW w:w="6240" w:type="dxa"/>
            <w:shd w:val="clear" w:color="auto" w:fill="auto"/>
            <w:vAlign w:val="center"/>
          </w:tcPr>
          <w:p>
            <w:pPr>
              <w:numPr>
                <w:ilvl w:val="0"/>
                <w:numId w:val="3"/>
              </w:numPr>
              <w:shd w:val="clear"/>
              <w:spacing w:line="360" w:lineRule="auto"/>
              <w:rPr>
                <w:rFonts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lang w:eastAsia="zh-CN"/>
              </w:rPr>
              <w:t>铜川市新区创建全国文明城市工作领导小组办公室</w:t>
            </w:r>
          </w:p>
          <w:p>
            <w:pPr>
              <w:numPr>
                <w:ilvl w:val="0"/>
                <w:numId w:val="3"/>
              </w:numPr>
              <w:shd w:val="clear"/>
              <w:spacing w:line="360" w:lineRule="auto"/>
              <w:rPr>
                <w:rFonts w:ascii="宋体" w:hAnsi="宋体" w:cs="宋体"/>
                <w:sz w:val="24"/>
                <w:szCs w:val="24"/>
                <w:highlight w:val="none"/>
              </w:rPr>
            </w:pPr>
            <w:r>
              <w:rPr>
                <w:rFonts w:hint="eastAsia" w:ascii="宋体" w:hAnsi="宋体" w:cs="宋体"/>
                <w:sz w:val="24"/>
                <w:szCs w:val="24"/>
                <w:highlight w:val="none"/>
              </w:rPr>
              <w:t>供应商名称以及标注“正本”、“副本”、“磋商报价表”“电子版”字样，密封处应加盖供应商公章。</w:t>
            </w:r>
          </w:p>
          <w:p>
            <w:pPr>
              <w:shd w:val="clear"/>
              <w:spacing w:line="360" w:lineRule="auto"/>
              <w:rPr>
                <w:rFonts w:ascii="宋体" w:hAnsi="宋体" w:cs="宋体"/>
                <w:sz w:val="24"/>
                <w:szCs w:val="24"/>
                <w:highlight w:val="none"/>
              </w:rPr>
            </w:pPr>
            <w:r>
              <w:rPr>
                <w:rFonts w:hint="eastAsia" w:ascii="宋体" w:hAnsi="宋体" w:cs="宋体"/>
                <w:sz w:val="24"/>
                <w:szCs w:val="24"/>
                <w:highlight w:val="none"/>
                <w:shd w:val="clear"/>
              </w:rPr>
              <w:t>3、</w:t>
            </w:r>
            <w:r>
              <w:rPr>
                <w:rFonts w:hint="eastAsia" w:ascii="宋体" w:hAnsi="宋体" w:cs="宋体"/>
                <w:sz w:val="24"/>
                <w:szCs w:val="24"/>
                <w:highlight w:val="none"/>
                <w:u w:val="none"/>
                <w:shd w:val="clear"/>
              </w:rPr>
              <w:t>（项目名称）竞争性磋商响应文件在2019年</w:t>
            </w:r>
            <w:r>
              <w:rPr>
                <w:rFonts w:hint="eastAsia" w:ascii="宋体" w:hAnsi="宋体" w:cs="宋体"/>
                <w:sz w:val="24"/>
                <w:szCs w:val="24"/>
                <w:highlight w:val="none"/>
                <w:u w:val="single"/>
                <w:shd w:val="clear"/>
                <w:lang w:val="en-US" w:eastAsia="zh-CN"/>
              </w:rPr>
              <w:t>12</w:t>
            </w:r>
            <w:r>
              <w:rPr>
                <w:rFonts w:hint="eastAsia" w:ascii="宋体" w:hAnsi="宋体" w:cs="宋体"/>
                <w:sz w:val="24"/>
                <w:szCs w:val="24"/>
                <w:highlight w:val="none"/>
                <w:u w:val="none"/>
                <w:shd w:val="clear"/>
                <w:lang w:val="en-US" w:eastAsia="zh-CN"/>
              </w:rPr>
              <w:t>月</w:t>
            </w:r>
            <w:r>
              <w:rPr>
                <w:rFonts w:hint="eastAsia" w:ascii="宋体" w:hAnsi="宋体" w:cs="宋体"/>
                <w:sz w:val="24"/>
                <w:szCs w:val="24"/>
                <w:highlight w:val="none"/>
                <w:u w:val="single"/>
                <w:shd w:val="clear"/>
                <w:lang w:val="en-US" w:eastAsia="zh-CN"/>
              </w:rPr>
              <w:t>27</w:t>
            </w:r>
            <w:r>
              <w:rPr>
                <w:rFonts w:hint="eastAsia" w:ascii="宋体" w:hAnsi="宋体" w:cs="宋体"/>
                <w:sz w:val="24"/>
                <w:szCs w:val="24"/>
                <w:highlight w:val="none"/>
                <w:u w:val="none"/>
                <w:shd w:val="clear"/>
                <w:lang w:val="en-US" w:eastAsia="zh-CN"/>
              </w:rPr>
              <w:t>日14</w:t>
            </w:r>
            <w:r>
              <w:rPr>
                <w:rFonts w:hint="eastAsia" w:ascii="宋体" w:hAnsi="宋体" w:cs="宋体"/>
                <w:sz w:val="24"/>
                <w:szCs w:val="24"/>
                <w:highlight w:val="none"/>
                <w:u w:val="none"/>
                <w:shd w:val="clear"/>
              </w:rPr>
              <w:t>时</w:t>
            </w:r>
            <w:r>
              <w:rPr>
                <w:rFonts w:hint="eastAsia" w:ascii="宋体" w:hAnsi="宋体" w:cs="宋体"/>
                <w:sz w:val="24"/>
                <w:szCs w:val="24"/>
                <w:highlight w:val="none"/>
                <w:u w:val="none"/>
                <w:shd w:val="clear"/>
                <w:lang w:val="en-US" w:eastAsia="zh-CN"/>
              </w:rPr>
              <w:t>30</w:t>
            </w:r>
            <w:r>
              <w:rPr>
                <w:rFonts w:hint="eastAsia" w:ascii="宋体" w:hAnsi="宋体" w:cs="宋体"/>
                <w:sz w:val="24"/>
                <w:szCs w:val="24"/>
                <w:highlight w:val="none"/>
                <w:u w:val="none"/>
                <w:shd w:val="clear"/>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4.2.2</w:t>
            </w:r>
          </w:p>
        </w:tc>
        <w:tc>
          <w:tcPr>
            <w:tcW w:w="2493" w:type="dxa"/>
            <w:shd w:val="clear" w:color="auto" w:fill="auto"/>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递交竞争性磋商响应文件截止时间、地点</w:t>
            </w:r>
          </w:p>
        </w:tc>
        <w:tc>
          <w:tcPr>
            <w:tcW w:w="6240" w:type="dxa"/>
            <w:shd w:val="clear" w:color="auto" w:fill="auto"/>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时间：</w:t>
            </w:r>
            <w:r>
              <w:rPr>
                <w:rFonts w:hint="eastAsia" w:ascii="宋体" w:hAnsi="宋体" w:cs="宋体"/>
                <w:sz w:val="24"/>
                <w:szCs w:val="24"/>
                <w:highlight w:val="none"/>
                <w:u w:val="none"/>
              </w:rPr>
              <w:t>2019年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val="en-US" w:eastAsia="zh-CN"/>
              </w:rPr>
              <w:t>月</w:t>
            </w:r>
            <w:r>
              <w:rPr>
                <w:rFonts w:hint="eastAsia" w:ascii="宋体" w:hAnsi="宋体" w:cs="宋体"/>
                <w:sz w:val="24"/>
                <w:szCs w:val="24"/>
                <w:highlight w:val="none"/>
                <w:u w:val="single"/>
                <w:lang w:val="en-US" w:eastAsia="zh-CN"/>
              </w:rPr>
              <w:t>27</w:t>
            </w:r>
            <w:r>
              <w:rPr>
                <w:rFonts w:hint="eastAsia" w:ascii="宋体" w:hAnsi="宋体" w:cs="宋体"/>
                <w:sz w:val="24"/>
                <w:szCs w:val="24"/>
                <w:highlight w:val="none"/>
                <w:u w:val="none"/>
                <w:lang w:val="en-US" w:eastAsia="zh-CN"/>
              </w:rPr>
              <w:t>日14</w:t>
            </w:r>
            <w:r>
              <w:rPr>
                <w:rFonts w:hint="eastAsia" w:ascii="宋体" w:hAnsi="宋体" w:cs="宋体"/>
                <w:sz w:val="24"/>
                <w:szCs w:val="24"/>
                <w:highlight w:val="none"/>
                <w:u w:val="none"/>
              </w:rPr>
              <w:t>时</w:t>
            </w:r>
            <w:r>
              <w:rPr>
                <w:rFonts w:hint="eastAsia" w:ascii="宋体" w:hAnsi="宋体" w:cs="宋体"/>
                <w:sz w:val="24"/>
                <w:szCs w:val="24"/>
                <w:highlight w:val="none"/>
                <w:u w:val="none"/>
                <w:lang w:val="en-US" w:eastAsia="zh-CN"/>
              </w:rPr>
              <w:t>30</w:t>
            </w:r>
            <w:r>
              <w:rPr>
                <w:rFonts w:hint="eastAsia" w:ascii="宋体" w:hAnsi="宋体" w:cs="宋体"/>
                <w:sz w:val="24"/>
                <w:szCs w:val="24"/>
                <w:highlight w:val="none"/>
                <w:u w:val="none"/>
              </w:rPr>
              <w:t>分</w:t>
            </w:r>
          </w:p>
          <w:p>
            <w:pPr>
              <w:shd w:val="clea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地点：西安市高新区科技五路8号数字大厦11楼</w:t>
            </w:r>
            <w:r>
              <w:rPr>
                <w:rFonts w:hint="eastAsia" w:ascii="宋体" w:hAnsi="宋体" w:cs="宋体"/>
                <w:sz w:val="24"/>
                <w:szCs w:val="24"/>
                <w:highlight w:val="none"/>
                <w:lang w:eastAsia="zh-CN"/>
              </w:rPr>
              <w:t>开标室</w:t>
            </w:r>
            <w:r>
              <w:rPr>
                <w:rFonts w:hint="eastAsia" w:ascii="宋体" w:hAnsi="宋体" w:cs="宋体"/>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4.2.3</w:t>
            </w:r>
          </w:p>
        </w:tc>
        <w:tc>
          <w:tcPr>
            <w:tcW w:w="2493" w:type="dxa"/>
            <w:shd w:val="clear" w:color="auto" w:fill="auto"/>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是否退还竞争性磋商响应文件</w:t>
            </w:r>
          </w:p>
        </w:tc>
        <w:tc>
          <w:tcPr>
            <w:tcW w:w="6240" w:type="dxa"/>
            <w:shd w:val="clear" w:color="auto" w:fill="auto"/>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5.1</w:t>
            </w:r>
          </w:p>
        </w:tc>
        <w:tc>
          <w:tcPr>
            <w:tcW w:w="2493" w:type="dxa"/>
            <w:shd w:val="clear" w:color="auto" w:fill="auto"/>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磋商时间和地点</w:t>
            </w:r>
          </w:p>
        </w:tc>
        <w:tc>
          <w:tcPr>
            <w:tcW w:w="6240" w:type="dxa"/>
            <w:shd w:val="clear" w:color="auto" w:fill="auto"/>
            <w:vAlign w:val="center"/>
          </w:tcPr>
          <w:p>
            <w:pPr>
              <w:shd w:val="clear"/>
              <w:spacing w:line="360" w:lineRule="auto"/>
              <w:rPr>
                <w:rFonts w:ascii="宋体" w:hAnsi="宋体" w:cs="宋体"/>
                <w:sz w:val="24"/>
                <w:szCs w:val="24"/>
                <w:highlight w:val="none"/>
                <w:u w:val="none"/>
              </w:rPr>
            </w:pPr>
            <w:r>
              <w:rPr>
                <w:rFonts w:hint="eastAsia" w:ascii="宋体" w:hAnsi="宋体" w:cs="宋体"/>
                <w:sz w:val="24"/>
                <w:szCs w:val="24"/>
                <w:highlight w:val="none"/>
              </w:rPr>
              <w:t>磋商时间</w:t>
            </w:r>
            <w:r>
              <w:rPr>
                <w:rFonts w:hint="eastAsia" w:ascii="宋体" w:hAnsi="宋体" w:cs="宋体"/>
                <w:sz w:val="24"/>
                <w:szCs w:val="24"/>
                <w:highlight w:val="none"/>
                <w:lang w:eastAsia="zh-CN"/>
              </w:rPr>
              <w:t>：</w:t>
            </w:r>
            <w:r>
              <w:rPr>
                <w:rFonts w:hint="eastAsia" w:ascii="宋体" w:hAnsi="宋体" w:cs="宋体"/>
                <w:sz w:val="24"/>
                <w:szCs w:val="24"/>
                <w:highlight w:val="none"/>
                <w:u w:val="none"/>
              </w:rPr>
              <w:t>2019年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none"/>
                <w:lang w:val="en-US" w:eastAsia="zh-CN"/>
              </w:rPr>
              <w:t>月</w:t>
            </w:r>
            <w:r>
              <w:rPr>
                <w:rFonts w:hint="eastAsia" w:ascii="宋体" w:hAnsi="宋体" w:cs="宋体"/>
                <w:sz w:val="24"/>
                <w:szCs w:val="24"/>
                <w:highlight w:val="none"/>
                <w:u w:val="single"/>
                <w:lang w:val="en-US" w:eastAsia="zh-CN"/>
              </w:rPr>
              <w:t>27</w:t>
            </w:r>
            <w:r>
              <w:rPr>
                <w:rFonts w:hint="eastAsia" w:ascii="宋体" w:hAnsi="宋体" w:cs="宋体"/>
                <w:sz w:val="24"/>
                <w:szCs w:val="24"/>
                <w:highlight w:val="none"/>
                <w:u w:val="none"/>
                <w:lang w:val="en-US" w:eastAsia="zh-CN"/>
              </w:rPr>
              <w:t>日14</w:t>
            </w:r>
            <w:r>
              <w:rPr>
                <w:rFonts w:hint="eastAsia" w:ascii="宋体" w:hAnsi="宋体" w:cs="宋体"/>
                <w:sz w:val="24"/>
                <w:szCs w:val="24"/>
                <w:highlight w:val="none"/>
                <w:u w:val="none"/>
              </w:rPr>
              <w:t>时</w:t>
            </w:r>
            <w:r>
              <w:rPr>
                <w:rFonts w:hint="eastAsia" w:ascii="宋体" w:hAnsi="宋体" w:cs="宋体"/>
                <w:sz w:val="24"/>
                <w:szCs w:val="24"/>
                <w:highlight w:val="none"/>
                <w:u w:val="none"/>
                <w:lang w:val="en-US" w:eastAsia="zh-CN"/>
              </w:rPr>
              <w:t>30</w:t>
            </w:r>
            <w:r>
              <w:rPr>
                <w:rFonts w:hint="eastAsia" w:ascii="宋体" w:hAnsi="宋体" w:cs="宋体"/>
                <w:sz w:val="24"/>
                <w:szCs w:val="24"/>
                <w:highlight w:val="none"/>
                <w:u w:val="none"/>
              </w:rPr>
              <w:t>分</w:t>
            </w:r>
          </w:p>
          <w:p>
            <w:pPr>
              <w:shd w:val="clea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磋商地点: 西安市高新区科技五路8号数字大厦11楼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7.1</w:t>
            </w:r>
          </w:p>
        </w:tc>
        <w:tc>
          <w:tcPr>
            <w:tcW w:w="2493" w:type="dxa"/>
            <w:shd w:val="clear" w:color="auto" w:fill="auto"/>
            <w:vAlign w:val="center"/>
          </w:tcPr>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是否授权磋商小组</w:t>
            </w:r>
          </w:p>
          <w:p>
            <w:pPr>
              <w:shd w:val="clear"/>
              <w:spacing w:line="360" w:lineRule="auto"/>
              <w:jc w:val="center"/>
              <w:rPr>
                <w:rFonts w:ascii="宋体" w:hAnsi="宋体" w:cs="宋体"/>
                <w:sz w:val="24"/>
                <w:szCs w:val="24"/>
                <w:highlight w:val="none"/>
              </w:rPr>
            </w:pPr>
            <w:r>
              <w:rPr>
                <w:rFonts w:hint="eastAsia" w:ascii="宋体" w:hAnsi="宋体" w:cs="宋体"/>
                <w:sz w:val="24"/>
                <w:szCs w:val="24"/>
                <w:highlight w:val="none"/>
              </w:rPr>
              <w:t>确定成交人</w:t>
            </w:r>
          </w:p>
        </w:tc>
        <w:tc>
          <w:tcPr>
            <w:tcW w:w="6240" w:type="dxa"/>
            <w:shd w:val="clear" w:color="auto" w:fill="auto"/>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否,</w:t>
            </w:r>
            <w:bookmarkStart w:id="20" w:name="OLE_LINK6"/>
            <w:r>
              <w:rPr>
                <w:rFonts w:hint="eastAsia" w:ascii="宋体" w:hAnsi="宋体" w:cs="宋体"/>
                <w:sz w:val="24"/>
                <w:szCs w:val="24"/>
                <w:highlight w:val="none"/>
              </w:rPr>
              <w:t>推荐3名成交候选人</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6" w:type="dxa"/>
            <w:gridSpan w:val="3"/>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9706" w:type="dxa"/>
            <w:gridSpan w:val="3"/>
            <w:vAlign w:val="center"/>
          </w:tcPr>
          <w:p>
            <w:pPr>
              <w:shd w:val="clear"/>
              <w:spacing w:line="360" w:lineRule="auto"/>
              <w:ind w:left="110" w:leftChars="52" w:hanging="1"/>
              <w:rPr>
                <w:rFonts w:ascii="宋体" w:hAnsi="宋体" w:cs="宋体"/>
                <w:sz w:val="24"/>
                <w:szCs w:val="24"/>
                <w:highlight w:val="none"/>
              </w:rPr>
            </w:pPr>
            <w:r>
              <w:rPr>
                <w:rFonts w:hint="eastAsia" w:ascii="宋体" w:hAnsi="宋体" w:cs="宋体"/>
                <w:sz w:val="24"/>
                <w:szCs w:val="24"/>
                <w:highlight w:val="none"/>
              </w:rPr>
              <w:t>构成本竞争性磋商文件各个组成部分的文件，未经采购人书面同意，供应商不得擅自复印和用于非本招标项目所需的其他目的。采购人全部或者部分使用未成交人竞争性磋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06" w:type="dxa"/>
            <w:gridSpan w:val="3"/>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9706" w:type="dxa"/>
            <w:gridSpan w:val="3"/>
            <w:vAlign w:val="center"/>
          </w:tcPr>
          <w:p>
            <w:pPr>
              <w:shd w:val="clear"/>
              <w:spacing w:line="360" w:lineRule="auto"/>
              <w:ind w:left="110" w:leftChars="52" w:hanging="1"/>
              <w:rPr>
                <w:rFonts w:ascii="宋体" w:hAnsi="宋体" w:cs="宋体"/>
                <w:sz w:val="24"/>
                <w:szCs w:val="24"/>
                <w:highlight w:val="none"/>
              </w:rPr>
            </w:pPr>
            <w:r>
              <w:rPr>
                <w:rFonts w:hint="eastAsia" w:ascii="宋体" w:hAnsi="宋体" w:cs="宋体"/>
                <w:sz w:val="24"/>
                <w:szCs w:val="24"/>
                <w:highlight w:val="none"/>
              </w:rPr>
              <w:t>构成竞争性磋商文件组成部分的“通用合同条款”、“专用合同条款”、“技术标准和要求”和“工程量清单”等章节中出现的措辞“发包人”和“承包人”，在磋商阶段应当分别按“采购人”和“供应商”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706" w:type="dxa"/>
            <w:gridSpan w:val="3"/>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9706" w:type="dxa"/>
            <w:gridSpan w:val="3"/>
            <w:vAlign w:val="center"/>
          </w:tcPr>
          <w:p>
            <w:pPr>
              <w:shd w:val="clear"/>
              <w:spacing w:line="360" w:lineRule="auto"/>
              <w:ind w:left="68" w:leftChars="-2" w:hanging="72" w:hangingChars="30"/>
              <w:rPr>
                <w:rFonts w:ascii="宋体" w:hAnsi="宋体" w:cs="宋体"/>
                <w:sz w:val="24"/>
                <w:szCs w:val="24"/>
                <w:highlight w:val="none"/>
              </w:rPr>
            </w:pPr>
            <w:r>
              <w:rPr>
                <w:rFonts w:hint="eastAsia" w:ascii="宋体" w:hAnsi="宋体" w:cs="宋体"/>
                <w:sz w:val="24"/>
                <w:szCs w:val="24"/>
                <w:highlight w:val="none"/>
              </w:rPr>
              <w:t>本竞争性磋商文件由采购人和采购代理机构负责解释。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9706" w:type="dxa"/>
            <w:gridSpan w:val="3"/>
            <w:vAlign w:val="center"/>
          </w:tcPr>
          <w:p>
            <w:pPr>
              <w:shd w:val="clear"/>
              <w:spacing w:line="360" w:lineRule="auto"/>
              <w:rPr>
                <w:rFonts w:ascii="宋体" w:hAnsi="宋体" w:cs="宋体"/>
                <w:sz w:val="24"/>
                <w:szCs w:val="24"/>
                <w:highlight w:val="none"/>
              </w:rPr>
            </w:pPr>
            <w:r>
              <w:rPr>
                <w:rFonts w:hint="eastAsia" w:ascii="宋体" w:hAnsi="宋体" w:cs="宋体"/>
                <w:sz w:val="24"/>
                <w:szCs w:val="24"/>
                <w:highlight w:val="none"/>
              </w:rPr>
              <w:t>银行账户信息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exact"/>
          <w:jc w:val="center"/>
        </w:trPr>
        <w:tc>
          <w:tcPr>
            <w:tcW w:w="9706" w:type="dxa"/>
            <w:gridSpan w:val="3"/>
            <w:vAlign w:val="center"/>
          </w:tcPr>
          <w:p>
            <w:pPr>
              <w:numPr>
                <w:ilvl w:val="0"/>
                <w:numId w:val="4"/>
              </w:numPr>
              <w:shd w:val="clear"/>
              <w:spacing w:line="520" w:lineRule="exact"/>
              <w:rPr>
                <w:rFonts w:hAnsi="宋体"/>
                <w:b/>
                <w:bCs/>
                <w:sz w:val="24"/>
                <w:szCs w:val="24"/>
                <w:highlight w:val="none"/>
              </w:rPr>
            </w:pPr>
            <w:r>
              <w:rPr>
                <w:rFonts w:hint="eastAsia" w:ascii="宋体" w:hAnsi="宋体" w:cs="宋体"/>
                <w:sz w:val="24"/>
                <w:szCs w:val="24"/>
                <w:highlight w:val="none"/>
              </w:rPr>
              <w:tab/>
            </w:r>
            <w:r>
              <w:rPr>
                <w:rFonts w:hint="eastAsia" w:hAnsi="宋体"/>
                <w:b/>
                <w:bCs/>
                <w:sz w:val="24"/>
                <w:szCs w:val="24"/>
                <w:highlight w:val="none"/>
              </w:rPr>
              <w:t>保证金账户：</w:t>
            </w:r>
          </w:p>
          <w:p>
            <w:pPr>
              <w:shd w:val="clear"/>
              <w:spacing w:line="520" w:lineRule="exact"/>
              <w:ind w:firstLine="240" w:firstLineChars="100"/>
              <w:rPr>
                <w:rFonts w:ascii="宋体" w:hAnsi="宋体" w:cs="宋体"/>
                <w:sz w:val="24"/>
                <w:szCs w:val="24"/>
                <w:highlight w:val="none"/>
              </w:rPr>
            </w:pPr>
            <w:r>
              <w:rPr>
                <w:rFonts w:hint="eastAsia" w:ascii="宋体" w:hAnsi="宋体" w:cs="宋体"/>
                <w:sz w:val="24"/>
                <w:szCs w:val="24"/>
                <w:highlight w:val="none"/>
              </w:rPr>
              <w:t>户名：华夏国际项目管理有限公司</w:t>
            </w:r>
          </w:p>
          <w:p>
            <w:pPr>
              <w:shd w:val="clear"/>
              <w:spacing w:line="520" w:lineRule="exact"/>
              <w:ind w:firstLine="240" w:firstLineChars="100"/>
              <w:rPr>
                <w:rFonts w:ascii="宋体" w:hAnsi="宋体" w:cs="宋体"/>
                <w:sz w:val="24"/>
                <w:szCs w:val="24"/>
                <w:highlight w:val="none"/>
              </w:rPr>
            </w:pPr>
            <w:r>
              <w:rPr>
                <w:rFonts w:hint="eastAsia" w:ascii="宋体" w:hAnsi="宋体" w:cs="宋体"/>
                <w:sz w:val="24"/>
                <w:szCs w:val="24"/>
                <w:highlight w:val="none"/>
              </w:rPr>
              <w:t>开户行：</w:t>
            </w:r>
            <w:r>
              <w:rPr>
                <w:rFonts w:hint="eastAsia" w:hAnsi="宋体" w:cs="宋体"/>
                <w:sz w:val="24"/>
                <w:szCs w:val="32"/>
                <w:highlight w:val="none"/>
              </w:rPr>
              <w:t>工行西安城南科技支行</w:t>
            </w:r>
          </w:p>
          <w:p>
            <w:pPr>
              <w:shd w:val="clear"/>
              <w:spacing w:line="520" w:lineRule="exact"/>
              <w:ind w:firstLine="240" w:firstLineChars="100"/>
              <w:rPr>
                <w:rFonts w:ascii="宋体" w:hAnsi="宋体" w:cs="宋体"/>
                <w:sz w:val="24"/>
                <w:szCs w:val="24"/>
                <w:highlight w:val="none"/>
              </w:rPr>
            </w:pPr>
            <w:r>
              <w:rPr>
                <w:rFonts w:hint="eastAsia" w:ascii="宋体" w:hAnsi="宋体" w:cs="宋体"/>
                <w:sz w:val="24"/>
                <w:szCs w:val="24"/>
                <w:highlight w:val="none"/>
              </w:rPr>
              <w:t>账号：</w:t>
            </w:r>
            <w:r>
              <w:rPr>
                <w:rFonts w:hint="eastAsia" w:hAnsi="宋体" w:cs="宋体"/>
                <w:szCs w:val="24"/>
                <w:highlight w:val="none"/>
              </w:rPr>
              <w:t>3700024819200130193</w:t>
            </w:r>
          </w:p>
          <w:p>
            <w:pPr>
              <w:numPr>
                <w:ilvl w:val="0"/>
                <w:numId w:val="4"/>
              </w:numPr>
              <w:shd w:val="clear"/>
              <w:spacing w:line="520" w:lineRule="exact"/>
              <w:rPr>
                <w:rFonts w:hAnsi="宋体"/>
                <w:b/>
                <w:bCs/>
                <w:sz w:val="24"/>
                <w:szCs w:val="24"/>
                <w:highlight w:val="none"/>
              </w:rPr>
            </w:pPr>
            <w:r>
              <w:rPr>
                <w:rFonts w:hint="eastAsia" w:hAnsi="宋体"/>
                <w:b/>
                <w:bCs/>
                <w:sz w:val="24"/>
                <w:szCs w:val="24"/>
                <w:highlight w:val="none"/>
              </w:rPr>
              <w:t>招标代理服务费账户：</w:t>
            </w:r>
          </w:p>
          <w:p>
            <w:pPr>
              <w:shd w:val="clear"/>
              <w:spacing w:line="520" w:lineRule="exact"/>
              <w:ind w:firstLine="240" w:firstLineChars="100"/>
              <w:rPr>
                <w:rFonts w:ascii="宋体" w:hAnsi="宋体" w:cs="宋体"/>
                <w:sz w:val="24"/>
                <w:szCs w:val="24"/>
                <w:highlight w:val="none"/>
              </w:rPr>
            </w:pPr>
            <w:r>
              <w:rPr>
                <w:rFonts w:hint="eastAsia" w:ascii="宋体" w:hAnsi="宋体" w:cs="宋体"/>
                <w:sz w:val="24"/>
                <w:szCs w:val="24"/>
                <w:highlight w:val="none"/>
              </w:rPr>
              <w:t>户名：华夏国际项目管理有限公司</w:t>
            </w:r>
          </w:p>
          <w:p>
            <w:pPr>
              <w:shd w:val="clear"/>
              <w:spacing w:line="520" w:lineRule="exact"/>
              <w:ind w:firstLine="240" w:firstLineChars="100"/>
              <w:rPr>
                <w:rFonts w:ascii="宋体" w:hAnsi="宋体" w:cs="宋体"/>
                <w:sz w:val="24"/>
                <w:szCs w:val="24"/>
                <w:highlight w:val="none"/>
              </w:rPr>
            </w:pPr>
            <w:r>
              <w:rPr>
                <w:rFonts w:hint="eastAsia" w:ascii="宋体" w:hAnsi="宋体" w:cs="宋体"/>
                <w:sz w:val="24"/>
                <w:szCs w:val="24"/>
                <w:highlight w:val="none"/>
              </w:rPr>
              <w:t>开户行：中国光大银行西安南二环支行</w:t>
            </w:r>
          </w:p>
          <w:p>
            <w:pPr>
              <w:shd w:val="clear"/>
              <w:spacing w:line="520" w:lineRule="exact"/>
              <w:ind w:firstLine="240" w:firstLineChars="100"/>
              <w:rPr>
                <w:rFonts w:ascii="宋体" w:hAnsi="宋体" w:cs="宋体"/>
                <w:sz w:val="24"/>
                <w:szCs w:val="24"/>
                <w:highlight w:val="none"/>
              </w:rPr>
            </w:pPr>
            <w:r>
              <w:rPr>
                <w:rFonts w:hint="eastAsia" w:ascii="宋体" w:hAnsi="宋体" w:cs="宋体"/>
                <w:sz w:val="24"/>
                <w:szCs w:val="24"/>
                <w:highlight w:val="none"/>
              </w:rPr>
              <w:t>账号：78620188000097418</w:t>
            </w:r>
          </w:p>
          <w:p>
            <w:pPr>
              <w:shd w:val="clear"/>
              <w:spacing w:line="360" w:lineRule="auto"/>
              <w:ind w:left="68" w:leftChars="-2" w:hanging="72" w:hangingChars="30"/>
              <w:rPr>
                <w:rFonts w:ascii="宋体" w:hAnsi="宋体" w:cs="宋体"/>
                <w:sz w:val="24"/>
                <w:szCs w:val="24"/>
                <w:highlight w:val="none"/>
              </w:rPr>
            </w:pPr>
            <w:r>
              <w:rPr>
                <w:rFonts w:hint="eastAsia" w:hAnsi="宋体"/>
                <w:b/>
                <w:bCs/>
                <w:sz w:val="24"/>
                <w:szCs w:val="24"/>
                <w:highlight w:val="none"/>
              </w:rPr>
              <w:t>请各供应商按照要求分别将保证金和招标代理服务费汇入以上指定账户，如因自身原因发生错误，产生的不利后果均由供应商自行承担。</w:t>
            </w:r>
          </w:p>
        </w:tc>
      </w:tr>
    </w:tbl>
    <w:p>
      <w:pPr>
        <w:shd w:val="clear"/>
        <w:spacing w:line="360" w:lineRule="auto"/>
        <w:jc w:val="left"/>
        <w:rPr>
          <w:rFonts w:ascii="宋体"/>
          <w:highlight w:val="none"/>
        </w:rPr>
        <w:sectPr>
          <w:footerReference r:id="rId8" w:type="default"/>
          <w:pgSz w:w="11906" w:h="16838"/>
          <w:pgMar w:top="1417" w:right="1417" w:bottom="1417" w:left="1757" w:header="851" w:footer="992" w:gutter="0"/>
          <w:pgNumType w:fmt="decimal" w:start="1"/>
          <w:cols w:space="0" w:num="1"/>
          <w:docGrid w:type="lines" w:linePitch="312" w:charSpace="0"/>
        </w:sectPr>
      </w:pPr>
    </w:p>
    <w:p>
      <w:pPr>
        <w:shd w:val="clear"/>
        <w:spacing w:beforeLines="50" w:afterLines="50"/>
        <w:jc w:val="center"/>
        <w:rPr>
          <w:rFonts w:ascii="宋体" w:hAnsi="宋体" w:cs="宋体"/>
          <w:b/>
          <w:kern w:val="0"/>
          <w:sz w:val="32"/>
          <w:szCs w:val="32"/>
          <w:highlight w:val="none"/>
        </w:rPr>
      </w:pPr>
      <w:bookmarkStart w:id="21" w:name="_Toc420591643"/>
      <w:bookmarkStart w:id="22" w:name="_Toc421778365"/>
      <w:bookmarkStart w:id="23" w:name="_Toc425240464"/>
      <w:r>
        <w:rPr>
          <w:rFonts w:hint="eastAsia" w:ascii="宋体" w:hAnsi="宋体" w:cs="宋体"/>
          <w:b/>
          <w:sz w:val="32"/>
          <w:szCs w:val="32"/>
          <w:highlight w:val="none"/>
        </w:rPr>
        <w:t>1</w:t>
      </w:r>
      <w:r>
        <w:rPr>
          <w:rFonts w:hint="eastAsia" w:ascii="宋体" w:hAnsi="宋体" w:cs="宋体"/>
          <w:b/>
          <w:kern w:val="0"/>
          <w:sz w:val="32"/>
          <w:szCs w:val="32"/>
          <w:highlight w:val="none"/>
        </w:rPr>
        <w:t>．总则</w:t>
      </w:r>
      <w:bookmarkEnd w:id="21"/>
      <w:bookmarkEnd w:id="22"/>
      <w:bookmarkEnd w:id="23"/>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 项目概况</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1.1.1 根据《中华人民共和国政府采购法》及实施条例和关于印发《政府采购竞争性磋商采购方式管理暂行办法》的通知（财库【2014】214号）的规定，本项目已具备磋商条件，现对本项目进行竞争性磋商。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 本项目采购人：见供应商须知前附表。</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1.1.3 本项目采购代理机构：见供应商须知前附表。</w:t>
      </w:r>
    </w:p>
    <w:p>
      <w:pPr>
        <w:shd w:val="clear"/>
        <w:tabs>
          <w:tab w:val="left" w:pos="7665"/>
        </w:tabs>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sz w:val="24"/>
          <w:szCs w:val="24"/>
          <w:highlight w:val="none"/>
        </w:rPr>
        <w:t>1.1.4本项目</w:t>
      </w:r>
      <w:r>
        <w:rPr>
          <w:rFonts w:hint="eastAsia" w:ascii="宋体" w:hAnsi="宋体" w:cs="宋体"/>
          <w:color w:val="000000"/>
          <w:sz w:val="24"/>
          <w:highlight w:val="none"/>
        </w:rPr>
        <w:t>监督机构：</w:t>
      </w:r>
      <w:r>
        <w:rPr>
          <w:rFonts w:hint="eastAsia" w:ascii="宋体" w:hAnsi="宋体" w:cs="宋体"/>
          <w:color w:val="000000"/>
          <w:sz w:val="24"/>
          <w:highlight w:val="none"/>
          <w:lang w:eastAsia="zh-CN"/>
        </w:rPr>
        <w:t>铜川新区财政局</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1.1.5本项目建设地点：见供应商须知前附表。</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1.2 资金来源和落实情况</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 本项目的资金来源：见供应商须知前附表。</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1.2.2 本项目的资金落实情况：见供应商须知前附表。</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1.3 招标范围、计划工期和质量要求</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 本次磋商范围：见供应商须知前附表。</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1.3.2 本项目的计划工期：</w:t>
      </w:r>
      <w:bookmarkStart w:id="24" w:name="OLE_LINK8"/>
      <w:r>
        <w:rPr>
          <w:rFonts w:hint="eastAsia" w:ascii="宋体" w:hAnsi="宋体" w:cs="宋体"/>
          <w:sz w:val="24"/>
          <w:szCs w:val="24"/>
          <w:highlight w:val="none"/>
        </w:rPr>
        <w:t>见供应商须知前附表。</w:t>
      </w:r>
      <w:bookmarkEnd w:id="24"/>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1.3.3 本项目的质量要求：见供应商须知前附表。</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1.4 供应商资格要求及竞争性磋商文件发售时间</w:t>
      </w:r>
    </w:p>
    <w:p>
      <w:pPr>
        <w:pStyle w:val="12"/>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1.4.1资格审查条件：见供应商须知前附表。</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1.4.2竞争性磋商文件发售时间：见供应商须知前附表。</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1.5 费用承担</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供应商准备和参加磋商活动所发生的一切费用自理。</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 保密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参与磋商活动的各方应对竞争性磋商文件和竞争性磋商响应文件中的商业和技术等秘密保密，违者应对由此造成的后果承担法律责任。</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1.7 语言文字</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除专用术语外，与磋商有关的语言均使用中文。必要时专用术语应附有中文注释。</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1.8 计量单位</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1.9 踏勘现场</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1.9.1采购代理机构不组织统一踏勘现场，由供应商自行安排。</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1.9.2 供应商踏勘现场发生的一切费用自理，并自行负责在踏勘现场中所发生的人员伤亡和财产损失。</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1.9.3 供应商应对工程现场及周围环境进行踏勘，充分了解现场环境、总体布置情况、工程地形地貌、工程现场道路、工程总体进度情况、储存空间、场内运输、装卸等限制条件及其它任何足以影响磋商报价的情况，以便各供应商获取须自主考虑的有关竞争性磋商响应文件编制和合同签署所需的相关资料和数据，任何因忽视或误解工地情况而导致的索赔或工期延长申请将不获批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1.9.4 采购人在踏勘现场中介绍的工程场地和相关的周边环境情况，供应商在编制竞争性磋商响应文件时参考，采购人不对供应商据此作出的判断和决策负责。</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1.10 竞争性磋商答疑会</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不召开答疑会，供应商对竞争性磋商文件、工程量清单、施工图以及施工现场条件等的疑问和要求澄清的内容，均应在磋商响应文件递交截止时间3日前以书面形式向采购代理机构提出，采购人和采购代理机构做出统一解答和必要澄清后在磋商前2天以书面的《答疑纪要》发送所有供应商。答疑纪要为竞争性磋商文件的组成部分，与竞争性磋商文件具有同等法律效力。</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1.11 分包</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不允许。</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1.12 偏离</w:t>
      </w:r>
    </w:p>
    <w:p>
      <w:pPr>
        <w:shd w:val="clear"/>
        <w:spacing w:beforeLines="50" w:afterLines="50" w:line="360" w:lineRule="auto"/>
        <w:ind w:firstLine="480" w:firstLineChars="200"/>
        <w:rPr>
          <w:rFonts w:ascii="宋体" w:hAnsi="宋体" w:cs="宋体"/>
          <w:sz w:val="24"/>
          <w:szCs w:val="24"/>
          <w:highlight w:val="none"/>
        </w:rPr>
      </w:pPr>
      <w:bookmarkStart w:id="25" w:name="_Toc420591644"/>
      <w:bookmarkStart w:id="26" w:name="_Toc425240465"/>
      <w:bookmarkStart w:id="27" w:name="_Toc421778366"/>
      <w:r>
        <w:rPr>
          <w:rFonts w:hint="eastAsia" w:ascii="宋体" w:hAnsi="宋体" w:cs="宋体"/>
          <w:sz w:val="24"/>
          <w:szCs w:val="24"/>
          <w:highlight w:val="none"/>
        </w:rPr>
        <w:t>不满足评审方法中初步评审标准的，视为发生重大偏离，其磋商被否决。其余偏离视为细微偏离，磋商小组将通过澄清方式对细微偏离进行澄清或修改。</w:t>
      </w:r>
    </w:p>
    <w:p>
      <w:pPr>
        <w:shd w:val="clear"/>
        <w:spacing w:beforeLines="50" w:afterLines="50" w:line="360" w:lineRule="auto"/>
        <w:rPr>
          <w:rFonts w:ascii="宋体" w:hAnsi="宋体" w:cs="宋体"/>
          <w:b/>
          <w:bCs/>
          <w:sz w:val="24"/>
          <w:szCs w:val="24"/>
          <w:highlight w:val="none"/>
        </w:rPr>
      </w:pPr>
      <w:r>
        <w:rPr>
          <w:rFonts w:hint="eastAsia" w:ascii="宋体" w:hAnsi="宋体" w:cs="宋体"/>
          <w:b/>
          <w:bCs/>
          <w:sz w:val="24"/>
          <w:szCs w:val="24"/>
          <w:highlight w:val="none"/>
        </w:rPr>
        <w:t>2．</w:t>
      </w:r>
      <w:bookmarkEnd w:id="25"/>
      <w:bookmarkEnd w:id="26"/>
      <w:bookmarkEnd w:id="27"/>
      <w:r>
        <w:rPr>
          <w:rFonts w:hint="eastAsia" w:ascii="宋体" w:hAnsi="宋体" w:cs="宋体"/>
          <w:b/>
          <w:bCs/>
          <w:sz w:val="24"/>
          <w:szCs w:val="24"/>
          <w:highlight w:val="none"/>
        </w:rPr>
        <w:t>竞争性磋商文件</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2.1 竞争性磋商文件的组成</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本竞争性磋商文件包括：</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(1）竞争性磋商公告；</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(2）供应商须知前附表及供应商须知；</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(3）评审方法；</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(4）建设工程施工合同；</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(5）工程量清单；</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(6）项目概况及技术要求；</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）竞争性磋商响应文件格式。</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根据本章第1.10 款和第2.2 款对竞争性磋商文件所作的澄清、修改，构成竞争性磋商文件的组成部分。</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2.2 竞争性磋商文件的澄清及修改</w:t>
      </w:r>
    </w:p>
    <w:p>
      <w:pPr>
        <w:shd w:val="clear"/>
        <w:spacing w:beforeLines="50" w:afterLines="50" w:line="360" w:lineRule="auto"/>
        <w:ind w:firstLine="480" w:firstLineChars="200"/>
        <w:rPr>
          <w:rFonts w:ascii="宋体" w:hAnsi="宋体" w:cs="宋体"/>
          <w:sz w:val="24"/>
          <w:szCs w:val="24"/>
          <w:highlight w:val="none"/>
        </w:rPr>
      </w:pPr>
      <w:bookmarkStart w:id="28" w:name="_Toc420591645"/>
      <w:bookmarkStart w:id="29" w:name="_Toc421778367"/>
      <w:bookmarkStart w:id="30" w:name="_Toc425240466"/>
      <w:r>
        <w:rPr>
          <w:rFonts w:hint="eastAsia" w:ascii="宋体" w:hAnsi="宋体" w:cs="宋体"/>
          <w:sz w:val="24"/>
          <w:szCs w:val="24"/>
          <w:highlight w:val="none"/>
        </w:rPr>
        <w:t>2.2.1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pPr>
        <w:shd w:val="clear"/>
        <w:spacing w:beforeLines="5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2.2.2采购代理机构如果对已发出的竞争性磋商文件进行必要的澄清或者修改，将在竞争性磋商文件要求提交竞争性磋商响应文件截止时间5日前，以书面形式通知所有获取竞争性磋商文件的供应商。不足5日的，应当顺延提交响应文件截止时间。该澄清或者修改的内容为竞争性磋商文件的组成部分。</w:t>
      </w:r>
    </w:p>
    <w:p>
      <w:pPr>
        <w:shd w:val="clear"/>
        <w:spacing w:beforeLines="5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2.2.3已经购买竞争性磋商文件的供应商对竞争性磋商文件有疑问的，均应在磋商截止日期3日前以书面形式向采购代理机构提出。采购代理机构视情况必要时将书面答复传送给所有获取竞争性磋商文件的供应商。</w:t>
      </w:r>
    </w:p>
    <w:p>
      <w:pPr>
        <w:shd w:val="clear"/>
        <w:spacing w:beforeLines="50" w:after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2.2.4供应商在收到上述通知后，应立即向采购代理机构回函确认。</w:t>
      </w:r>
    </w:p>
    <w:bookmarkEnd w:id="28"/>
    <w:bookmarkEnd w:id="29"/>
    <w:bookmarkEnd w:id="30"/>
    <w:p>
      <w:pPr>
        <w:numPr>
          <w:ilvl w:val="0"/>
          <w:numId w:val="5"/>
        </w:numPr>
        <w:shd w:val="clear"/>
        <w:spacing w:beforeLines="50" w:afterLines="50" w:line="360" w:lineRule="auto"/>
        <w:rPr>
          <w:rFonts w:ascii="宋体" w:hAnsi="宋体" w:cs="宋体"/>
          <w:b/>
          <w:bCs/>
          <w:sz w:val="24"/>
          <w:szCs w:val="24"/>
          <w:highlight w:val="none"/>
        </w:rPr>
      </w:pPr>
      <w:r>
        <w:rPr>
          <w:rFonts w:hint="eastAsia" w:ascii="宋体" w:hAnsi="宋体" w:cs="宋体"/>
          <w:b/>
          <w:bCs/>
          <w:sz w:val="24"/>
          <w:szCs w:val="24"/>
          <w:highlight w:val="none"/>
        </w:rPr>
        <w:t>竞争性磋商响应文件</w:t>
      </w:r>
    </w:p>
    <w:p>
      <w:pPr>
        <w:shd w:val="clear"/>
        <w:spacing w:line="360" w:lineRule="auto"/>
        <w:ind w:firstLine="482" w:firstLineChars="200"/>
        <w:rPr>
          <w:rFonts w:ascii="宋体"/>
          <w:b/>
          <w:sz w:val="24"/>
          <w:highlight w:val="none"/>
        </w:rPr>
      </w:pPr>
      <w:r>
        <w:rPr>
          <w:rFonts w:ascii="宋体" w:hAnsi="宋体"/>
          <w:b/>
          <w:sz w:val="24"/>
          <w:highlight w:val="none"/>
        </w:rPr>
        <w:t xml:space="preserve">3.1 </w:t>
      </w:r>
      <w:r>
        <w:rPr>
          <w:rFonts w:hint="eastAsia" w:ascii="宋体" w:hAnsi="宋体"/>
          <w:b/>
          <w:sz w:val="24"/>
          <w:highlight w:val="none"/>
        </w:rPr>
        <w:t>磋商响应文件的组成</w:t>
      </w:r>
    </w:p>
    <w:p>
      <w:pPr>
        <w:shd w:val="clear"/>
        <w:spacing w:line="360" w:lineRule="auto"/>
        <w:ind w:firstLine="480" w:firstLineChars="200"/>
        <w:rPr>
          <w:rFonts w:ascii="宋体"/>
          <w:sz w:val="24"/>
          <w:highlight w:val="none"/>
        </w:rPr>
      </w:pPr>
      <w:r>
        <w:rPr>
          <w:rFonts w:ascii="宋体" w:hAnsi="宋体"/>
          <w:sz w:val="24"/>
          <w:highlight w:val="none"/>
        </w:rPr>
        <w:t xml:space="preserve">3.1.1 </w:t>
      </w:r>
      <w:r>
        <w:rPr>
          <w:rFonts w:hint="eastAsia" w:ascii="宋体" w:hAnsi="宋体"/>
          <w:b/>
          <w:sz w:val="24"/>
          <w:highlight w:val="none"/>
        </w:rPr>
        <w:t>磋商响应文件</w:t>
      </w:r>
      <w:r>
        <w:rPr>
          <w:rFonts w:hint="eastAsia" w:ascii="宋体" w:hAnsi="宋体"/>
          <w:sz w:val="24"/>
          <w:highlight w:val="none"/>
        </w:rPr>
        <w:t>应包括下列内容：</w:t>
      </w:r>
    </w:p>
    <w:p>
      <w:pPr>
        <w:shd w:val="clear"/>
        <w:spacing w:line="360" w:lineRule="auto"/>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）磋商响应函</w:t>
      </w:r>
    </w:p>
    <w:p>
      <w:pPr>
        <w:shd w:val="clear"/>
        <w:spacing w:line="360" w:lineRule="auto"/>
        <w:ind w:firstLine="480" w:firstLineChars="200"/>
        <w:rPr>
          <w:rFonts w:hint="eastAsia" w:ascii="宋体" w:hAnsi="宋体" w:eastAsia="宋体"/>
          <w:sz w:val="24"/>
          <w:highlight w:val="none"/>
          <w:lang w:eastAsia="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eastAsia="zh-CN"/>
        </w:rPr>
        <w:t>磋商报价表</w:t>
      </w:r>
    </w:p>
    <w:p>
      <w:pPr>
        <w:shd w:val="clear"/>
        <w:spacing w:line="360" w:lineRule="auto"/>
        <w:ind w:firstLine="480" w:firstLineChars="200"/>
        <w:rPr>
          <w:rFonts w:hint="eastAsia" w:ascii="宋体" w:eastAsia="宋体"/>
          <w:sz w:val="24"/>
          <w:highlight w:val="none"/>
          <w:lang w:eastAsia="zh-CN"/>
        </w:rPr>
      </w:pPr>
      <w:r>
        <w:rPr>
          <w:rFonts w:ascii="宋体" w:hAnsi="宋体"/>
          <w:sz w:val="24"/>
          <w:highlight w:val="none"/>
        </w:rPr>
        <w:t>3</w:t>
      </w:r>
      <w:r>
        <w:rPr>
          <w:rFonts w:hint="eastAsia" w:ascii="宋体" w:hAnsi="宋体"/>
          <w:sz w:val="24"/>
          <w:highlight w:val="none"/>
        </w:rPr>
        <w:t>）</w:t>
      </w:r>
      <w:r>
        <w:rPr>
          <w:rFonts w:hint="eastAsia" w:ascii="宋体" w:hAnsi="宋体"/>
          <w:sz w:val="24"/>
          <w:highlight w:val="none"/>
          <w:lang w:eastAsia="zh-CN"/>
        </w:rPr>
        <w:t>已标价工程量清单</w:t>
      </w:r>
    </w:p>
    <w:p>
      <w:pPr>
        <w:shd w:val="clear"/>
        <w:spacing w:line="360" w:lineRule="auto"/>
        <w:ind w:firstLine="480" w:firstLineChars="200"/>
        <w:rPr>
          <w:rFonts w:hint="eastAsia" w:ascii="宋体" w:eastAsia="宋体"/>
          <w:sz w:val="24"/>
          <w:highlight w:val="none"/>
          <w:lang w:eastAsia="zh-CN"/>
        </w:rPr>
      </w:pPr>
      <w:r>
        <w:rPr>
          <w:rFonts w:ascii="宋体" w:hAnsi="宋体"/>
          <w:sz w:val="24"/>
          <w:highlight w:val="none"/>
        </w:rPr>
        <w:t>4</w:t>
      </w:r>
      <w:r>
        <w:rPr>
          <w:rFonts w:hint="eastAsia" w:ascii="宋体" w:hAnsi="宋体"/>
          <w:sz w:val="24"/>
          <w:highlight w:val="none"/>
        </w:rPr>
        <w:t>）</w:t>
      </w:r>
      <w:r>
        <w:rPr>
          <w:rFonts w:hint="eastAsia" w:ascii="宋体" w:hAnsi="宋体"/>
          <w:sz w:val="24"/>
          <w:highlight w:val="none"/>
          <w:lang w:eastAsia="zh-CN"/>
        </w:rPr>
        <w:t>磋商方案说明书</w:t>
      </w:r>
    </w:p>
    <w:p>
      <w:pPr>
        <w:shd w:val="clear"/>
        <w:spacing w:line="360" w:lineRule="auto"/>
        <w:ind w:firstLine="480" w:firstLineChars="200"/>
        <w:rPr>
          <w:rFonts w:hint="eastAsia" w:ascii="宋体" w:hAnsi="宋体"/>
          <w:sz w:val="24"/>
          <w:highlight w:val="none"/>
          <w:lang w:eastAsia="zh-CN"/>
        </w:rPr>
      </w:pPr>
      <w:r>
        <w:rPr>
          <w:rFonts w:ascii="宋体" w:hAnsi="宋体"/>
          <w:sz w:val="24"/>
          <w:highlight w:val="none"/>
        </w:rPr>
        <w:t>5</w:t>
      </w:r>
      <w:r>
        <w:rPr>
          <w:rFonts w:hint="eastAsia" w:ascii="宋体" w:hAnsi="宋体"/>
          <w:sz w:val="24"/>
          <w:highlight w:val="none"/>
        </w:rPr>
        <w:t>）</w:t>
      </w:r>
      <w:r>
        <w:rPr>
          <w:rFonts w:hint="eastAsia" w:ascii="宋体" w:hAnsi="宋体"/>
          <w:sz w:val="24"/>
          <w:highlight w:val="none"/>
          <w:lang w:eastAsia="zh-CN"/>
        </w:rPr>
        <w:t>商务条款偏离表</w:t>
      </w:r>
    </w:p>
    <w:p>
      <w:pPr>
        <w:shd w:val="clear"/>
        <w:spacing w:line="360" w:lineRule="auto"/>
        <w:ind w:firstLine="480" w:firstLineChars="200"/>
        <w:rPr>
          <w:rFonts w:ascii="宋体"/>
          <w:sz w:val="24"/>
          <w:highlight w:val="none"/>
        </w:rPr>
      </w:pPr>
      <w:r>
        <w:rPr>
          <w:rFonts w:ascii="宋体" w:hAnsi="宋体"/>
          <w:sz w:val="24"/>
          <w:highlight w:val="none"/>
        </w:rPr>
        <w:t>6</w:t>
      </w:r>
      <w:r>
        <w:rPr>
          <w:rFonts w:hint="eastAsia" w:ascii="宋体" w:hAnsi="宋体"/>
          <w:sz w:val="24"/>
          <w:highlight w:val="none"/>
        </w:rPr>
        <w:t>）陕西省政府采购供应商拒绝政府采购领域商业贿赂承诺书</w:t>
      </w:r>
    </w:p>
    <w:p>
      <w:pPr>
        <w:shd w:val="clear"/>
        <w:spacing w:line="360" w:lineRule="auto"/>
        <w:ind w:firstLine="480" w:firstLineChars="200"/>
        <w:rPr>
          <w:rFonts w:hint="eastAsia" w:ascii="宋体" w:eastAsia="宋体"/>
          <w:sz w:val="24"/>
          <w:highlight w:val="none"/>
          <w:lang w:eastAsia="zh-CN"/>
        </w:rPr>
      </w:pPr>
      <w:r>
        <w:rPr>
          <w:rFonts w:ascii="宋体" w:hAnsi="宋体"/>
          <w:sz w:val="24"/>
          <w:highlight w:val="none"/>
        </w:rPr>
        <w:t>7</w:t>
      </w:r>
      <w:r>
        <w:rPr>
          <w:rFonts w:hint="eastAsia" w:ascii="宋体" w:hAnsi="宋体"/>
          <w:sz w:val="24"/>
          <w:highlight w:val="none"/>
        </w:rPr>
        <w:t>）</w:t>
      </w:r>
      <w:r>
        <w:rPr>
          <w:rFonts w:hint="eastAsia" w:ascii="宋体" w:hAnsi="宋体"/>
          <w:sz w:val="24"/>
          <w:highlight w:val="none"/>
          <w:lang w:eastAsia="zh-CN"/>
        </w:rPr>
        <w:t>供应商资格证明文件</w:t>
      </w:r>
    </w:p>
    <w:p>
      <w:pPr>
        <w:shd w:val="clear"/>
        <w:spacing w:line="360" w:lineRule="auto"/>
        <w:ind w:firstLine="480" w:firstLineChars="200"/>
        <w:rPr>
          <w:highlight w:val="none"/>
        </w:rPr>
      </w:pPr>
      <w:r>
        <w:rPr>
          <w:rFonts w:hint="eastAsia" w:ascii="宋体" w:hAnsi="宋体"/>
          <w:sz w:val="24"/>
          <w:highlight w:val="none"/>
          <w:lang w:val="en-US" w:eastAsia="zh-CN"/>
        </w:rPr>
        <w:t>8</w:t>
      </w:r>
      <w:r>
        <w:rPr>
          <w:rFonts w:hint="eastAsia" w:ascii="宋体" w:hAnsi="宋体"/>
          <w:sz w:val="24"/>
          <w:highlight w:val="none"/>
        </w:rPr>
        <w:t>）其它资料</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3.2 磋商报价</w:t>
      </w:r>
    </w:p>
    <w:p>
      <w:pPr>
        <w:shd w:val="clear"/>
        <w:spacing w:line="560" w:lineRule="exact"/>
        <w:ind w:firstLine="496" w:firstLineChars="207"/>
        <w:rPr>
          <w:rFonts w:ascii="宋体" w:hAnsi="宋体" w:cs="宋体"/>
          <w:sz w:val="24"/>
          <w:szCs w:val="24"/>
          <w:highlight w:val="none"/>
        </w:rPr>
      </w:pPr>
      <w:r>
        <w:rPr>
          <w:rFonts w:hint="eastAsia" w:ascii="宋体" w:hAnsi="宋体" w:cs="宋体"/>
          <w:sz w:val="24"/>
          <w:szCs w:val="24"/>
          <w:highlight w:val="none"/>
        </w:rPr>
        <w:t>3.2.1磋商报价采用固定总价。</w:t>
      </w:r>
    </w:p>
    <w:p>
      <w:pPr>
        <w:shd w:val="clear"/>
        <w:spacing w:line="560" w:lineRule="exact"/>
        <w:ind w:firstLine="496" w:firstLineChars="207"/>
        <w:rPr>
          <w:rFonts w:ascii="宋体" w:hAnsi="宋体" w:cs="宋体"/>
          <w:sz w:val="24"/>
          <w:szCs w:val="24"/>
          <w:highlight w:val="none"/>
        </w:rPr>
      </w:pPr>
      <w:r>
        <w:rPr>
          <w:rFonts w:hint="eastAsia" w:ascii="宋体" w:hAnsi="宋体" w:cs="宋体"/>
          <w:sz w:val="24"/>
          <w:szCs w:val="24"/>
          <w:highlight w:val="none"/>
        </w:rPr>
        <w:t>3.2.2 供应商应按第五章“工程量清单”的要求填写。</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3.2.3磋商报价应按照工程量清单、补充通知、答疑纪要、合同条款、施工现场实际情况、拟定的施工方案或施工组织设计的相关内容及要求，并在满足竞争性磋商文件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成交后综合单价不可作调整。</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3.2.4</w:t>
      </w:r>
      <w:bookmarkStart w:id="31" w:name="OLE_LINK44"/>
      <w:r>
        <w:rPr>
          <w:rFonts w:hint="eastAsia" w:ascii="宋体" w:hAnsi="宋体" w:cs="宋体"/>
          <w:sz w:val="24"/>
          <w:szCs w:val="24"/>
          <w:highlight w:val="none"/>
        </w:rPr>
        <w:t>磋商组价时应妥善考虑，正式施工时不因国家法律、行政法规和国家政策变化及原材料市场价发生变化等进行调整。</w:t>
      </w:r>
    </w:p>
    <w:bookmarkEnd w:id="31"/>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w:t>
      </w:r>
      <w:bookmarkStart w:id="32" w:name="OLE_LINK24"/>
      <w:r>
        <w:rPr>
          <w:rFonts w:hint="eastAsia" w:ascii="宋体" w:hAnsi="宋体" w:cs="宋体"/>
          <w:sz w:val="24"/>
          <w:szCs w:val="24"/>
          <w:highlight w:val="none"/>
        </w:rPr>
        <w:t>5供应商应按竞争性磋商文件中提供的工程量清单数量进行计价，不得修改清单工程量。</w:t>
      </w:r>
    </w:p>
    <w:bookmarkEnd w:id="32"/>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3.2.6除非采购人或采购代理机构对竞争性磋商文件予以修改，供应商应按本竞争性磋商文件要求，依据《陕西省建设工程工程量清单计价规则》（2009）规定的计价办法填报单价和合价。每一分项工程只允许有一个报价，任何有选择的报价将不予接受。供应商未填单价或合价的分项工程（零报价），视为该项费用已包括在其他价款的单价或合价内，并在工程实施后，采购人将不予支付，承包人必须按发包人代表指令完成工程量清单中未填入单价或合价的工程分项；若供应商未填单价或合价的工程分项在实施中发生变更，无论变更增加或减少均按合同约定执行而且必须无条件执行发包人发出的变更通知。</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3.2.7供应商应先到工地踏勘以充分了解项目位置、现状、道路、储存空间、装卸限制及任何其他足以影响磋商价的情况，任何因供应商忽视或误解工地情况而导致的其提出的任何索赔或工期延长申请将不被批准。凡因供应商对竞争性磋商文件阅读疏忽或误解，或因对施工现场、施工环境、市场行情等了解不清而造成的后果和风险，均由供应商负责。</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3.2.8编制磋商报价的其他约定</w:t>
      </w:r>
    </w:p>
    <w:p>
      <w:pPr>
        <w:shd w:val="clear"/>
        <w:spacing w:line="360" w:lineRule="auto"/>
        <w:ind w:firstLine="480" w:firstLineChars="200"/>
        <w:rPr>
          <w:rFonts w:ascii="宋体" w:hAnsi="宋体" w:cs="宋体"/>
          <w:sz w:val="24"/>
          <w:szCs w:val="24"/>
          <w:highlight w:val="none"/>
        </w:rPr>
      </w:pPr>
      <w:bookmarkStart w:id="33" w:name="OLE_LINK21"/>
      <w:r>
        <w:rPr>
          <w:rFonts w:hint="eastAsia" w:ascii="宋体" w:hAnsi="宋体" w:cs="宋体"/>
          <w:sz w:val="24"/>
          <w:szCs w:val="24"/>
          <w:highlight w:val="none"/>
        </w:rPr>
        <w:t>3.2.8.</w:t>
      </w:r>
      <w:bookmarkEnd w:id="33"/>
      <w:r>
        <w:rPr>
          <w:rFonts w:hint="eastAsia" w:ascii="宋体" w:hAnsi="宋体" w:cs="宋体"/>
          <w:sz w:val="24"/>
          <w:szCs w:val="24"/>
          <w:highlight w:val="none"/>
        </w:rPr>
        <w:t>1供应商根据自行确定的施工组织设计或施工方案进行自主报价。</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3.2.8.2供应商应针对拟建工程编制保证安全施工、文明施工和环境保护的技术措施方案，并按竞争性磋商文件的措施项目清单提供的数量报价。</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3.2.8.3规费、税金为不可竞争费，供应商不可随意改动，按规定标准计取。</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3.2.8.4供应商因承包本合同工程需缴纳的一切税费均由供应商自行承担，并包含在所报的单价或总价内。</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3.2.8.5供应商应为建设工程和施工场地内自有人员及第三方人员生命财产及运至施工场地内用于工程的材料和待安装设备办理保险，供应商的磋商价中应含的保险费，承包人装备险和承包人职工的（人身）事故险由供应商在其他项目清单保险费栏内自主列报，成交后包干使用。施工期间在施工区域内因非采购人原因发生的设备、材料、人员等的损害、伤害，采购人不再承担任何责任和费用。</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3.2.8.6磋商报价中的总价要与综合单价相对应。所有工程量清单每个项目报价中的单价乘以工程量必须等于该项合价，合价累计必须等于合计。</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3.2.8.7磋商响应函中的磋商报价应与“磋商总价”表中的磋商总价数字相符，不允许在竞争性磋商响应文件中出现两个报价。任何有选择的报价将不予接受,否则按无效磋商处理。</w:t>
      </w:r>
      <w:bookmarkStart w:id="34" w:name="OLE_LINK113"/>
      <w:bookmarkStart w:id="35" w:name="OLE_LINK114"/>
      <w:bookmarkStart w:id="36" w:name="OLE_LINK74"/>
      <w:bookmarkStart w:id="37" w:name="OLE_LINK20"/>
      <w:bookmarkStart w:id="38" w:name="OLE_LINK64"/>
      <w:bookmarkStart w:id="39" w:name="OLE_LINK63"/>
    </w:p>
    <w:bookmarkEnd w:id="34"/>
    <w:bookmarkEnd w:id="35"/>
    <w:bookmarkEnd w:id="36"/>
    <w:bookmarkEnd w:id="37"/>
    <w:bookmarkEnd w:id="38"/>
    <w:bookmarkEnd w:id="39"/>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3.2.9</w:t>
      </w:r>
      <w:r>
        <w:rPr>
          <w:rFonts w:hint="eastAsia" w:ascii="宋体" w:hAnsi="宋体" w:cs="宋体"/>
          <w:color w:val="000000" w:themeColor="text1"/>
          <w:sz w:val="24"/>
          <w:szCs w:val="24"/>
          <w:highlight w:val="none"/>
          <w:shd w:val="clear"/>
          <w14:textFill>
            <w14:solidFill>
              <w14:schemeClr w14:val="tx1"/>
            </w14:solidFill>
          </w14:textFill>
        </w:rPr>
        <w:t>供应商报价应包含招标代理服务费，招标代理服务费</w:t>
      </w:r>
      <w:r>
        <w:rPr>
          <w:rFonts w:hint="eastAsia" w:ascii="宋体" w:hAnsi="宋体" w:cs="宋体"/>
          <w:color w:val="000000" w:themeColor="text1"/>
          <w:sz w:val="24"/>
          <w:szCs w:val="24"/>
          <w:highlight w:val="none"/>
          <w:shd w:val="clear"/>
          <w:lang w:eastAsia="zh-CN"/>
          <w14:textFill>
            <w14:solidFill>
              <w14:schemeClr w14:val="tx1"/>
            </w14:solidFill>
          </w14:textFill>
        </w:rPr>
        <w:t>定额收取，人民币捌仟元整（￥</w:t>
      </w:r>
      <w:r>
        <w:rPr>
          <w:rFonts w:hint="eastAsia" w:ascii="宋体" w:hAnsi="宋体" w:cs="宋体"/>
          <w:color w:val="000000" w:themeColor="text1"/>
          <w:sz w:val="24"/>
          <w:szCs w:val="24"/>
          <w:highlight w:val="none"/>
          <w:shd w:val="clear"/>
          <w:lang w:val="en-US" w:eastAsia="zh-CN"/>
          <w14:textFill>
            <w14:solidFill>
              <w14:schemeClr w14:val="tx1"/>
            </w14:solidFill>
          </w14:textFill>
        </w:rPr>
        <w:t>8000.00元</w:t>
      </w:r>
      <w:r>
        <w:rPr>
          <w:rFonts w:hint="eastAsia" w:ascii="宋体" w:hAnsi="宋体" w:cs="宋体"/>
          <w:color w:val="000000" w:themeColor="text1"/>
          <w:sz w:val="24"/>
          <w:szCs w:val="24"/>
          <w:highlight w:val="none"/>
          <w:shd w:val="clear"/>
          <w:lang w:eastAsia="zh-CN"/>
          <w14:textFill>
            <w14:solidFill>
              <w14:schemeClr w14:val="tx1"/>
            </w14:solidFill>
          </w14:textFill>
        </w:rPr>
        <w:t>）</w:t>
      </w:r>
      <w:r>
        <w:rPr>
          <w:rFonts w:hint="eastAsia" w:ascii="宋体" w:hAnsi="宋体" w:cs="宋体"/>
          <w:color w:val="000000" w:themeColor="text1"/>
          <w:sz w:val="24"/>
          <w:szCs w:val="24"/>
          <w:highlight w:val="none"/>
          <w:shd w:val="clear"/>
          <w14:textFill>
            <w14:solidFill>
              <w14:schemeClr w14:val="tx1"/>
            </w14:solidFill>
          </w14:textFill>
        </w:rPr>
        <w:t>。</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3.2.10本项目招标最高限价为</w:t>
      </w:r>
      <w:r>
        <w:rPr>
          <w:rFonts w:hint="eastAsia" w:ascii="宋体" w:hAnsi="宋体" w:cs="宋体"/>
          <w:b/>
          <w:bCs/>
          <w:sz w:val="24"/>
          <w:szCs w:val="24"/>
          <w:highlight w:val="none"/>
          <w:u w:val="single"/>
          <w:lang w:val="en-US" w:eastAsia="zh-CN"/>
        </w:rPr>
        <w:t>788574.13元</w:t>
      </w:r>
      <w:r>
        <w:rPr>
          <w:rFonts w:hint="eastAsia" w:ascii="宋体" w:hAnsi="宋体" w:cs="宋体"/>
          <w:b/>
          <w:bCs/>
          <w:sz w:val="24"/>
          <w:szCs w:val="24"/>
          <w:highlight w:val="none"/>
        </w:rPr>
        <w:t>。凡磋商总报价高于招标最高限价的将被视为无效磋商处理，不再参与后续评审。</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3.3 磋商有效期</w:t>
      </w:r>
    </w:p>
    <w:p>
      <w:pPr>
        <w:shd w:val="clear"/>
        <w:spacing w:line="360" w:lineRule="auto"/>
        <w:ind w:firstLine="480" w:firstLineChars="200"/>
        <w:rPr>
          <w:rFonts w:ascii="宋体" w:hAnsi="宋体" w:cs="宋体"/>
          <w:sz w:val="24"/>
          <w:szCs w:val="24"/>
          <w:highlight w:val="none"/>
        </w:rPr>
      </w:pPr>
      <w:bookmarkStart w:id="40" w:name="OLE_LINK4"/>
      <w:r>
        <w:rPr>
          <w:rFonts w:hint="eastAsia" w:ascii="宋体" w:hAnsi="宋体" w:cs="宋体"/>
          <w:sz w:val="24"/>
          <w:szCs w:val="24"/>
          <w:highlight w:val="none"/>
        </w:rPr>
        <w:t>3.3.1磋商响应文件应在“供应商须知前附表”中规定的期限内保持有效。磋商有效期不满足规定有效期的磋商响应文件将被视为非响应性磋商而予以拒绝。</w:t>
      </w:r>
      <w:bookmarkEnd w:id="40"/>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3.4条有关磋商保证金的退还和没收的规定将在延长了的有效期内继续有效。</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3.4 磋商保证金</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3.4.1供应商在磋商时应向华夏国际项目管理有限公司提交“供应商须知前附表”规定数额的磋商保证金,并作为其磋商的一部分。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3.4.2磋商保证金是为了保护采购人和采购代理机构免遭因供应商的行为而蒙受损失。采购人和采购代理机构在因供应商的行为受到损害时可根据本须知的规定第3.4.7条没收供应商的磋商保证金。</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3.4.3磋商保证金的缴纳形式：转账、电汇、担保机构保函</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3.4.4磋商保证金必须按照竞争性磋商文件“供应商须知前附表”中规定的缴纳金额及方式办理。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3.4.5磋商后经审查，未提交磋商保证金、未按时间提交磋商保证金、磋商保证金金额不足或磋商保证金缴纳凭证复印件未附在竞争性磋商响应文件内的磋商将按无效磋商处理。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3.4.6未成交单位的磋商保证金，将在成交通知书发出后五个工作日内退还；成交单位的磋商保证金，在施工合同签订并按规定交纳招标代理服务费后五个工作日内退还</w:t>
      </w:r>
      <w:r>
        <w:rPr>
          <w:rFonts w:hint="eastAsia" w:ascii="宋体" w:hAnsi="宋体" w:cs="宋体"/>
          <w:b/>
          <w:sz w:val="24"/>
          <w:szCs w:val="24"/>
          <w:highlight w:val="none"/>
        </w:rPr>
        <w:t>（退还时，须向采购代理机构提供采购合同</w:t>
      </w:r>
      <w:r>
        <w:rPr>
          <w:rFonts w:hint="eastAsia" w:ascii="宋体" w:hAnsi="宋体" w:cs="宋体"/>
          <w:b/>
          <w:bCs/>
          <w:sz w:val="24"/>
          <w:szCs w:val="24"/>
          <w:highlight w:val="none"/>
        </w:rPr>
        <w:t>原件壹份及保证金缴纳凭证复印件</w:t>
      </w:r>
      <w:r>
        <w:rPr>
          <w:rFonts w:hint="eastAsia" w:ascii="宋体" w:hAnsi="宋体" w:cs="宋体"/>
          <w:b/>
          <w:sz w:val="24"/>
          <w:szCs w:val="24"/>
          <w:highlight w:val="none"/>
        </w:rPr>
        <w:t>）</w:t>
      </w:r>
      <w:r>
        <w:rPr>
          <w:rFonts w:hint="eastAsia" w:ascii="宋体" w:hAnsi="宋体" w:cs="宋体"/>
          <w:sz w:val="24"/>
          <w:szCs w:val="24"/>
          <w:highlight w:val="none"/>
        </w:rPr>
        <w:t>。</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3.4.7供应商以担保机构保函形式缴纳磋商保证金的，磋商结束之后将担保机构保函原件退回（退换时间参照3.4.6条款）；</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3.4.8下列任何情况发生时，视为供应商违约，其磋商保证金将被没收：</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1)供应商在磋商有效期内撤回其磋商；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2)供应商成交后放弃成交、未能按规定签订合同</w:t>
      </w:r>
      <w:bookmarkStart w:id="41" w:name="OLE_LINK3"/>
      <w:r>
        <w:rPr>
          <w:rFonts w:hint="eastAsia" w:ascii="宋体" w:hAnsi="宋体" w:cs="宋体"/>
          <w:sz w:val="24"/>
          <w:szCs w:val="24"/>
          <w:highlight w:val="none"/>
        </w:rPr>
        <w:t>、</w:t>
      </w:r>
      <w:bookmarkEnd w:id="41"/>
      <w:r>
        <w:rPr>
          <w:rFonts w:hint="eastAsia" w:ascii="宋体" w:hAnsi="宋体" w:cs="宋体"/>
          <w:sz w:val="24"/>
          <w:szCs w:val="24"/>
          <w:highlight w:val="none"/>
        </w:rPr>
        <w:t>未按竞争性磋商文件规定未能按规定交纳招标代理服务费；</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3）供应商成交后将成交项目转让给他人，或者在竞争性磋商响应文件中未说明，且未经采购人同意，将成交项目分包给他人的；</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4）供应商事先未通告无故不参加磋商活动的；</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5）供应商在竞争性磋商响应文件中提供伪造、套改、虚假资料参加磋商的；</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6）供应商不按法定程序进行质疑和投诉,捏造事实，查无实据，造成恶劣影响</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导致采购活动无法正常进行的；</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3.4.9磋商保证金的有</w:t>
      </w:r>
      <w:bookmarkStart w:id="42" w:name="OLE_LINK47"/>
      <w:r>
        <w:rPr>
          <w:rFonts w:hint="eastAsia" w:ascii="宋体" w:hAnsi="宋体" w:cs="宋体"/>
          <w:sz w:val="24"/>
          <w:szCs w:val="24"/>
          <w:highlight w:val="none"/>
        </w:rPr>
        <w:t>效</w:t>
      </w:r>
      <w:bookmarkEnd w:id="42"/>
      <w:r>
        <w:rPr>
          <w:rFonts w:hint="eastAsia" w:ascii="宋体" w:hAnsi="宋体" w:cs="宋体"/>
          <w:sz w:val="24"/>
          <w:szCs w:val="24"/>
          <w:highlight w:val="none"/>
        </w:rPr>
        <w:t>期与磋商有效期一致，担保机构出具的保函有效期为磋商有效期延长一个月。</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3.5备选磋商方案</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除供应商须知前附表另有规定外，供应商不得递交备选磋商方案。</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3.6竞争性磋商响应文件的编制</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3.6.1 竞争性磋商响应文件应按“竞争性磋商响应文件格式”进行编写，如有必要，可以增加附页，作为竞争性磋商响应文件的组成部分。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3.6.2 竞争性磋商响应文件应当对竞争性磋商文件有关工期、磋商有效期、质量要求、技术标准和要求、招标范围等实质性内容作出响应。</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3.6.3 竞争性磋商响应文件应用不褪色的材料书写或打印，并由供应商的法定代表人或其委托代理人签字或盖章。委托代理人签字的，竞争性磋商响应文件应附法定代表人签署的授权委托书。竞争性磋商响应文件应尽量避免涂改、行间插字或删除。如果出现上述情况，改动之处应加盖供应商公章或由供应商的法定代表人或其授权的代理人签字确认。所有要求签字（名）处，均须由签字（名）者本人用不褪色的蓝(黑)色墨水(汁)书写，不得用任何形式的图章代替。</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sz w:val="24"/>
          <w:szCs w:val="24"/>
          <w:highlight w:val="none"/>
        </w:rPr>
        <w:t>3.6.4 竞争性磋商响应文件正本、副本份数见供应商须知前附表。正本和副本的封面上应清楚地标记“正本”或“副本”的字样。当副本和正本不一致时，以正本为准。竞争性磋商响应文件电子版包括：</w:t>
      </w:r>
    </w:p>
    <w:p>
      <w:pPr>
        <w:numPr>
          <w:ilvl w:val="0"/>
          <w:numId w:val="0"/>
        </w:numPr>
        <w:shd w:val="clear"/>
        <w:spacing w:line="360" w:lineRule="auto"/>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eastAsia="zh-CN"/>
        </w:rPr>
        <w:t>）</w:t>
      </w:r>
      <w:r>
        <w:rPr>
          <w:rFonts w:hint="eastAsia" w:ascii="宋体" w:hAnsi="宋体" w:eastAsia="宋体" w:cs="宋体"/>
          <w:b/>
          <w:bCs/>
          <w:kern w:val="2"/>
          <w:sz w:val="24"/>
          <w:szCs w:val="24"/>
          <w:highlight w:val="none"/>
          <w:lang w:val="en-US" w:eastAsia="zh-CN" w:bidi="ar-SA"/>
        </w:rPr>
        <w:t>word版磋商响应文件；</w:t>
      </w:r>
    </w:p>
    <w:p>
      <w:pPr>
        <w:shd w:val="clear"/>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磋商响应文件正本签字盖章后的PDF格式扫描件。（与正本具有同等法律效力）</w:t>
      </w:r>
      <w:r>
        <w:rPr>
          <w:rFonts w:hint="eastAsia" w:ascii="宋体" w:hAnsi="宋体" w:cs="宋体"/>
          <w:b/>
          <w:bCs/>
          <w:sz w:val="24"/>
          <w:szCs w:val="24"/>
          <w:highlight w:val="none"/>
          <w:lang w:val="en-US" w:eastAsia="zh-CN"/>
        </w:rPr>
        <w:t>。</w:t>
      </w:r>
    </w:p>
    <w:p>
      <w:pPr>
        <w:shd w:val="clea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3.6.5 所有竞争性磋商响应文件正本和副本须按第</w:t>
      </w:r>
      <w:r>
        <w:rPr>
          <w:rFonts w:hint="eastAsia" w:ascii="宋体" w:hAnsi="宋体" w:cs="宋体"/>
          <w:sz w:val="24"/>
          <w:szCs w:val="24"/>
          <w:highlight w:val="none"/>
          <w:lang w:eastAsia="zh-CN"/>
        </w:rPr>
        <w:t>七</w:t>
      </w:r>
      <w:r>
        <w:rPr>
          <w:rFonts w:hint="eastAsia" w:ascii="宋体" w:hAnsi="宋体" w:cs="宋体"/>
          <w:sz w:val="24"/>
          <w:szCs w:val="24"/>
          <w:highlight w:val="none"/>
        </w:rPr>
        <w:t>章规定的顺序编排、编制目录。</w:t>
      </w:r>
      <w:r>
        <w:rPr>
          <w:rFonts w:hint="eastAsia" w:ascii="宋体" w:hAnsi="宋体" w:cs="宋体"/>
          <w:sz w:val="24"/>
          <w:szCs w:val="24"/>
          <w:highlight w:val="none"/>
          <w:lang w:eastAsia="zh-CN"/>
        </w:rPr>
        <w:t>编辑页码</w:t>
      </w:r>
      <w:r>
        <w:rPr>
          <w:rFonts w:hint="eastAsia" w:ascii="宋体" w:hAnsi="宋体" w:cs="宋体"/>
          <w:sz w:val="24"/>
          <w:szCs w:val="24"/>
          <w:highlight w:val="none"/>
        </w:rPr>
        <w:t>，并分别胶装成册。</w:t>
      </w:r>
    </w:p>
    <w:p>
      <w:pPr>
        <w:shd w:val="clear"/>
        <w:spacing w:beforeLines="50" w:afterLines="50" w:line="360" w:lineRule="auto"/>
        <w:rPr>
          <w:rFonts w:ascii="宋体" w:hAnsi="宋体" w:cs="宋体"/>
          <w:b/>
          <w:bCs/>
          <w:sz w:val="24"/>
          <w:szCs w:val="24"/>
          <w:highlight w:val="none"/>
        </w:rPr>
      </w:pPr>
      <w:bookmarkStart w:id="43" w:name="_Toc425240467"/>
      <w:bookmarkStart w:id="44" w:name="_Toc420591646"/>
      <w:bookmarkStart w:id="45" w:name="_Toc421778368"/>
      <w:r>
        <w:rPr>
          <w:rFonts w:hint="eastAsia" w:ascii="宋体" w:hAnsi="宋体" w:cs="宋体"/>
          <w:b/>
          <w:bCs/>
          <w:sz w:val="24"/>
          <w:szCs w:val="24"/>
          <w:highlight w:val="none"/>
        </w:rPr>
        <w:t>4．</w:t>
      </w:r>
      <w:bookmarkEnd w:id="43"/>
      <w:bookmarkEnd w:id="44"/>
      <w:bookmarkEnd w:id="45"/>
      <w:r>
        <w:rPr>
          <w:rFonts w:hint="eastAsia" w:ascii="宋体" w:hAnsi="宋体" w:cs="宋体"/>
          <w:b/>
          <w:bCs/>
          <w:sz w:val="24"/>
          <w:szCs w:val="24"/>
          <w:highlight w:val="none"/>
        </w:rPr>
        <w:t>磋商</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4.1竞争性磋商响应文件的密封和标记</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4.1.1竞争性磋商响应文件的密封：竞争性磋商响应文件须胶装成套且须用密封袋密封，包括竞争性磋商响应文件正本、副本、竞争性磋商响应文件电子版，磋商报价表（供应商需另外单独准备一份与正本内容一致的磋商报价表）须单独分别密封，若不一致，则按单独密封的磋商报价表为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4.1.2竞争性磋商响应文件的正本须单独包装，副本可以包装在一个封套内或分别包装，竞争性磋商文件中需提供的原件应按竞争性磋商文件要求单独密封并同竞争性磋商响应文件一并递交（监标人现场查验的证件原件除外，如有），所有封套均应加贴封条，并在封套的封口处加盖供应商公章及法定代表人或其委托代理人签字或盖章。</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4.1.3 竞争性磋商响应文件的封套上应清楚地标记“正本”、“副本”、“磋商报价表”“电子版”字样，封套上应写明的其他内容见供应商须知前附表。</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4.1.4未按本章第3.6.4、第3.6.5项和第4.1.2 、第4.1.3项要求密封和加写标记的竞争性磋商响应文件，采购代理机构不予受理。</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4.2 竞争性磋商响应文件的递交</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4.2.1 供应商应在供应商须知前附表第4.2.2 项规定的磋商截止时间前递交竞争性磋商响应文件。</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 供应商递交竞争性磋商响应文件的地点：见供应商须知前附表。</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 供应商所递交的竞争性磋商响应文件不予退还。</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4.2.4逾期送达的或者未送达指定地点的竞争性磋商响应文件，采购代理机构不予受理。</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4.3 竞争性磋商响应文件的修改与撤回</w:t>
      </w:r>
    </w:p>
    <w:p>
      <w:pPr>
        <w:shd w:val="clear"/>
        <w:spacing w:line="360" w:lineRule="auto"/>
        <w:ind w:firstLine="480" w:firstLineChars="200"/>
        <w:rPr>
          <w:rFonts w:ascii="宋体" w:hAnsi="宋体" w:cs="宋体"/>
          <w:sz w:val="24"/>
          <w:szCs w:val="24"/>
          <w:highlight w:val="none"/>
        </w:rPr>
      </w:pPr>
      <w:bookmarkStart w:id="46" w:name="_Toc425240468"/>
      <w:bookmarkStart w:id="47" w:name="_Toc420591647"/>
      <w:bookmarkStart w:id="48" w:name="_Toc421778369"/>
      <w:r>
        <w:rPr>
          <w:rFonts w:hint="eastAsia" w:ascii="宋体" w:hAnsi="宋体" w:cs="宋体"/>
          <w:sz w:val="24"/>
          <w:szCs w:val="24"/>
          <w:highlight w:val="none"/>
        </w:rPr>
        <w:t>4.3.1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4.3.2 供应商的修改或撤回或变动价格的通知应按本须知的规定编制、密封、标记和递交。</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4.3.3 在磋商截止时间之后，供应商不得对其竞争性磋商响应文件做任何修改或撤回。</w:t>
      </w:r>
    </w:p>
    <w:p>
      <w:pPr>
        <w:shd w:val="clear"/>
        <w:spacing w:beforeLines="50" w:afterLines="50" w:line="360" w:lineRule="auto"/>
        <w:rPr>
          <w:rFonts w:ascii="宋体" w:hAnsi="宋体" w:cs="宋体"/>
          <w:b/>
          <w:bCs/>
          <w:sz w:val="24"/>
          <w:szCs w:val="24"/>
          <w:highlight w:val="none"/>
        </w:rPr>
      </w:pPr>
      <w:r>
        <w:rPr>
          <w:rFonts w:hint="eastAsia" w:ascii="宋体" w:hAnsi="宋体" w:cs="宋体"/>
          <w:b/>
          <w:bCs/>
          <w:sz w:val="24"/>
          <w:szCs w:val="24"/>
          <w:highlight w:val="none"/>
        </w:rPr>
        <w:t>5．</w:t>
      </w:r>
      <w:bookmarkEnd w:id="46"/>
      <w:bookmarkEnd w:id="47"/>
      <w:bookmarkEnd w:id="48"/>
      <w:r>
        <w:rPr>
          <w:rFonts w:hint="eastAsia" w:ascii="宋体" w:hAnsi="宋体" w:cs="宋体"/>
          <w:b/>
          <w:bCs/>
          <w:sz w:val="24"/>
          <w:szCs w:val="24"/>
          <w:highlight w:val="none"/>
        </w:rPr>
        <w:t>磋商</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5.1 磋商时间和地点</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见供应商须知前附表。</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5.2磋商程序</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主持人按下列程序进行磋商：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（1）宣布磋商项目名称及竞争性磋商响应文件接收截止时间，终止一切竞争性磋商响应文件的接收工作，并宣布磋商会议开始；</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（2）介绍采购人、采购代理机构、采购监督管理部门和采购工作人员；</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（3）宣布本项目供应商签到名单；</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（4）宣布磋商会议纪律；</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（5）按照供应商须知前附表规定检查竞争性磋商响应文件的密封情况；</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（6）在采购人（监标人）的监督下，将竞争性磋商响应文件送交磋商小组评审；</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（7）磋商会议结束。</w:t>
      </w:r>
    </w:p>
    <w:p>
      <w:pPr>
        <w:shd w:val="clear"/>
        <w:spacing w:beforeLines="50" w:afterLines="50" w:line="360" w:lineRule="auto"/>
        <w:rPr>
          <w:rFonts w:ascii="宋体" w:hAnsi="宋体" w:cs="宋体"/>
          <w:b/>
          <w:bCs/>
          <w:sz w:val="24"/>
          <w:szCs w:val="24"/>
          <w:highlight w:val="none"/>
        </w:rPr>
      </w:pPr>
      <w:bookmarkStart w:id="49" w:name="_Toc420591648"/>
      <w:bookmarkStart w:id="50" w:name="_Toc421778370"/>
      <w:bookmarkStart w:id="51" w:name="_Toc425240469"/>
      <w:r>
        <w:rPr>
          <w:rFonts w:hint="eastAsia" w:ascii="宋体" w:hAnsi="宋体" w:cs="宋体"/>
          <w:b/>
          <w:bCs/>
          <w:sz w:val="24"/>
          <w:szCs w:val="24"/>
          <w:highlight w:val="none"/>
        </w:rPr>
        <w:t>6．</w:t>
      </w:r>
      <w:bookmarkEnd w:id="49"/>
      <w:bookmarkEnd w:id="50"/>
      <w:bookmarkEnd w:id="51"/>
      <w:r>
        <w:rPr>
          <w:rFonts w:hint="eastAsia" w:ascii="宋体" w:hAnsi="宋体" w:cs="宋体"/>
          <w:b/>
          <w:bCs/>
          <w:sz w:val="24"/>
          <w:szCs w:val="24"/>
          <w:highlight w:val="none"/>
        </w:rPr>
        <w:t>评审</w:t>
      </w:r>
    </w:p>
    <w:p>
      <w:pPr>
        <w:shd w:val="clear"/>
        <w:spacing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6.1 磋商小组</w:t>
      </w:r>
    </w:p>
    <w:p>
      <w:pPr>
        <w:shd w:val="clea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评审由采购人依法组建的磋商小组负责。磋商小组由采购人代表和具备相关专业的专家成员组成，人数应当为3人以上单数，其中采购人代表须持有授权书。磋商小组按照竞争性磋商文件规定的评审方法独立进行评审工作。</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6.2 评审原则</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评审活动遵循公平、公正、科学和择优的原则。</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6.3 评审</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6.3.1竞争性磋商文件和竞争性磋商响应文件是评审的依据。在评审中，不得改变竞争性磋商文件中规定的评审标准、方法和成交条件。</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6.3.2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6.3.3如果供应商在澄清规定期限内，未能答复或拒绝答复磋商小组提出的澄清要求，将由磋商小组根据其竞争性磋商响应文件按最大风险进行评审。</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6.3.4磋商过程中的实质性变动：</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6.3.4.1在磋商过程中，磋商小组可以根据竞争性磋商文件和磋商情况在最终报价之前实质性变动采购需求中的技术、服务要求以及合同草案条款，但不得变动竞争性磋商文件中的其他内容。实质性变动的内容，须经采购人代表确认。</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6.3.4.2对竞争性磋商文件做出的实质性变动是竞争性磋商文件的有效组成部分，磋商小组应当及时以书面形式通知所有参加磋商的供应商。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6.3.5竞争性磋商响应文件的初审（含资格性检查和符合性检查）</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6.3.5.1磋商小组将审查竞争性磋商响应文件是否完整、资格证明文件是否齐全，磋商保证金是否合格、有无计算上的错误等。</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6.3.5.2计算错误将按以下方法更正：</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竞争性磋商响应文件中磋商报价表(报价表)内容与竞争性磋商响应文件中相应内容不一致的，以磋商报价表(报价表)为准；如果单独密封的磋商报价表(报价表)与竞争性磋商响应文件正本的磋商报价表(报价表)不一致，以单独密封的磋商报价表(报价表)为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（2）竞争性磋商响应文件的大写金额和小写金额不一致的，以大写金额为准；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（3）单价金额小数点或者百分比有明显错位的，以单独密封的磋商报价表的总价为准，并修改单价；</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（4）总价金额与按单价汇总金额不一致的，以单价金额计算结果为准；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按上述修正的顺序和方法调整的报价应对供应商具有约束力。如果供应商不接受修正后的价格，其响应文件将按无效响应处理。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6.3.5.3对于竞争性磋商响应文件中明显的标点符号错误或不构成实质性偏差的不正规、不一致或不规则，采购人可以接受。</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6.3.5.4在详细评审之前，根据本须知第6.3.5.5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竞争性磋商响应文件本身的内容，而不寻求外部的证据。</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6.3.5.5实质上没有响应竞争性磋商文件要求的磋商将被拒绝。供应商不得通过修正或撤销不合要求的偏离从而使其磋商成为实质性响应的磋商。如发现下列情况之一的，其磋商将构成非实质性响应，按无效磋商处理：</w:t>
      </w:r>
    </w:p>
    <w:p>
      <w:pPr>
        <w:shd w:val="clea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1）没有按照竞争性磋商文件要求提供的竞争性磋商响应文件或竞争性磋商响应文件构成有重大缺项；</w:t>
      </w:r>
    </w:p>
    <w:p>
      <w:pPr>
        <w:shd w:val="clea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2）竞争性磋商响应文件未按竞争性磋商文件要求密封、签署、盖章的；</w:t>
      </w:r>
    </w:p>
    <w:p>
      <w:pPr>
        <w:shd w:val="clea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3）供应商未按竞争性磋商文件要求提交磋商保证金或保函的；</w:t>
      </w:r>
    </w:p>
    <w:p>
      <w:pPr>
        <w:shd w:val="clea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4）资格证明文件不全的或无效的，或不符合国家规定的；</w:t>
      </w:r>
    </w:p>
    <w:p>
      <w:pPr>
        <w:shd w:val="clea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pacing w:val="-6"/>
          <w:sz w:val="24"/>
          <w:szCs w:val="24"/>
          <w:highlight w:val="none"/>
        </w:rPr>
        <w:t>无磋商有效期或有效期达不到竞争性磋商文件要求的</w:t>
      </w:r>
      <w:r>
        <w:rPr>
          <w:rFonts w:hint="eastAsia" w:ascii="宋体" w:hAnsi="宋体" w:cs="宋体"/>
          <w:sz w:val="24"/>
          <w:szCs w:val="24"/>
          <w:highlight w:val="none"/>
        </w:rPr>
        <w:t>；</w:t>
      </w:r>
    </w:p>
    <w:p>
      <w:pPr>
        <w:shd w:val="clear"/>
        <w:tabs>
          <w:tab w:val="left" w:pos="126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6）供应商有串通磋商、以他人名义磋商、行贿、提供虚假证明（包括第三方提供的虚假证明），开具虚假资质，出现虚假应答的，除按无效文件处理外，还将按照政府采购的有关规定进行处罚；</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7）磋商总报价超过竞争性磋商文件公布的采购预算的。</w:t>
      </w:r>
    </w:p>
    <w:p>
      <w:pPr>
        <w:pStyle w:val="31"/>
        <w:shd w:val="clear"/>
        <w:spacing w:before="0" w:beforeAutospacing="0" w:after="0" w:afterAutospacing="0" w:line="500" w:lineRule="exact"/>
        <w:ind w:firstLine="480" w:firstLineChars="200"/>
        <w:jc w:val="both"/>
        <w:rPr>
          <w:highlight w:val="none"/>
        </w:rPr>
      </w:pPr>
      <w:r>
        <w:rPr>
          <w:rFonts w:hint="eastAsia"/>
          <w:highlight w:val="none"/>
        </w:rPr>
        <w:t>8）竞争性磋商响应文件含有采购人不能接受的附加条件的；</w:t>
      </w:r>
    </w:p>
    <w:p>
      <w:pPr>
        <w:pStyle w:val="31"/>
        <w:shd w:val="clear"/>
        <w:spacing w:before="0" w:beforeAutospacing="0" w:after="0" w:afterAutospacing="0" w:line="500" w:lineRule="exact"/>
        <w:ind w:firstLine="480" w:firstLineChars="200"/>
        <w:jc w:val="both"/>
        <w:rPr>
          <w:highlight w:val="none"/>
        </w:rPr>
      </w:pPr>
      <w:r>
        <w:rPr>
          <w:rFonts w:hint="eastAsia"/>
          <w:highlight w:val="none"/>
        </w:rPr>
        <w:t>9）供应商被列入失信被执行人、重大税收违法案件当事人名单、政府采购严重违法失信行为记录名单的；</w:t>
      </w:r>
    </w:p>
    <w:p>
      <w:pPr>
        <w:shd w:val="clea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10）法律、法规规定的其他无效情形。</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6.3.6竞争性磋商响应文件的详细评审</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6.3.6.1磋商小组将按照本须知第6.3.5.5条规定，只对确定为实质性响应竞争性磋商文件要求的竞争性磋商响应文件进行详细评审。</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6.3.6.2详细评审按照</w:t>
      </w:r>
      <w:r>
        <w:rPr>
          <w:rFonts w:hint="eastAsia" w:ascii="宋体" w:hAnsi="宋体" w:cs="宋体"/>
          <w:sz w:val="24"/>
          <w:szCs w:val="24"/>
          <w:highlight w:val="none"/>
          <w:lang w:eastAsia="zh-CN"/>
        </w:rPr>
        <w:t>第三章</w:t>
      </w:r>
      <w:r>
        <w:rPr>
          <w:rFonts w:hint="eastAsia" w:ascii="宋体" w:hAnsi="宋体" w:cs="宋体"/>
          <w:sz w:val="24"/>
          <w:szCs w:val="24"/>
          <w:highlight w:val="none"/>
        </w:rPr>
        <w:t>的评审方法进行。</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6.3.7成交候选人的确定</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磋商小组完成评审后，向采购人提出书面评审，并推荐1-3名成交候选人，标明排列顺序。</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6.3.8评审过程的保密</w:t>
      </w:r>
    </w:p>
    <w:p>
      <w:pPr>
        <w:shd w:val="clear"/>
        <w:spacing w:line="360" w:lineRule="auto"/>
        <w:ind w:firstLine="480" w:firstLineChars="200"/>
        <w:rPr>
          <w:rFonts w:ascii="宋体" w:hAnsi="宋体" w:cs="宋体"/>
          <w:sz w:val="24"/>
          <w:szCs w:val="24"/>
          <w:highlight w:val="none"/>
        </w:rPr>
      </w:pPr>
      <w:bookmarkStart w:id="52" w:name="_Toc421778371"/>
      <w:bookmarkStart w:id="53" w:name="_Toc425240470"/>
      <w:bookmarkStart w:id="54" w:name="_Toc420591649"/>
      <w:r>
        <w:rPr>
          <w:rFonts w:hint="eastAsia" w:ascii="宋体" w:hAnsi="宋体" w:cs="宋体"/>
          <w:sz w:val="24"/>
          <w:szCs w:val="24"/>
          <w:highlight w:val="none"/>
        </w:rPr>
        <w:t>磋商小组成员和与评审活动有关的工作人员不得泄露有关竞争性磋商响应文件的评审和比较、成交候选人的推荐以及与评审有关的其他情况。</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6.3.9评审程序</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按照竞争性磋商响应文件初审、澄清有关问题、分别磋商、二次报价、比较与评审、推荐成交候选人名单的工作程序进行评审。在上一步评审中被认定为无效磋商者，不进入下一步的评审。</w:t>
      </w:r>
    </w:p>
    <w:p>
      <w:pPr>
        <w:shd w:val="clear"/>
        <w:spacing w:beforeLines="50" w:afterLines="50" w:line="360" w:lineRule="auto"/>
        <w:rPr>
          <w:rFonts w:ascii="宋体" w:hAnsi="宋体" w:cs="宋体"/>
          <w:b/>
          <w:bCs/>
          <w:sz w:val="24"/>
          <w:szCs w:val="24"/>
          <w:highlight w:val="none"/>
        </w:rPr>
      </w:pPr>
      <w:r>
        <w:rPr>
          <w:rFonts w:hint="eastAsia" w:ascii="宋体" w:hAnsi="宋体" w:cs="宋体"/>
          <w:b/>
          <w:bCs/>
          <w:sz w:val="24"/>
          <w:szCs w:val="24"/>
          <w:highlight w:val="none"/>
        </w:rPr>
        <w:t>7．合同授予</w:t>
      </w:r>
      <w:bookmarkEnd w:id="52"/>
      <w:bookmarkEnd w:id="53"/>
      <w:bookmarkEnd w:id="54"/>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7.1 定标方式</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7.1.1磋商小组根据评审方法的规定对供应商进行评审排序，推荐1-3名成交候选人，作为评审结果。评审结果由全体磋商小组成员签字确认。</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7.1.2采购人根据评审报告中推荐的成交候选人排列顺序，确定排名第一的为成交供应商。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7.1.3排名第一的成交候选人放弃成交、在规定期限内未能签订合同、因不可抗力不能履行合同</w:t>
      </w:r>
      <w:r>
        <w:rPr>
          <w:rFonts w:hint="eastAsia" w:ascii="宋体" w:hAnsi="宋体" w:cs="宋体"/>
          <w:sz w:val="24"/>
          <w:szCs w:val="24"/>
          <w:highlight w:val="none"/>
          <w:lang w:eastAsia="zh-CN"/>
        </w:rPr>
        <w:t>，</w:t>
      </w:r>
      <w:r>
        <w:rPr>
          <w:rFonts w:hint="eastAsia" w:ascii="宋体" w:hAnsi="宋体" w:cs="宋体"/>
          <w:sz w:val="24"/>
          <w:szCs w:val="24"/>
          <w:highlight w:val="none"/>
        </w:rPr>
        <w:t>或者被查实存在影响成交结果的违法行为等情形，不符合成交条件的，采购人可以按照磋商小组提出的成交候选人名单排序依次确定其他成交候选人为成交供应商，也可以重新组织竞争性磋商。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7.1.4采购人也可以授权磋商小组评审后直接确定成交供应商。</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7.1.5成交供应商确定之后，成交结果将在财政部门指定的政府采购信息发布媒体上公告。</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7.1.6供应商或者其他利害关系人对评审结果有异议的，应当在法律规定的时间内提出。</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7.2 成交通知</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7.2.1采购代理机构向成交供应商发出《成交通知书》。</w:t>
      </w:r>
      <w:r>
        <w:rPr>
          <w:rFonts w:hint="eastAsia" w:ascii="宋体" w:hAnsi="宋体" w:cs="宋体"/>
          <w:b/>
          <w:bCs/>
          <w:sz w:val="24"/>
          <w:szCs w:val="24"/>
          <w:highlight w:val="none"/>
        </w:rPr>
        <w:t>成交供应商在</w:t>
      </w:r>
      <w:r>
        <w:rPr>
          <w:rFonts w:hint="eastAsia" w:ascii="宋体" w:hAnsi="宋体"/>
          <w:b/>
          <w:bCs/>
          <w:sz w:val="24"/>
          <w:szCs w:val="24"/>
          <w:highlight w:val="none"/>
        </w:rPr>
        <w:t>领取成交通知书时须携带法定代表人授权书及加盖单位公章的被授权人身份证复印件。</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7.2.2成交通知书对采购人和成交供应商具有同等法律效力。成交通知书发出之后，采购人改变成交结果，或者成交供应商放弃成交，应当承担相应的法律责任。</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7.3 签订合同</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7.3.1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7.3.2采购人自采购合同签订之日起七个工作日内，将采购合同副本报同级人民政府财政部门备案。</w:t>
      </w:r>
    </w:p>
    <w:p>
      <w:pPr>
        <w:shd w:val="clear"/>
        <w:spacing w:beforeLines="50" w:afterLines="50" w:line="360" w:lineRule="auto"/>
        <w:rPr>
          <w:rFonts w:ascii="宋体" w:hAnsi="宋体" w:cs="宋体"/>
          <w:b/>
          <w:bCs/>
          <w:sz w:val="24"/>
          <w:szCs w:val="24"/>
          <w:highlight w:val="none"/>
        </w:rPr>
      </w:pPr>
      <w:bookmarkStart w:id="55" w:name="_Toc420591652"/>
      <w:bookmarkStart w:id="56" w:name="_Toc421778374"/>
      <w:bookmarkStart w:id="57" w:name="_Toc425240473"/>
      <w:r>
        <w:rPr>
          <w:rFonts w:hint="eastAsia" w:ascii="宋体" w:hAnsi="宋体" w:cs="宋体"/>
          <w:b/>
          <w:bCs/>
          <w:sz w:val="24"/>
          <w:szCs w:val="24"/>
          <w:highlight w:val="none"/>
        </w:rPr>
        <w:t>8、需要补充的其他内容：</w:t>
      </w:r>
      <w:bookmarkStart w:id="58" w:name="_Toc356305901"/>
      <w:r>
        <w:rPr>
          <w:rFonts w:hint="eastAsia" w:ascii="宋体" w:hAnsi="宋体" w:cs="宋体"/>
          <w:b/>
          <w:bCs/>
          <w:sz w:val="24"/>
          <w:szCs w:val="24"/>
          <w:highlight w:val="none"/>
        </w:rPr>
        <w:t>详见供应商须知前附表</w:t>
      </w:r>
      <w:bookmarkEnd w:id="58"/>
      <w:r>
        <w:rPr>
          <w:rFonts w:hint="eastAsia" w:ascii="宋体" w:hAnsi="宋体" w:cs="宋体"/>
          <w:b/>
          <w:bCs/>
          <w:sz w:val="24"/>
          <w:szCs w:val="24"/>
          <w:highlight w:val="none"/>
        </w:rPr>
        <w:t>。</w:t>
      </w:r>
      <w:bookmarkEnd w:id="55"/>
      <w:bookmarkEnd w:id="56"/>
      <w:bookmarkEnd w:id="57"/>
    </w:p>
    <w:p>
      <w:pPr>
        <w:shd w:val="clear"/>
        <w:spacing w:beforeLines="50" w:afterLines="50" w:line="360" w:lineRule="auto"/>
        <w:rPr>
          <w:rFonts w:ascii="宋体" w:hAnsi="宋体" w:cs="宋体"/>
          <w:b/>
          <w:bCs/>
          <w:sz w:val="24"/>
          <w:szCs w:val="24"/>
          <w:highlight w:val="none"/>
        </w:rPr>
      </w:pPr>
      <w:bookmarkStart w:id="59" w:name="_Toc420591653"/>
      <w:bookmarkStart w:id="60" w:name="_Toc421778375"/>
      <w:bookmarkStart w:id="61" w:name="_Toc425240474"/>
      <w:r>
        <w:rPr>
          <w:rFonts w:hint="eastAsia" w:ascii="宋体" w:hAnsi="宋体" w:cs="宋体"/>
          <w:b/>
          <w:bCs/>
          <w:sz w:val="24"/>
          <w:szCs w:val="24"/>
          <w:highlight w:val="none"/>
        </w:rPr>
        <w:t>9、招标代理服务费</w:t>
      </w:r>
      <w:bookmarkEnd w:id="59"/>
      <w:bookmarkEnd w:id="60"/>
      <w:bookmarkEnd w:id="61"/>
    </w:p>
    <w:p>
      <w:pPr>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9.1</w:t>
      </w:r>
      <w:r>
        <w:rPr>
          <w:rFonts w:hint="eastAsia" w:ascii="宋体" w:hAnsi="宋体" w:cs="宋体"/>
          <w:sz w:val="24"/>
          <w:szCs w:val="24"/>
          <w:highlight w:val="none"/>
          <w:lang w:eastAsia="zh-CN"/>
        </w:rPr>
        <w:t>定额收取，人民币捌仟元整（￥</w:t>
      </w:r>
      <w:r>
        <w:rPr>
          <w:rFonts w:hint="eastAsia" w:ascii="宋体" w:hAnsi="宋体" w:cs="宋体"/>
          <w:sz w:val="24"/>
          <w:szCs w:val="24"/>
          <w:highlight w:val="none"/>
          <w:lang w:val="en-US" w:eastAsia="zh-CN"/>
        </w:rPr>
        <w:t>8000.00元</w:t>
      </w:r>
      <w:r>
        <w:rPr>
          <w:rFonts w:hint="eastAsia" w:ascii="宋体" w:hAnsi="宋体" w:cs="宋体"/>
          <w:sz w:val="24"/>
          <w:szCs w:val="24"/>
          <w:highlight w:val="none"/>
          <w:lang w:eastAsia="zh-CN"/>
        </w:rPr>
        <w:t>）</w:t>
      </w:r>
      <w:r>
        <w:rPr>
          <w:rFonts w:hint="eastAsia" w:ascii="宋体" w:hAnsi="宋体" w:cs="宋体"/>
          <w:sz w:val="24"/>
          <w:szCs w:val="24"/>
          <w:highlight w:val="none"/>
        </w:rPr>
        <w:t>。</w:t>
      </w:r>
    </w:p>
    <w:p>
      <w:pPr>
        <w:shd w:val="clea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9.</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成交单位在领取成交通知书前，须向采购代理机构一次性支付招标代理服务费。</w:t>
      </w:r>
    </w:p>
    <w:p>
      <w:pPr>
        <w:shd w:val="clear"/>
        <w:spacing w:line="360" w:lineRule="auto"/>
        <w:rPr>
          <w:rFonts w:ascii="宋体" w:hAnsi="宋体" w:cs="宋体"/>
          <w:b/>
          <w:bCs/>
          <w:sz w:val="24"/>
          <w:szCs w:val="24"/>
          <w:highlight w:val="none"/>
        </w:rPr>
      </w:pPr>
      <w:r>
        <w:rPr>
          <w:rFonts w:hint="eastAsia" w:ascii="宋体" w:hAnsi="宋体" w:cs="宋体"/>
          <w:b/>
          <w:bCs/>
          <w:sz w:val="24"/>
          <w:szCs w:val="24"/>
          <w:highlight w:val="none"/>
        </w:rPr>
        <w:t>10、质疑</w:t>
      </w:r>
    </w:p>
    <w:p>
      <w:pPr>
        <w:shd w:val="clear"/>
        <w:spacing w:line="500" w:lineRule="exact"/>
        <w:ind w:right="12" w:firstLine="480"/>
        <w:rPr>
          <w:rFonts w:ascii="宋体" w:hAnsi="宋体" w:cs="宋体"/>
          <w:sz w:val="24"/>
          <w:szCs w:val="24"/>
          <w:highlight w:val="none"/>
        </w:rPr>
      </w:pPr>
      <w:bookmarkStart w:id="62" w:name="_Toc421778376"/>
      <w:r>
        <w:rPr>
          <w:rFonts w:hint="eastAsia" w:ascii="宋体" w:hAnsi="宋体" w:cs="宋体"/>
          <w:sz w:val="24"/>
          <w:szCs w:val="24"/>
          <w:highlight w:val="none"/>
        </w:rPr>
        <w:t>10.1供应商认为磋商文件、采购过程、成交结果使自己的权益受到损害的，可以在知道或者应知其权益受到损害之日起7个工作日内，以书面形式向采购人、采购代理机构提出质疑。</w:t>
      </w:r>
    </w:p>
    <w:p>
      <w:pPr>
        <w:shd w:val="clear"/>
        <w:spacing w:line="500" w:lineRule="exact"/>
        <w:ind w:right="12" w:firstLine="480"/>
        <w:rPr>
          <w:rStyle w:val="38"/>
          <w:rFonts w:ascii="宋体" w:hAnsi="宋体" w:cs="宋体"/>
          <w:bCs w:val="0"/>
          <w:color w:val="0000FF"/>
          <w:sz w:val="24"/>
          <w:szCs w:val="24"/>
          <w:highlight w:val="none"/>
          <w:shd w:val="clear" w:color="auto" w:fill="FFFFFF"/>
        </w:rPr>
      </w:pPr>
      <w:r>
        <w:rPr>
          <w:rFonts w:hint="eastAsia" w:ascii="宋体" w:hAnsi="宋体" w:cs="宋体"/>
          <w:sz w:val="24"/>
          <w:szCs w:val="24"/>
          <w:highlight w:val="none"/>
        </w:rPr>
        <w:t>10.2供应商必须在法定质疑期内一次性提出针对同一采购程序环节的质疑。</w:t>
      </w:r>
    </w:p>
    <w:p>
      <w:pPr>
        <w:shd w:val="clear"/>
        <w:spacing w:line="500" w:lineRule="exact"/>
        <w:ind w:left="3" w:firstLine="518" w:firstLineChars="216"/>
        <w:rPr>
          <w:rStyle w:val="38"/>
          <w:rFonts w:ascii="宋体" w:hAnsi="宋体" w:cs="宋体"/>
          <w:b w:val="0"/>
          <w:color w:val="000000"/>
          <w:sz w:val="24"/>
          <w:szCs w:val="24"/>
          <w:highlight w:val="none"/>
          <w:shd w:val="clear" w:color="auto" w:fill="FFFFFF"/>
        </w:rPr>
      </w:pPr>
      <w:r>
        <w:rPr>
          <w:rFonts w:hint="eastAsia" w:ascii="宋体" w:hAnsi="宋体" w:cs="宋体"/>
          <w:sz w:val="24"/>
          <w:szCs w:val="24"/>
          <w:highlight w:val="none"/>
        </w:rPr>
        <w:t>10</w:t>
      </w:r>
      <w:r>
        <w:rPr>
          <w:rStyle w:val="38"/>
          <w:rFonts w:hint="eastAsia" w:ascii="宋体" w:hAnsi="宋体" w:cs="宋体"/>
          <w:b w:val="0"/>
          <w:color w:val="000000"/>
          <w:sz w:val="24"/>
          <w:szCs w:val="24"/>
          <w:highlight w:val="none"/>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hd w:val="clear"/>
        <w:spacing w:line="500" w:lineRule="exact"/>
        <w:ind w:left="3" w:firstLine="518" w:firstLineChars="216"/>
        <w:rPr>
          <w:rStyle w:val="38"/>
          <w:rFonts w:ascii="宋体" w:hAnsi="宋体" w:cs="宋体"/>
          <w:b w:val="0"/>
          <w:color w:val="000000"/>
          <w:sz w:val="24"/>
          <w:szCs w:val="24"/>
          <w:highlight w:val="none"/>
          <w:shd w:val="clear" w:color="auto" w:fill="FFFFFF"/>
        </w:rPr>
      </w:pPr>
      <w:r>
        <w:rPr>
          <w:rFonts w:hint="eastAsia" w:ascii="宋体" w:hAnsi="宋体" w:cs="宋体"/>
          <w:sz w:val="24"/>
          <w:szCs w:val="24"/>
          <w:highlight w:val="none"/>
        </w:rPr>
        <w:t>10</w:t>
      </w:r>
      <w:r>
        <w:rPr>
          <w:rStyle w:val="38"/>
          <w:rFonts w:hint="eastAsia" w:ascii="宋体" w:hAnsi="宋体" w:cs="宋体"/>
          <w:b w:val="0"/>
          <w:color w:val="000000"/>
          <w:sz w:val="24"/>
          <w:szCs w:val="24"/>
          <w:highlight w:val="none"/>
          <w:shd w:val="clear" w:color="auto" w:fill="FFFFFF"/>
        </w:rPr>
        <w:t>.4以联合体形式参加政府采购活动的，其质疑应当由组成联合体的所有供应商共同提出。</w:t>
      </w:r>
    </w:p>
    <w:p>
      <w:pPr>
        <w:shd w:val="clea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10.5供应商提出质疑应当提交质疑函和必要的证明材料。质疑函应当包括下列内容：</w:t>
      </w:r>
    </w:p>
    <w:p>
      <w:pPr>
        <w:shd w:val="clea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10.5.1供应商的姓名或者名称、地址、邮编、联系人及联系电话；</w:t>
      </w:r>
    </w:p>
    <w:p>
      <w:pPr>
        <w:shd w:val="clea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10.5.2质疑项目的名称、编号；</w:t>
      </w:r>
    </w:p>
    <w:p>
      <w:pPr>
        <w:shd w:val="clea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10.5.3具体、明确的质疑事项和与质疑事项相关的请求；</w:t>
      </w:r>
    </w:p>
    <w:p>
      <w:pPr>
        <w:shd w:val="clea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10.5.4事实依据；</w:t>
      </w:r>
    </w:p>
    <w:p>
      <w:pPr>
        <w:shd w:val="clear"/>
        <w:spacing w:line="500" w:lineRule="exact"/>
        <w:ind w:right="12" w:firstLine="480" w:firstLineChars="200"/>
        <w:rPr>
          <w:rFonts w:ascii="宋体" w:hAnsi="宋体" w:cs="宋体"/>
          <w:sz w:val="24"/>
          <w:szCs w:val="24"/>
          <w:highlight w:val="none"/>
        </w:rPr>
      </w:pPr>
      <w:r>
        <w:rPr>
          <w:rFonts w:hint="eastAsia" w:ascii="宋体" w:hAnsi="宋体" w:cs="宋体"/>
          <w:sz w:val="24"/>
          <w:szCs w:val="24"/>
          <w:highlight w:val="none"/>
        </w:rPr>
        <w:t>10.5.5必要的法律依据；</w:t>
      </w:r>
    </w:p>
    <w:p>
      <w:pPr>
        <w:shd w:val="clear"/>
        <w:spacing w:line="500" w:lineRule="exact"/>
        <w:ind w:right="12" w:firstLine="480" w:firstLineChars="200"/>
        <w:rPr>
          <w:rStyle w:val="38"/>
          <w:rFonts w:ascii="宋体" w:hAnsi="宋体" w:cs="宋体"/>
          <w:b w:val="0"/>
          <w:color w:val="000000"/>
          <w:sz w:val="24"/>
          <w:szCs w:val="24"/>
          <w:highlight w:val="none"/>
          <w:shd w:val="clear" w:color="auto" w:fill="FFFFFF"/>
        </w:rPr>
      </w:pPr>
      <w:r>
        <w:rPr>
          <w:rFonts w:hint="eastAsia" w:ascii="宋体" w:hAnsi="宋体" w:cs="宋体"/>
          <w:sz w:val="24"/>
          <w:szCs w:val="24"/>
          <w:highlight w:val="none"/>
        </w:rPr>
        <w:t>10.5.6提出质疑的日期。</w:t>
      </w:r>
    </w:p>
    <w:p>
      <w:pPr>
        <w:widowControl/>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10.6有下列情形之一的，属于无效质疑，采购代理机构和采购人不予受理：</w:t>
      </w:r>
    </w:p>
    <w:p>
      <w:pPr>
        <w:widowControl/>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10.6.1质疑供应商不是参与本次政府采购项目的供应商；</w:t>
      </w:r>
    </w:p>
    <w:p>
      <w:pPr>
        <w:widowControl/>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10.6.2质疑供应商与质疑事项不存在利害关系的；</w:t>
      </w:r>
    </w:p>
    <w:p>
      <w:pPr>
        <w:widowControl/>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10.6.3未在法定期限内提出质疑的；</w:t>
      </w:r>
    </w:p>
    <w:p>
      <w:pPr>
        <w:widowControl/>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10.6.4质疑未以书面形式提出，或质疑函主要内容构成不完整的；</w:t>
      </w:r>
    </w:p>
    <w:p>
      <w:pPr>
        <w:widowControl/>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10.6.5应当提交授权书而未提交的；</w:t>
      </w:r>
    </w:p>
    <w:p>
      <w:pPr>
        <w:widowControl/>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10.6.6以非法手段取得证据、材料的；</w:t>
      </w:r>
    </w:p>
    <w:p>
      <w:pPr>
        <w:widowControl/>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10.6.7质疑答复后，同一质疑人就同一事项或同一采购程序环节再次提出质疑的；</w:t>
      </w:r>
    </w:p>
    <w:p>
      <w:pPr>
        <w:widowControl/>
        <w:shd w:val="clear"/>
        <w:spacing w:line="360" w:lineRule="auto"/>
        <w:ind w:firstLine="480" w:firstLineChars="200"/>
        <w:rPr>
          <w:rStyle w:val="38"/>
          <w:rFonts w:ascii="宋体" w:hAnsi="宋体" w:cs="宋体"/>
          <w:b w:val="0"/>
          <w:sz w:val="24"/>
          <w:szCs w:val="24"/>
          <w:highlight w:val="none"/>
          <w:shd w:val="clear" w:color="auto" w:fill="FFFFFF"/>
        </w:rPr>
      </w:pPr>
      <w:r>
        <w:rPr>
          <w:rFonts w:hint="eastAsia" w:ascii="宋体" w:hAnsi="宋体" w:cs="宋体"/>
          <w:sz w:val="24"/>
          <w:szCs w:val="24"/>
          <w:highlight w:val="none"/>
        </w:rPr>
        <w:t>10.6.8不符合法律、法规、规章和政府采购监管机构规定的其他条件的。</w:t>
      </w:r>
    </w:p>
    <w:p>
      <w:pPr>
        <w:shd w:val="clear"/>
        <w:spacing w:line="500" w:lineRule="exact"/>
        <w:ind w:right="12"/>
        <w:rPr>
          <w:rFonts w:ascii="宋体" w:hAnsi="宋体" w:cs="宋体"/>
          <w:sz w:val="24"/>
          <w:szCs w:val="24"/>
          <w:highlight w:val="none"/>
        </w:rPr>
      </w:pPr>
      <w:r>
        <w:rPr>
          <w:rFonts w:hint="eastAsia" w:ascii="宋体" w:hAnsi="宋体" w:cs="宋体"/>
          <w:sz w:val="24"/>
          <w:szCs w:val="24"/>
          <w:highlight w:val="none"/>
        </w:rPr>
        <w:t xml:space="preserve">    10.7质疑答复</w:t>
      </w:r>
    </w:p>
    <w:p>
      <w:pPr>
        <w:pStyle w:val="113"/>
        <w:shd w:val="clear"/>
        <w:spacing w:line="500" w:lineRule="exact"/>
        <w:ind w:firstLine="480"/>
        <w:jc w:val="left"/>
        <w:rPr>
          <w:rFonts w:ascii="宋体" w:hAnsi="宋体" w:cs="宋体"/>
          <w:sz w:val="24"/>
          <w:szCs w:val="24"/>
          <w:highlight w:val="none"/>
        </w:rPr>
      </w:pPr>
      <w:r>
        <w:rPr>
          <w:rFonts w:hint="eastAsia" w:ascii="宋体" w:hAnsi="宋体" w:cs="宋体"/>
          <w:sz w:val="24"/>
          <w:szCs w:val="24"/>
          <w:highlight w:val="none"/>
        </w:rPr>
        <w:t>10.7.1采购人或采购代理机构在收到质疑函后7个工作日内作出答复，并以书面形式通知质疑供应商和其他有关供应商。</w:t>
      </w:r>
    </w:p>
    <w:p>
      <w:pPr>
        <w:pStyle w:val="113"/>
        <w:shd w:val="clear"/>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10.7.2质疑供应商对采购人、采购代理机构的答复不满意，或者采购人、采购代理机构未在规定时间内作出答复的，可以在答复期满后15个工作日内向</w:t>
      </w:r>
      <w:r>
        <w:rPr>
          <w:rFonts w:hint="eastAsia" w:ascii="宋体" w:hAnsi="宋体" w:cs="宋体"/>
          <w:sz w:val="24"/>
          <w:szCs w:val="24"/>
          <w:highlight w:val="none"/>
          <w:lang w:eastAsia="zh-CN"/>
        </w:rPr>
        <w:t>铜川市新区财政局</w:t>
      </w:r>
      <w:r>
        <w:rPr>
          <w:rFonts w:hint="eastAsia" w:ascii="宋体" w:hAnsi="宋体" w:cs="宋体"/>
          <w:sz w:val="24"/>
          <w:szCs w:val="24"/>
          <w:highlight w:val="none"/>
        </w:rPr>
        <w:t>提起投诉。</w:t>
      </w:r>
    </w:p>
    <w:p>
      <w:pPr>
        <w:pStyle w:val="113"/>
        <w:shd w:val="clear"/>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10.8其他需要说明的事项</w:t>
      </w:r>
    </w:p>
    <w:p>
      <w:pPr>
        <w:pStyle w:val="113"/>
        <w:shd w:val="clear"/>
        <w:spacing w:line="500" w:lineRule="exact"/>
        <w:ind w:firstLine="480" w:firstLineChars="0"/>
        <w:jc w:val="left"/>
        <w:rPr>
          <w:rFonts w:hAnsi="宋体" w:cs="宋体"/>
          <w:sz w:val="24"/>
          <w:szCs w:val="24"/>
          <w:highlight w:val="none"/>
        </w:rPr>
      </w:pPr>
      <w:r>
        <w:rPr>
          <w:rFonts w:hint="eastAsia" w:ascii="宋体" w:hAnsi="宋体" w:cs="宋体"/>
          <w:sz w:val="24"/>
          <w:szCs w:val="24"/>
          <w:highlight w:val="none"/>
        </w:rPr>
        <w:t>10.8.1</w:t>
      </w:r>
      <w:r>
        <w:rPr>
          <w:rFonts w:hint="eastAsia" w:hAnsi="宋体" w:cs="宋体"/>
          <w:sz w:val="24"/>
          <w:szCs w:val="24"/>
          <w:highlight w:val="none"/>
        </w:rPr>
        <w:t>质疑函须按财政部《质疑函范本》给定的格式进行填写，范本下载详见【财政部国库司（gks.mof.gov.cn）】网站〖首页·政府采购管理〗栏目中的《政府采购供应商质疑函范本》。《政府采购供应商质疑函范本》链接地址：</w:t>
      </w:r>
    </w:p>
    <w:p>
      <w:pPr>
        <w:pStyle w:val="113"/>
        <w:shd w:val="clear"/>
        <w:spacing w:line="500" w:lineRule="exact"/>
        <w:ind w:firstLine="480" w:firstLineChars="0"/>
        <w:jc w:val="left"/>
        <w:rPr>
          <w:rFonts w:hAnsi="宋体" w:cs="宋体"/>
          <w:sz w:val="24"/>
          <w:szCs w:val="24"/>
          <w:highlight w:val="none"/>
        </w:rPr>
      </w:pPr>
      <w:r>
        <w:rPr>
          <w:rFonts w:hint="eastAsia" w:hAnsi="宋体" w:cs="宋体"/>
          <w:sz w:val="24"/>
          <w:szCs w:val="24"/>
          <w:highlight w:val="none"/>
        </w:rPr>
        <w:t>http://gks.mof.gov.cn/zhengfucaigouguanli/201802/t20180201_2804589.html</w:t>
      </w:r>
    </w:p>
    <w:p>
      <w:pPr>
        <w:pStyle w:val="113"/>
        <w:shd w:val="clear"/>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10.8.2接收质疑函的方式：书面形式</w:t>
      </w:r>
    </w:p>
    <w:p>
      <w:pPr>
        <w:pStyle w:val="113"/>
        <w:shd w:val="clear"/>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10.8.3联系部门：华夏国际项目管理有限公司前台</w:t>
      </w:r>
    </w:p>
    <w:p>
      <w:pPr>
        <w:pStyle w:val="113"/>
        <w:shd w:val="clear"/>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10.8.4联系电话：029-88899970</w:t>
      </w:r>
    </w:p>
    <w:p>
      <w:pPr>
        <w:pStyle w:val="113"/>
        <w:shd w:val="clear"/>
        <w:spacing w:line="500" w:lineRule="exact"/>
        <w:ind w:firstLine="480" w:firstLineChars="0"/>
        <w:jc w:val="left"/>
        <w:rPr>
          <w:rFonts w:ascii="宋体" w:hAnsi="宋体" w:cs="宋体"/>
          <w:sz w:val="24"/>
          <w:szCs w:val="24"/>
          <w:highlight w:val="none"/>
        </w:rPr>
      </w:pPr>
      <w:r>
        <w:rPr>
          <w:rFonts w:hint="eastAsia" w:ascii="宋体" w:hAnsi="宋体" w:cs="宋体"/>
          <w:sz w:val="24"/>
          <w:szCs w:val="24"/>
          <w:highlight w:val="none"/>
        </w:rPr>
        <w:t>10.8.5通讯地址：西安市高新区科技五路8号数字大厦11楼</w:t>
      </w:r>
    </w:p>
    <w:p>
      <w:pPr>
        <w:shd w:val="clear"/>
        <w:spacing w:line="500" w:lineRule="exact"/>
        <w:rPr>
          <w:rFonts w:ascii="宋体" w:hAnsi="宋体" w:cs="宋体"/>
          <w:b/>
          <w:bCs/>
          <w:sz w:val="24"/>
          <w:szCs w:val="24"/>
          <w:highlight w:val="none"/>
        </w:rPr>
      </w:pPr>
      <w:r>
        <w:rPr>
          <w:rFonts w:hint="eastAsia" w:ascii="宋体" w:hAnsi="宋体" w:cs="宋体"/>
          <w:b/>
          <w:bCs/>
          <w:sz w:val="24"/>
          <w:szCs w:val="24"/>
          <w:highlight w:val="none"/>
        </w:rPr>
        <w:t>11.其他</w:t>
      </w:r>
    </w:p>
    <w:p>
      <w:pPr>
        <w:shd w:val="clea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11</w:t>
      </w:r>
      <w:r>
        <w:rPr>
          <w:rFonts w:hint="eastAsia" w:ascii="宋体" w:hAnsi="宋体" w:cs="宋体"/>
          <w:sz w:val="24"/>
          <w:szCs w:val="24"/>
          <w:highlight w:val="none"/>
          <w:lang w:val="en-US" w:eastAsia="zh-CN"/>
        </w:rPr>
        <w:t>.</w:t>
      </w:r>
      <w:r>
        <w:rPr>
          <w:rFonts w:hint="eastAsia" w:ascii="宋体" w:hAnsi="宋体" w:cs="宋体"/>
          <w:sz w:val="24"/>
          <w:szCs w:val="24"/>
          <w:highlight w:val="none"/>
        </w:rPr>
        <w:t>1磋商步骤为：第一次报价---初步评审---分别磋商---第二次报价---综合评审推荐成交候选人。（以供应商递交的磋商响应文件中的总报价为第一次报价。分别磋商后，供应商现场填报的磋商响应总报价为第二次报价）</w:t>
      </w:r>
    </w:p>
    <w:p>
      <w:pPr>
        <w:shd w:val="clea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hd w:val="clea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11.3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hd w:val="clea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11.4成交供应商确定后，成交供应商无正当理由拖延或拒签合同的，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pPr>
        <w:pStyle w:val="2"/>
        <w:shd w:val="clear"/>
        <w:jc w:val="both"/>
        <w:rPr>
          <w:highlight w:val="none"/>
        </w:rPr>
      </w:pPr>
    </w:p>
    <w:p>
      <w:pPr>
        <w:pStyle w:val="3"/>
        <w:shd w:val="clear"/>
        <w:spacing w:afterLines="50"/>
        <w:jc w:val="both"/>
        <w:rPr>
          <w:rFonts w:hint="eastAsia" w:cs="宋体"/>
          <w:highlight w:val="none"/>
        </w:rPr>
        <w:sectPr>
          <w:pgSz w:w="11906" w:h="16838"/>
          <w:pgMar w:top="1417" w:right="1417" w:bottom="1417" w:left="1701" w:header="851" w:footer="992" w:gutter="0"/>
          <w:pgNumType w:fmt="decimal"/>
          <w:cols w:space="0" w:num="1"/>
          <w:docGrid w:type="lines" w:linePitch="312" w:charSpace="0"/>
        </w:sectPr>
      </w:pPr>
      <w:bookmarkStart w:id="63" w:name="_Toc14383"/>
    </w:p>
    <w:p>
      <w:pPr>
        <w:pStyle w:val="3"/>
        <w:shd w:val="clear"/>
        <w:spacing w:afterLines="50"/>
        <w:jc w:val="center"/>
        <w:rPr>
          <w:rFonts w:ascii="宋体" w:hAnsi="宋体" w:cs="宋体"/>
          <w:sz w:val="36"/>
          <w:szCs w:val="36"/>
          <w:highlight w:val="none"/>
        </w:rPr>
      </w:pPr>
      <w:r>
        <w:rPr>
          <w:rFonts w:hint="eastAsia" w:cs="宋体"/>
          <w:sz w:val="36"/>
          <w:szCs w:val="36"/>
          <w:highlight w:val="none"/>
        </w:rPr>
        <w:t>第三章</w:t>
      </w:r>
      <w:bookmarkEnd w:id="62"/>
      <w:r>
        <w:rPr>
          <w:rFonts w:hint="eastAsia" w:cs="宋体"/>
          <w:sz w:val="36"/>
          <w:szCs w:val="36"/>
          <w:highlight w:val="none"/>
        </w:rPr>
        <w:t xml:space="preserve">  评审方法</w:t>
      </w:r>
      <w:bookmarkEnd w:id="63"/>
    </w:p>
    <w:p>
      <w:pPr>
        <w:shd w:val="clea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一、评审方法</w:t>
      </w:r>
    </w:p>
    <w:p>
      <w:pPr>
        <w:shd w:val="clear"/>
        <w:spacing w:line="360" w:lineRule="auto"/>
        <w:ind w:right="40" w:rightChars="19" w:firstLine="480" w:firstLineChars="200"/>
        <w:rPr>
          <w:rFonts w:ascii="宋体" w:hAnsi="宋体" w:cs="宋体"/>
          <w:sz w:val="24"/>
          <w:szCs w:val="24"/>
          <w:highlight w:val="none"/>
        </w:rPr>
      </w:pPr>
      <w:bookmarkStart w:id="64" w:name="_Toc465432103"/>
      <w:r>
        <w:rPr>
          <w:rFonts w:hint="eastAsia" w:ascii="宋体" w:hAnsi="宋体" w:cs="宋体"/>
          <w:sz w:val="24"/>
          <w:szCs w:val="24"/>
          <w:highlight w:val="none"/>
        </w:rPr>
        <w:t>本次评标采用综合评分法，即在最大限度地满足竞争性磋商文件实质性要求前提下，按照竞争性磋商文件中规定的各项因素和相应的权重分值进行综合评审后，以总得分最高的响应单位作为成交候选人并依次排序。</w:t>
      </w:r>
    </w:p>
    <w:bookmarkEnd w:id="64"/>
    <w:p>
      <w:pPr>
        <w:keepNext w:val="0"/>
        <w:keepLines w:val="0"/>
        <w:pageBreakBefore w:val="0"/>
        <w:widowControl w:val="0"/>
        <w:shd w:val="clear"/>
        <w:kinsoku/>
        <w:wordWrap/>
        <w:overflowPunct/>
        <w:topLinePunct w:val="0"/>
        <w:autoSpaceDE/>
        <w:autoSpaceDN/>
        <w:bidi w:val="0"/>
        <w:spacing w:line="500" w:lineRule="exact"/>
        <w:textAlignment w:val="auto"/>
        <w:outlineLvl w:val="9"/>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二、评审标准</w:t>
      </w:r>
    </w:p>
    <w:p>
      <w:pPr>
        <w:keepNext w:val="0"/>
        <w:keepLines w:val="0"/>
        <w:pageBreakBefore w:val="0"/>
        <w:widowControl w:val="0"/>
        <w:shd w:val="clear"/>
        <w:tabs>
          <w:tab w:val="left" w:pos="0"/>
        </w:tabs>
        <w:kinsoku/>
        <w:wordWrap/>
        <w:overflowPunct/>
        <w:topLinePunct w:val="0"/>
        <w:autoSpaceDE/>
        <w:autoSpaceDN/>
        <w:bidi w:val="0"/>
        <w:adjustRightInd w:val="0"/>
        <w:snapToGrid w:val="0"/>
        <w:spacing w:line="500" w:lineRule="exact"/>
        <w:ind w:firstLine="472" w:firstLineChars="196"/>
        <w:textAlignment w:val="auto"/>
        <w:outlineLvl w:val="9"/>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lang w:val="en-US" w:eastAsia="zh-CN"/>
        </w:rPr>
        <w:t>2.1</w:t>
      </w:r>
      <w:r>
        <w:rPr>
          <w:rFonts w:hint="eastAsia" w:ascii="宋体" w:hAnsi="宋体" w:eastAsia="宋体" w:cs="宋体"/>
          <w:b/>
          <w:color w:val="000000"/>
          <w:sz w:val="24"/>
          <w:highlight w:val="none"/>
          <w:lang w:eastAsia="zh-CN"/>
        </w:rPr>
        <w:t>初步评审标准</w:t>
      </w:r>
    </w:p>
    <w:p>
      <w:pPr>
        <w:keepNext w:val="0"/>
        <w:keepLines w:val="0"/>
        <w:pageBreakBefore w:val="0"/>
        <w:widowControl w:val="0"/>
        <w:shd w:val="clear"/>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宋体" w:hAnsi="宋体" w:eastAsia="宋体" w:cs="宋体"/>
          <w:b w:val="0"/>
          <w:bCs w:val="0"/>
          <w:color w:val="000000"/>
          <w:kern w:val="0"/>
          <w:sz w:val="24"/>
          <w:highlight w:val="none"/>
        </w:rPr>
      </w:pPr>
      <w:r>
        <w:rPr>
          <w:rFonts w:hint="eastAsia" w:ascii="宋体" w:hAnsi="宋体" w:eastAsia="宋体" w:cs="宋体"/>
          <w:b w:val="0"/>
          <w:bCs w:val="0"/>
          <w:color w:val="000000"/>
          <w:sz w:val="24"/>
          <w:highlight w:val="none"/>
        </w:rPr>
        <w:t>2.1</w:t>
      </w:r>
      <w:r>
        <w:rPr>
          <w:rFonts w:hint="eastAsia" w:ascii="宋体" w:hAnsi="宋体" w:eastAsia="宋体" w:cs="宋体"/>
          <w:b w:val="0"/>
          <w:bCs w:val="0"/>
          <w:color w:val="000000"/>
          <w:sz w:val="24"/>
          <w:highlight w:val="none"/>
          <w:lang w:val="en-US" w:eastAsia="zh-CN"/>
        </w:rPr>
        <w:t>.1</w:t>
      </w:r>
      <w:r>
        <w:rPr>
          <w:rFonts w:hint="eastAsia" w:ascii="宋体" w:hAnsi="宋体" w:eastAsia="宋体" w:cs="宋体"/>
          <w:b w:val="0"/>
          <w:bCs w:val="0"/>
          <w:color w:val="000000"/>
          <w:sz w:val="24"/>
          <w:highlight w:val="none"/>
        </w:rPr>
        <w:t>资格性审查</w:t>
      </w:r>
      <w:r>
        <w:rPr>
          <w:rFonts w:hint="eastAsia" w:ascii="宋体" w:hAnsi="宋体" w:eastAsia="宋体" w:cs="宋体"/>
          <w:b w:val="0"/>
          <w:bCs w:val="0"/>
          <w:color w:val="000000"/>
          <w:sz w:val="24"/>
          <w:highlight w:val="none"/>
          <w:lang w:eastAsia="zh-CN"/>
        </w:rPr>
        <w:t>标准：见附件</w:t>
      </w:r>
      <w:r>
        <w:rPr>
          <w:rFonts w:hint="eastAsia" w:ascii="宋体" w:hAnsi="宋体" w:eastAsia="宋体" w:cs="宋体"/>
          <w:b w:val="0"/>
          <w:bCs w:val="0"/>
          <w:color w:val="000000"/>
          <w:sz w:val="24"/>
          <w:highlight w:val="none"/>
          <w:lang w:val="en-US" w:eastAsia="zh-CN"/>
        </w:rPr>
        <w:t>1</w:t>
      </w:r>
      <w:r>
        <w:rPr>
          <w:rFonts w:hint="eastAsia" w:ascii="宋体" w:hAnsi="宋体" w:eastAsia="宋体" w:cs="宋体"/>
          <w:b w:val="0"/>
          <w:bCs w:val="0"/>
          <w:color w:val="000000"/>
          <w:sz w:val="24"/>
          <w:highlight w:val="none"/>
          <w:lang w:eastAsia="zh-CN"/>
        </w:rPr>
        <w:t>初步审查要素表</w:t>
      </w:r>
    </w:p>
    <w:p>
      <w:pPr>
        <w:keepNext w:val="0"/>
        <w:keepLines w:val="0"/>
        <w:pageBreakBefore w:val="0"/>
        <w:widowControl w:val="0"/>
        <w:shd w:val="clear"/>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2.</w:t>
      </w:r>
      <w:r>
        <w:rPr>
          <w:rFonts w:hint="eastAsia" w:ascii="宋体" w:hAnsi="宋体" w:eastAsia="宋体" w:cs="宋体"/>
          <w:b w:val="0"/>
          <w:bCs w:val="0"/>
          <w:color w:val="000000"/>
          <w:sz w:val="24"/>
          <w:highlight w:val="none"/>
          <w:lang w:val="en-US" w:eastAsia="zh-CN"/>
        </w:rPr>
        <w:t>1.</w:t>
      </w:r>
      <w:r>
        <w:rPr>
          <w:rFonts w:hint="eastAsia" w:ascii="宋体" w:hAnsi="宋体" w:eastAsia="宋体" w:cs="宋体"/>
          <w:b w:val="0"/>
          <w:bCs w:val="0"/>
          <w:color w:val="000000"/>
          <w:sz w:val="24"/>
          <w:highlight w:val="none"/>
        </w:rPr>
        <w:t>2符合性审查</w:t>
      </w:r>
      <w:r>
        <w:rPr>
          <w:rFonts w:hint="eastAsia" w:ascii="宋体" w:hAnsi="宋体" w:eastAsia="宋体" w:cs="宋体"/>
          <w:b w:val="0"/>
          <w:bCs w:val="0"/>
          <w:color w:val="000000"/>
          <w:sz w:val="24"/>
          <w:highlight w:val="none"/>
          <w:lang w:eastAsia="zh-CN"/>
        </w:rPr>
        <w:t>标准：见附件</w:t>
      </w:r>
      <w:r>
        <w:rPr>
          <w:rFonts w:hint="eastAsia" w:ascii="宋体" w:hAnsi="宋体" w:eastAsia="宋体" w:cs="宋体"/>
          <w:b w:val="0"/>
          <w:bCs w:val="0"/>
          <w:color w:val="000000"/>
          <w:sz w:val="24"/>
          <w:highlight w:val="none"/>
          <w:lang w:val="en-US" w:eastAsia="zh-CN"/>
        </w:rPr>
        <w:t>1</w:t>
      </w:r>
      <w:r>
        <w:rPr>
          <w:rFonts w:hint="eastAsia" w:ascii="宋体" w:hAnsi="宋体" w:eastAsia="宋体" w:cs="宋体"/>
          <w:b w:val="0"/>
          <w:bCs w:val="0"/>
          <w:color w:val="000000"/>
          <w:sz w:val="24"/>
          <w:highlight w:val="none"/>
          <w:lang w:eastAsia="zh-CN"/>
        </w:rPr>
        <w:t>初步审查要素表</w:t>
      </w:r>
    </w:p>
    <w:p>
      <w:pPr>
        <w:keepNext w:val="0"/>
        <w:keepLines w:val="0"/>
        <w:pageBreakBefore w:val="0"/>
        <w:widowControl w:val="0"/>
        <w:shd w:val="clear"/>
        <w:tabs>
          <w:tab w:val="left" w:pos="0"/>
        </w:tabs>
        <w:kinsoku/>
        <w:wordWrap/>
        <w:overflowPunct/>
        <w:topLinePunct w:val="0"/>
        <w:autoSpaceDE/>
        <w:autoSpaceDN/>
        <w:bidi w:val="0"/>
        <w:adjustRightInd w:val="0"/>
        <w:snapToGrid w:val="0"/>
        <w:spacing w:line="500" w:lineRule="exact"/>
        <w:ind w:firstLine="472" w:firstLineChars="196"/>
        <w:textAlignment w:val="auto"/>
        <w:outlineLvl w:val="9"/>
        <w:rPr>
          <w:rFonts w:hint="eastAsia" w:ascii="宋体" w:hAnsi="宋体" w:eastAsia="宋体" w:cs="宋体"/>
          <w:b/>
          <w:color w:val="000000"/>
          <w:sz w:val="24"/>
          <w:szCs w:val="22"/>
          <w:highlight w:val="none"/>
          <w:lang w:val="en-US" w:eastAsia="zh-CN"/>
        </w:rPr>
      </w:pPr>
      <w:r>
        <w:rPr>
          <w:rFonts w:hint="eastAsia" w:ascii="宋体" w:hAnsi="宋体" w:eastAsia="宋体" w:cs="宋体"/>
          <w:b/>
          <w:color w:val="000000"/>
          <w:sz w:val="24"/>
          <w:szCs w:val="22"/>
          <w:highlight w:val="none"/>
          <w:lang w:val="en-US" w:eastAsia="zh-CN"/>
        </w:rPr>
        <w:t>2.2分值构成与评分标准</w:t>
      </w:r>
    </w:p>
    <w:p>
      <w:pPr>
        <w:keepNext w:val="0"/>
        <w:keepLines w:val="0"/>
        <w:pageBreakBefore w:val="0"/>
        <w:widowControl w:val="0"/>
        <w:shd w:val="clear"/>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宋体" w:hAnsi="宋体" w:eastAsia="宋体" w:cs="宋体"/>
          <w:b w:val="0"/>
          <w:bCs/>
          <w:color w:val="000000"/>
          <w:sz w:val="24"/>
          <w:szCs w:val="22"/>
          <w:highlight w:val="none"/>
          <w:lang w:val="en-US" w:eastAsia="zh-CN"/>
        </w:rPr>
      </w:pPr>
      <w:r>
        <w:rPr>
          <w:rFonts w:hint="eastAsia" w:ascii="宋体" w:hAnsi="宋体" w:eastAsia="宋体" w:cs="宋体"/>
          <w:b w:val="0"/>
          <w:bCs/>
          <w:color w:val="000000"/>
          <w:sz w:val="24"/>
          <w:szCs w:val="22"/>
          <w:highlight w:val="none"/>
          <w:lang w:val="en-US" w:eastAsia="zh-CN"/>
        </w:rPr>
        <w:t>2.2.1 分值构成</w:t>
      </w:r>
    </w:p>
    <w:p>
      <w:pPr>
        <w:keepNext w:val="0"/>
        <w:keepLines w:val="0"/>
        <w:pageBreakBefore w:val="0"/>
        <w:widowControl w:val="0"/>
        <w:shd w:val="clear"/>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宋体" w:hAnsi="宋体" w:eastAsia="宋体" w:cs="宋体"/>
          <w:b w:val="0"/>
          <w:bCs/>
          <w:color w:val="000000"/>
          <w:sz w:val="24"/>
          <w:szCs w:val="22"/>
          <w:highlight w:val="none"/>
          <w:lang w:val="en-US" w:eastAsia="zh-CN"/>
        </w:rPr>
      </w:pPr>
      <w:r>
        <w:rPr>
          <w:rFonts w:hint="eastAsia" w:ascii="宋体" w:hAnsi="宋体" w:eastAsia="宋体" w:cs="宋体"/>
          <w:b w:val="0"/>
          <w:bCs/>
          <w:color w:val="000000"/>
          <w:sz w:val="24"/>
          <w:szCs w:val="22"/>
          <w:highlight w:val="none"/>
          <w:lang w:val="en-US" w:eastAsia="zh-CN"/>
        </w:rPr>
        <w:t>（1）</w:t>
      </w:r>
      <w:r>
        <w:rPr>
          <w:rFonts w:hint="eastAsia" w:ascii="宋体" w:hAnsi="宋体" w:cs="宋体"/>
          <w:b w:val="0"/>
          <w:bCs/>
          <w:color w:val="000000"/>
          <w:sz w:val="24"/>
          <w:szCs w:val="22"/>
          <w:highlight w:val="none"/>
          <w:lang w:val="en-US" w:eastAsia="zh-CN"/>
        </w:rPr>
        <w:t>磋商报价</w:t>
      </w:r>
      <w:r>
        <w:rPr>
          <w:rFonts w:hint="eastAsia" w:ascii="宋体" w:hAnsi="宋体" w:eastAsia="宋体" w:cs="宋体"/>
          <w:b w:val="0"/>
          <w:bCs/>
          <w:color w:val="000000"/>
          <w:sz w:val="24"/>
          <w:szCs w:val="22"/>
          <w:highlight w:val="none"/>
          <w:lang w:val="en-US" w:eastAsia="zh-CN"/>
        </w:rPr>
        <w:t>：见附件2评标因素及权重分值表</w:t>
      </w:r>
    </w:p>
    <w:p>
      <w:pPr>
        <w:keepNext w:val="0"/>
        <w:keepLines w:val="0"/>
        <w:pageBreakBefore w:val="0"/>
        <w:widowControl w:val="0"/>
        <w:shd w:val="clear"/>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宋体" w:hAnsi="宋体" w:eastAsia="宋体" w:cs="宋体"/>
          <w:b w:val="0"/>
          <w:bCs/>
          <w:color w:val="000000"/>
          <w:sz w:val="24"/>
          <w:szCs w:val="22"/>
          <w:highlight w:val="none"/>
          <w:lang w:val="en-US" w:eastAsia="zh-CN"/>
        </w:rPr>
      </w:pPr>
      <w:r>
        <w:rPr>
          <w:rFonts w:hint="eastAsia" w:ascii="宋体" w:hAnsi="宋体" w:eastAsia="宋体" w:cs="宋体"/>
          <w:b w:val="0"/>
          <w:bCs/>
          <w:color w:val="000000"/>
          <w:sz w:val="24"/>
          <w:szCs w:val="22"/>
          <w:highlight w:val="none"/>
          <w:lang w:val="en-US" w:eastAsia="zh-CN"/>
        </w:rPr>
        <w:t>（2）施工组织部分：见附件2评标因素及权重分值表</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b/>
          <w:spacing w:val="4"/>
          <w:szCs w:val="24"/>
          <w:highlight w:val="none"/>
        </w:rPr>
      </w:pPr>
      <w:r>
        <w:rPr>
          <w:rFonts w:hint="eastAsia" w:ascii="宋体" w:hAnsi="宋体" w:eastAsia="宋体" w:cs="宋体"/>
          <w:b w:val="0"/>
          <w:bCs/>
          <w:color w:val="000000"/>
          <w:sz w:val="24"/>
          <w:szCs w:val="22"/>
          <w:highlight w:val="none"/>
          <w:lang w:val="en-US" w:eastAsia="zh-CN"/>
        </w:rPr>
        <w:t>（3）商务部分：见附件2评标因素及权重分值表</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textAlignment w:val="auto"/>
        <w:outlineLvl w:val="9"/>
        <w:rPr>
          <w:rFonts w:hint="eastAsia" w:ascii="宋体" w:hAnsi="宋体" w:eastAsia="宋体" w:cs="宋体"/>
          <w:b/>
          <w:spacing w:val="4"/>
          <w:szCs w:val="24"/>
          <w:highlight w:val="none"/>
        </w:rPr>
      </w:pPr>
      <w:r>
        <w:rPr>
          <w:rFonts w:hint="eastAsia" w:ascii="宋体" w:hAnsi="宋体" w:eastAsia="宋体" w:cs="宋体"/>
          <w:b/>
          <w:spacing w:val="4"/>
          <w:szCs w:val="24"/>
          <w:highlight w:val="none"/>
          <w:lang w:eastAsia="zh-CN"/>
        </w:rPr>
        <w:t>三</w:t>
      </w:r>
      <w:r>
        <w:rPr>
          <w:rFonts w:hint="eastAsia" w:ascii="宋体" w:hAnsi="宋体" w:eastAsia="宋体" w:cs="宋体"/>
          <w:b/>
          <w:spacing w:val="4"/>
          <w:szCs w:val="24"/>
          <w:highlight w:val="none"/>
        </w:rPr>
        <w:t>、评审程序：</w:t>
      </w:r>
    </w:p>
    <w:p>
      <w:pPr>
        <w:pStyle w:val="27"/>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按照竞争性磋商响应文件初审、澄清有关问题、分别磋商、二次报价、比较与评审、推荐成交候选</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名单。在上一步评审中被认定为无效磋商者，不进入下一步的评审。</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500" w:lineRule="exact"/>
        <w:ind w:left="0" w:leftChars="0" w:right="0" w:rightChars="0" w:firstLine="498" w:firstLineChars="200"/>
        <w:textAlignment w:val="auto"/>
        <w:outlineLvl w:val="9"/>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对磋商响应文件的初审：</w:t>
      </w:r>
    </w:p>
    <w:p>
      <w:pPr>
        <w:keepNext w:val="0"/>
        <w:keepLines w:val="0"/>
        <w:pageBreakBefore w:val="0"/>
        <w:widowControl w:val="0"/>
        <w:shd w:val="clear"/>
        <w:tabs>
          <w:tab w:val="left" w:pos="0"/>
        </w:tabs>
        <w:kinsoku/>
        <w:wordWrap/>
        <w:overflowPunct/>
        <w:topLinePunct w:val="0"/>
        <w:autoSpaceDE/>
        <w:autoSpaceDN/>
        <w:bidi w:val="0"/>
        <w:adjustRightInd w:val="0"/>
        <w:snapToGrid w:val="0"/>
        <w:spacing w:line="500" w:lineRule="exact"/>
        <w:ind w:right="0" w:rightChars="0" w:firstLine="472" w:firstLineChars="196"/>
        <w:jc w:val="both"/>
        <w:textAlignment w:val="auto"/>
        <w:outlineLvl w:val="9"/>
        <w:rPr>
          <w:rFonts w:hint="eastAsia" w:ascii="宋体" w:hAnsi="宋体" w:eastAsia="宋体" w:cs="宋体"/>
          <w:b/>
          <w:bCs/>
          <w:color w:val="000000"/>
          <w:kern w:val="0"/>
          <w:sz w:val="24"/>
          <w:highlight w:val="none"/>
        </w:rPr>
      </w:pPr>
      <w:r>
        <w:rPr>
          <w:rFonts w:hint="eastAsia" w:ascii="宋体" w:hAnsi="宋体" w:eastAsia="宋体" w:cs="宋体"/>
          <w:b/>
          <w:bCs/>
          <w:color w:val="000000"/>
          <w:sz w:val="24"/>
          <w:highlight w:val="none"/>
          <w:lang w:val="en-US" w:eastAsia="zh-CN"/>
        </w:rPr>
        <w:t>1.1</w:t>
      </w:r>
      <w:r>
        <w:rPr>
          <w:rFonts w:hint="eastAsia" w:ascii="宋体" w:hAnsi="宋体" w:eastAsia="宋体" w:cs="宋体"/>
          <w:b/>
          <w:bCs/>
          <w:color w:val="000000"/>
          <w:sz w:val="24"/>
          <w:highlight w:val="none"/>
        </w:rPr>
        <w:t>资格性审查</w:t>
      </w:r>
      <w:r>
        <w:rPr>
          <w:rFonts w:hint="eastAsia" w:ascii="宋体" w:hAnsi="宋体" w:eastAsia="宋体" w:cs="宋体"/>
          <w:b/>
          <w:bCs/>
          <w:color w:val="000000"/>
          <w:sz w:val="24"/>
          <w:highlight w:val="none"/>
          <w:lang w:eastAsia="zh-CN"/>
        </w:rPr>
        <w:t>：磋商小组</w:t>
      </w:r>
      <w:r>
        <w:rPr>
          <w:rFonts w:hint="eastAsia" w:ascii="宋体" w:hAnsi="宋体" w:eastAsia="宋体" w:cs="宋体"/>
          <w:b/>
          <w:bCs/>
          <w:color w:val="000000"/>
          <w:sz w:val="24"/>
          <w:highlight w:val="none"/>
        </w:rPr>
        <w:t>将依据本章第 2.1.1 项规定的评审标准对</w:t>
      </w:r>
      <w:r>
        <w:rPr>
          <w:rFonts w:hint="eastAsia" w:ascii="宋体" w:hAnsi="宋体" w:eastAsia="宋体" w:cs="宋体"/>
          <w:b/>
          <w:bCs/>
          <w:color w:val="000000"/>
          <w:sz w:val="24"/>
          <w:highlight w:val="none"/>
          <w:lang w:eastAsia="zh-CN"/>
        </w:rPr>
        <w:t>磋商响应文件</w:t>
      </w:r>
      <w:r>
        <w:rPr>
          <w:rFonts w:hint="eastAsia" w:ascii="宋体" w:hAnsi="宋体" w:eastAsia="宋体" w:cs="宋体"/>
          <w:b/>
          <w:bCs/>
          <w:color w:val="000000"/>
          <w:sz w:val="24"/>
          <w:highlight w:val="none"/>
        </w:rPr>
        <w:t>进行资格性审查。有一项不符合评审标准的，</w:t>
      </w:r>
      <w:r>
        <w:rPr>
          <w:rFonts w:hint="eastAsia" w:ascii="宋体" w:hAnsi="宋体" w:eastAsia="宋体" w:cs="宋体"/>
          <w:b/>
          <w:bCs/>
          <w:color w:val="000000"/>
          <w:kern w:val="0"/>
          <w:sz w:val="24"/>
          <w:highlight w:val="none"/>
        </w:rPr>
        <w:t>将被视为未实质性响应</w:t>
      </w:r>
      <w:r>
        <w:rPr>
          <w:rFonts w:hint="eastAsia" w:ascii="宋体" w:hAnsi="宋体" w:eastAsia="宋体" w:cs="宋体"/>
          <w:b/>
          <w:bCs/>
          <w:color w:val="000000"/>
          <w:kern w:val="0"/>
          <w:sz w:val="24"/>
          <w:highlight w:val="none"/>
          <w:lang w:eastAsia="zh-CN"/>
        </w:rPr>
        <w:t>磋商</w:t>
      </w:r>
      <w:r>
        <w:rPr>
          <w:rFonts w:hint="eastAsia" w:ascii="宋体" w:hAnsi="宋体" w:eastAsia="宋体" w:cs="宋体"/>
          <w:b/>
          <w:bCs/>
          <w:color w:val="000000"/>
          <w:kern w:val="0"/>
          <w:sz w:val="24"/>
          <w:highlight w:val="none"/>
        </w:rPr>
        <w:t>文件</w:t>
      </w:r>
      <w:r>
        <w:rPr>
          <w:rFonts w:hint="eastAsia" w:ascii="宋体" w:hAnsi="宋体" w:eastAsia="宋体" w:cs="宋体"/>
          <w:b/>
          <w:bCs/>
          <w:color w:val="000000"/>
          <w:kern w:val="0"/>
          <w:sz w:val="24"/>
          <w:highlight w:val="none"/>
          <w:lang w:eastAsia="zh-CN"/>
        </w:rPr>
        <w:t>，其磋商响应文件将按无效文件处理</w:t>
      </w:r>
      <w:r>
        <w:rPr>
          <w:rFonts w:hint="eastAsia" w:ascii="宋体" w:hAnsi="宋体" w:eastAsia="宋体" w:cs="宋体"/>
          <w:b/>
          <w:bCs/>
          <w:color w:val="000000"/>
          <w:kern w:val="0"/>
          <w:sz w:val="24"/>
          <w:highlight w:val="none"/>
        </w:rPr>
        <w:t>。</w:t>
      </w:r>
    </w:p>
    <w:p>
      <w:pPr>
        <w:keepNext w:val="0"/>
        <w:keepLines w:val="0"/>
        <w:pageBreakBefore w:val="0"/>
        <w:widowControl w:val="0"/>
        <w:shd w:val="clear"/>
        <w:kinsoku/>
        <w:wordWrap/>
        <w:overflowPunct/>
        <w:topLinePunct w:val="0"/>
        <w:autoSpaceDE/>
        <w:autoSpaceDN/>
        <w:bidi w:val="0"/>
        <w:spacing w:line="500" w:lineRule="exact"/>
        <w:ind w:right="0" w:rightChars="0" w:firstLine="482"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rPr>
        <w:t>.2符合性审查</w:t>
      </w:r>
      <w:r>
        <w:rPr>
          <w:rFonts w:hint="eastAsia" w:ascii="宋体" w:hAnsi="宋体" w:eastAsia="宋体" w:cs="宋体"/>
          <w:b/>
          <w:bCs/>
          <w:color w:val="000000"/>
          <w:sz w:val="24"/>
          <w:highlight w:val="none"/>
          <w:lang w:eastAsia="zh-CN"/>
        </w:rPr>
        <w:t>：磋商小组</w:t>
      </w:r>
      <w:r>
        <w:rPr>
          <w:rFonts w:hint="eastAsia" w:ascii="宋体" w:hAnsi="宋体" w:eastAsia="宋体" w:cs="宋体"/>
          <w:b/>
          <w:bCs/>
          <w:color w:val="000000"/>
          <w:sz w:val="24"/>
          <w:highlight w:val="none"/>
        </w:rPr>
        <w:t>根据本章第2.1.2项规定的评审标准对</w:t>
      </w:r>
      <w:r>
        <w:rPr>
          <w:rFonts w:hint="eastAsia" w:ascii="宋体" w:hAnsi="宋体" w:eastAsia="宋体" w:cs="宋体"/>
          <w:b/>
          <w:bCs/>
          <w:color w:val="000000"/>
          <w:sz w:val="24"/>
          <w:highlight w:val="none"/>
          <w:lang w:eastAsia="zh-CN"/>
        </w:rPr>
        <w:t>磋商响应文件</w:t>
      </w:r>
      <w:r>
        <w:rPr>
          <w:rFonts w:hint="eastAsia" w:ascii="宋体" w:hAnsi="宋体" w:eastAsia="宋体" w:cs="宋体"/>
          <w:b/>
          <w:bCs/>
          <w:color w:val="000000"/>
          <w:sz w:val="24"/>
          <w:highlight w:val="none"/>
        </w:rPr>
        <w:t>进行符合性评审。有一项不符合评审标准的，将被视为未实质性响应磋商文件，其磋商响应文件将按无效文件处理。</w:t>
      </w:r>
    </w:p>
    <w:p>
      <w:pPr>
        <w:keepNext w:val="0"/>
        <w:keepLines w:val="0"/>
        <w:pageBreakBefore w:val="0"/>
        <w:widowControl w:val="0"/>
        <w:shd w:val="clear"/>
        <w:kinsoku/>
        <w:wordWrap/>
        <w:overflowPunct/>
        <w:topLinePunct w:val="0"/>
        <w:autoSpaceDE/>
        <w:autoSpaceDN/>
        <w:bidi w:val="0"/>
        <w:spacing w:line="500" w:lineRule="exact"/>
        <w:ind w:right="0" w:rightChars="0" w:firstLine="482" w:firstLineChars="20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highlight w:val="none"/>
        </w:rPr>
        <w:t>在资格性审查</w:t>
      </w:r>
      <w:r>
        <w:rPr>
          <w:rFonts w:hint="eastAsia" w:ascii="宋体" w:hAnsi="宋体" w:cs="宋体"/>
          <w:b/>
          <w:bCs/>
          <w:color w:val="000000"/>
          <w:sz w:val="24"/>
          <w:highlight w:val="none"/>
          <w:lang w:eastAsia="zh-CN"/>
        </w:rPr>
        <w:t>阶段</w:t>
      </w:r>
      <w:r>
        <w:rPr>
          <w:rFonts w:hint="eastAsia" w:ascii="宋体" w:hAnsi="宋体" w:eastAsia="宋体" w:cs="宋体"/>
          <w:b/>
          <w:bCs/>
          <w:color w:val="000000"/>
          <w:sz w:val="24"/>
          <w:highlight w:val="none"/>
        </w:rPr>
        <w:t>，不符合</w:t>
      </w:r>
      <w:r>
        <w:rPr>
          <w:rFonts w:hint="eastAsia" w:ascii="宋体" w:hAnsi="宋体" w:eastAsia="宋体" w:cs="宋体"/>
          <w:b/>
          <w:bCs/>
          <w:color w:val="000000"/>
          <w:sz w:val="24"/>
          <w:highlight w:val="none"/>
          <w:lang w:eastAsia="zh-CN"/>
        </w:rPr>
        <w:t>磋商文件</w:t>
      </w:r>
      <w:r>
        <w:rPr>
          <w:rFonts w:hint="eastAsia" w:ascii="宋体" w:hAnsi="宋体" w:eastAsia="宋体" w:cs="宋体"/>
          <w:b/>
          <w:bCs/>
          <w:color w:val="000000"/>
          <w:sz w:val="24"/>
          <w:highlight w:val="none"/>
        </w:rPr>
        <w:t>要求的，不得进入符合性审查，在符合性审查时未通过的，不得进入后续评审环节。</w:t>
      </w:r>
    </w:p>
    <w:p>
      <w:pPr>
        <w:keepNext w:val="0"/>
        <w:keepLines w:val="0"/>
        <w:pageBreakBefore w:val="0"/>
        <w:widowControl w:val="0"/>
        <w:shd w:val="clear"/>
        <w:kinsoku/>
        <w:wordWrap/>
        <w:overflowPunct/>
        <w:topLinePunct w:val="0"/>
        <w:autoSpaceDE/>
        <w:autoSpaceDN/>
        <w:bidi w:val="0"/>
        <w:spacing w:before="120" w:beforeLines="50" w:after="120" w:afterLines="50" w:line="500" w:lineRule="exact"/>
        <w:ind w:right="0" w:rightChars="0" w:firstLine="482" w:firstLineChars="200"/>
        <w:jc w:val="both"/>
        <w:textAlignment w:val="auto"/>
        <w:outlineLvl w:val="9"/>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2、</w:t>
      </w:r>
      <w:r>
        <w:rPr>
          <w:rFonts w:hint="eastAsia" w:ascii="宋体" w:hAnsi="宋体" w:eastAsia="宋体" w:cs="宋体"/>
          <w:b/>
          <w:color w:val="000000"/>
          <w:sz w:val="24"/>
          <w:highlight w:val="none"/>
          <w:lang w:eastAsia="zh-CN"/>
        </w:rPr>
        <w:t>磋商响应</w:t>
      </w:r>
      <w:r>
        <w:rPr>
          <w:rFonts w:hint="eastAsia" w:ascii="宋体" w:hAnsi="宋体" w:eastAsia="宋体" w:cs="宋体"/>
          <w:b/>
          <w:color w:val="000000"/>
          <w:sz w:val="24"/>
          <w:highlight w:val="none"/>
        </w:rPr>
        <w:t>文件的澄清</w:t>
      </w:r>
    </w:p>
    <w:p>
      <w:pPr>
        <w:keepNext w:val="0"/>
        <w:keepLines w:val="0"/>
        <w:pageBreakBefore w:val="0"/>
        <w:widowControl w:val="0"/>
        <w:shd w:val="clear"/>
        <w:kinsoku/>
        <w:wordWrap/>
        <w:overflowPunct/>
        <w:topLinePunct w:val="0"/>
        <w:autoSpaceDE/>
        <w:autoSpaceDN/>
        <w:bidi w:val="0"/>
        <w:spacing w:line="500" w:lineRule="exact"/>
        <w:ind w:right="0" w:rightChars="0" w:firstLine="496" w:firstLineChars="200"/>
        <w:jc w:val="both"/>
        <w:textAlignment w:val="auto"/>
        <w:outlineLvl w:val="9"/>
        <w:rPr>
          <w:rFonts w:hint="eastAsia" w:ascii="宋体" w:hAnsi="宋体" w:eastAsia="宋体" w:cs="宋体"/>
          <w:b w:val="0"/>
          <w:bCs/>
          <w:spacing w:val="4"/>
          <w:sz w:val="24"/>
          <w:szCs w:val="24"/>
          <w:highlight w:val="none"/>
          <w:lang w:val="en-US" w:eastAsia="zh-CN"/>
        </w:rPr>
      </w:pPr>
      <w:r>
        <w:rPr>
          <w:rFonts w:hint="eastAsia" w:ascii="宋体" w:hAnsi="宋体" w:eastAsia="宋体" w:cs="宋体"/>
          <w:b w:val="0"/>
          <w:bCs/>
          <w:spacing w:val="4"/>
          <w:sz w:val="24"/>
          <w:szCs w:val="24"/>
          <w:highlight w:val="none"/>
          <w:lang w:val="en-US" w:eastAsia="zh-CN"/>
        </w:rPr>
        <w:t>2.1</w:t>
      </w:r>
      <w:r>
        <w:rPr>
          <w:rFonts w:hint="eastAsia" w:ascii="宋体" w:hAnsi="宋体" w:eastAsia="宋体" w:cs="宋体"/>
          <w:b w:val="0"/>
          <w:bCs/>
          <w:spacing w:val="4"/>
          <w:sz w:val="24"/>
          <w:szCs w:val="24"/>
          <w:highlight w:val="none"/>
          <w:lang w:eastAsia="zh-CN"/>
        </w:rPr>
        <w:t>磋商小组发现供应商的报价明显低于其他通过符合性审查的供应商的报价，有可能影响产品质量或者不能诚信履约的，</w:t>
      </w:r>
      <w:r>
        <w:rPr>
          <w:rFonts w:hint="eastAsia" w:ascii="宋体" w:hAnsi="宋体" w:eastAsia="宋体" w:cs="宋体"/>
          <w:b w:val="0"/>
          <w:bCs/>
          <w:spacing w:val="4"/>
          <w:sz w:val="24"/>
          <w:szCs w:val="24"/>
          <w:highlight w:val="none"/>
          <w:lang w:val="en-US" w:eastAsia="zh-CN"/>
        </w:rPr>
        <w:t>应当要求其在磋商现场合理的时间内做出书面说明，必要时提交相关证明材料。供应商不能证明其报价合理性的，磋商小组应当将其作为无效响应处理。</w:t>
      </w:r>
    </w:p>
    <w:p>
      <w:pPr>
        <w:keepNext w:val="0"/>
        <w:keepLines w:val="0"/>
        <w:pageBreakBefore w:val="0"/>
        <w:widowControl w:val="0"/>
        <w:shd w:val="clear"/>
        <w:kinsoku/>
        <w:wordWrap/>
        <w:overflowPunct/>
        <w:topLinePunct w:val="0"/>
        <w:autoSpaceDE/>
        <w:autoSpaceDN/>
        <w:bidi w:val="0"/>
        <w:spacing w:line="500" w:lineRule="exact"/>
        <w:ind w:right="0" w:rightChars="0" w:firstLine="480" w:firstLineChars="200"/>
        <w:jc w:val="both"/>
        <w:textAlignment w:val="auto"/>
        <w:outlineLvl w:val="9"/>
        <w:rPr>
          <w:rFonts w:hint="eastAsia" w:ascii="宋体" w:hAnsi="宋体" w:eastAsia="宋体" w:cs="宋体"/>
          <w:b w:val="0"/>
          <w:bCs/>
          <w:spacing w:val="4"/>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.2有效的书面澄清材料，是</w:t>
      </w:r>
      <w:r>
        <w:rPr>
          <w:rFonts w:hint="eastAsia" w:ascii="宋体" w:hAnsi="宋体" w:eastAsia="宋体" w:cs="宋体"/>
          <w:color w:val="000000"/>
          <w:sz w:val="24"/>
          <w:szCs w:val="24"/>
          <w:highlight w:val="none"/>
          <w:lang w:eastAsia="zh-CN"/>
        </w:rPr>
        <w:t>磋商响应</w:t>
      </w:r>
      <w:r>
        <w:rPr>
          <w:rFonts w:hint="eastAsia" w:ascii="宋体" w:hAnsi="宋体" w:eastAsia="宋体" w:cs="宋体"/>
          <w:color w:val="000000"/>
          <w:sz w:val="24"/>
          <w:szCs w:val="24"/>
          <w:highlight w:val="none"/>
        </w:rPr>
        <w:t>文件的补充材料，成为</w:t>
      </w:r>
      <w:r>
        <w:rPr>
          <w:rFonts w:hint="eastAsia" w:ascii="宋体" w:hAnsi="宋体" w:eastAsia="宋体" w:cs="宋体"/>
          <w:color w:val="000000"/>
          <w:sz w:val="24"/>
          <w:szCs w:val="24"/>
          <w:highlight w:val="none"/>
          <w:lang w:eastAsia="zh-CN"/>
        </w:rPr>
        <w:t>磋商响应</w:t>
      </w:r>
      <w:r>
        <w:rPr>
          <w:rFonts w:hint="eastAsia" w:ascii="宋体" w:hAnsi="宋体" w:eastAsia="宋体" w:cs="宋体"/>
          <w:color w:val="000000"/>
          <w:sz w:val="24"/>
          <w:szCs w:val="24"/>
          <w:highlight w:val="none"/>
        </w:rPr>
        <w:t>文件的组成部分。</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3、磋商：</w:t>
      </w:r>
      <w:r>
        <w:rPr>
          <w:rFonts w:hint="eastAsia" w:ascii="宋体" w:hAnsi="宋体" w:eastAsia="宋体" w:cs="宋体"/>
          <w:sz w:val="24"/>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602" w:firstLineChars="250"/>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、综合评审：</w:t>
      </w:r>
      <w:r>
        <w:rPr>
          <w:rFonts w:hint="eastAsia" w:ascii="宋体" w:hAnsi="宋体" w:eastAsia="宋体" w:cs="宋体"/>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候选人。</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四</w:t>
      </w:r>
      <w:r>
        <w:rPr>
          <w:rFonts w:hint="eastAsia" w:ascii="宋体" w:hAnsi="宋体" w:eastAsia="宋体" w:cs="宋体"/>
          <w:b/>
          <w:sz w:val="24"/>
          <w:szCs w:val="24"/>
          <w:highlight w:val="none"/>
        </w:rPr>
        <w:t>、政策性扣减</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1政策性扣减范围</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1.1供应商符合小型、微型企业或监狱企业</w:t>
      </w:r>
      <w:r>
        <w:rPr>
          <w:rFonts w:hint="eastAsia" w:ascii="宋体" w:hAnsi="宋体" w:eastAsia="宋体" w:cs="宋体"/>
          <w:sz w:val="24"/>
          <w:szCs w:val="24"/>
          <w:highlight w:val="none"/>
          <w:lang w:eastAsia="zh-CN"/>
        </w:rPr>
        <w:t>、残疾人福利性单位</w:t>
      </w:r>
      <w:r>
        <w:rPr>
          <w:rFonts w:hint="eastAsia" w:ascii="宋体" w:hAnsi="宋体" w:eastAsia="宋体" w:cs="宋体"/>
          <w:sz w:val="24"/>
          <w:szCs w:val="24"/>
          <w:highlight w:val="none"/>
        </w:rPr>
        <w:t>条件的，其磋商报价价格评审时将按相应比例进行扣减。</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1.2依照&lt;关于印发《政府采购促进中小企业发展暂行办法》的通知&gt;（财库</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2011〕181号）的规定，小型、微型企业应当同时符合以下条件：</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1.2.1符合中小企业划分标准（中小企业划分标准是指国务院有关部门根据企业从业人员、营业收入、资产总额等指标制定的中小企业划型标准（工信部联企业〔2011〕300号））。</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1.2.2提供本企业制造的货物、承担的工程或者服务，或者提供其他中小企业制造的货物，不包括提供或使用大型企业注册商标的货物。</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1.2.3小型、微型企业提供中型企业制造的货物的，视同为中型企业；小型、微型、中型企业提供大型企业制造的货物的，视同为大型企业。</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1.3采购人拟采购产品属于优先采购节能、环境标志产品范围的，应当优先采购节能、环境标志产品；拟采购产品符合政府采购强制采购政策的，实行强制采购。</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1.3.1采购人依据节能产品、环境标志产品品目清单和节能、环境标志产品认证证书实施政府优先采购和强制采购。</w:t>
      </w:r>
    </w:p>
    <w:p>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pageBreakBefore w:val="0"/>
        <w:widowControl w:val="0"/>
        <w:shd w:val="clea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监狱企业参加政府采购活动时，视同</w:t>
      </w:r>
      <w:r>
        <w:rPr>
          <w:rFonts w:hint="eastAsia" w:ascii="宋体" w:hAnsi="宋体" w:eastAsia="宋体" w:cs="宋体"/>
          <w:color w:val="auto"/>
          <w:sz w:val="24"/>
          <w:szCs w:val="24"/>
          <w:highlight w:val="none"/>
          <w:lang w:eastAsia="zh-CN"/>
        </w:rPr>
        <w:t>小型、微型企业。</w:t>
      </w:r>
    </w:p>
    <w:p>
      <w:pPr>
        <w:pageBreakBefore w:val="0"/>
        <w:widowControl w:val="0"/>
        <w:shd w:val="clea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符合条件的残疾人福利性单位在参加政府采购活动时，应当提供本通知规定的《残疾人福利性单位声明函》，并对声明的真实性负责。残疾人福利性单位</w:t>
      </w:r>
      <w:r>
        <w:rPr>
          <w:rFonts w:hint="eastAsia" w:ascii="宋体" w:hAnsi="宋体" w:eastAsia="宋体" w:cs="宋体"/>
          <w:color w:val="auto"/>
          <w:sz w:val="24"/>
          <w:szCs w:val="24"/>
          <w:highlight w:val="none"/>
        </w:rPr>
        <w:t>参加政府采购活动时，视同</w:t>
      </w:r>
      <w:r>
        <w:rPr>
          <w:rFonts w:hint="eastAsia" w:ascii="宋体" w:hAnsi="宋体" w:eastAsia="宋体" w:cs="宋体"/>
          <w:color w:val="auto"/>
          <w:sz w:val="24"/>
          <w:szCs w:val="24"/>
          <w:highlight w:val="none"/>
          <w:lang w:eastAsia="zh-CN"/>
        </w:rPr>
        <w:t>小型、微型企业；残疾人福利性单位属于小型、微型企业的，不重复享受政策。</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2、政策性扣减方式：</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2.1供应商为非联合体参与磋商的情况：</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在磋商最终报价的基础上，对小微企业、监狱企业、残疾人福利性单位，按“</w:t>
      </w:r>
      <w:r>
        <w:rPr>
          <w:rFonts w:hint="eastAsia" w:ascii="宋体" w:hAnsi="宋体" w:cs="宋体"/>
          <w:color w:val="auto"/>
          <w:sz w:val="24"/>
          <w:szCs w:val="24"/>
          <w:highlight w:val="none"/>
          <w:lang w:eastAsia="zh-CN"/>
        </w:rPr>
        <w:t>磋商报价</w:t>
      </w:r>
      <w:r>
        <w:rPr>
          <w:rFonts w:hint="eastAsia" w:ascii="宋体" w:hAnsi="宋体" w:eastAsia="宋体" w:cs="宋体"/>
          <w:color w:val="auto"/>
          <w:sz w:val="24"/>
          <w:szCs w:val="24"/>
          <w:highlight w:val="none"/>
        </w:rPr>
        <w:t>×6%”进行扣减；</w:t>
      </w:r>
    </w:p>
    <w:p>
      <w:pPr>
        <w:shd w:val="clea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为联合体参与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且联合协议中约定小型或微型企业的协议合同金额占到联合体协议合同总金额30％以上的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%”进行扣减；</w:t>
      </w:r>
    </w:p>
    <w:p>
      <w:pPr>
        <w:shd w:val="clear"/>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2.3小微企业、监狱企业、残疾人福利性单位不重复享受优惠政策；</w:t>
      </w:r>
    </w:p>
    <w:p>
      <w:pPr>
        <w:shd w:val="clea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享受支持中小型企业发展政策优惠的，可以同时享受节能、环境标志产品优先采购政策。</w:t>
      </w:r>
    </w:p>
    <w:p>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3、成交价格=成交供应商的有效磋商报价。</w:t>
      </w:r>
    </w:p>
    <w:p>
      <w:pPr>
        <w:pStyle w:val="2"/>
        <w:shd w:val="clear"/>
        <w:rPr>
          <w:highlight w:val="none"/>
        </w:rPr>
      </w:pPr>
    </w:p>
    <w:p>
      <w:pPr>
        <w:shd w:val="clear"/>
        <w:spacing w:line="360" w:lineRule="auto"/>
        <w:ind w:right="40" w:rightChars="19" w:firstLine="480" w:firstLineChars="200"/>
        <w:rPr>
          <w:rFonts w:ascii="宋体" w:hAnsi="宋体" w:cs="宋体"/>
          <w:sz w:val="24"/>
          <w:szCs w:val="24"/>
          <w:highlight w:val="none"/>
        </w:rPr>
      </w:pPr>
    </w:p>
    <w:p>
      <w:pPr>
        <w:shd w:val="clear"/>
        <w:spacing w:line="360" w:lineRule="auto"/>
        <w:ind w:right="40" w:rightChars="19"/>
        <w:rPr>
          <w:rFonts w:ascii="宋体" w:hAnsi="宋体" w:cs="宋体"/>
          <w:sz w:val="24"/>
          <w:szCs w:val="24"/>
          <w:highlight w:val="none"/>
        </w:rPr>
      </w:pPr>
    </w:p>
    <w:p>
      <w:pPr>
        <w:keepNext w:val="0"/>
        <w:keepLines w:val="0"/>
        <w:pageBreakBefore w:val="0"/>
        <w:widowControl w:val="0"/>
        <w:shd w:val="clear"/>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ascii="宋体" w:hAnsi="宋体" w:cs="宋体"/>
          <w:sz w:val="24"/>
          <w:szCs w:val="24"/>
          <w:highlight w:val="none"/>
        </w:rPr>
      </w:pPr>
      <w:r>
        <w:rPr>
          <w:rFonts w:hint="eastAsia" w:ascii="宋体" w:hAnsi="宋体" w:cs="宋体"/>
          <w:sz w:val="24"/>
          <w:szCs w:val="24"/>
          <w:highlight w:val="none"/>
        </w:rPr>
        <w:t>附件</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eastAsia="宋体" w:cs="宋体"/>
          <w:b/>
          <w:color w:val="000000"/>
          <w:sz w:val="24"/>
          <w:highlight w:val="none"/>
          <w:lang w:eastAsia="zh-CN"/>
        </w:rPr>
        <w:t>初步评审标准</w:t>
      </w:r>
    </w:p>
    <w:tbl>
      <w:tblPr>
        <w:tblStyle w:val="3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269"/>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条款号</w:t>
            </w:r>
          </w:p>
        </w:tc>
        <w:tc>
          <w:tcPr>
            <w:tcW w:w="2836" w:type="dxa"/>
            <w:gridSpan w:val="2"/>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评审因素</w:t>
            </w:r>
          </w:p>
        </w:tc>
        <w:tc>
          <w:tcPr>
            <w:tcW w:w="5319" w:type="dxa"/>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2.1</w:t>
            </w:r>
            <w:r>
              <w:rPr>
                <w:rFonts w:hint="eastAsia" w:hAnsi="宋体" w:cs="宋体"/>
                <w:bCs/>
                <w:highlight w:val="none"/>
              </w:rPr>
              <w:t>.1</w:t>
            </w:r>
          </w:p>
        </w:tc>
        <w:tc>
          <w:tcPr>
            <w:tcW w:w="600" w:type="dxa"/>
            <w:vMerge w:val="restart"/>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资格评审</w:t>
            </w:r>
          </w:p>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标准</w:t>
            </w:r>
          </w:p>
        </w:tc>
        <w:tc>
          <w:tcPr>
            <w:tcW w:w="2836" w:type="dxa"/>
            <w:gridSpan w:val="2"/>
            <w:vAlign w:val="center"/>
          </w:tcPr>
          <w:p>
            <w:pPr>
              <w:shd w:val="clear"/>
              <w:tabs>
                <w:tab w:val="left" w:pos="0"/>
              </w:tabs>
              <w:adjustRightInd w:val="0"/>
              <w:snapToGrid w:val="0"/>
              <w:jc w:val="center"/>
              <w:rPr>
                <w:rFonts w:ascii="宋体" w:hAnsi="宋体" w:cs="宋体"/>
                <w:bCs/>
                <w:highlight w:val="none"/>
              </w:rPr>
            </w:pPr>
            <w:r>
              <w:rPr>
                <w:rFonts w:hint="eastAsia" w:hAnsi="宋体" w:cs="宋体"/>
                <w:bCs/>
                <w:highlight w:val="none"/>
              </w:rPr>
              <w:t>营业执照等主体资格证明文件</w:t>
            </w:r>
          </w:p>
        </w:tc>
        <w:tc>
          <w:tcPr>
            <w:tcW w:w="5319" w:type="dxa"/>
            <w:vAlign w:val="center"/>
          </w:tcPr>
          <w:p>
            <w:pPr>
              <w:shd w:val="clear"/>
              <w:tabs>
                <w:tab w:val="left" w:pos="0"/>
              </w:tabs>
              <w:adjustRightInd w:val="0"/>
              <w:snapToGrid w:val="0"/>
              <w:jc w:val="left"/>
              <w:rPr>
                <w:rFonts w:ascii="宋体" w:hAnsi="宋体" w:cs="宋体"/>
                <w:bCs/>
                <w:highlight w:val="none"/>
              </w:rPr>
            </w:pPr>
            <w:r>
              <w:rPr>
                <w:rFonts w:hint="eastAsia" w:ascii="宋体" w:hAnsi="宋体" w:cs="宋体"/>
                <w:bCs/>
                <w:highlight w:val="none"/>
              </w:rPr>
              <w:t>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shd w:val="clear"/>
              <w:tabs>
                <w:tab w:val="left" w:pos="0"/>
              </w:tabs>
              <w:adjustRightInd w:val="0"/>
              <w:snapToGrid w:val="0"/>
              <w:jc w:val="center"/>
              <w:rPr>
                <w:rFonts w:ascii="宋体" w:hAnsi="宋体" w:cs="宋体"/>
                <w:bCs/>
                <w:highlight w:val="none"/>
              </w:rPr>
            </w:pPr>
          </w:p>
        </w:tc>
        <w:tc>
          <w:tcPr>
            <w:tcW w:w="600" w:type="dxa"/>
            <w:vMerge w:val="continue"/>
            <w:vAlign w:val="center"/>
          </w:tcPr>
          <w:p>
            <w:pPr>
              <w:shd w:val="clear"/>
              <w:tabs>
                <w:tab w:val="left" w:pos="0"/>
              </w:tabs>
              <w:adjustRightInd w:val="0"/>
              <w:snapToGrid w:val="0"/>
              <w:jc w:val="center"/>
              <w:rPr>
                <w:rFonts w:ascii="宋体" w:hAnsi="宋体" w:cs="宋体"/>
                <w:bCs/>
                <w:highlight w:val="none"/>
              </w:rPr>
            </w:pPr>
          </w:p>
        </w:tc>
        <w:tc>
          <w:tcPr>
            <w:tcW w:w="2836" w:type="dxa"/>
            <w:gridSpan w:val="2"/>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法定代表人授权书/法定</w:t>
            </w:r>
          </w:p>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代表人身份证明</w:t>
            </w:r>
          </w:p>
        </w:tc>
        <w:tc>
          <w:tcPr>
            <w:tcW w:w="5319" w:type="dxa"/>
            <w:vAlign w:val="center"/>
          </w:tcPr>
          <w:p>
            <w:pPr>
              <w:shd w:val="clear"/>
              <w:tabs>
                <w:tab w:val="left" w:pos="0"/>
              </w:tabs>
              <w:adjustRightInd w:val="0"/>
              <w:snapToGrid w:val="0"/>
              <w:jc w:val="left"/>
              <w:rPr>
                <w:rFonts w:ascii="宋体" w:hAnsi="宋体" w:cs="宋体"/>
                <w:bCs/>
                <w:highlight w:val="none"/>
              </w:rPr>
            </w:pPr>
            <w:r>
              <w:rPr>
                <w:rFonts w:hint="eastAsia" w:ascii="宋体" w:hAnsi="宋体" w:cs="宋体"/>
                <w:bCs/>
                <w:highlight w:val="none"/>
              </w:rPr>
              <w:t>法定代表人授权书（附法定代表人、被授权人身份证复印件）及被授权人身份证（法定代表人直接参加磋商，须提供法定代表人身份证明及身份证原件）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shd w:val="clear"/>
              <w:tabs>
                <w:tab w:val="left" w:pos="0"/>
              </w:tabs>
              <w:adjustRightInd w:val="0"/>
              <w:snapToGrid w:val="0"/>
              <w:jc w:val="center"/>
              <w:rPr>
                <w:rFonts w:ascii="宋体" w:hAnsi="宋体" w:cs="宋体"/>
                <w:bCs/>
                <w:highlight w:val="none"/>
              </w:rPr>
            </w:pPr>
          </w:p>
        </w:tc>
        <w:tc>
          <w:tcPr>
            <w:tcW w:w="600" w:type="dxa"/>
            <w:vMerge w:val="continue"/>
            <w:vAlign w:val="center"/>
          </w:tcPr>
          <w:p>
            <w:pPr>
              <w:shd w:val="clear"/>
              <w:tabs>
                <w:tab w:val="left" w:pos="0"/>
              </w:tabs>
              <w:adjustRightInd w:val="0"/>
              <w:snapToGrid w:val="0"/>
              <w:jc w:val="center"/>
              <w:rPr>
                <w:rFonts w:ascii="宋体" w:hAnsi="宋体" w:cs="宋体"/>
                <w:bCs/>
                <w:highlight w:val="none"/>
              </w:rPr>
            </w:pPr>
          </w:p>
        </w:tc>
        <w:tc>
          <w:tcPr>
            <w:tcW w:w="2836" w:type="dxa"/>
            <w:gridSpan w:val="2"/>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财务状况报告</w:t>
            </w:r>
          </w:p>
        </w:tc>
        <w:tc>
          <w:tcPr>
            <w:tcW w:w="5319" w:type="dxa"/>
            <w:vAlign w:val="center"/>
          </w:tcPr>
          <w:p>
            <w:pPr>
              <w:shd w:val="clear"/>
              <w:tabs>
                <w:tab w:val="left" w:pos="0"/>
              </w:tabs>
              <w:adjustRightInd w:val="0"/>
              <w:snapToGrid w:val="0"/>
              <w:jc w:val="left"/>
              <w:rPr>
                <w:rFonts w:ascii="宋体" w:hAnsi="宋体" w:cs="宋体"/>
                <w:bCs/>
                <w:highlight w:val="none"/>
              </w:rPr>
            </w:pPr>
            <w:r>
              <w:rPr>
                <w:rFonts w:hint="eastAsia" w:ascii="宋体" w:hAnsi="宋体" w:cs="宋体"/>
                <w:bCs/>
                <w:highlight w:val="none"/>
              </w:rPr>
              <w:t>提供2018年度经审计的财务报告（成立时间至提交响应文件截止时间不足一年的可提供成立后任意时段的资产负债表），或其基本存款账户开户银行出具的资信证明及基本存款账户开户许可证；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shd w:val="clear"/>
              <w:tabs>
                <w:tab w:val="left" w:pos="0"/>
              </w:tabs>
              <w:adjustRightInd w:val="0"/>
              <w:snapToGrid w:val="0"/>
              <w:jc w:val="center"/>
              <w:rPr>
                <w:rFonts w:ascii="宋体" w:hAnsi="宋体" w:cs="宋体"/>
                <w:bCs/>
                <w:highlight w:val="none"/>
              </w:rPr>
            </w:pPr>
          </w:p>
        </w:tc>
        <w:tc>
          <w:tcPr>
            <w:tcW w:w="600" w:type="dxa"/>
            <w:vMerge w:val="continue"/>
            <w:vAlign w:val="center"/>
          </w:tcPr>
          <w:p>
            <w:pPr>
              <w:shd w:val="clear"/>
              <w:tabs>
                <w:tab w:val="left" w:pos="0"/>
              </w:tabs>
              <w:adjustRightInd w:val="0"/>
              <w:snapToGrid w:val="0"/>
              <w:jc w:val="center"/>
              <w:rPr>
                <w:rFonts w:ascii="宋体" w:hAnsi="宋体" w:cs="宋体"/>
                <w:bCs/>
                <w:highlight w:val="none"/>
              </w:rPr>
            </w:pPr>
          </w:p>
        </w:tc>
        <w:tc>
          <w:tcPr>
            <w:tcW w:w="2836" w:type="dxa"/>
            <w:gridSpan w:val="2"/>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税收缴纳证明</w:t>
            </w:r>
          </w:p>
        </w:tc>
        <w:tc>
          <w:tcPr>
            <w:tcW w:w="5319" w:type="dxa"/>
            <w:vAlign w:val="center"/>
          </w:tcPr>
          <w:p>
            <w:pPr>
              <w:shd w:val="clear"/>
              <w:tabs>
                <w:tab w:val="left" w:pos="0"/>
              </w:tabs>
              <w:adjustRightInd w:val="0"/>
              <w:snapToGrid w:val="0"/>
              <w:jc w:val="left"/>
              <w:rPr>
                <w:rFonts w:ascii="宋体" w:hAnsi="宋体" w:cs="宋体"/>
                <w:bCs/>
                <w:highlight w:val="none"/>
              </w:rPr>
            </w:pPr>
            <w:r>
              <w:rPr>
                <w:rFonts w:hint="eastAsia" w:ascii="宋体" w:hAnsi="宋体" w:cs="宋体"/>
                <w:bCs/>
                <w:highlight w:val="none"/>
              </w:rPr>
              <w:t>提供</w:t>
            </w:r>
            <w:r>
              <w:rPr>
                <w:rFonts w:hint="eastAsia" w:ascii="宋体" w:hAnsi="宋体" w:cs="宋体"/>
                <w:bCs/>
                <w:highlight w:val="none"/>
                <w:lang w:eastAsia="zh-CN"/>
              </w:rPr>
              <w:t>磋商响应文件</w:t>
            </w:r>
            <w:r>
              <w:rPr>
                <w:rFonts w:hint="eastAsia" w:ascii="宋体" w:hAnsi="宋体" w:cs="宋体"/>
                <w:bCs/>
                <w:highlight w:val="none"/>
              </w:rPr>
              <w:t>递交截止日前一年内至少一个月的纳税证明或完税证明，纳税证明或完税证明上应有代收机构或税务机关的公章或业务专用章。依法免税的供应商应提供相关文件证明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shd w:val="clear"/>
              <w:tabs>
                <w:tab w:val="left" w:pos="0"/>
              </w:tabs>
              <w:adjustRightInd w:val="0"/>
              <w:snapToGrid w:val="0"/>
              <w:jc w:val="center"/>
              <w:rPr>
                <w:rFonts w:ascii="宋体" w:hAnsi="宋体" w:cs="宋体"/>
                <w:bCs/>
                <w:highlight w:val="none"/>
              </w:rPr>
            </w:pPr>
          </w:p>
        </w:tc>
        <w:tc>
          <w:tcPr>
            <w:tcW w:w="600" w:type="dxa"/>
            <w:vMerge w:val="continue"/>
            <w:vAlign w:val="center"/>
          </w:tcPr>
          <w:p>
            <w:pPr>
              <w:shd w:val="clear"/>
              <w:tabs>
                <w:tab w:val="left" w:pos="0"/>
              </w:tabs>
              <w:adjustRightInd w:val="0"/>
              <w:snapToGrid w:val="0"/>
              <w:jc w:val="center"/>
              <w:rPr>
                <w:rFonts w:ascii="宋体" w:hAnsi="宋体" w:cs="宋体"/>
                <w:bCs/>
                <w:highlight w:val="none"/>
              </w:rPr>
            </w:pPr>
          </w:p>
        </w:tc>
        <w:tc>
          <w:tcPr>
            <w:tcW w:w="2836" w:type="dxa"/>
            <w:gridSpan w:val="2"/>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社会保障资金缴纳证明</w:t>
            </w:r>
          </w:p>
        </w:tc>
        <w:tc>
          <w:tcPr>
            <w:tcW w:w="5319" w:type="dxa"/>
            <w:vAlign w:val="center"/>
          </w:tcPr>
          <w:p>
            <w:pPr>
              <w:shd w:val="clear"/>
              <w:tabs>
                <w:tab w:val="left" w:pos="0"/>
              </w:tabs>
              <w:adjustRightInd w:val="0"/>
              <w:snapToGrid w:val="0"/>
              <w:jc w:val="left"/>
              <w:rPr>
                <w:rFonts w:ascii="宋体" w:hAnsi="宋体" w:cs="宋体"/>
                <w:bCs/>
                <w:highlight w:val="none"/>
              </w:rPr>
            </w:pPr>
            <w:r>
              <w:rPr>
                <w:rFonts w:hint="eastAsia" w:ascii="宋体" w:hAnsi="宋体" w:cs="宋体"/>
                <w:bCs/>
                <w:highlight w:val="none"/>
              </w:rPr>
              <w:t>提供磋商截止日前一年内已缴存的至少一个月的社会保障资金缴存单据或社保机构开具的社会保险参保缴费情况证明，依法不需要缴纳社会保障资金的单位应提供相关证明材料；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shd w:val="clear"/>
              <w:tabs>
                <w:tab w:val="left" w:pos="0"/>
              </w:tabs>
              <w:adjustRightInd w:val="0"/>
              <w:snapToGrid w:val="0"/>
              <w:jc w:val="center"/>
              <w:rPr>
                <w:rFonts w:ascii="宋体" w:hAnsi="宋体" w:cs="宋体"/>
                <w:bCs/>
                <w:highlight w:val="none"/>
              </w:rPr>
            </w:pPr>
          </w:p>
        </w:tc>
        <w:tc>
          <w:tcPr>
            <w:tcW w:w="600" w:type="dxa"/>
            <w:vMerge w:val="continue"/>
            <w:vAlign w:val="center"/>
          </w:tcPr>
          <w:p>
            <w:pPr>
              <w:shd w:val="clear"/>
              <w:tabs>
                <w:tab w:val="left" w:pos="0"/>
              </w:tabs>
              <w:adjustRightInd w:val="0"/>
              <w:snapToGrid w:val="0"/>
              <w:jc w:val="center"/>
              <w:rPr>
                <w:rFonts w:ascii="宋体" w:hAnsi="宋体" w:cs="宋体"/>
                <w:bCs/>
                <w:highlight w:val="none"/>
              </w:rPr>
            </w:pPr>
          </w:p>
        </w:tc>
        <w:tc>
          <w:tcPr>
            <w:tcW w:w="2836" w:type="dxa"/>
            <w:gridSpan w:val="2"/>
            <w:vAlign w:val="center"/>
          </w:tcPr>
          <w:p>
            <w:pPr>
              <w:shd w:val="clear"/>
              <w:tabs>
                <w:tab w:val="left" w:pos="0"/>
              </w:tabs>
              <w:adjustRightInd w:val="0"/>
              <w:snapToGrid w:val="0"/>
              <w:jc w:val="center"/>
              <w:rPr>
                <w:rFonts w:ascii="宋体" w:hAnsi="宋体" w:cs="宋体"/>
                <w:bCs/>
                <w:highlight w:val="none"/>
              </w:rPr>
            </w:pPr>
            <w:r>
              <w:rPr>
                <w:rFonts w:hint="eastAsia" w:hAnsi="宋体" w:cs="宋体"/>
                <w:bCs/>
                <w:highlight w:val="none"/>
              </w:rPr>
              <w:t>信用记录</w:t>
            </w:r>
          </w:p>
        </w:tc>
        <w:tc>
          <w:tcPr>
            <w:tcW w:w="5319" w:type="dxa"/>
            <w:vAlign w:val="center"/>
          </w:tcPr>
          <w:p>
            <w:pPr>
              <w:shd w:val="clear"/>
              <w:tabs>
                <w:tab w:val="left" w:pos="0"/>
              </w:tabs>
              <w:adjustRightInd w:val="0"/>
              <w:snapToGrid w:val="0"/>
              <w:jc w:val="both"/>
              <w:rPr>
                <w:rFonts w:ascii="宋体" w:hAnsi="宋体" w:cs="宋体"/>
                <w:bCs/>
                <w:highlight w:val="none"/>
              </w:rPr>
            </w:pPr>
            <w:r>
              <w:rPr>
                <w:rFonts w:hint="eastAsia" w:ascii="宋体" w:hAnsi="宋体" w:eastAsia="宋体" w:cs="宋体"/>
                <w:b w:val="0"/>
                <w:bCs/>
                <w:color w:val="auto"/>
                <w:sz w:val="21"/>
                <w:szCs w:val="21"/>
                <w:highlight w:val="none"/>
                <w:lang w:eastAsia="zh-CN"/>
              </w:rPr>
              <w:t>供应商不得为“信用中国”网站（</w:t>
            </w:r>
            <w:r>
              <w:rPr>
                <w:rFonts w:hint="eastAsia" w:ascii="宋体" w:hAnsi="宋体" w:eastAsia="宋体" w:cs="宋体"/>
                <w:b w:val="0"/>
                <w:bCs/>
                <w:color w:val="auto"/>
                <w:sz w:val="21"/>
                <w:szCs w:val="21"/>
                <w:highlight w:val="none"/>
                <w:lang w:eastAsia="zh-CN"/>
              </w:rPr>
              <w:fldChar w:fldCharType="begin"/>
            </w:r>
            <w:r>
              <w:rPr>
                <w:rFonts w:hint="eastAsia" w:ascii="宋体" w:hAnsi="宋体" w:eastAsia="宋体" w:cs="宋体"/>
                <w:b w:val="0"/>
                <w:bCs/>
                <w:color w:val="auto"/>
                <w:sz w:val="21"/>
                <w:szCs w:val="21"/>
                <w:highlight w:val="none"/>
                <w:lang w:eastAsia="zh-CN"/>
              </w:rPr>
              <w:instrText xml:space="preserve"> HYPERLINK "http://www.creditchina.gov.cn%EF%BC%89%E4%B8%AD%E5%88%97%E5%85%A5%E5%A4%B1%E4%BF%A1%E8%A2%AB%E6%89%A7%E8%A1%8C%E4%BA%BA%E5%92%8C%E9%87%8D%E5%A4%A7%E7%A8%8E%E6%94%B6%E8%BF%9D%E6%B3%95%E6%A1%88%E4%BB%B6%E5%BD%93%E4%BA%8B%E4%BA%BA%E5%90%8D%E5%8D%95%E7%9A%84%E4%BE%9B%E5%BA%94%E5%95%86/" \t "_blank" </w:instrText>
            </w:r>
            <w:r>
              <w:rPr>
                <w:rFonts w:hint="eastAsia" w:ascii="宋体" w:hAnsi="宋体" w:eastAsia="宋体" w:cs="宋体"/>
                <w:b w:val="0"/>
                <w:bCs/>
                <w:color w:val="auto"/>
                <w:sz w:val="21"/>
                <w:szCs w:val="21"/>
                <w:highlight w:val="none"/>
                <w:lang w:eastAsia="zh-CN"/>
              </w:rPr>
              <w:fldChar w:fldCharType="separate"/>
            </w:r>
            <w:r>
              <w:rPr>
                <w:rFonts w:hint="eastAsia" w:ascii="宋体" w:hAnsi="宋体" w:eastAsia="宋体" w:cs="宋体"/>
                <w:b w:val="0"/>
                <w:bCs/>
                <w:color w:val="auto"/>
                <w:sz w:val="21"/>
                <w:szCs w:val="21"/>
                <w:highlight w:val="none"/>
                <w:lang w:eastAsia="zh-CN"/>
              </w:rPr>
              <w:t>www.creditchina.gov.cn）中列入失信被执行人和重大税收违法案件当事人名单的供应商</w:t>
            </w:r>
            <w:r>
              <w:rPr>
                <w:rFonts w:hint="eastAsia" w:ascii="宋体" w:hAnsi="宋体" w:eastAsia="宋体" w:cs="宋体"/>
                <w:b w:val="0"/>
                <w:bCs/>
                <w:color w:val="auto"/>
                <w:sz w:val="21"/>
                <w:szCs w:val="21"/>
                <w:highlight w:val="none"/>
                <w:lang w:eastAsia="zh-CN"/>
              </w:rPr>
              <w:fldChar w:fldCharType="end"/>
            </w:r>
            <w:r>
              <w:rPr>
                <w:rFonts w:hint="eastAsia" w:ascii="宋体" w:hAnsi="宋体" w:eastAsia="宋体" w:cs="宋体"/>
                <w:b w:val="0"/>
                <w:bCs/>
                <w:color w:val="auto"/>
                <w:sz w:val="21"/>
                <w:szCs w:val="21"/>
                <w:highlight w:val="none"/>
                <w:lang w:eastAsia="zh-CN"/>
              </w:rPr>
              <w:t>，不得为中国政府采购网（</w:t>
            </w:r>
            <w:r>
              <w:rPr>
                <w:rFonts w:hint="eastAsia" w:ascii="宋体" w:hAnsi="宋体" w:eastAsia="宋体" w:cs="宋体"/>
                <w:b w:val="0"/>
                <w:bCs/>
                <w:color w:val="auto"/>
                <w:sz w:val="21"/>
                <w:szCs w:val="21"/>
                <w:highlight w:val="none"/>
                <w:lang w:eastAsia="zh-CN"/>
              </w:rPr>
              <w:fldChar w:fldCharType="begin"/>
            </w:r>
            <w:r>
              <w:rPr>
                <w:rFonts w:hint="eastAsia" w:ascii="宋体" w:hAnsi="宋体" w:eastAsia="宋体" w:cs="宋体"/>
                <w:b w:val="0"/>
                <w:bCs/>
                <w:color w:val="auto"/>
                <w:sz w:val="21"/>
                <w:szCs w:val="21"/>
                <w:highlight w:val="none"/>
                <w:lang w:eastAsia="zh-CN"/>
              </w:rPr>
              <w:instrText xml:space="preserve"> HYPERLINK "http://www.ccgp.gov.cn%EF%BC%89%E6%94%BF%E5%BA%9C%E9%87%87%E8%B4%AD%E4%B8%A5%E9%87%8D%E8%BF%9D%E6%B3%95%E5%A4%B1%E4%BF%A1%E8%A1%8C%E4%B8%BA%E8%AE%B0%E5%BD%95%E5%90%8D%E5%8D%95%E4%B8%AD%E8%A2%AB%E8%B4%A2%E6%94%BF%E9%83%A8%E9%97%A8%E7%A6%81%E6%AD%A2%E5%8F%82%E5%8A%A0%E6%94%BF%E5%BA%9C%E9%87%87%E8%B4%AD%E6%B4%BB%E5%8A%A8%E7%9A%84%E4%BE%9B%E5%BA%94%E5%95%86/" \t "_blank" </w:instrText>
            </w:r>
            <w:r>
              <w:rPr>
                <w:rFonts w:hint="eastAsia" w:ascii="宋体" w:hAnsi="宋体" w:eastAsia="宋体" w:cs="宋体"/>
                <w:b w:val="0"/>
                <w:bCs/>
                <w:color w:val="auto"/>
                <w:sz w:val="21"/>
                <w:szCs w:val="21"/>
                <w:highlight w:val="none"/>
                <w:lang w:eastAsia="zh-CN"/>
              </w:rPr>
              <w:fldChar w:fldCharType="separate"/>
            </w:r>
            <w:r>
              <w:rPr>
                <w:rFonts w:hint="eastAsia" w:ascii="宋体" w:hAnsi="宋体" w:eastAsia="宋体" w:cs="宋体"/>
                <w:b w:val="0"/>
                <w:bCs/>
                <w:color w:val="auto"/>
                <w:sz w:val="21"/>
                <w:szCs w:val="21"/>
                <w:highlight w:val="none"/>
                <w:lang w:eastAsia="zh-CN"/>
              </w:rPr>
              <w:t>www.ccgp.gov.cn）政府采购严重违法失信行为记录名单中被财政部门禁止参加政府采购活动的供应商</w:t>
            </w:r>
            <w:r>
              <w:rPr>
                <w:rFonts w:hint="eastAsia" w:ascii="宋体" w:hAnsi="宋体" w:eastAsia="宋体" w:cs="宋体"/>
                <w:b w:val="0"/>
                <w:bCs/>
                <w:color w:val="auto"/>
                <w:sz w:val="21"/>
                <w:szCs w:val="21"/>
                <w:highlight w:val="none"/>
                <w:lang w:eastAsia="zh-CN"/>
              </w:rPr>
              <w:fldChar w:fldCharType="end"/>
            </w:r>
            <w:r>
              <w:rPr>
                <w:rFonts w:hint="eastAsia" w:ascii="宋体" w:hAnsi="宋体" w:eastAsia="宋体" w:cs="宋体"/>
                <w:b w:val="0"/>
                <w:bCs/>
                <w:color w:val="auto"/>
                <w:sz w:val="21"/>
                <w:szCs w:val="21"/>
                <w:highlight w:val="none"/>
                <w:lang w:eastAsia="zh-CN"/>
              </w:rPr>
              <w:t>；（采购代理机构于磋商响应文件递交截止时间前三日内查询相关信用记录，对列入失信被执行人、重大税收违法案件当事人名单、政府采购严重违法失信行为记录名单及其他不符合《中华人民共和国政府采购法》第二十二条规定条件的，采购人和采购代理机构将拒绝其参与政府采购活动，查询结果以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shd w:val="clear"/>
              <w:tabs>
                <w:tab w:val="left" w:pos="0"/>
              </w:tabs>
              <w:adjustRightInd w:val="0"/>
              <w:snapToGrid w:val="0"/>
              <w:jc w:val="center"/>
              <w:rPr>
                <w:rFonts w:ascii="宋体" w:hAnsi="宋体" w:cs="宋体"/>
                <w:bCs/>
                <w:highlight w:val="none"/>
              </w:rPr>
            </w:pPr>
          </w:p>
        </w:tc>
        <w:tc>
          <w:tcPr>
            <w:tcW w:w="600" w:type="dxa"/>
            <w:vMerge w:val="continue"/>
            <w:vAlign w:val="center"/>
          </w:tcPr>
          <w:p>
            <w:pPr>
              <w:shd w:val="clear"/>
              <w:tabs>
                <w:tab w:val="left" w:pos="0"/>
              </w:tabs>
              <w:adjustRightInd w:val="0"/>
              <w:snapToGrid w:val="0"/>
              <w:jc w:val="center"/>
              <w:rPr>
                <w:rFonts w:ascii="宋体" w:hAnsi="宋体" w:cs="宋体"/>
                <w:bCs/>
                <w:highlight w:val="none"/>
              </w:rPr>
            </w:pPr>
          </w:p>
        </w:tc>
        <w:tc>
          <w:tcPr>
            <w:tcW w:w="2836" w:type="dxa"/>
            <w:gridSpan w:val="2"/>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书面声明</w:t>
            </w:r>
          </w:p>
        </w:tc>
        <w:tc>
          <w:tcPr>
            <w:tcW w:w="5319" w:type="dxa"/>
            <w:vAlign w:val="center"/>
          </w:tcPr>
          <w:p>
            <w:pPr>
              <w:shd w:val="clear"/>
              <w:tabs>
                <w:tab w:val="left" w:pos="0"/>
              </w:tabs>
              <w:adjustRightInd w:val="0"/>
              <w:snapToGrid w:val="0"/>
              <w:jc w:val="left"/>
              <w:rPr>
                <w:rFonts w:ascii="宋体" w:hAnsi="宋体" w:cs="宋体"/>
                <w:bCs/>
                <w:highlight w:val="none"/>
              </w:rPr>
            </w:pPr>
            <w:r>
              <w:rPr>
                <w:rFonts w:hint="eastAsia" w:ascii="宋体" w:hAnsi="宋体" w:cs="宋体"/>
                <w:bCs/>
                <w:highlight w:val="none"/>
              </w:rPr>
              <w:t>参加政府采购活动前3年内，在经营活动中没有重大违法记录的书面声明</w:t>
            </w:r>
            <w:r>
              <w:rPr>
                <w:rFonts w:hint="eastAsia" w:hAnsi="宋体" w:cs="宋体"/>
                <w:bCs/>
                <w:highlight w:val="none"/>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shd w:val="clear"/>
              <w:tabs>
                <w:tab w:val="left" w:pos="0"/>
              </w:tabs>
              <w:adjustRightInd w:val="0"/>
              <w:snapToGrid w:val="0"/>
              <w:jc w:val="center"/>
              <w:rPr>
                <w:rFonts w:ascii="宋体" w:hAnsi="宋体" w:cs="宋体"/>
                <w:bCs/>
                <w:highlight w:val="none"/>
              </w:rPr>
            </w:pPr>
          </w:p>
        </w:tc>
        <w:tc>
          <w:tcPr>
            <w:tcW w:w="600" w:type="dxa"/>
            <w:vMerge w:val="continue"/>
            <w:vAlign w:val="center"/>
          </w:tcPr>
          <w:p>
            <w:pPr>
              <w:shd w:val="clear"/>
              <w:tabs>
                <w:tab w:val="left" w:pos="0"/>
              </w:tabs>
              <w:adjustRightInd w:val="0"/>
              <w:snapToGrid w:val="0"/>
              <w:jc w:val="center"/>
              <w:rPr>
                <w:rFonts w:ascii="宋体" w:hAnsi="宋体" w:cs="宋体"/>
                <w:bCs/>
                <w:highlight w:val="none"/>
              </w:rPr>
            </w:pPr>
          </w:p>
        </w:tc>
        <w:tc>
          <w:tcPr>
            <w:tcW w:w="2836" w:type="dxa"/>
            <w:gridSpan w:val="2"/>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保证金</w:t>
            </w:r>
          </w:p>
        </w:tc>
        <w:tc>
          <w:tcPr>
            <w:tcW w:w="5319" w:type="dxa"/>
            <w:vAlign w:val="center"/>
          </w:tcPr>
          <w:p>
            <w:pPr>
              <w:shd w:val="clear"/>
              <w:tabs>
                <w:tab w:val="left" w:pos="0"/>
              </w:tabs>
              <w:adjustRightInd w:val="0"/>
              <w:snapToGrid w:val="0"/>
              <w:jc w:val="left"/>
              <w:rPr>
                <w:rFonts w:ascii="宋体" w:hAnsi="宋体" w:cs="宋体"/>
                <w:bCs/>
                <w:highlight w:val="none"/>
              </w:rPr>
            </w:pPr>
            <w:r>
              <w:rPr>
                <w:rFonts w:hint="eastAsia" w:ascii="宋体" w:hAnsi="宋体" w:cs="宋体"/>
                <w:bCs/>
                <w:highlight w:val="none"/>
              </w:rPr>
              <w:t>磋商保证金缴纳凭证</w:t>
            </w:r>
            <w:r>
              <w:rPr>
                <w:rFonts w:hint="eastAsia"/>
                <w:highlight w:val="none"/>
              </w:rPr>
              <w:t>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vAlign w:val="center"/>
          </w:tcPr>
          <w:p>
            <w:pPr>
              <w:shd w:val="clear"/>
              <w:tabs>
                <w:tab w:val="left" w:pos="0"/>
              </w:tabs>
              <w:adjustRightInd w:val="0"/>
              <w:snapToGrid w:val="0"/>
              <w:jc w:val="left"/>
              <w:rPr>
                <w:rFonts w:ascii="宋体" w:hAnsi="宋体" w:cs="宋体"/>
                <w:bCs/>
                <w:highlight w:val="none"/>
              </w:rPr>
            </w:pPr>
            <w:r>
              <w:rPr>
                <w:rFonts w:hint="eastAsia" w:ascii="宋体" w:hAnsi="宋体" w:cs="宋体"/>
                <w:bCs/>
                <w:highlight w:val="none"/>
                <w:lang w:eastAsia="zh-CN"/>
              </w:rPr>
              <w:t>注：</w:t>
            </w:r>
            <w:r>
              <w:rPr>
                <w:rFonts w:hint="eastAsia" w:ascii="宋体" w:hAnsi="宋体" w:cs="宋体"/>
                <w:bCs/>
                <w:highlight w:val="none"/>
                <w:lang w:val="en-US" w:eastAsia="zh-CN"/>
              </w:rPr>
              <w:t>以上为必备资质，缺一项或某项达不到要求，按无效磋商处理。资格审查时以磋商响应文件中所附证明材料为准（信用记录可不提供，由代理机构查询并留存）</w:t>
            </w:r>
            <w:r>
              <w:rPr>
                <w:rFonts w:hint="eastAsia" w:ascii="宋体" w:hAnsi="宋体" w:cs="宋体"/>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pPr>
              <w:shd w:val="clear"/>
              <w:tabs>
                <w:tab w:val="left" w:pos="0"/>
              </w:tabs>
              <w:adjustRightInd w:val="0"/>
              <w:snapToGrid w:val="0"/>
              <w:spacing w:line="360" w:lineRule="auto"/>
              <w:jc w:val="center"/>
              <w:rPr>
                <w:rFonts w:ascii="宋体" w:hAnsi="宋体" w:cs="宋体"/>
                <w:bCs/>
                <w:highlight w:val="none"/>
              </w:rPr>
            </w:pPr>
            <w:r>
              <w:rPr>
                <w:rFonts w:hint="eastAsia" w:hAnsi="宋体" w:cs="宋体"/>
                <w:bCs/>
                <w:highlight w:val="none"/>
              </w:rPr>
              <w:t>2.1.2</w:t>
            </w:r>
          </w:p>
        </w:tc>
        <w:tc>
          <w:tcPr>
            <w:tcW w:w="600" w:type="dxa"/>
            <w:vMerge w:val="restart"/>
            <w:vAlign w:val="center"/>
          </w:tcPr>
          <w:p>
            <w:pPr>
              <w:shd w:val="clear"/>
              <w:tabs>
                <w:tab w:val="left" w:pos="0"/>
              </w:tabs>
              <w:adjustRightInd w:val="0"/>
              <w:snapToGrid w:val="0"/>
              <w:jc w:val="center"/>
              <w:rPr>
                <w:rFonts w:ascii="宋体" w:hAnsi="宋体" w:cs="宋体"/>
                <w:bCs/>
                <w:highlight w:val="none"/>
              </w:rPr>
            </w:pPr>
            <w:r>
              <w:rPr>
                <w:rFonts w:hint="eastAsia" w:hAnsi="宋体" w:cs="宋体"/>
                <w:bCs/>
                <w:highlight w:val="none"/>
              </w:rPr>
              <w:t>符合性评审标准</w:t>
            </w:r>
          </w:p>
        </w:tc>
        <w:tc>
          <w:tcPr>
            <w:tcW w:w="567" w:type="dxa"/>
            <w:vMerge w:val="restart"/>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有效性审查</w:t>
            </w:r>
          </w:p>
        </w:tc>
        <w:tc>
          <w:tcPr>
            <w:tcW w:w="2269" w:type="dxa"/>
            <w:vAlign w:val="center"/>
          </w:tcPr>
          <w:p>
            <w:pPr>
              <w:shd w:val="clear"/>
              <w:tabs>
                <w:tab w:val="left" w:pos="0"/>
              </w:tabs>
              <w:adjustRightInd w:val="0"/>
              <w:snapToGrid w:val="0"/>
              <w:rPr>
                <w:rFonts w:ascii="宋体" w:hAnsi="宋体" w:cs="宋体"/>
                <w:bCs/>
                <w:highlight w:val="none"/>
              </w:rPr>
            </w:pPr>
            <w:r>
              <w:rPr>
                <w:rFonts w:hint="eastAsia" w:hAnsi="宋体" w:cs="宋体"/>
                <w:bCs/>
                <w:highlight w:val="none"/>
              </w:rPr>
              <w:t>磋商响应文件</w:t>
            </w:r>
            <w:r>
              <w:rPr>
                <w:rFonts w:hint="eastAsia" w:ascii="宋体" w:hAnsi="宋体" w:cs="宋体"/>
                <w:bCs/>
                <w:highlight w:val="none"/>
              </w:rPr>
              <w:t>的签署盖章</w:t>
            </w:r>
          </w:p>
        </w:tc>
        <w:tc>
          <w:tcPr>
            <w:tcW w:w="5319" w:type="dxa"/>
            <w:vAlign w:val="center"/>
          </w:tcPr>
          <w:p>
            <w:pPr>
              <w:shd w:val="clear"/>
              <w:tabs>
                <w:tab w:val="left" w:pos="0"/>
              </w:tabs>
              <w:adjustRightInd w:val="0"/>
              <w:snapToGrid w:val="0"/>
              <w:rPr>
                <w:rFonts w:ascii="宋体" w:hAnsi="宋体" w:cs="宋体"/>
                <w:bCs/>
                <w:highlight w:val="none"/>
              </w:rPr>
            </w:pPr>
            <w:r>
              <w:rPr>
                <w:rFonts w:hint="eastAsia" w:hAnsi="宋体" w:cs="宋体"/>
                <w:bCs/>
                <w:highlight w:val="none"/>
              </w:rPr>
              <w:t>磋商响应文件</w:t>
            </w:r>
            <w:r>
              <w:rPr>
                <w:rFonts w:hint="eastAsia" w:ascii="宋体" w:hAnsi="宋体" w:cs="宋体"/>
                <w:bCs/>
                <w:highlight w:val="none"/>
              </w:rPr>
              <w:t>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shd w:val="clear"/>
              <w:tabs>
                <w:tab w:val="left" w:pos="0"/>
              </w:tabs>
              <w:adjustRightInd w:val="0"/>
              <w:snapToGrid w:val="0"/>
              <w:spacing w:line="360" w:lineRule="auto"/>
              <w:rPr>
                <w:rFonts w:ascii="宋体" w:hAnsi="宋体" w:cs="宋体"/>
                <w:bCs/>
                <w:highlight w:val="none"/>
              </w:rPr>
            </w:pPr>
          </w:p>
        </w:tc>
        <w:tc>
          <w:tcPr>
            <w:tcW w:w="600" w:type="dxa"/>
            <w:vMerge w:val="continue"/>
          </w:tcPr>
          <w:p>
            <w:pPr>
              <w:shd w:val="clear"/>
              <w:tabs>
                <w:tab w:val="left" w:pos="0"/>
              </w:tabs>
              <w:adjustRightInd w:val="0"/>
              <w:snapToGrid w:val="0"/>
              <w:spacing w:line="360" w:lineRule="auto"/>
              <w:rPr>
                <w:rFonts w:ascii="宋体" w:hAnsi="宋体" w:cs="宋体"/>
                <w:bCs/>
                <w:highlight w:val="none"/>
              </w:rPr>
            </w:pPr>
          </w:p>
        </w:tc>
        <w:tc>
          <w:tcPr>
            <w:tcW w:w="567" w:type="dxa"/>
            <w:vMerge w:val="continue"/>
          </w:tcPr>
          <w:p>
            <w:pPr>
              <w:shd w:val="clear"/>
              <w:tabs>
                <w:tab w:val="left" w:pos="0"/>
              </w:tabs>
              <w:adjustRightInd w:val="0"/>
              <w:snapToGrid w:val="0"/>
              <w:spacing w:line="360" w:lineRule="auto"/>
              <w:rPr>
                <w:rFonts w:ascii="宋体" w:hAnsi="宋体" w:cs="宋体"/>
                <w:bCs/>
                <w:highlight w:val="none"/>
              </w:rPr>
            </w:pPr>
          </w:p>
        </w:tc>
        <w:tc>
          <w:tcPr>
            <w:tcW w:w="2269" w:type="dxa"/>
            <w:vAlign w:val="center"/>
          </w:tcPr>
          <w:p>
            <w:pPr>
              <w:shd w:val="clear"/>
              <w:tabs>
                <w:tab w:val="left" w:pos="0"/>
              </w:tabs>
              <w:adjustRightInd w:val="0"/>
              <w:snapToGrid w:val="0"/>
              <w:rPr>
                <w:rFonts w:ascii="宋体" w:hAnsi="宋体" w:cs="宋体"/>
                <w:bCs/>
                <w:highlight w:val="none"/>
              </w:rPr>
            </w:pPr>
            <w:r>
              <w:rPr>
                <w:rFonts w:hint="eastAsia" w:hAnsi="宋体" w:cs="宋体"/>
                <w:bCs/>
                <w:highlight w:val="none"/>
              </w:rPr>
              <w:t>磋商响应文件</w:t>
            </w:r>
            <w:r>
              <w:rPr>
                <w:rFonts w:hint="eastAsia" w:ascii="宋体" w:hAnsi="宋体" w:cs="宋体"/>
                <w:bCs/>
                <w:highlight w:val="none"/>
              </w:rPr>
              <w:t>格式</w:t>
            </w:r>
          </w:p>
        </w:tc>
        <w:tc>
          <w:tcPr>
            <w:tcW w:w="5319" w:type="dxa"/>
            <w:vAlign w:val="center"/>
          </w:tcPr>
          <w:p>
            <w:pPr>
              <w:shd w:val="clear"/>
              <w:tabs>
                <w:tab w:val="left" w:pos="0"/>
              </w:tabs>
              <w:adjustRightInd w:val="0"/>
              <w:snapToGrid w:val="0"/>
              <w:rPr>
                <w:rFonts w:ascii="宋体" w:hAnsi="宋体" w:cs="宋体"/>
                <w:bCs/>
                <w:highlight w:val="none"/>
              </w:rPr>
            </w:pPr>
            <w:r>
              <w:rPr>
                <w:rFonts w:hint="eastAsia" w:ascii="宋体" w:hAnsi="宋体" w:cs="宋体"/>
                <w:bCs/>
                <w:highlight w:val="none"/>
              </w:rPr>
              <w:t>应符合“</w:t>
            </w:r>
            <w:r>
              <w:rPr>
                <w:rFonts w:hint="eastAsia" w:hAnsi="宋体" w:cs="宋体"/>
                <w:bCs/>
                <w:highlight w:val="none"/>
              </w:rPr>
              <w:t>磋商响应文件</w:t>
            </w:r>
            <w:r>
              <w:rPr>
                <w:rFonts w:hint="eastAsia" w:ascii="宋体" w:hAnsi="宋体" w:cs="宋体"/>
                <w:bCs/>
                <w:highlight w:val="none"/>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shd w:val="clear"/>
              <w:tabs>
                <w:tab w:val="left" w:pos="0"/>
              </w:tabs>
              <w:adjustRightInd w:val="0"/>
              <w:snapToGrid w:val="0"/>
              <w:spacing w:line="360" w:lineRule="auto"/>
              <w:rPr>
                <w:rFonts w:ascii="宋体" w:hAnsi="宋体" w:cs="宋体"/>
                <w:bCs/>
                <w:highlight w:val="none"/>
              </w:rPr>
            </w:pPr>
          </w:p>
        </w:tc>
        <w:tc>
          <w:tcPr>
            <w:tcW w:w="600" w:type="dxa"/>
            <w:vMerge w:val="continue"/>
          </w:tcPr>
          <w:p>
            <w:pPr>
              <w:shd w:val="clear"/>
              <w:tabs>
                <w:tab w:val="left" w:pos="0"/>
              </w:tabs>
              <w:adjustRightInd w:val="0"/>
              <w:snapToGrid w:val="0"/>
              <w:spacing w:line="360" w:lineRule="auto"/>
              <w:rPr>
                <w:rFonts w:ascii="宋体" w:hAnsi="宋体" w:cs="宋体"/>
                <w:bCs/>
                <w:highlight w:val="none"/>
              </w:rPr>
            </w:pPr>
          </w:p>
        </w:tc>
        <w:tc>
          <w:tcPr>
            <w:tcW w:w="567" w:type="dxa"/>
            <w:vMerge w:val="continue"/>
          </w:tcPr>
          <w:p>
            <w:pPr>
              <w:shd w:val="clear"/>
              <w:tabs>
                <w:tab w:val="left" w:pos="0"/>
              </w:tabs>
              <w:adjustRightInd w:val="0"/>
              <w:snapToGrid w:val="0"/>
              <w:spacing w:line="360" w:lineRule="auto"/>
              <w:rPr>
                <w:rFonts w:ascii="宋体" w:hAnsi="宋体" w:cs="宋体"/>
                <w:bCs/>
                <w:highlight w:val="none"/>
              </w:rPr>
            </w:pPr>
          </w:p>
        </w:tc>
        <w:tc>
          <w:tcPr>
            <w:tcW w:w="2269" w:type="dxa"/>
            <w:vAlign w:val="center"/>
          </w:tcPr>
          <w:p>
            <w:pPr>
              <w:shd w:val="clear"/>
              <w:tabs>
                <w:tab w:val="left" w:pos="0"/>
              </w:tabs>
              <w:adjustRightInd w:val="0"/>
              <w:snapToGrid w:val="0"/>
              <w:rPr>
                <w:rFonts w:ascii="宋体" w:hAnsi="宋体" w:cs="宋体"/>
                <w:bCs/>
                <w:highlight w:val="none"/>
              </w:rPr>
            </w:pPr>
            <w:r>
              <w:rPr>
                <w:rFonts w:hint="eastAsia" w:ascii="宋体" w:hAnsi="宋体" w:cs="宋体"/>
                <w:bCs/>
                <w:highlight w:val="none"/>
              </w:rPr>
              <w:t>报价唯一</w:t>
            </w:r>
          </w:p>
        </w:tc>
        <w:tc>
          <w:tcPr>
            <w:tcW w:w="5319" w:type="dxa"/>
            <w:vAlign w:val="center"/>
          </w:tcPr>
          <w:p>
            <w:pPr>
              <w:shd w:val="clear"/>
              <w:tabs>
                <w:tab w:val="left" w:pos="0"/>
              </w:tabs>
              <w:adjustRightInd w:val="0"/>
              <w:snapToGrid w:val="0"/>
              <w:rPr>
                <w:rFonts w:ascii="宋体" w:hAnsi="宋体" w:cs="宋体"/>
                <w:bCs/>
                <w:highlight w:val="none"/>
              </w:rPr>
            </w:pPr>
            <w:r>
              <w:rPr>
                <w:rFonts w:hint="eastAsia" w:ascii="宋体" w:hAnsi="宋体" w:cs="宋体"/>
                <w:bCs/>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shd w:val="clear"/>
              <w:tabs>
                <w:tab w:val="left" w:pos="0"/>
              </w:tabs>
              <w:adjustRightInd w:val="0"/>
              <w:snapToGrid w:val="0"/>
              <w:spacing w:line="360" w:lineRule="auto"/>
              <w:jc w:val="center"/>
              <w:rPr>
                <w:rFonts w:ascii="宋体" w:hAnsi="宋体" w:cs="宋体"/>
                <w:bCs/>
                <w:highlight w:val="none"/>
              </w:rPr>
            </w:pPr>
          </w:p>
        </w:tc>
        <w:tc>
          <w:tcPr>
            <w:tcW w:w="600" w:type="dxa"/>
            <w:vMerge w:val="continue"/>
            <w:vAlign w:val="center"/>
          </w:tcPr>
          <w:p>
            <w:pPr>
              <w:shd w:val="clear"/>
              <w:tabs>
                <w:tab w:val="left" w:pos="0"/>
              </w:tabs>
              <w:adjustRightInd w:val="0"/>
              <w:snapToGrid w:val="0"/>
              <w:jc w:val="center"/>
              <w:rPr>
                <w:rFonts w:ascii="宋体" w:hAnsi="宋体" w:cs="宋体"/>
                <w:bCs/>
                <w:highlight w:val="none"/>
              </w:rPr>
            </w:pPr>
          </w:p>
        </w:tc>
        <w:tc>
          <w:tcPr>
            <w:tcW w:w="567" w:type="dxa"/>
            <w:vMerge w:val="restart"/>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完整性审查</w:t>
            </w:r>
          </w:p>
        </w:tc>
        <w:tc>
          <w:tcPr>
            <w:tcW w:w="2269" w:type="dxa"/>
            <w:vAlign w:val="center"/>
          </w:tcPr>
          <w:p>
            <w:pPr>
              <w:shd w:val="clear"/>
              <w:tabs>
                <w:tab w:val="left" w:pos="0"/>
              </w:tabs>
              <w:adjustRightInd w:val="0"/>
              <w:snapToGrid w:val="0"/>
              <w:rPr>
                <w:rFonts w:ascii="宋体" w:hAnsi="宋体" w:cs="宋体"/>
                <w:bCs/>
                <w:highlight w:val="none"/>
              </w:rPr>
            </w:pPr>
            <w:r>
              <w:rPr>
                <w:rFonts w:hint="eastAsia" w:hAnsi="宋体" w:cs="宋体"/>
                <w:bCs/>
                <w:highlight w:val="none"/>
              </w:rPr>
              <w:t>磋商响应文件</w:t>
            </w:r>
            <w:r>
              <w:rPr>
                <w:rFonts w:hint="eastAsia" w:ascii="宋体" w:hAnsi="宋体" w:cs="宋体"/>
                <w:bCs/>
                <w:highlight w:val="none"/>
              </w:rPr>
              <w:t>份数</w:t>
            </w:r>
          </w:p>
        </w:tc>
        <w:tc>
          <w:tcPr>
            <w:tcW w:w="5319" w:type="dxa"/>
            <w:vAlign w:val="center"/>
          </w:tcPr>
          <w:p>
            <w:pPr>
              <w:shd w:val="clear"/>
              <w:tabs>
                <w:tab w:val="left" w:pos="0"/>
              </w:tabs>
              <w:adjustRightInd w:val="0"/>
              <w:snapToGrid w:val="0"/>
              <w:rPr>
                <w:rFonts w:ascii="宋体" w:hAnsi="宋体" w:cs="宋体"/>
                <w:bCs/>
                <w:highlight w:val="none"/>
              </w:rPr>
            </w:pPr>
            <w:r>
              <w:rPr>
                <w:rFonts w:hint="eastAsia" w:ascii="宋体" w:hAnsi="宋体" w:cs="宋体"/>
                <w:bCs/>
                <w:highlight w:val="none"/>
              </w:rPr>
              <w:t>应符合“</w:t>
            </w:r>
            <w:r>
              <w:rPr>
                <w:rFonts w:hint="eastAsia" w:hAnsi="宋体" w:cs="宋体"/>
                <w:bCs/>
                <w:highlight w:val="none"/>
              </w:rPr>
              <w:t>供应商</w:t>
            </w:r>
            <w:r>
              <w:rPr>
                <w:rFonts w:hint="eastAsia" w:ascii="宋体" w:hAnsi="宋体" w:cs="宋体"/>
                <w:bCs/>
                <w:highlight w:val="none"/>
              </w:rPr>
              <w:t>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shd w:val="clear"/>
              <w:tabs>
                <w:tab w:val="left" w:pos="0"/>
              </w:tabs>
              <w:adjustRightInd w:val="0"/>
              <w:snapToGrid w:val="0"/>
              <w:spacing w:line="360" w:lineRule="auto"/>
              <w:rPr>
                <w:rFonts w:ascii="宋体" w:hAnsi="宋体" w:cs="宋体"/>
                <w:bCs/>
                <w:highlight w:val="none"/>
              </w:rPr>
            </w:pPr>
          </w:p>
        </w:tc>
        <w:tc>
          <w:tcPr>
            <w:tcW w:w="600" w:type="dxa"/>
            <w:vMerge w:val="continue"/>
          </w:tcPr>
          <w:p>
            <w:pPr>
              <w:shd w:val="clear"/>
              <w:tabs>
                <w:tab w:val="left" w:pos="0"/>
              </w:tabs>
              <w:adjustRightInd w:val="0"/>
              <w:snapToGrid w:val="0"/>
              <w:spacing w:line="360" w:lineRule="auto"/>
              <w:rPr>
                <w:rFonts w:ascii="宋体" w:hAnsi="宋体" w:cs="宋体"/>
                <w:bCs/>
                <w:highlight w:val="none"/>
              </w:rPr>
            </w:pPr>
          </w:p>
        </w:tc>
        <w:tc>
          <w:tcPr>
            <w:tcW w:w="567" w:type="dxa"/>
            <w:vMerge w:val="continue"/>
          </w:tcPr>
          <w:p>
            <w:pPr>
              <w:shd w:val="clear"/>
              <w:tabs>
                <w:tab w:val="left" w:pos="0"/>
              </w:tabs>
              <w:adjustRightInd w:val="0"/>
              <w:snapToGrid w:val="0"/>
              <w:spacing w:line="360" w:lineRule="auto"/>
              <w:rPr>
                <w:rFonts w:ascii="宋体" w:hAnsi="宋体" w:cs="宋体"/>
                <w:bCs/>
                <w:highlight w:val="none"/>
              </w:rPr>
            </w:pPr>
          </w:p>
        </w:tc>
        <w:tc>
          <w:tcPr>
            <w:tcW w:w="2269" w:type="dxa"/>
            <w:vAlign w:val="center"/>
          </w:tcPr>
          <w:p>
            <w:pPr>
              <w:shd w:val="clear"/>
              <w:tabs>
                <w:tab w:val="left" w:pos="0"/>
              </w:tabs>
              <w:adjustRightInd w:val="0"/>
              <w:snapToGrid w:val="0"/>
              <w:rPr>
                <w:rFonts w:ascii="宋体" w:hAnsi="宋体" w:cs="宋体"/>
                <w:bCs/>
                <w:highlight w:val="none"/>
              </w:rPr>
            </w:pPr>
            <w:r>
              <w:rPr>
                <w:rFonts w:hint="eastAsia" w:hAnsi="宋体" w:cs="宋体"/>
                <w:bCs/>
                <w:highlight w:val="none"/>
              </w:rPr>
              <w:t>磋商响应文件</w:t>
            </w:r>
            <w:r>
              <w:rPr>
                <w:rFonts w:hint="eastAsia" w:ascii="宋体" w:hAnsi="宋体" w:cs="宋体"/>
                <w:bCs/>
                <w:highlight w:val="none"/>
              </w:rPr>
              <w:t>内容</w:t>
            </w:r>
          </w:p>
        </w:tc>
        <w:tc>
          <w:tcPr>
            <w:tcW w:w="5319" w:type="dxa"/>
            <w:vAlign w:val="center"/>
          </w:tcPr>
          <w:p>
            <w:pPr>
              <w:shd w:val="clear"/>
              <w:tabs>
                <w:tab w:val="left" w:pos="0"/>
              </w:tabs>
              <w:adjustRightInd w:val="0"/>
              <w:snapToGrid w:val="0"/>
              <w:rPr>
                <w:rFonts w:ascii="宋体" w:hAnsi="宋体" w:cs="宋体"/>
                <w:bCs/>
                <w:highlight w:val="none"/>
              </w:rPr>
            </w:pPr>
            <w:r>
              <w:rPr>
                <w:rFonts w:hint="eastAsia" w:hAnsi="宋体" w:cs="宋体"/>
                <w:bCs/>
                <w:highlight w:val="none"/>
              </w:rPr>
              <w:t>磋商响应文件</w:t>
            </w:r>
            <w:r>
              <w:rPr>
                <w:rFonts w:hint="eastAsia" w:ascii="宋体" w:hAnsi="宋体" w:cs="宋体"/>
                <w:bCs/>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shd w:val="clear"/>
              <w:tabs>
                <w:tab w:val="left" w:pos="0"/>
              </w:tabs>
              <w:adjustRightInd w:val="0"/>
              <w:snapToGrid w:val="0"/>
              <w:spacing w:line="360" w:lineRule="auto"/>
              <w:jc w:val="center"/>
              <w:rPr>
                <w:rFonts w:ascii="宋体" w:hAnsi="宋体" w:cs="宋体"/>
                <w:bCs/>
                <w:highlight w:val="none"/>
              </w:rPr>
            </w:pPr>
          </w:p>
        </w:tc>
        <w:tc>
          <w:tcPr>
            <w:tcW w:w="600" w:type="dxa"/>
            <w:vMerge w:val="continue"/>
            <w:vAlign w:val="center"/>
          </w:tcPr>
          <w:p>
            <w:pPr>
              <w:shd w:val="clear"/>
              <w:tabs>
                <w:tab w:val="left" w:pos="0"/>
              </w:tabs>
              <w:adjustRightInd w:val="0"/>
              <w:snapToGrid w:val="0"/>
              <w:jc w:val="center"/>
              <w:rPr>
                <w:rFonts w:ascii="宋体" w:hAnsi="宋体" w:cs="宋体"/>
                <w:bCs/>
                <w:highlight w:val="none"/>
              </w:rPr>
            </w:pPr>
          </w:p>
        </w:tc>
        <w:tc>
          <w:tcPr>
            <w:tcW w:w="567" w:type="dxa"/>
            <w:vMerge w:val="restart"/>
            <w:vAlign w:val="center"/>
          </w:tcPr>
          <w:p>
            <w:pPr>
              <w:shd w:val="clear"/>
              <w:tabs>
                <w:tab w:val="left" w:pos="0"/>
              </w:tabs>
              <w:adjustRightInd w:val="0"/>
              <w:snapToGrid w:val="0"/>
              <w:jc w:val="center"/>
              <w:rPr>
                <w:rFonts w:ascii="宋体" w:hAnsi="宋体" w:cs="宋体"/>
                <w:bCs/>
                <w:highlight w:val="none"/>
              </w:rPr>
            </w:pPr>
            <w:r>
              <w:rPr>
                <w:rFonts w:hint="eastAsia" w:ascii="宋体" w:hAnsi="宋体" w:cs="宋体"/>
                <w:bCs/>
                <w:highlight w:val="none"/>
              </w:rPr>
              <w:t>响应性审查</w:t>
            </w:r>
          </w:p>
        </w:tc>
        <w:tc>
          <w:tcPr>
            <w:tcW w:w="2269" w:type="dxa"/>
            <w:vAlign w:val="center"/>
          </w:tcPr>
          <w:p>
            <w:pPr>
              <w:shd w:val="clear"/>
              <w:tabs>
                <w:tab w:val="left" w:pos="0"/>
              </w:tabs>
              <w:adjustRightInd w:val="0"/>
              <w:snapToGrid w:val="0"/>
              <w:rPr>
                <w:rFonts w:ascii="宋体" w:hAnsi="宋体" w:cs="宋体"/>
                <w:bCs/>
                <w:highlight w:val="none"/>
              </w:rPr>
            </w:pPr>
            <w:r>
              <w:rPr>
                <w:rFonts w:hint="eastAsia" w:ascii="宋体" w:hAnsi="宋体" w:cs="宋体"/>
                <w:bCs/>
                <w:highlight w:val="none"/>
              </w:rPr>
              <w:t>对</w:t>
            </w:r>
            <w:r>
              <w:rPr>
                <w:rFonts w:hint="eastAsia" w:hAnsi="宋体" w:cs="宋体"/>
                <w:bCs/>
                <w:highlight w:val="none"/>
              </w:rPr>
              <w:t>磋商文件</w:t>
            </w:r>
            <w:r>
              <w:rPr>
                <w:rFonts w:hint="eastAsia" w:ascii="宋体" w:hAnsi="宋体" w:cs="宋体"/>
                <w:bCs/>
                <w:highlight w:val="none"/>
              </w:rPr>
              <w:t>响应程度</w:t>
            </w:r>
          </w:p>
        </w:tc>
        <w:tc>
          <w:tcPr>
            <w:tcW w:w="5319" w:type="dxa"/>
            <w:vAlign w:val="center"/>
          </w:tcPr>
          <w:p>
            <w:pPr>
              <w:shd w:val="clear"/>
              <w:tabs>
                <w:tab w:val="left" w:pos="0"/>
              </w:tabs>
              <w:adjustRightInd w:val="0"/>
              <w:snapToGrid w:val="0"/>
              <w:rPr>
                <w:rFonts w:ascii="宋体" w:hAnsi="宋体" w:cs="宋体"/>
                <w:bCs/>
                <w:highlight w:val="none"/>
              </w:rPr>
            </w:pPr>
            <w:r>
              <w:rPr>
                <w:rFonts w:hint="eastAsia" w:ascii="宋体" w:hAnsi="宋体" w:cs="宋体"/>
                <w:bCs/>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shd w:val="clear"/>
              <w:tabs>
                <w:tab w:val="left" w:pos="0"/>
              </w:tabs>
              <w:adjustRightInd w:val="0"/>
              <w:snapToGrid w:val="0"/>
              <w:spacing w:line="360" w:lineRule="auto"/>
              <w:rPr>
                <w:rFonts w:ascii="宋体" w:hAnsi="宋体" w:cs="宋体"/>
                <w:bCs/>
                <w:highlight w:val="none"/>
              </w:rPr>
            </w:pPr>
          </w:p>
        </w:tc>
        <w:tc>
          <w:tcPr>
            <w:tcW w:w="600" w:type="dxa"/>
            <w:vMerge w:val="continue"/>
          </w:tcPr>
          <w:p>
            <w:pPr>
              <w:shd w:val="clear"/>
              <w:tabs>
                <w:tab w:val="left" w:pos="0"/>
              </w:tabs>
              <w:adjustRightInd w:val="0"/>
              <w:snapToGrid w:val="0"/>
              <w:spacing w:line="360" w:lineRule="auto"/>
              <w:rPr>
                <w:rFonts w:ascii="宋体" w:hAnsi="宋体" w:cs="宋体"/>
                <w:bCs/>
                <w:highlight w:val="none"/>
              </w:rPr>
            </w:pPr>
          </w:p>
        </w:tc>
        <w:tc>
          <w:tcPr>
            <w:tcW w:w="567" w:type="dxa"/>
            <w:vMerge w:val="continue"/>
          </w:tcPr>
          <w:p>
            <w:pPr>
              <w:shd w:val="clear"/>
              <w:tabs>
                <w:tab w:val="left" w:pos="0"/>
              </w:tabs>
              <w:adjustRightInd w:val="0"/>
              <w:snapToGrid w:val="0"/>
              <w:spacing w:line="360" w:lineRule="auto"/>
              <w:rPr>
                <w:rFonts w:ascii="宋体" w:hAnsi="宋体" w:cs="宋体"/>
                <w:bCs/>
                <w:highlight w:val="none"/>
              </w:rPr>
            </w:pPr>
          </w:p>
        </w:tc>
        <w:tc>
          <w:tcPr>
            <w:tcW w:w="2269" w:type="dxa"/>
            <w:vAlign w:val="center"/>
          </w:tcPr>
          <w:p>
            <w:pPr>
              <w:shd w:val="clear"/>
              <w:tabs>
                <w:tab w:val="left" w:pos="0"/>
              </w:tabs>
              <w:adjustRightInd w:val="0"/>
              <w:snapToGrid w:val="0"/>
              <w:rPr>
                <w:rFonts w:ascii="宋体" w:hAnsi="宋体" w:cs="宋体"/>
                <w:bCs/>
                <w:highlight w:val="none"/>
              </w:rPr>
            </w:pPr>
            <w:r>
              <w:rPr>
                <w:rFonts w:hint="eastAsia" w:hAnsi="宋体" w:cs="宋体"/>
                <w:bCs/>
                <w:highlight w:val="none"/>
                <w:lang w:eastAsia="zh-CN"/>
              </w:rPr>
              <w:t>计划</w:t>
            </w:r>
            <w:r>
              <w:rPr>
                <w:rFonts w:hint="eastAsia" w:hAnsi="宋体" w:cs="宋体"/>
                <w:bCs/>
                <w:highlight w:val="none"/>
              </w:rPr>
              <w:t>工期</w:t>
            </w:r>
          </w:p>
        </w:tc>
        <w:tc>
          <w:tcPr>
            <w:tcW w:w="5319" w:type="dxa"/>
            <w:vAlign w:val="center"/>
          </w:tcPr>
          <w:p>
            <w:pPr>
              <w:shd w:val="clear"/>
              <w:tabs>
                <w:tab w:val="left" w:pos="0"/>
              </w:tabs>
              <w:adjustRightInd w:val="0"/>
              <w:snapToGrid w:val="0"/>
              <w:rPr>
                <w:rFonts w:ascii="宋体" w:hAnsi="宋体" w:cs="宋体"/>
                <w:bCs/>
                <w:highlight w:val="none"/>
              </w:rPr>
            </w:pPr>
            <w:r>
              <w:rPr>
                <w:rFonts w:hint="eastAsia" w:ascii="宋体" w:hAnsi="宋体" w:cs="宋体"/>
                <w:bCs/>
                <w:highlight w:val="none"/>
              </w:rPr>
              <w:t>应满足</w:t>
            </w:r>
            <w:r>
              <w:rPr>
                <w:rFonts w:hint="eastAsia" w:hAnsi="宋体" w:cs="宋体"/>
                <w:bCs/>
                <w:highlight w:val="none"/>
              </w:rPr>
              <w:t>磋商文件</w:t>
            </w:r>
            <w:r>
              <w:rPr>
                <w:rFonts w:hint="eastAsia" w:ascii="宋体" w:hAnsi="宋体" w:cs="宋体"/>
                <w:bCs/>
                <w:highlight w:val="none"/>
              </w:rPr>
              <w:t>中要求的</w:t>
            </w:r>
            <w:r>
              <w:rPr>
                <w:rFonts w:hint="eastAsia" w:ascii="宋体" w:hAnsi="宋体" w:cs="宋体"/>
                <w:bCs/>
                <w:highlight w:val="none"/>
                <w:lang w:eastAsia="zh-CN"/>
              </w:rPr>
              <w:t>计划</w:t>
            </w:r>
            <w:r>
              <w:rPr>
                <w:rFonts w:hint="eastAsia" w:hAnsi="宋体" w:cs="宋体"/>
                <w:bCs/>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shd w:val="clear"/>
              <w:tabs>
                <w:tab w:val="left" w:pos="0"/>
              </w:tabs>
              <w:adjustRightInd w:val="0"/>
              <w:snapToGrid w:val="0"/>
              <w:spacing w:line="360" w:lineRule="auto"/>
              <w:rPr>
                <w:rFonts w:ascii="宋体" w:hAnsi="宋体" w:cs="宋体"/>
                <w:bCs/>
                <w:highlight w:val="none"/>
              </w:rPr>
            </w:pPr>
          </w:p>
        </w:tc>
        <w:tc>
          <w:tcPr>
            <w:tcW w:w="600" w:type="dxa"/>
            <w:vMerge w:val="continue"/>
          </w:tcPr>
          <w:p>
            <w:pPr>
              <w:shd w:val="clear"/>
              <w:tabs>
                <w:tab w:val="left" w:pos="0"/>
              </w:tabs>
              <w:adjustRightInd w:val="0"/>
              <w:snapToGrid w:val="0"/>
              <w:spacing w:line="360" w:lineRule="auto"/>
              <w:rPr>
                <w:rFonts w:ascii="宋体" w:hAnsi="宋体" w:cs="宋体"/>
                <w:bCs/>
                <w:highlight w:val="none"/>
              </w:rPr>
            </w:pPr>
          </w:p>
        </w:tc>
        <w:tc>
          <w:tcPr>
            <w:tcW w:w="567" w:type="dxa"/>
            <w:vMerge w:val="continue"/>
          </w:tcPr>
          <w:p>
            <w:pPr>
              <w:shd w:val="clear"/>
              <w:tabs>
                <w:tab w:val="left" w:pos="0"/>
              </w:tabs>
              <w:adjustRightInd w:val="0"/>
              <w:snapToGrid w:val="0"/>
              <w:spacing w:line="360" w:lineRule="auto"/>
              <w:rPr>
                <w:rFonts w:ascii="宋体" w:hAnsi="宋体" w:cs="宋体"/>
                <w:bCs/>
                <w:highlight w:val="none"/>
              </w:rPr>
            </w:pPr>
          </w:p>
        </w:tc>
        <w:tc>
          <w:tcPr>
            <w:tcW w:w="2269" w:type="dxa"/>
            <w:vAlign w:val="center"/>
          </w:tcPr>
          <w:p>
            <w:pPr>
              <w:shd w:val="clear"/>
              <w:tabs>
                <w:tab w:val="left" w:pos="0"/>
              </w:tabs>
              <w:adjustRightInd w:val="0"/>
              <w:snapToGrid w:val="0"/>
              <w:rPr>
                <w:rFonts w:ascii="宋体" w:hAnsi="宋体" w:cs="宋体"/>
                <w:bCs/>
                <w:highlight w:val="none"/>
              </w:rPr>
            </w:pPr>
            <w:r>
              <w:rPr>
                <w:rFonts w:hint="eastAsia" w:ascii="宋体" w:hAnsi="宋体" w:cs="宋体"/>
                <w:bCs/>
                <w:highlight w:val="none"/>
              </w:rPr>
              <w:t>磋商有效期</w:t>
            </w:r>
          </w:p>
        </w:tc>
        <w:tc>
          <w:tcPr>
            <w:tcW w:w="5319" w:type="dxa"/>
            <w:vAlign w:val="center"/>
          </w:tcPr>
          <w:p>
            <w:pPr>
              <w:shd w:val="clear"/>
              <w:tabs>
                <w:tab w:val="left" w:pos="0"/>
              </w:tabs>
              <w:adjustRightInd w:val="0"/>
              <w:snapToGrid w:val="0"/>
              <w:rPr>
                <w:rFonts w:ascii="宋体" w:hAnsi="宋体" w:cs="宋体"/>
                <w:bCs/>
                <w:highlight w:val="none"/>
              </w:rPr>
            </w:pPr>
            <w:r>
              <w:rPr>
                <w:rFonts w:hint="eastAsia" w:ascii="宋体" w:hAnsi="宋体" w:cs="宋体"/>
                <w:bCs/>
                <w:highlight w:val="none"/>
              </w:rPr>
              <w:t>应满足</w:t>
            </w:r>
            <w:r>
              <w:rPr>
                <w:rFonts w:hint="eastAsia" w:hAnsi="宋体" w:cs="宋体"/>
                <w:bCs/>
                <w:highlight w:val="none"/>
              </w:rPr>
              <w:t>磋商文件</w:t>
            </w:r>
            <w:r>
              <w:rPr>
                <w:rFonts w:hint="eastAsia" w:ascii="宋体" w:hAnsi="宋体" w:cs="宋体"/>
                <w:bCs/>
                <w:highlight w:val="none"/>
              </w:rPr>
              <w:t>中的规定</w:t>
            </w:r>
          </w:p>
        </w:tc>
      </w:tr>
    </w:tbl>
    <w:p>
      <w:pPr>
        <w:shd w:val="clear"/>
        <w:spacing w:line="360" w:lineRule="auto"/>
        <w:ind w:right="40" w:rightChars="19"/>
        <w:rPr>
          <w:rFonts w:ascii="宋体" w:hAnsi="宋体" w:cs="宋体"/>
          <w:sz w:val="24"/>
          <w:szCs w:val="24"/>
          <w:highlight w:val="none"/>
        </w:rPr>
      </w:pPr>
      <w:r>
        <w:rPr>
          <w:rFonts w:hint="eastAsia" w:ascii="宋体" w:hAnsi="宋体" w:cs="宋体"/>
          <w:sz w:val="24"/>
          <w:szCs w:val="24"/>
          <w:highlight w:val="none"/>
        </w:rPr>
        <w:br w:type="page"/>
      </w:r>
    </w:p>
    <w:p>
      <w:pPr>
        <w:shd w:val="clear"/>
        <w:spacing w:line="360" w:lineRule="auto"/>
        <w:rPr>
          <w:rFonts w:ascii="宋体" w:hAnsi="宋体" w:cs="宋体"/>
          <w:b/>
          <w:spacing w:val="4"/>
          <w:sz w:val="24"/>
          <w:szCs w:val="24"/>
          <w:highlight w:val="none"/>
        </w:rPr>
      </w:pPr>
      <w:r>
        <w:rPr>
          <w:rFonts w:hint="eastAsia" w:ascii="宋体" w:hAnsi="宋体" w:cs="宋体"/>
          <w:b/>
          <w:spacing w:val="4"/>
          <w:sz w:val="24"/>
          <w:szCs w:val="24"/>
          <w:highlight w:val="none"/>
        </w:rPr>
        <w:t>附件2：</w:t>
      </w:r>
    </w:p>
    <w:p>
      <w:pPr>
        <w:shd w:val="clear"/>
        <w:spacing w:line="360" w:lineRule="auto"/>
        <w:jc w:val="center"/>
        <w:rPr>
          <w:rFonts w:ascii="宋体" w:hAnsi="宋体" w:cs="宋体"/>
          <w:b/>
          <w:spacing w:val="4"/>
          <w:sz w:val="24"/>
          <w:szCs w:val="24"/>
          <w:highlight w:val="none"/>
        </w:rPr>
      </w:pPr>
      <w:r>
        <w:rPr>
          <w:rFonts w:hint="eastAsia" w:ascii="宋体" w:hAnsi="宋体" w:cs="宋体"/>
          <w:b/>
          <w:spacing w:val="4"/>
          <w:sz w:val="24"/>
          <w:szCs w:val="24"/>
          <w:highlight w:val="none"/>
        </w:rPr>
        <w:t>评标因素及权重分值表</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szCs w:val="24"/>
          <w:highlight w:val="none"/>
        </w:rPr>
      </w:pPr>
      <w:r>
        <w:rPr>
          <w:rFonts w:hint="eastAsia" w:ascii="宋体" w:hAnsi="宋体" w:eastAsia="宋体" w:cs="宋体"/>
          <w:b/>
          <w:spacing w:val="4"/>
          <w:szCs w:val="24"/>
          <w:highlight w:val="none"/>
        </w:rPr>
        <w:t>评价和比较以</w:t>
      </w:r>
      <w:r>
        <w:rPr>
          <w:rFonts w:hint="eastAsia" w:ascii="宋体" w:hAnsi="宋体" w:cs="宋体"/>
          <w:b/>
          <w:spacing w:val="4"/>
          <w:szCs w:val="24"/>
          <w:highlight w:val="none"/>
          <w:lang w:eastAsia="zh-CN"/>
        </w:rPr>
        <w:t>磋商</w:t>
      </w:r>
      <w:r>
        <w:rPr>
          <w:rFonts w:hint="eastAsia" w:ascii="宋体" w:hAnsi="宋体" w:eastAsia="宋体" w:cs="宋体"/>
          <w:b/>
          <w:spacing w:val="4"/>
          <w:szCs w:val="24"/>
          <w:highlight w:val="none"/>
        </w:rPr>
        <w:t>响应文件为依据，从“</w:t>
      </w:r>
      <w:r>
        <w:rPr>
          <w:rFonts w:hint="eastAsia" w:ascii="宋体" w:hAnsi="宋体" w:cs="宋体"/>
          <w:b/>
          <w:spacing w:val="4"/>
          <w:szCs w:val="24"/>
          <w:highlight w:val="none"/>
          <w:lang w:eastAsia="zh-CN"/>
        </w:rPr>
        <w:t>磋商</w:t>
      </w:r>
      <w:r>
        <w:rPr>
          <w:rFonts w:hint="eastAsia" w:ascii="宋体" w:hAnsi="宋体" w:eastAsia="宋体" w:cs="宋体"/>
          <w:b/>
          <w:spacing w:val="4"/>
          <w:szCs w:val="24"/>
          <w:highlight w:val="none"/>
          <w:lang w:eastAsia="zh-CN"/>
        </w:rPr>
        <w:t>报价</w:t>
      </w:r>
      <w:r>
        <w:rPr>
          <w:rFonts w:hint="eastAsia" w:ascii="宋体" w:hAnsi="宋体" w:eastAsia="宋体" w:cs="宋体"/>
          <w:b/>
          <w:spacing w:val="4"/>
          <w:szCs w:val="24"/>
          <w:highlight w:val="none"/>
        </w:rPr>
        <w:t>”、“施工组织部分”、“</w:t>
      </w:r>
      <w:r>
        <w:rPr>
          <w:rFonts w:hint="eastAsia" w:ascii="宋体" w:hAnsi="宋体" w:eastAsia="宋体" w:cs="宋体"/>
          <w:b/>
          <w:spacing w:val="4"/>
          <w:szCs w:val="24"/>
          <w:highlight w:val="none"/>
          <w:lang w:eastAsia="zh-CN"/>
        </w:rPr>
        <w:t>商务部分”三</w:t>
      </w:r>
      <w:r>
        <w:rPr>
          <w:rFonts w:hint="eastAsia" w:ascii="宋体" w:hAnsi="宋体" w:eastAsia="宋体" w:cs="宋体"/>
          <w:b/>
          <w:spacing w:val="4"/>
          <w:szCs w:val="24"/>
          <w:highlight w:val="none"/>
        </w:rPr>
        <w:t>个方面进行评审并按照百分制进行赋分。</w:t>
      </w:r>
    </w:p>
    <w:p>
      <w:pPr>
        <w:shd w:val="clear"/>
        <w:spacing w:line="360" w:lineRule="auto"/>
        <w:ind w:right="40" w:rightChars="19" w:firstLine="480" w:firstLineChars="200"/>
        <w:rPr>
          <w:rFonts w:hint="eastAsia" w:ascii="宋体" w:hAnsi="宋体" w:eastAsia="宋体" w:cs="宋体"/>
          <w:sz w:val="24"/>
          <w:szCs w:val="24"/>
          <w:highlight w:val="none"/>
        </w:rPr>
      </w:pPr>
    </w:p>
    <w:tbl>
      <w:tblPr>
        <w:tblStyle w:val="3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203"/>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07" w:type="dxa"/>
            <w:vAlign w:val="center"/>
          </w:tcPr>
          <w:p>
            <w:pPr>
              <w:shd w:val="clea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评标内容</w:t>
            </w:r>
          </w:p>
        </w:tc>
        <w:tc>
          <w:tcPr>
            <w:tcW w:w="1203" w:type="dxa"/>
            <w:vAlign w:val="center"/>
          </w:tcPr>
          <w:p>
            <w:pPr>
              <w:shd w:val="clea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分数</w:t>
            </w:r>
          </w:p>
        </w:tc>
        <w:tc>
          <w:tcPr>
            <w:tcW w:w="6093" w:type="dxa"/>
            <w:vAlign w:val="center"/>
          </w:tcPr>
          <w:p>
            <w:pPr>
              <w:shd w:val="clea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评标原则与标准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07" w:type="dxa"/>
            <w:vAlign w:val="center"/>
          </w:tcPr>
          <w:p>
            <w:pPr>
              <w:shd w:val="clear"/>
              <w:spacing w:line="360" w:lineRule="auto"/>
              <w:jc w:val="center"/>
              <w:rPr>
                <w:rFonts w:hint="eastAsia" w:ascii="宋体" w:hAnsi="宋体" w:eastAsia="宋体" w:cs="宋体"/>
                <w:sz w:val="24"/>
                <w:highlight w:val="none"/>
              </w:rPr>
            </w:pPr>
            <w:r>
              <w:rPr>
                <w:rFonts w:hint="eastAsia" w:ascii="宋体" w:hAnsi="宋体" w:cs="宋体"/>
                <w:sz w:val="24"/>
                <w:highlight w:val="none"/>
                <w:lang w:eastAsia="zh-CN"/>
              </w:rPr>
              <w:t>磋商</w:t>
            </w:r>
            <w:r>
              <w:rPr>
                <w:rFonts w:hint="eastAsia" w:ascii="宋体" w:hAnsi="宋体" w:eastAsia="宋体" w:cs="宋体"/>
                <w:sz w:val="24"/>
                <w:highlight w:val="none"/>
              </w:rPr>
              <w:t>报价</w:t>
            </w:r>
          </w:p>
        </w:tc>
        <w:tc>
          <w:tcPr>
            <w:tcW w:w="1203" w:type="dxa"/>
            <w:vAlign w:val="center"/>
          </w:tcPr>
          <w:p>
            <w:pPr>
              <w:shd w:val="clea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30</w:t>
            </w:r>
            <w:r>
              <w:rPr>
                <w:rFonts w:hint="eastAsia" w:ascii="宋体" w:hAnsi="宋体" w:eastAsia="宋体" w:cs="宋体"/>
                <w:sz w:val="24"/>
                <w:highlight w:val="none"/>
                <w:lang w:eastAsia="zh-CN"/>
              </w:rPr>
              <w:t>分</w:t>
            </w:r>
          </w:p>
        </w:tc>
        <w:tc>
          <w:tcPr>
            <w:tcW w:w="6093" w:type="dxa"/>
            <w:vAlign w:val="center"/>
          </w:tcPr>
          <w:p>
            <w:pPr>
              <w:shd w:val="clea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1.经初审合格的磋商响应文件，其磋商报价为有效磋商报价，对符合政策性扣减的供应商的有效磋商价格进行政策性扣减，并依据扣减后的价格（评审价格）进行价格评审。</w:t>
            </w:r>
          </w:p>
          <w:p>
            <w:pPr>
              <w:shd w:val="clea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2.满足磋商文件实质性要求且最终报价最低的供应商的价格为磋商基准价，其价格分为满分30分。</w:t>
            </w:r>
          </w:p>
          <w:p>
            <w:pPr>
              <w:shd w:val="clea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3.磋商报价得分=（磋商基准价/最终磋商报价）×30的公式计算得分。</w:t>
            </w:r>
          </w:p>
          <w:p>
            <w:pPr>
              <w:shd w:val="clear"/>
              <w:spacing w:line="560" w:lineRule="exact"/>
              <w:ind w:left="-94" w:leftChars="-45" w:firstLine="120" w:firstLineChars="50"/>
              <w:rPr>
                <w:rFonts w:hint="eastAsia" w:ascii="宋体" w:hAnsi="宋体" w:eastAsia="宋体" w:cs="宋体"/>
                <w:bCs/>
                <w:sz w:val="24"/>
                <w:highlight w:val="none"/>
              </w:rPr>
            </w:pPr>
            <w:r>
              <w:rPr>
                <w:rFonts w:hint="eastAsia" w:ascii="宋体" w:hAnsi="宋体" w:eastAsia="宋体" w:cs="宋体"/>
                <w:bCs/>
                <w:sz w:val="24"/>
                <w:highlight w:val="none"/>
              </w:rPr>
              <w:t>4.磋商报价不完整的，不进入</w:t>
            </w:r>
            <w:r>
              <w:rPr>
                <w:rFonts w:hint="eastAsia" w:ascii="宋体" w:hAnsi="宋体" w:eastAsia="宋体" w:cs="宋体"/>
                <w:bCs/>
                <w:sz w:val="24"/>
                <w:highlight w:val="none"/>
                <w:lang w:eastAsia="zh-CN"/>
              </w:rPr>
              <w:t>磋商基</w:t>
            </w:r>
            <w:r>
              <w:rPr>
                <w:rFonts w:hint="eastAsia" w:ascii="宋体" w:hAnsi="宋体" w:eastAsia="宋体" w:cs="宋体"/>
                <w:bCs/>
                <w:sz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07" w:type="dxa"/>
            <w:vMerge w:val="restart"/>
            <w:vAlign w:val="center"/>
          </w:tcPr>
          <w:p>
            <w:pPr>
              <w:shd w:val="clea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施工组织部分</w:t>
            </w:r>
          </w:p>
          <w:p>
            <w:pPr>
              <w:shd w:val="clea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（50分）</w:t>
            </w:r>
          </w:p>
        </w:tc>
        <w:tc>
          <w:tcPr>
            <w:tcW w:w="1203" w:type="dxa"/>
            <w:vMerge w:val="restart"/>
            <w:vAlign w:val="center"/>
          </w:tcPr>
          <w:p>
            <w:pPr>
              <w:shd w:val="clea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50</w:t>
            </w:r>
            <w:r>
              <w:rPr>
                <w:rFonts w:hint="eastAsia" w:ascii="宋体" w:hAnsi="宋体" w:eastAsia="宋体" w:cs="宋体"/>
                <w:sz w:val="24"/>
                <w:highlight w:val="none"/>
                <w:lang w:eastAsia="zh-CN"/>
              </w:rPr>
              <w:t>分</w:t>
            </w:r>
          </w:p>
        </w:tc>
        <w:tc>
          <w:tcPr>
            <w:tcW w:w="6093" w:type="dxa"/>
            <w:vAlign w:val="center"/>
          </w:tcPr>
          <w:p>
            <w:pPr>
              <w:shd w:val="clear"/>
              <w:spacing w:line="360" w:lineRule="auto"/>
              <w:rPr>
                <w:rFonts w:hint="eastAsia" w:ascii="宋体" w:hAnsi="宋体" w:eastAsia="宋体" w:cs="宋体"/>
                <w:bCs/>
                <w:sz w:val="24"/>
                <w:highlight w:val="none"/>
              </w:rPr>
            </w:pPr>
            <w:r>
              <w:rPr>
                <w:rFonts w:hint="eastAsia" w:ascii="宋体" w:hAnsi="宋体" w:eastAsia="宋体" w:cs="宋体"/>
                <w:sz w:val="24"/>
                <w:szCs w:val="24"/>
                <w:highlight w:val="none"/>
              </w:rPr>
              <w:t>1、项目经理及组织机构人员配备方案，包括职责要求、工作分工等（</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Merge w:val="continue"/>
            <w:vAlign w:val="center"/>
          </w:tcPr>
          <w:p>
            <w:pPr>
              <w:shd w:val="clear"/>
              <w:spacing w:line="360" w:lineRule="auto"/>
              <w:jc w:val="center"/>
              <w:rPr>
                <w:rFonts w:hint="eastAsia" w:ascii="宋体" w:hAnsi="宋体" w:eastAsia="宋体" w:cs="宋体"/>
                <w:sz w:val="24"/>
                <w:highlight w:val="none"/>
              </w:rPr>
            </w:pPr>
          </w:p>
        </w:tc>
        <w:tc>
          <w:tcPr>
            <w:tcW w:w="1203" w:type="dxa"/>
            <w:vMerge w:val="continue"/>
            <w:vAlign w:val="center"/>
          </w:tcPr>
          <w:p>
            <w:pPr>
              <w:shd w:val="clear"/>
              <w:spacing w:line="360" w:lineRule="auto"/>
              <w:rPr>
                <w:rFonts w:hint="eastAsia" w:ascii="宋体" w:hAnsi="宋体" w:eastAsia="宋体" w:cs="宋体"/>
                <w:sz w:val="24"/>
                <w:highlight w:val="none"/>
              </w:rPr>
            </w:pPr>
          </w:p>
        </w:tc>
        <w:tc>
          <w:tcPr>
            <w:tcW w:w="6093" w:type="dxa"/>
            <w:vAlign w:val="center"/>
          </w:tcPr>
          <w:p>
            <w:pPr>
              <w:shd w:val="clear"/>
              <w:spacing w:line="360" w:lineRule="auto"/>
              <w:rPr>
                <w:rFonts w:hint="eastAsia" w:ascii="宋体" w:hAnsi="宋体" w:eastAsia="宋体" w:cs="宋体"/>
                <w:bCs/>
                <w:sz w:val="24"/>
                <w:highlight w:val="none"/>
              </w:rPr>
            </w:pPr>
            <w:r>
              <w:rPr>
                <w:rFonts w:hint="eastAsia" w:ascii="宋体" w:hAnsi="宋体" w:eastAsia="宋体" w:cs="宋体"/>
                <w:sz w:val="24"/>
                <w:szCs w:val="24"/>
                <w:highlight w:val="none"/>
              </w:rPr>
              <w:t>2、施工方案（</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Merge w:val="continue"/>
            <w:vAlign w:val="center"/>
          </w:tcPr>
          <w:p>
            <w:pPr>
              <w:shd w:val="clear"/>
              <w:spacing w:line="360" w:lineRule="auto"/>
              <w:jc w:val="center"/>
              <w:rPr>
                <w:rFonts w:hint="eastAsia" w:ascii="宋体" w:hAnsi="宋体" w:eastAsia="宋体" w:cs="宋体"/>
                <w:sz w:val="24"/>
                <w:highlight w:val="none"/>
              </w:rPr>
            </w:pPr>
          </w:p>
        </w:tc>
        <w:tc>
          <w:tcPr>
            <w:tcW w:w="1203" w:type="dxa"/>
            <w:vMerge w:val="continue"/>
            <w:vAlign w:val="center"/>
          </w:tcPr>
          <w:p>
            <w:pPr>
              <w:shd w:val="clear"/>
              <w:spacing w:line="360" w:lineRule="auto"/>
              <w:rPr>
                <w:rFonts w:hint="eastAsia" w:ascii="宋体" w:hAnsi="宋体" w:eastAsia="宋体" w:cs="宋体"/>
                <w:sz w:val="24"/>
                <w:highlight w:val="none"/>
              </w:rPr>
            </w:pPr>
          </w:p>
        </w:tc>
        <w:tc>
          <w:tcPr>
            <w:tcW w:w="6093" w:type="dxa"/>
            <w:vAlign w:val="center"/>
          </w:tcPr>
          <w:p>
            <w:pPr>
              <w:shd w:val="clear"/>
              <w:spacing w:line="360" w:lineRule="auto"/>
              <w:rPr>
                <w:rFonts w:hint="eastAsia" w:ascii="宋体" w:hAnsi="宋体" w:eastAsia="宋体" w:cs="宋体"/>
                <w:bCs/>
                <w:sz w:val="24"/>
                <w:highlight w:val="none"/>
              </w:rPr>
            </w:pPr>
            <w:r>
              <w:rPr>
                <w:rFonts w:hint="eastAsia" w:ascii="宋体" w:hAnsi="宋体" w:eastAsia="宋体" w:cs="宋体"/>
                <w:sz w:val="24"/>
                <w:szCs w:val="24"/>
                <w:highlight w:val="none"/>
              </w:rPr>
              <w:t>3、确保安全生产的技术组织措施（</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Merge w:val="continue"/>
            <w:vAlign w:val="center"/>
          </w:tcPr>
          <w:p>
            <w:pPr>
              <w:shd w:val="clear"/>
              <w:spacing w:line="360" w:lineRule="auto"/>
              <w:jc w:val="center"/>
              <w:rPr>
                <w:rFonts w:hint="eastAsia" w:ascii="宋体" w:hAnsi="宋体" w:eastAsia="宋体" w:cs="宋体"/>
                <w:sz w:val="24"/>
                <w:highlight w:val="none"/>
              </w:rPr>
            </w:pPr>
          </w:p>
        </w:tc>
        <w:tc>
          <w:tcPr>
            <w:tcW w:w="1203" w:type="dxa"/>
            <w:vMerge w:val="continue"/>
            <w:vAlign w:val="center"/>
          </w:tcPr>
          <w:p>
            <w:pPr>
              <w:shd w:val="clear"/>
              <w:spacing w:line="360" w:lineRule="auto"/>
              <w:rPr>
                <w:rFonts w:hint="eastAsia" w:ascii="宋体" w:hAnsi="宋体" w:eastAsia="宋体" w:cs="宋体"/>
                <w:sz w:val="24"/>
                <w:highlight w:val="none"/>
              </w:rPr>
            </w:pPr>
          </w:p>
        </w:tc>
        <w:tc>
          <w:tcPr>
            <w:tcW w:w="6093" w:type="dxa"/>
            <w:vAlign w:val="center"/>
          </w:tcPr>
          <w:p>
            <w:pPr>
              <w:shd w:val="clear"/>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确保文明工地的技术组织措施及环境保护（</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Merge w:val="continue"/>
            <w:vAlign w:val="center"/>
          </w:tcPr>
          <w:p>
            <w:pPr>
              <w:shd w:val="clear"/>
              <w:spacing w:line="360" w:lineRule="auto"/>
              <w:jc w:val="center"/>
              <w:rPr>
                <w:rFonts w:hint="eastAsia" w:ascii="宋体" w:hAnsi="宋体" w:eastAsia="宋体" w:cs="宋体"/>
                <w:sz w:val="24"/>
                <w:highlight w:val="none"/>
              </w:rPr>
            </w:pPr>
          </w:p>
        </w:tc>
        <w:tc>
          <w:tcPr>
            <w:tcW w:w="1203" w:type="dxa"/>
            <w:vMerge w:val="continue"/>
            <w:vAlign w:val="center"/>
          </w:tcPr>
          <w:p>
            <w:pPr>
              <w:shd w:val="clear"/>
              <w:spacing w:line="360" w:lineRule="auto"/>
              <w:rPr>
                <w:rFonts w:hint="eastAsia" w:ascii="宋体" w:hAnsi="宋体" w:eastAsia="宋体" w:cs="宋体"/>
                <w:sz w:val="24"/>
                <w:highlight w:val="none"/>
              </w:rPr>
            </w:pPr>
          </w:p>
        </w:tc>
        <w:tc>
          <w:tcPr>
            <w:tcW w:w="6093" w:type="dxa"/>
            <w:vAlign w:val="center"/>
          </w:tcPr>
          <w:p>
            <w:pPr>
              <w:shd w:val="clear"/>
              <w:spacing w:line="360" w:lineRule="auto"/>
              <w:rPr>
                <w:rFonts w:hint="eastAsia" w:ascii="宋体" w:hAnsi="宋体" w:eastAsia="宋体" w:cs="宋体"/>
                <w:bCs/>
                <w:sz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、劳动力计划及主要材料供应计划（</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07" w:type="dxa"/>
            <w:vMerge w:val="continue"/>
            <w:vAlign w:val="center"/>
          </w:tcPr>
          <w:p>
            <w:pPr>
              <w:shd w:val="clear"/>
              <w:spacing w:line="360" w:lineRule="auto"/>
              <w:jc w:val="center"/>
              <w:rPr>
                <w:rFonts w:hint="eastAsia" w:ascii="宋体" w:hAnsi="宋体" w:eastAsia="宋体" w:cs="宋体"/>
                <w:sz w:val="24"/>
                <w:highlight w:val="none"/>
              </w:rPr>
            </w:pPr>
          </w:p>
        </w:tc>
        <w:tc>
          <w:tcPr>
            <w:tcW w:w="1203" w:type="dxa"/>
            <w:vMerge w:val="continue"/>
            <w:vAlign w:val="center"/>
          </w:tcPr>
          <w:p>
            <w:pPr>
              <w:shd w:val="clear"/>
              <w:spacing w:line="360" w:lineRule="auto"/>
              <w:rPr>
                <w:rFonts w:hint="eastAsia" w:ascii="宋体" w:hAnsi="宋体" w:eastAsia="宋体" w:cs="宋体"/>
                <w:sz w:val="24"/>
                <w:highlight w:val="none"/>
              </w:rPr>
            </w:pPr>
          </w:p>
        </w:tc>
        <w:tc>
          <w:tcPr>
            <w:tcW w:w="6093" w:type="dxa"/>
            <w:vAlign w:val="center"/>
          </w:tcPr>
          <w:p>
            <w:pPr>
              <w:shd w:val="clear"/>
              <w:spacing w:line="360" w:lineRule="auto"/>
              <w:rPr>
                <w:rFonts w:hint="eastAsia" w:ascii="宋体" w:hAnsi="宋体" w:eastAsia="宋体" w:cs="宋体"/>
                <w:bCs/>
                <w:sz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、施工机械设备供应计划表（</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Merge w:val="continue"/>
            <w:vAlign w:val="center"/>
          </w:tcPr>
          <w:p>
            <w:pPr>
              <w:shd w:val="clear"/>
              <w:spacing w:line="360" w:lineRule="auto"/>
              <w:jc w:val="center"/>
              <w:rPr>
                <w:rFonts w:hint="eastAsia" w:ascii="宋体" w:hAnsi="宋体" w:eastAsia="宋体" w:cs="宋体"/>
                <w:sz w:val="24"/>
                <w:highlight w:val="none"/>
              </w:rPr>
            </w:pPr>
          </w:p>
        </w:tc>
        <w:tc>
          <w:tcPr>
            <w:tcW w:w="1203" w:type="dxa"/>
            <w:vMerge w:val="continue"/>
            <w:vAlign w:val="center"/>
          </w:tcPr>
          <w:p>
            <w:pPr>
              <w:shd w:val="clear"/>
              <w:spacing w:line="360" w:lineRule="auto"/>
              <w:rPr>
                <w:rFonts w:hint="eastAsia" w:ascii="宋体" w:hAnsi="宋体" w:eastAsia="宋体" w:cs="宋体"/>
                <w:sz w:val="24"/>
                <w:highlight w:val="none"/>
              </w:rPr>
            </w:pPr>
          </w:p>
        </w:tc>
        <w:tc>
          <w:tcPr>
            <w:tcW w:w="6093" w:type="dxa"/>
            <w:vAlign w:val="center"/>
          </w:tcPr>
          <w:p>
            <w:pPr>
              <w:shd w:val="clear"/>
              <w:spacing w:line="360" w:lineRule="auto"/>
              <w:rPr>
                <w:rFonts w:hint="eastAsia" w:ascii="宋体" w:hAnsi="宋体" w:eastAsia="宋体" w:cs="宋体"/>
                <w:bCs/>
                <w:sz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、工程质量保证措施（</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Merge w:val="continue"/>
            <w:vAlign w:val="center"/>
          </w:tcPr>
          <w:p>
            <w:pPr>
              <w:shd w:val="clear"/>
              <w:spacing w:line="360" w:lineRule="auto"/>
              <w:jc w:val="center"/>
              <w:rPr>
                <w:rFonts w:hint="eastAsia" w:ascii="宋体" w:hAnsi="宋体" w:eastAsia="宋体" w:cs="宋体"/>
                <w:snapToGrid w:val="0"/>
                <w:kern w:val="0"/>
                <w:sz w:val="24"/>
                <w:highlight w:val="none"/>
              </w:rPr>
            </w:pPr>
          </w:p>
        </w:tc>
        <w:tc>
          <w:tcPr>
            <w:tcW w:w="1203" w:type="dxa"/>
            <w:vMerge w:val="continue"/>
            <w:vAlign w:val="center"/>
          </w:tcPr>
          <w:p>
            <w:pPr>
              <w:shd w:val="clear"/>
              <w:spacing w:line="360" w:lineRule="auto"/>
              <w:rPr>
                <w:rFonts w:hint="eastAsia" w:ascii="宋体" w:hAnsi="宋体" w:eastAsia="宋体" w:cs="宋体"/>
                <w:snapToGrid w:val="0"/>
                <w:kern w:val="0"/>
                <w:sz w:val="24"/>
                <w:highlight w:val="none"/>
              </w:rPr>
            </w:pPr>
          </w:p>
        </w:tc>
        <w:tc>
          <w:tcPr>
            <w:tcW w:w="6093" w:type="dxa"/>
            <w:vAlign w:val="center"/>
          </w:tcPr>
          <w:p>
            <w:pPr>
              <w:shd w:val="clear"/>
              <w:spacing w:line="360" w:lineRule="auto"/>
              <w:rPr>
                <w:rFonts w:hint="eastAsia" w:ascii="宋体" w:hAnsi="宋体" w:eastAsia="宋体" w:cs="宋体"/>
                <w:bCs/>
                <w:sz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、施工进度计划及确保工期的技术措施（</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Merge w:val="continue"/>
            <w:vAlign w:val="center"/>
          </w:tcPr>
          <w:p>
            <w:pPr>
              <w:shd w:val="clear"/>
              <w:spacing w:line="360" w:lineRule="auto"/>
              <w:jc w:val="center"/>
              <w:rPr>
                <w:rFonts w:hint="eastAsia" w:ascii="宋体" w:hAnsi="宋体" w:eastAsia="宋体" w:cs="宋体"/>
                <w:sz w:val="24"/>
                <w:highlight w:val="none"/>
              </w:rPr>
            </w:pPr>
          </w:p>
        </w:tc>
        <w:tc>
          <w:tcPr>
            <w:tcW w:w="1203" w:type="dxa"/>
            <w:vMerge w:val="continue"/>
            <w:vAlign w:val="center"/>
          </w:tcPr>
          <w:p>
            <w:pPr>
              <w:shd w:val="clear"/>
              <w:spacing w:line="360" w:lineRule="auto"/>
              <w:rPr>
                <w:rFonts w:hint="eastAsia" w:ascii="宋体" w:hAnsi="宋体" w:eastAsia="宋体" w:cs="宋体"/>
                <w:snapToGrid w:val="0"/>
                <w:kern w:val="0"/>
                <w:sz w:val="24"/>
                <w:highlight w:val="none"/>
              </w:rPr>
            </w:pPr>
          </w:p>
        </w:tc>
        <w:tc>
          <w:tcPr>
            <w:tcW w:w="6093" w:type="dxa"/>
            <w:vAlign w:val="center"/>
          </w:tcPr>
          <w:p>
            <w:pPr>
              <w:shd w:val="clea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垃圾清运的计划</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Merge w:val="continue"/>
            <w:vAlign w:val="center"/>
          </w:tcPr>
          <w:p>
            <w:pPr>
              <w:shd w:val="clear"/>
              <w:spacing w:line="360" w:lineRule="auto"/>
              <w:jc w:val="center"/>
              <w:rPr>
                <w:rFonts w:hint="eastAsia" w:ascii="宋体" w:hAnsi="宋体" w:eastAsia="宋体" w:cs="宋体"/>
                <w:sz w:val="24"/>
                <w:highlight w:val="none"/>
              </w:rPr>
            </w:pPr>
          </w:p>
        </w:tc>
        <w:tc>
          <w:tcPr>
            <w:tcW w:w="1203" w:type="dxa"/>
            <w:vMerge w:val="continue"/>
            <w:vAlign w:val="center"/>
          </w:tcPr>
          <w:p>
            <w:pPr>
              <w:shd w:val="clear"/>
              <w:spacing w:line="360" w:lineRule="auto"/>
              <w:rPr>
                <w:rFonts w:hint="eastAsia" w:ascii="宋体" w:hAnsi="宋体" w:eastAsia="宋体" w:cs="宋体"/>
                <w:snapToGrid w:val="0"/>
                <w:kern w:val="0"/>
                <w:sz w:val="24"/>
                <w:highlight w:val="none"/>
              </w:rPr>
            </w:pPr>
          </w:p>
        </w:tc>
        <w:tc>
          <w:tcPr>
            <w:tcW w:w="6093" w:type="dxa"/>
            <w:vAlign w:val="center"/>
          </w:tcPr>
          <w:p>
            <w:pPr>
              <w:shd w:val="clear"/>
              <w:spacing w:line="360" w:lineRule="auto"/>
              <w:rPr>
                <w:rFonts w:hint="default" w:ascii="宋体" w:hAnsi="宋体" w:eastAsia="宋体" w:cs="宋体"/>
                <w:bCs/>
                <w:sz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新技术、新产品、新工艺、新材料应用。（</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Merge w:val="restart"/>
            <w:vAlign w:val="center"/>
          </w:tcPr>
          <w:p>
            <w:pPr>
              <w:shd w:val="clea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p>
          <w:p>
            <w:pPr>
              <w:shd w:val="clear"/>
              <w:spacing w:line="360" w:lineRule="auto"/>
              <w:jc w:val="center"/>
              <w:rPr>
                <w:rFonts w:hint="eastAsia" w:ascii="宋体" w:hAnsi="宋体" w:eastAsia="宋体" w:cs="宋体"/>
                <w:sz w:val="24"/>
                <w:highlight w:val="none"/>
              </w:rPr>
            </w:pPr>
            <w:r>
              <w:rPr>
                <w:rFonts w:hint="eastAsia" w:ascii="宋体" w:hAnsi="宋体" w:eastAsia="宋体" w:cs="宋体"/>
                <w:sz w:val="24"/>
                <w:szCs w:val="24"/>
                <w:highlight w:val="none"/>
              </w:rPr>
              <w:t>（20分）</w:t>
            </w:r>
          </w:p>
        </w:tc>
        <w:tc>
          <w:tcPr>
            <w:tcW w:w="1203" w:type="dxa"/>
            <w:vAlign w:val="center"/>
          </w:tcPr>
          <w:p>
            <w:pPr>
              <w:shd w:val="clea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pPr>
              <w:shd w:val="clear"/>
              <w:jc w:val="center"/>
              <w:rPr>
                <w:rFonts w:hint="eastAsia" w:ascii="宋体" w:hAnsi="宋体" w:eastAsia="宋体" w:cs="宋体"/>
                <w:snapToGrid w:val="0"/>
                <w:kern w:val="0"/>
                <w:sz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6093" w:type="dxa"/>
            <w:vAlign w:val="center"/>
          </w:tcPr>
          <w:p>
            <w:pPr>
              <w:shd w:val="clear"/>
              <w:spacing w:line="360" w:lineRule="auto"/>
              <w:ind w:left="0" w:leftChars="-2" w:hanging="4" w:hangingChars="2"/>
              <w:rPr>
                <w:rFonts w:hint="eastAsia" w:ascii="宋体" w:hAnsi="宋体" w:eastAsia="宋体" w:cs="宋体"/>
                <w:bCs/>
                <w:sz w:val="24"/>
                <w:highlight w:val="none"/>
              </w:rPr>
            </w:pPr>
            <w:r>
              <w:rPr>
                <w:rFonts w:hint="eastAsia" w:ascii="宋体" w:hAnsi="宋体" w:eastAsia="宋体" w:cs="宋体"/>
                <w:bCs/>
                <w:sz w:val="24"/>
                <w:highlight w:val="none"/>
              </w:rPr>
              <w:t>201</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年</w:t>
            </w:r>
            <w:r>
              <w:rPr>
                <w:rFonts w:hint="eastAsia" w:ascii="宋体" w:hAnsi="宋体" w:cs="宋体"/>
                <w:bCs/>
                <w:sz w:val="24"/>
                <w:highlight w:val="none"/>
                <w:lang w:val="en-US" w:eastAsia="zh-CN"/>
              </w:rPr>
              <w:t>10月</w:t>
            </w:r>
            <w:r>
              <w:rPr>
                <w:rFonts w:hint="eastAsia" w:ascii="宋体" w:hAnsi="宋体" w:eastAsia="宋体" w:cs="宋体"/>
                <w:bCs/>
                <w:sz w:val="24"/>
                <w:highlight w:val="none"/>
              </w:rPr>
              <w:t>以来承接过类似项目的业绩证明（以合同复印件为准，原件备查；弄虚作假者取消其</w:t>
            </w:r>
            <w:r>
              <w:rPr>
                <w:rFonts w:hint="eastAsia" w:ascii="宋体" w:hAnsi="宋体" w:eastAsia="宋体" w:cs="宋体"/>
                <w:bCs/>
                <w:sz w:val="24"/>
                <w:highlight w:val="none"/>
                <w:lang w:eastAsia="zh-CN"/>
              </w:rPr>
              <w:t>成交</w:t>
            </w:r>
            <w:r>
              <w:rPr>
                <w:rFonts w:hint="eastAsia" w:ascii="宋体" w:hAnsi="宋体" w:eastAsia="宋体" w:cs="宋体"/>
                <w:bCs/>
                <w:sz w:val="24"/>
                <w:highlight w:val="none"/>
              </w:rPr>
              <w:t>资格）（每提供一个得2分，满分</w:t>
            </w:r>
            <w:r>
              <w:rPr>
                <w:rFonts w:hint="eastAsia" w:ascii="宋体" w:hAnsi="宋体" w:eastAsia="宋体" w:cs="宋体"/>
                <w:bCs/>
                <w:sz w:val="24"/>
                <w:highlight w:val="none"/>
                <w:lang w:val="en-US" w:eastAsia="zh-CN"/>
              </w:rPr>
              <w:t>10</w:t>
            </w:r>
            <w:r>
              <w:rPr>
                <w:rFonts w:hint="eastAsia" w:ascii="宋体" w:hAnsi="宋体" w:eastAsia="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Merge w:val="continue"/>
            <w:vAlign w:val="center"/>
          </w:tcPr>
          <w:p>
            <w:pPr>
              <w:shd w:val="clear"/>
              <w:spacing w:line="360" w:lineRule="auto"/>
              <w:jc w:val="center"/>
              <w:rPr>
                <w:rFonts w:hint="eastAsia" w:ascii="宋体" w:hAnsi="宋体" w:eastAsia="宋体" w:cs="宋体"/>
                <w:sz w:val="24"/>
                <w:highlight w:val="none"/>
              </w:rPr>
            </w:pPr>
          </w:p>
        </w:tc>
        <w:tc>
          <w:tcPr>
            <w:tcW w:w="1203" w:type="dxa"/>
            <w:vAlign w:val="center"/>
          </w:tcPr>
          <w:p>
            <w:pPr>
              <w:shd w:val="clea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工程质量承诺</w:t>
            </w:r>
          </w:p>
          <w:p>
            <w:pPr>
              <w:shd w:val="clear"/>
              <w:jc w:val="center"/>
              <w:rPr>
                <w:rFonts w:hint="eastAsia" w:ascii="宋体" w:hAnsi="宋体" w:eastAsia="宋体" w:cs="宋体"/>
                <w:snapToGrid w:val="0"/>
                <w:kern w:val="0"/>
                <w:sz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093" w:type="dxa"/>
            <w:vAlign w:val="center"/>
          </w:tcPr>
          <w:p>
            <w:pPr>
              <w:pStyle w:val="12"/>
              <w:shd w:val="clear"/>
              <w:rPr>
                <w:rFonts w:hint="eastAsia" w:ascii="宋体" w:hAnsi="宋体" w:eastAsia="宋体" w:cs="宋体"/>
                <w:bCs/>
                <w:sz w:val="24"/>
                <w:highlight w:val="none"/>
              </w:rPr>
            </w:pPr>
            <w:r>
              <w:rPr>
                <w:rFonts w:hint="eastAsia" w:ascii="宋体" w:hAnsi="宋体" w:eastAsia="宋体" w:cs="宋体"/>
                <w:sz w:val="24"/>
                <w:szCs w:val="24"/>
                <w:highlight w:val="none"/>
              </w:rPr>
              <w:t>质量保修承诺完整、合理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Merge w:val="continue"/>
            <w:vAlign w:val="center"/>
          </w:tcPr>
          <w:p>
            <w:pPr>
              <w:shd w:val="clear"/>
              <w:spacing w:line="360" w:lineRule="auto"/>
              <w:jc w:val="center"/>
              <w:rPr>
                <w:rFonts w:hint="eastAsia" w:ascii="宋体" w:hAnsi="宋体" w:eastAsia="宋体" w:cs="宋体"/>
                <w:sz w:val="24"/>
                <w:highlight w:val="none"/>
              </w:rPr>
            </w:pPr>
          </w:p>
        </w:tc>
        <w:tc>
          <w:tcPr>
            <w:tcW w:w="1203" w:type="dxa"/>
            <w:vAlign w:val="center"/>
          </w:tcPr>
          <w:p>
            <w:pPr>
              <w:shd w:val="clea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后续服务</w:t>
            </w:r>
          </w:p>
          <w:p>
            <w:pPr>
              <w:shd w:val="clear"/>
              <w:jc w:val="center"/>
              <w:rPr>
                <w:rFonts w:hint="eastAsia" w:ascii="宋体" w:hAnsi="宋体" w:eastAsia="宋体" w:cs="宋体"/>
                <w:snapToGrid w:val="0"/>
                <w:kern w:val="0"/>
                <w:sz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093" w:type="dxa"/>
            <w:vAlign w:val="center"/>
          </w:tcPr>
          <w:p>
            <w:pPr>
              <w:shd w:val="clear"/>
              <w:spacing w:line="360" w:lineRule="auto"/>
              <w:rPr>
                <w:rFonts w:hint="eastAsia"/>
                <w:highlight w:val="none"/>
              </w:rPr>
            </w:pPr>
            <w:r>
              <w:rPr>
                <w:rFonts w:hint="eastAsia" w:ascii="宋体" w:hAnsi="宋体" w:eastAsia="宋体" w:cs="宋体"/>
                <w:kern w:val="2"/>
                <w:sz w:val="24"/>
                <w:szCs w:val="24"/>
                <w:highlight w:val="none"/>
                <w:lang w:val="en-US" w:eastAsia="zh-CN" w:bidi="ar-SA"/>
              </w:rPr>
              <w:t>后续服务条款具体、可行；并有详细的后续服务措施承诺且具体、可行（0-5分）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Align w:val="center"/>
          </w:tcPr>
          <w:p>
            <w:pPr>
              <w:keepNext w:val="0"/>
              <w:keepLines w:val="0"/>
              <w:pageBreakBefore w:val="0"/>
              <w:shd w:val="clear"/>
              <w:kinsoku/>
              <w:wordWrap/>
              <w:overflowPunct/>
              <w:topLinePunct w:val="0"/>
              <w:autoSpaceDE/>
              <w:autoSpaceDN/>
              <w:bidi w:val="0"/>
              <w:spacing w:line="360" w:lineRule="auto"/>
              <w:jc w:val="center"/>
              <w:textAlignment w:val="auto"/>
              <w:outlineLvl w:val="9"/>
              <w:rPr>
                <w:rFonts w:hint="eastAsia" w:ascii="宋体" w:hAnsi="宋体" w:eastAsia="宋体" w:cs="宋体"/>
                <w:sz w:val="24"/>
                <w:highlight w:val="none"/>
              </w:rPr>
            </w:pPr>
            <w:r>
              <w:rPr>
                <w:rFonts w:hint="eastAsia" w:ascii="宋体" w:hAnsi="宋体" w:eastAsia="宋体" w:cs="宋体"/>
                <w:b/>
                <w:bCs/>
                <w:sz w:val="24"/>
                <w:szCs w:val="24"/>
                <w:highlight w:val="none"/>
              </w:rPr>
              <w:t>备注</w:t>
            </w:r>
          </w:p>
        </w:tc>
        <w:tc>
          <w:tcPr>
            <w:tcW w:w="7296" w:type="dxa"/>
            <w:gridSpan w:val="2"/>
            <w:vAlign w:val="top"/>
          </w:tcPr>
          <w:p>
            <w:pPr>
              <w:keepNext w:val="0"/>
              <w:keepLines w:val="0"/>
              <w:pageBreakBefore w:val="0"/>
              <w:shd w:val="clear"/>
              <w:kinsoku/>
              <w:wordWrap/>
              <w:overflowPunct/>
              <w:topLinePunct w:val="0"/>
              <w:autoSpaceDE/>
              <w:autoSpaceDN/>
              <w:bidi w:val="0"/>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1）各评委独立打分。</w:t>
            </w:r>
          </w:p>
          <w:p>
            <w:pPr>
              <w:keepNext w:val="0"/>
              <w:keepLines w:val="0"/>
              <w:pageBreakBefore w:val="0"/>
              <w:shd w:val="clear"/>
              <w:kinsoku/>
              <w:wordWrap/>
              <w:overflowPunct/>
              <w:topLinePunct w:val="0"/>
              <w:autoSpaceDE/>
              <w:autoSpaceDN/>
              <w:bidi w:val="0"/>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2）评委打分超过得分界限或未按本表规定赋分时，该评委的打分作废，不计入汇总分。</w:t>
            </w:r>
          </w:p>
          <w:p>
            <w:pPr>
              <w:keepNext w:val="0"/>
              <w:keepLines w:val="0"/>
              <w:pageBreakBefore w:val="0"/>
              <w:shd w:val="clear"/>
              <w:kinsoku/>
              <w:wordWrap/>
              <w:overflowPunct/>
              <w:topLinePunct w:val="0"/>
              <w:autoSpaceDE/>
              <w:autoSpaceDN/>
              <w:bidi w:val="0"/>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pPr>
              <w:keepNext w:val="0"/>
              <w:keepLines w:val="0"/>
              <w:pageBreakBefore w:val="0"/>
              <w:shd w:val="clear"/>
              <w:kinsoku/>
              <w:wordWrap/>
              <w:overflowPunct/>
              <w:topLinePunct w:val="0"/>
              <w:autoSpaceDE/>
              <w:autoSpaceDN/>
              <w:bidi w:val="0"/>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4）各种计算数字均保留两位小数，第三位“四舍五入”。</w:t>
            </w:r>
          </w:p>
          <w:p>
            <w:pPr>
              <w:keepNext w:val="0"/>
              <w:keepLines w:val="0"/>
              <w:pageBreakBefore w:val="0"/>
              <w:shd w:val="clear"/>
              <w:kinsoku/>
              <w:wordWrap/>
              <w:overflowPunct/>
              <w:topLinePunct w:val="0"/>
              <w:autoSpaceDE/>
              <w:autoSpaceDN/>
              <w:bidi w:val="0"/>
              <w:spacing w:line="360" w:lineRule="auto"/>
              <w:textAlignment w:val="auto"/>
              <w:outlineLvl w:val="9"/>
              <w:rPr>
                <w:rFonts w:hint="eastAsia" w:ascii="宋体" w:hAnsi="宋体" w:eastAsia="宋体" w:cs="宋体"/>
                <w:sz w:val="24"/>
                <w:highlight w:val="none"/>
              </w:rPr>
            </w:pPr>
            <w:r>
              <w:rPr>
                <w:rFonts w:hint="eastAsia" w:ascii="宋体" w:hAnsi="宋体" w:eastAsia="宋体" w:cs="宋体"/>
                <w:sz w:val="24"/>
                <w:szCs w:val="24"/>
                <w:highlight w:val="none"/>
              </w:rPr>
              <w:t xml:space="preserve">5）评标过程中，若出现特殊情况时，由评标委员会决定暂停评标，并提出具体处理意见。 </w:t>
            </w:r>
          </w:p>
        </w:tc>
      </w:tr>
    </w:tbl>
    <w:p>
      <w:pPr>
        <w:pStyle w:val="27"/>
        <w:shd w:val="clear"/>
        <w:spacing w:line="240" w:lineRule="auto"/>
        <w:ind w:left="0" w:firstLine="0"/>
        <w:rPr>
          <w:b/>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pStyle w:val="33"/>
        <w:shd w:val="clear"/>
        <w:rPr>
          <w:rFonts w:ascii="宋体" w:hAnsi="宋体" w:cs="宋体"/>
          <w:spacing w:val="4"/>
          <w:sz w:val="24"/>
          <w:szCs w:val="24"/>
          <w:highlight w:val="none"/>
        </w:rPr>
      </w:pPr>
    </w:p>
    <w:p>
      <w:pPr>
        <w:widowControl/>
        <w:shd w:val="clear"/>
        <w:jc w:val="left"/>
        <w:rPr>
          <w:rFonts w:hint="eastAsia"/>
          <w:highlight w:val="none"/>
        </w:rPr>
      </w:pPr>
      <w:bookmarkStart w:id="65" w:name="_Hlt128276530"/>
      <w:bookmarkEnd w:id="65"/>
      <w:bookmarkStart w:id="66" w:name="_Hlt128276660"/>
      <w:bookmarkEnd w:id="66"/>
      <w:bookmarkStart w:id="67" w:name="_Hlt128276537"/>
      <w:bookmarkEnd w:id="67"/>
      <w:bookmarkStart w:id="68" w:name="_Toc221523521"/>
      <w:bookmarkStart w:id="69" w:name="_Toc421778377"/>
      <w:bookmarkStart w:id="70" w:name="_Toc351989128"/>
      <w:r>
        <w:rPr>
          <w:rFonts w:cs="宋体"/>
          <w:highlight w:val="none"/>
        </w:rPr>
        <w:br w:type="page"/>
      </w:r>
      <w:bookmarkStart w:id="71" w:name="_Toc22903"/>
    </w:p>
    <w:p>
      <w:pPr>
        <w:shd w:val="clear"/>
        <w:rPr>
          <w:rFonts w:hint="eastAsia"/>
          <w:highlight w:val="none"/>
        </w:rPr>
      </w:pPr>
    </w:p>
    <w:p>
      <w:pPr>
        <w:pStyle w:val="3"/>
        <w:shd w:val="clear"/>
        <w:spacing w:line="350" w:lineRule="auto"/>
        <w:jc w:val="center"/>
        <w:rPr>
          <w:sz w:val="36"/>
          <w:szCs w:val="36"/>
          <w:highlight w:val="none"/>
        </w:rPr>
      </w:pPr>
      <w:r>
        <w:rPr>
          <w:rFonts w:hint="eastAsia" w:cs="宋体"/>
          <w:sz w:val="36"/>
          <w:szCs w:val="36"/>
          <w:highlight w:val="none"/>
        </w:rPr>
        <w:t>第四章  建设工程施工合同</w:t>
      </w:r>
      <w:bookmarkEnd w:id="68"/>
      <w:bookmarkEnd w:id="69"/>
      <w:bookmarkEnd w:id="70"/>
      <w:bookmarkEnd w:id="71"/>
    </w:p>
    <w:p>
      <w:pPr>
        <w:shd w:val="clear"/>
        <w:spacing w:line="360" w:lineRule="auto"/>
        <w:rPr>
          <w:highlight w:val="none"/>
        </w:rPr>
      </w:pPr>
    </w:p>
    <w:p>
      <w:pPr>
        <w:shd w:val="clear"/>
        <w:adjustRightInd w:val="0"/>
        <w:snapToGrid w:val="0"/>
        <w:spacing w:before="60" w:after="60" w:line="360" w:lineRule="auto"/>
        <w:jc w:val="center"/>
        <w:rPr>
          <w:rFonts w:hint="eastAsia" w:ascii="宋体" w:hAnsi="宋体" w:cs="宋体"/>
          <w:b/>
          <w:bCs/>
          <w:spacing w:val="100"/>
          <w:kern w:val="16"/>
          <w:sz w:val="52"/>
          <w:szCs w:val="52"/>
          <w:highlight w:val="none"/>
          <w:lang w:eastAsia="zh-CN"/>
        </w:rPr>
      </w:pPr>
      <w:bookmarkStart w:id="72" w:name="_Toc209339595"/>
      <w:bookmarkEnd w:id="72"/>
      <w:bookmarkStart w:id="73" w:name="_Toc107194479"/>
      <w:bookmarkEnd w:id="73"/>
      <w:bookmarkStart w:id="74" w:name="_Toc205891759"/>
      <w:bookmarkEnd w:id="74"/>
    </w:p>
    <w:p>
      <w:pPr>
        <w:pStyle w:val="2"/>
        <w:rPr>
          <w:rFonts w:hint="eastAsia"/>
          <w:lang w:eastAsia="zh-CN"/>
        </w:rPr>
      </w:pPr>
    </w:p>
    <w:p>
      <w:pPr>
        <w:shd w:val="clear"/>
        <w:adjustRightInd w:val="0"/>
        <w:snapToGrid w:val="0"/>
        <w:spacing w:before="60" w:after="60" w:line="360" w:lineRule="auto"/>
        <w:jc w:val="center"/>
        <w:rPr>
          <w:rFonts w:hint="eastAsia" w:ascii="宋体" w:hAnsi="宋体" w:cs="宋体"/>
          <w:b/>
          <w:bCs/>
          <w:spacing w:val="0"/>
          <w:kern w:val="16"/>
          <w:sz w:val="52"/>
          <w:szCs w:val="52"/>
          <w:highlight w:val="none"/>
        </w:rPr>
      </w:pPr>
      <w:r>
        <w:rPr>
          <w:rFonts w:hint="eastAsia" w:ascii="宋体" w:hAnsi="宋体" w:cs="宋体"/>
          <w:b/>
          <w:bCs/>
          <w:spacing w:val="0"/>
          <w:kern w:val="16"/>
          <w:sz w:val="40"/>
          <w:szCs w:val="40"/>
          <w:highlight w:val="none"/>
          <w:lang w:eastAsia="zh-CN"/>
        </w:rPr>
        <w:t>铜川市新区创文办老旧小区基础设施改造提升项目</w:t>
      </w:r>
    </w:p>
    <w:p>
      <w:pPr>
        <w:shd w:val="clear"/>
        <w:adjustRightInd w:val="0"/>
        <w:snapToGrid w:val="0"/>
        <w:spacing w:before="60" w:after="60" w:line="360" w:lineRule="auto"/>
        <w:jc w:val="center"/>
        <w:rPr>
          <w:rFonts w:hint="eastAsia" w:ascii="宋体" w:hAnsi="宋体" w:cs="宋体"/>
          <w:b/>
          <w:bCs/>
          <w:spacing w:val="100"/>
          <w:kern w:val="16"/>
          <w:sz w:val="52"/>
          <w:szCs w:val="52"/>
          <w:highlight w:val="none"/>
        </w:rPr>
      </w:pPr>
    </w:p>
    <w:p>
      <w:pPr>
        <w:shd w:val="clear"/>
        <w:adjustRightInd w:val="0"/>
        <w:snapToGrid w:val="0"/>
        <w:spacing w:before="60" w:after="60" w:line="360" w:lineRule="auto"/>
        <w:jc w:val="center"/>
        <w:rPr>
          <w:rFonts w:ascii="宋体"/>
          <w:b/>
          <w:bCs/>
          <w:spacing w:val="100"/>
          <w:kern w:val="16"/>
          <w:sz w:val="52"/>
          <w:szCs w:val="52"/>
          <w:highlight w:val="none"/>
        </w:rPr>
      </w:pPr>
      <w:r>
        <w:rPr>
          <w:rFonts w:hint="eastAsia" w:ascii="宋体" w:hAnsi="宋体" w:cs="宋体"/>
          <w:b/>
          <w:bCs/>
          <w:spacing w:val="100"/>
          <w:kern w:val="16"/>
          <w:sz w:val="52"/>
          <w:szCs w:val="52"/>
          <w:highlight w:val="none"/>
        </w:rPr>
        <w:t>施工合同</w:t>
      </w:r>
    </w:p>
    <w:p>
      <w:pPr>
        <w:shd w:val="clear"/>
        <w:adjustRightInd w:val="0"/>
        <w:snapToGrid w:val="0"/>
        <w:spacing w:before="60" w:after="60" w:line="360" w:lineRule="auto"/>
        <w:jc w:val="center"/>
        <w:rPr>
          <w:rFonts w:ascii="宋体"/>
          <w:b/>
          <w:bCs/>
          <w:sz w:val="36"/>
          <w:szCs w:val="36"/>
          <w:highlight w:val="none"/>
        </w:rPr>
      </w:pPr>
      <w:r>
        <w:rPr>
          <w:rFonts w:hint="eastAsia" w:ascii="宋体" w:hAnsi="宋体" w:cs="宋体"/>
          <w:b/>
          <w:bCs/>
          <w:sz w:val="36"/>
          <w:szCs w:val="36"/>
          <w:highlight w:val="none"/>
        </w:rPr>
        <w:t>（示范文本）</w:t>
      </w:r>
    </w:p>
    <w:p>
      <w:pPr>
        <w:shd w:val="clear"/>
        <w:adjustRightInd w:val="0"/>
        <w:snapToGrid w:val="0"/>
        <w:spacing w:before="60" w:after="60" w:line="360" w:lineRule="auto"/>
        <w:rPr>
          <w:rFonts w:ascii="宋体"/>
          <w:sz w:val="24"/>
          <w:szCs w:val="24"/>
          <w:highlight w:val="none"/>
        </w:rPr>
      </w:pPr>
    </w:p>
    <w:p>
      <w:pPr>
        <w:shd w:val="clear"/>
        <w:adjustRightInd w:val="0"/>
        <w:snapToGrid w:val="0"/>
        <w:spacing w:before="60" w:after="60" w:line="360" w:lineRule="auto"/>
        <w:rPr>
          <w:rFonts w:ascii="宋体"/>
          <w:sz w:val="24"/>
          <w:szCs w:val="24"/>
          <w:highlight w:val="none"/>
        </w:rPr>
      </w:pPr>
    </w:p>
    <w:p>
      <w:pPr>
        <w:shd w:val="clear"/>
        <w:adjustRightInd w:val="0"/>
        <w:snapToGrid w:val="0"/>
        <w:spacing w:before="60" w:after="60" w:line="360" w:lineRule="auto"/>
        <w:rPr>
          <w:rFonts w:ascii="宋体"/>
          <w:sz w:val="24"/>
          <w:szCs w:val="24"/>
          <w:highlight w:val="none"/>
        </w:rPr>
      </w:pPr>
    </w:p>
    <w:p>
      <w:pPr>
        <w:shd w:val="clear"/>
        <w:adjustRightInd w:val="0"/>
        <w:snapToGrid w:val="0"/>
        <w:spacing w:before="60" w:after="60" w:line="360" w:lineRule="auto"/>
        <w:rPr>
          <w:rFonts w:ascii="宋体"/>
          <w:sz w:val="24"/>
          <w:szCs w:val="24"/>
          <w:highlight w:val="none"/>
        </w:rPr>
      </w:pPr>
    </w:p>
    <w:p>
      <w:pPr>
        <w:shd w:val="clear"/>
        <w:adjustRightInd w:val="0"/>
        <w:snapToGrid w:val="0"/>
        <w:spacing w:before="60" w:after="60" w:line="360" w:lineRule="auto"/>
        <w:rPr>
          <w:rFonts w:ascii="宋体"/>
          <w:sz w:val="24"/>
          <w:szCs w:val="24"/>
          <w:highlight w:val="none"/>
        </w:rPr>
      </w:pPr>
    </w:p>
    <w:p>
      <w:pPr>
        <w:shd w:val="clear"/>
        <w:adjustRightInd w:val="0"/>
        <w:snapToGrid w:val="0"/>
        <w:spacing w:before="60" w:after="60" w:line="360" w:lineRule="auto"/>
        <w:rPr>
          <w:rFonts w:ascii="宋体"/>
          <w:sz w:val="24"/>
          <w:szCs w:val="24"/>
          <w:highlight w:val="none"/>
        </w:rPr>
      </w:pPr>
    </w:p>
    <w:p>
      <w:pPr>
        <w:shd w:val="clear"/>
        <w:adjustRightInd w:val="0"/>
        <w:snapToGrid w:val="0"/>
        <w:spacing w:before="60" w:after="60" w:line="360" w:lineRule="auto"/>
        <w:rPr>
          <w:rFonts w:ascii="宋体"/>
          <w:sz w:val="24"/>
          <w:szCs w:val="24"/>
          <w:highlight w:val="none"/>
        </w:rPr>
      </w:pPr>
    </w:p>
    <w:p>
      <w:pPr>
        <w:pStyle w:val="2"/>
      </w:pPr>
    </w:p>
    <w:p>
      <w:pPr>
        <w:shd w:val="clear"/>
        <w:adjustRightInd w:val="0"/>
        <w:snapToGrid w:val="0"/>
        <w:spacing w:before="60" w:after="60" w:line="360" w:lineRule="auto"/>
        <w:rPr>
          <w:rFonts w:ascii="宋体"/>
          <w:sz w:val="24"/>
          <w:szCs w:val="24"/>
          <w:highlight w:val="none"/>
        </w:rPr>
      </w:pPr>
    </w:p>
    <w:p>
      <w:pPr>
        <w:pStyle w:val="2"/>
        <w:shd w:val="clear"/>
        <w:rPr>
          <w:rFonts w:ascii="宋体"/>
          <w:sz w:val="24"/>
          <w:szCs w:val="24"/>
          <w:highlight w:val="none"/>
        </w:rPr>
      </w:pPr>
    </w:p>
    <w:p>
      <w:pPr>
        <w:pStyle w:val="2"/>
        <w:shd w:val="clear"/>
        <w:jc w:val="both"/>
        <w:rPr>
          <w:rFonts w:ascii="宋体"/>
          <w:highlight w:val="none"/>
        </w:rPr>
      </w:pPr>
    </w:p>
    <w:p>
      <w:pPr>
        <w:shd w:val="clear"/>
        <w:rPr>
          <w:rFonts w:ascii="宋体"/>
          <w:highlight w:val="none"/>
        </w:rPr>
      </w:pPr>
    </w:p>
    <w:p>
      <w:pPr>
        <w:pStyle w:val="2"/>
        <w:shd w:val="clear"/>
        <w:rPr>
          <w:rFonts w:ascii="宋体"/>
          <w:highlight w:val="none"/>
        </w:rPr>
      </w:pPr>
    </w:p>
    <w:p>
      <w:pPr>
        <w:shd w:val="clear"/>
        <w:rPr>
          <w:rFonts w:ascii="宋体"/>
          <w:highlight w:val="none"/>
        </w:rPr>
      </w:pPr>
    </w:p>
    <w:p>
      <w:pPr>
        <w:pStyle w:val="2"/>
        <w:shd w:val="clear"/>
        <w:rPr>
          <w:rFonts w:ascii="宋体"/>
          <w:highlight w:val="none"/>
        </w:rPr>
      </w:pPr>
    </w:p>
    <w:p>
      <w:pPr>
        <w:shd w:val="clear"/>
        <w:rPr>
          <w:rFonts w:ascii="宋体"/>
          <w:highlight w:val="none"/>
        </w:rPr>
      </w:pPr>
    </w:p>
    <w:p>
      <w:pPr>
        <w:pStyle w:val="2"/>
        <w:shd w:val="clear"/>
        <w:rPr>
          <w:highlight w:val="none"/>
        </w:rPr>
      </w:pPr>
    </w:p>
    <w:p>
      <w:pPr>
        <w:keepNext w:val="0"/>
        <w:keepLines w:val="0"/>
        <w:pageBreakBefore w:val="0"/>
        <w:widowControl w:val="0"/>
        <w:shd w:val="clear"/>
        <w:kinsoku/>
        <w:wordWrap/>
        <w:overflowPunct/>
        <w:topLinePunct w:val="0"/>
        <w:autoSpaceDE w:val="0"/>
        <w:autoSpaceDN w:val="0"/>
        <w:bidi w:val="0"/>
        <w:adjustRightInd w:val="0"/>
        <w:spacing w:line="480" w:lineRule="auto"/>
        <w:jc w:val="center"/>
        <w:textAlignment w:val="auto"/>
        <w:rPr>
          <w:rFonts w:hint="eastAsia" w:ascii="宋体" w:hAnsi="宋体" w:eastAsia="宋体" w:cs="宋体"/>
          <w:b/>
          <w:bCs w:val="0"/>
          <w:sz w:val="32"/>
          <w:szCs w:val="32"/>
          <w:highlight w:val="none"/>
          <w:lang w:eastAsia="zh-CN"/>
        </w:rPr>
      </w:pPr>
      <w:r>
        <w:rPr>
          <w:rFonts w:hint="eastAsia" w:ascii="宋体" w:hAnsi="宋体" w:cs="宋体"/>
          <w:b/>
          <w:bCs w:val="0"/>
          <w:sz w:val="32"/>
          <w:szCs w:val="32"/>
          <w:highlight w:val="none"/>
          <w:lang w:eastAsia="zh-CN"/>
        </w:rPr>
        <w:t>协议书</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甲方（采购人）：</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w:t>
      </w:r>
      <w:r>
        <w:rPr>
          <w:rFonts w:hint="eastAsia" w:ascii="宋体" w:hAnsi="宋体" w:cs="宋体"/>
          <w:bCs/>
          <w:sz w:val="24"/>
          <w:szCs w:val="24"/>
          <w:highlight w:val="none"/>
          <w:lang w:eastAsia="zh-CN"/>
        </w:rPr>
        <w:t>成交单位</w:t>
      </w:r>
      <w:r>
        <w:rPr>
          <w:rFonts w:hint="eastAsia" w:ascii="宋体" w:hAnsi="宋体" w:eastAsia="宋体" w:cs="宋体"/>
          <w:bCs/>
          <w:sz w:val="24"/>
          <w:szCs w:val="24"/>
          <w:highlight w:val="none"/>
        </w:rPr>
        <w:t xml:space="preserve">）： </w:t>
      </w:r>
    </w:p>
    <w:p>
      <w:pPr>
        <w:keepNext w:val="0"/>
        <w:keepLines w:val="0"/>
        <w:pageBreakBefore w:val="0"/>
        <w:widowControl w:val="0"/>
        <w:shd w:val="clear"/>
        <w:kinsoku/>
        <w:wordWrap/>
        <w:overflowPunct/>
        <w:topLinePunct w:val="0"/>
        <w:bidi w:val="0"/>
        <w:snapToGrid w:val="0"/>
        <w:spacing w:line="480" w:lineRule="auto"/>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u w:val="single"/>
          <w:lang w:eastAsia="zh-CN"/>
        </w:rPr>
        <w:t>铜川市新区创文办老旧小区基础设施改造提升项目</w:t>
      </w:r>
      <w:r>
        <w:rPr>
          <w:rFonts w:hint="eastAsia" w:ascii="宋体" w:hAnsi="宋体" w:eastAsia="宋体" w:cs="宋体"/>
          <w:bCs/>
          <w:sz w:val="24"/>
          <w:szCs w:val="24"/>
          <w:highlight w:val="none"/>
          <w:u w:val="single"/>
        </w:rPr>
        <w:t>(项目编号：</w:t>
      </w:r>
      <w:r>
        <w:rPr>
          <w:rFonts w:hint="eastAsia" w:ascii="宋体" w:hAnsi="宋体" w:cs="宋体"/>
          <w:bCs/>
          <w:sz w:val="24"/>
          <w:szCs w:val="24"/>
          <w:highlight w:val="none"/>
          <w:u w:val="single"/>
          <w:lang w:eastAsia="zh-CN"/>
        </w:rPr>
        <w:t>SXHXZB2019-ZC-CS1289</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rPr>
        <w:t>在</w:t>
      </w:r>
      <w:r>
        <w:rPr>
          <w:rFonts w:hint="eastAsia" w:ascii="宋体" w:hAnsi="宋体" w:eastAsia="宋体" w:cs="宋体"/>
          <w:bCs/>
          <w:sz w:val="24"/>
          <w:szCs w:val="24"/>
          <w:highlight w:val="none"/>
          <w:lang w:eastAsia="zh-CN"/>
        </w:rPr>
        <w:t>华夏国际项目管理有限公司组织</w:t>
      </w:r>
      <w:r>
        <w:rPr>
          <w:rFonts w:hint="eastAsia" w:ascii="宋体" w:hAnsi="宋体" w:cs="宋体"/>
          <w:bCs/>
          <w:sz w:val="24"/>
          <w:szCs w:val="24"/>
          <w:highlight w:val="none"/>
          <w:lang w:eastAsia="zh-CN"/>
        </w:rPr>
        <w:t>竞争性磋商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(以下简称“甲方”)确定</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（以下简称“乙方”）为的</w:t>
      </w:r>
      <w:r>
        <w:rPr>
          <w:rFonts w:hint="eastAsia" w:ascii="宋体" w:hAnsi="宋体" w:cs="宋体"/>
          <w:bCs/>
          <w:sz w:val="24"/>
          <w:szCs w:val="24"/>
          <w:highlight w:val="none"/>
          <w:lang w:eastAsia="zh-CN"/>
        </w:rPr>
        <w:t>成交单位</w:t>
      </w:r>
      <w:r>
        <w:rPr>
          <w:rFonts w:hint="eastAsia" w:ascii="宋体" w:hAnsi="宋体" w:eastAsia="宋体" w:cs="宋体"/>
          <w:bCs/>
          <w:sz w:val="24"/>
          <w:szCs w:val="24"/>
          <w:highlight w:val="none"/>
        </w:rPr>
        <w:t>。</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依据《中华人民共和国合同法》和《中华人民共和国政府采购法》，经双方协商按下述条款和条件签署本合同。</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2" w:firstLineChars="2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bCs w:val="0"/>
          <w:sz w:val="24"/>
          <w:szCs w:val="24"/>
          <w:highlight w:val="none"/>
          <w:lang w:eastAsia="zh-CN"/>
        </w:rPr>
        <w:t>一、合同价款</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（一）合同总价款为人民币（大写）</w:t>
      </w:r>
      <w:r>
        <w:rPr>
          <w:rFonts w:hint="eastAsia" w:ascii="宋体" w:hAnsi="宋体" w:eastAsia="宋体" w:cs="宋体"/>
          <w:b w:val="0"/>
          <w:bCs/>
          <w:sz w:val="24"/>
          <w:szCs w:val="24"/>
          <w:highlight w:val="none"/>
          <w:u w:val="single"/>
          <w:lang w:eastAsia="zh-CN"/>
        </w:rPr>
        <w:t xml:space="preserve">        </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u w:val="single"/>
          <w:lang w:eastAsia="zh-CN"/>
        </w:rPr>
        <w:t xml:space="preserve">      </w:t>
      </w:r>
      <w:r>
        <w:rPr>
          <w:rFonts w:hint="eastAsia" w:ascii="宋体" w:hAnsi="宋体" w:eastAsia="宋体" w:cs="宋体"/>
          <w:b w:val="0"/>
          <w:bCs/>
          <w:sz w:val="24"/>
          <w:szCs w:val="24"/>
          <w:highlight w:val="none"/>
          <w:lang w:eastAsia="zh-CN"/>
        </w:rPr>
        <w:t>）。</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（二）合同总价包括：工程量清单包含的所有费用及其他费用。</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2" w:firstLineChars="200"/>
        <w:textAlignment w:val="auto"/>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二、材料清单（附后）</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2" w:firstLineChars="200"/>
        <w:textAlignment w:val="auto"/>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三、款项结算</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甲乙双方签订合同时协商。</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2" w:firstLineChars="200"/>
        <w:textAlignment w:val="auto"/>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eastAsia="zh-CN"/>
        </w:rPr>
        <w:t>四</w:t>
      </w:r>
      <w:r>
        <w:rPr>
          <w:rFonts w:hint="eastAsia" w:ascii="宋体" w:hAnsi="宋体" w:eastAsia="宋体" w:cs="宋体"/>
          <w:b/>
          <w:bCs w:val="0"/>
          <w:sz w:val="24"/>
          <w:szCs w:val="24"/>
          <w:highlight w:val="none"/>
        </w:rPr>
        <w:t>、</w:t>
      </w:r>
      <w:r>
        <w:rPr>
          <w:rFonts w:hint="eastAsia" w:ascii="宋体" w:hAnsi="宋体" w:eastAsia="宋体" w:cs="宋体"/>
          <w:b/>
          <w:bCs w:val="0"/>
          <w:sz w:val="24"/>
          <w:szCs w:val="24"/>
          <w:highlight w:val="none"/>
          <w:lang w:eastAsia="zh-CN"/>
        </w:rPr>
        <w:t>实施</w:t>
      </w:r>
      <w:r>
        <w:rPr>
          <w:rFonts w:hint="eastAsia" w:ascii="宋体" w:hAnsi="宋体" w:eastAsia="宋体" w:cs="宋体"/>
          <w:b/>
          <w:bCs w:val="0"/>
          <w:sz w:val="24"/>
          <w:szCs w:val="24"/>
          <w:highlight w:val="none"/>
        </w:rPr>
        <w:t>地点及</w:t>
      </w:r>
      <w:r>
        <w:rPr>
          <w:rFonts w:hint="eastAsia" w:ascii="宋体" w:hAnsi="宋体" w:eastAsia="宋体" w:cs="宋体"/>
          <w:b/>
          <w:bCs w:val="0"/>
          <w:sz w:val="24"/>
          <w:szCs w:val="24"/>
          <w:highlight w:val="none"/>
          <w:lang w:eastAsia="zh-CN"/>
        </w:rPr>
        <w:t>工期</w:t>
      </w:r>
      <w:r>
        <w:rPr>
          <w:rFonts w:hint="eastAsia" w:ascii="宋体" w:hAnsi="宋体" w:eastAsia="宋体" w:cs="宋体"/>
          <w:b/>
          <w:bCs w:val="0"/>
          <w:sz w:val="24"/>
          <w:szCs w:val="24"/>
          <w:highlight w:val="none"/>
        </w:rPr>
        <w:t>：</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w:t>
      </w:r>
      <w:r>
        <w:rPr>
          <w:rFonts w:hint="eastAsia" w:ascii="宋体" w:hAnsi="宋体" w:eastAsia="宋体" w:cs="宋体"/>
          <w:bCs/>
          <w:sz w:val="24"/>
          <w:szCs w:val="24"/>
          <w:highlight w:val="none"/>
          <w:lang w:eastAsia="zh-CN"/>
        </w:rPr>
        <w:t>实施</w:t>
      </w:r>
      <w:r>
        <w:rPr>
          <w:rFonts w:hint="eastAsia" w:ascii="宋体" w:hAnsi="宋体" w:eastAsia="宋体" w:cs="宋体"/>
          <w:bCs/>
          <w:sz w:val="24"/>
          <w:szCs w:val="24"/>
          <w:highlight w:val="none"/>
        </w:rPr>
        <w:t>地点：甲方指定地点。</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w:t>
      </w:r>
      <w:r>
        <w:rPr>
          <w:rFonts w:hint="eastAsia" w:ascii="宋体" w:hAnsi="宋体" w:cs="宋体"/>
          <w:bCs/>
          <w:sz w:val="24"/>
          <w:szCs w:val="24"/>
          <w:highlight w:val="none"/>
          <w:lang w:eastAsia="zh-CN"/>
        </w:rPr>
        <w:t>计划</w:t>
      </w:r>
      <w:r>
        <w:rPr>
          <w:rFonts w:hint="eastAsia" w:ascii="宋体" w:hAnsi="宋体" w:eastAsia="宋体" w:cs="宋体"/>
          <w:bCs/>
          <w:sz w:val="24"/>
          <w:szCs w:val="24"/>
          <w:highlight w:val="none"/>
          <w:lang w:eastAsia="zh-CN"/>
        </w:rPr>
        <w:t>工期</w:t>
      </w:r>
      <w:r>
        <w:rPr>
          <w:rFonts w:hint="eastAsia" w:ascii="宋体" w:hAnsi="宋体" w:eastAsia="宋体" w:cs="宋体"/>
          <w:bCs/>
          <w:sz w:val="24"/>
          <w:szCs w:val="24"/>
          <w:highlight w:val="none"/>
        </w:rPr>
        <w:t>：</w:t>
      </w:r>
      <w:r>
        <w:rPr>
          <w:rFonts w:hint="eastAsia" w:ascii="宋体" w:hAnsi="宋体" w:eastAsia="宋体" w:cs="宋体"/>
          <w:sz w:val="24"/>
          <w:szCs w:val="24"/>
          <w:highlight w:val="none"/>
          <w:lang w:val="en-US" w:eastAsia="zh-CN"/>
        </w:rPr>
        <w:t>自合同签订之日起</w:t>
      </w:r>
      <w:r>
        <w:rPr>
          <w:rFonts w:hint="eastAsia" w:ascii="宋体" w:hAnsi="宋体" w:cs="宋体"/>
          <w:sz w:val="24"/>
          <w:szCs w:val="24"/>
          <w:highlight w:val="none"/>
          <w:lang w:val="en-US" w:eastAsia="zh-CN"/>
        </w:rPr>
        <w:t>1个月</w:t>
      </w:r>
      <w:r>
        <w:rPr>
          <w:rFonts w:hint="eastAsia" w:ascii="宋体" w:hAnsi="宋体" w:eastAsia="宋体" w:cs="宋体"/>
          <w:sz w:val="24"/>
          <w:szCs w:val="24"/>
          <w:highlight w:val="none"/>
          <w:lang w:val="en-US" w:eastAsia="zh-CN"/>
        </w:rPr>
        <w:t>内完成。</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2" w:firstLineChars="196"/>
        <w:textAlignment w:val="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五、质量保证</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0" w:firstLineChars="196"/>
        <w:textAlignment w:val="auto"/>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rPr>
        <w:t>（一）</w:t>
      </w:r>
      <w:r>
        <w:rPr>
          <w:rFonts w:hint="eastAsia" w:ascii="宋体" w:hAnsi="宋体" w:eastAsia="宋体" w:cs="宋体"/>
          <w:sz w:val="24"/>
          <w:szCs w:val="24"/>
          <w:highlight w:val="none"/>
          <w:lang w:val="zh-CN"/>
        </w:rPr>
        <w:t>所选材料必须保证质量可靠、进货渠道正常，符合国家环保等相关标准，满足施工要求。</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0" w:firstLineChars="196"/>
        <w:textAlignment w:val="auto"/>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rPr>
        <w:t>（二）</w:t>
      </w:r>
      <w:r>
        <w:rPr>
          <w:rFonts w:hint="eastAsia" w:ascii="宋体" w:hAnsi="宋体" w:eastAsia="宋体" w:cs="宋体"/>
          <w:sz w:val="24"/>
          <w:szCs w:val="24"/>
          <w:highlight w:val="none"/>
          <w:lang w:val="zh-CN"/>
        </w:rPr>
        <w:t>工程质量符合国家有关规范，确保达到合格。</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0" w:firstLineChars="196"/>
        <w:textAlignment w:val="auto"/>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rPr>
        <w:t>（三）</w:t>
      </w:r>
      <w:r>
        <w:rPr>
          <w:rFonts w:hint="eastAsia" w:ascii="宋体" w:hAnsi="宋体" w:eastAsia="宋体" w:cs="宋体"/>
          <w:sz w:val="24"/>
          <w:szCs w:val="24"/>
          <w:highlight w:val="none"/>
          <w:lang w:val="zh-CN"/>
        </w:rPr>
        <w:t>该工程项目质量保修期按有关文件规定执行。</w:t>
      </w:r>
    </w:p>
    <w:p>
      <w:pPr>
        <w:keepNext w:val="0"/>
        <w:keepLines w:val="0"/>
        <w:pageBreakBefore w:val="0"/>
        <w:widowControl w:val="0"/>
        <w:shd w:val="clear"/>
        <w:kinsoku/>
        <w:wordWrap/>
        <w:overflowPunct/>
        <w:topLinePunct w:val="0"/>
        <w:bidi w:val="0"/>
        <w:spacing w:line="480" w:lineRule="auto"/>
        <w:ind w:firstLine="600" w:firstLineChars="249"/>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六</w:t>
      </w:r>
      <w:r>
        <w:rPr>
          <w:rFonts w:hint="eastAsia" w:ascii="宋体" w:hAnsi="宋体" w:eastAsia="宋体" w:cs="宋体"/>
          <w:b/>
          <w:color w:val="000000"/>
          <w:sz w:val="24"/>
          <w:szCs w:val="24"/>
          <w:highlight w:val="none"/>
        </w:rPr>
        <w:t>、双方责任</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（一）甲方责任：</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1、甲方负责施工场地的提供，排除施工障碍的协调。</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2、组织设计，设计变更及现场签证，工程结算的审定等工作。</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3、对工程进度、质量进行监督检查。</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4、组织有关单位对工程进行竣工验收。</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5、按时支付工程款。</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（二） 乙方责任：</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1、负责办理完成项目使用审批手续，负责工程安全文明施工、承担一切风险，满足甲方工程的需要。保证甲方正式投入使用，再无其他费用发生。</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进入甲方要求场地施工，应服从当地对治安、卫生、环保、社会保险等工程建设的统一管理，并按有关规定交纳费用以及因违反相关规定而造成的罚款。乙方按照国家和当地政府有关规定应采取的任何必要安全防护措施已包含在乙方的合同价款当中，甲方不另行支付。竣工后交甲方竣工图二份及甲方委托乙方办理项目手续的相关资料等，以备留档。</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按照说明进行施工，确保工程按合同规定的时间如期完工和交付；并应接受甲方代表或委派人员的检查、检验，乙方应为甲方人员检查提供便利条件，对不合格的部分按甲方代表及委派人员的要求返工修改，承担由自身原因导致的返工修改费用，工期不予顺延。</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提供的主要材料、设备必须有质量合格证等相关证件方可用于工程，对材料改变或代用必须经原设计单位同意，并发书面通知和甲方代表签证后，方可用于工程，任何一方认为对方提供的材料需要复检的，应允许复检。经复检符合质量要求的，方可用于工程，其复检费由要求一方承担，不符合质量要求的，应按有关规定处理，其复检费由提供材料、设备一方承担。</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5、隐蔽工程在覆盖前必须经甲方代表或现场监理代表验收签章后，方可进行下一道工序。</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6、遵守甲方施工场地的规章制度和管理，做到安全文明施工，做 好成品保护，对甲方提出的问题应在24小时内予以解决或处理；遵守有关施工规范和安全操作规程，如发生安全事故，乙方应及时通知甲方，积极采取有效的补救措施，如因此造成甲方、乙方或第三方人身或财产损失，全部责任由乙方自行承担。</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7、采取有效的安全保障措施，确保施工安全，包括悬挂警示标牌、装设围栏、配备安全人员等，并承担事故的全部费用和责任。</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8、工程竣工后提供竣工验收技术资料及竣工图</w:t>
      </w:r>
      <w:r>
        <w:rPr>
          <w:rFonts w:hint="eastAsia" w:ascii="宋体" w:hAnsi="宋体" w:eastAsia="宋体" w:cs="宋体"/>
          <w:color w:val="000000"/>
          <w:sz w:val="24"/>
          <w:szCs w:val="24"/>
          <w:highlight w:val="none"/>
          <w:u w:val="single"/>
        </w:rPr>
        <w:t>肆</w:t>
      </w:r>
      <w:r>
        <w:rPr>
          <w:rFonts w:hint="eastAsia" w:ascii="宋体" w:hAnsi="宋体" w:eastAsia="宋体" w:cs="宋体"/>
          <w:color w:val="000000"/>
          <w:sz w:val="24"/>
          <w:szCs w:val="24"/>
          <w:highlight w:val="none"/>
        </w:rPr>
        <w:t>套，办理工程竣工结算手续，参加工程竣工验收。</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9、已完工的项目，在交工前乙方应负责保管，清理现场达到建筑物无污染，现场无建筑垃圾。</w:t>
      </w:r>
    </w:p>
    <w:p>
      <w:pPr>
        <w:keepNext w:val="0"/>
        <w:keepLines w:val="0"/>
        <w:pageBreakBefore w:val="0"/>
        <w:widowControl w:val="0"/>
        <w:shd w:val="clear"/>
        <w:kinsoku/>
        <w:wordWrap/>
        <w:overflowPunct/>
        <w:topLinePunct w:val="0"/>
        <w:bidi w:val="0"/>
        <w:spacing w:line="48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10、本工程不得转包。</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11、乙方应在设备运行过程中，对安全隐患进行全面的不定期检查与维护，并对不按安全规程操作的施工单位及时制止，并报甲方进行处理。</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b/>
          <w:sz w:val="24"/>
          <w:szCs w:val="24"/>
          <w:highlight w:val="none"/>
          <w:lang w:val="zh-CN"/>
        </w:rPr>
      </w:pPr>
      <w:r>
        <w:rPr>
          <w:rFonts w:hint="eastAsia" w:ascii="宋体" w:hAnsi="宋体" w:eastAsia="宋体" w:cs="宋体"/>
          <w:color w:val="000000"/>
          <w:sz w:val="24"/>
          <w:szCs w:val="24"/>
          <w:highlight w:val="none"/>
        </w:rPr>
        <w:t>12、乙方不能按合同规定的工期竣工的，应向甲方支付违约金，每逾期一日，支付合同总价款万分之二的违约金，造成甲方损失的，还应赔偿甲方损失。</w:t>
      </w:r>
    </w:p>
    <w:p>
      <w:pPr>
        <w:shd w:val="clear"/>
        <w:spacing w:line="360" w:lineRule="auto"/>
        <w:ind w:firstLine="634" w:firstLineChars="263"/>
        <w:jc w:val="left"/>
        <w:textAlignment w:val="baseline"/>
        <w:rPr>
          <w:rFonts w:ascii="宋体" w:hAnsi="宋体"/>
          <w:b/>
          <w:sz w:val="24"/>
          <w:szCs w:val="24"/>
          <w:highlight w:val="none"/>
        </w:rPr>
      </w:pPr>
      <w:r>
        <w:rPr>
          <w:rFonts w:hint="eastAsia" w:ascii="宋体" w:hAnsi="宋体"/>
          <w:b/>
          <w:sz w:val="24"/>
          <w:szCs w:val="24"/>
          <w:highlight w:val="none"/>
          <w:lang w:eastAsia="zh-CN"/>
        </w:rPr>
        <w:t>七</w:t>
      </w:r>
      <w:r>
        <w:rPr>
          <w:rFonts w:hint="eastAsia" w:ascii="宋体" w:hAnsi="宋体"/>
          <w:b/>
          <w:sz w:val="24"/>
          <w:szCs w:val="24"/>
          <w:highlight w:val="none"/>
        </w:rPr>
        <w:t>、组成合同的文件</w:t>
      </w:r>
    </w:p>
    <w:p>
      <w:pPr>
        <w:keepNext w:val="0"/>
        <w:keepLines w:val="0"/>
        <w:pageBreakBefore w:val="0"/>
        <w:widowControl w:val="0"/>
        <w:shd w:val="clear"/>
        <w:kinsoku/>
        <w:wordWrap/>
        <w:overflowPunct/>
        <w:topLinePunct w:val="0"/>
        <w:bidi w:val="0"/>
        <w:spacing w:line="480" w:lineRule="auto"/>
        <w:ind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1．组成本合同的文件包括：</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(1)本合同书</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eastAsia="zh-CN"/>
        </w:rPr>
        <w:t>成交</w:t>
      </w:r>
      <w:r>
        <w:rPr>
          <w:rFonts w:hint="eastAsia" w:ascii="宋体" w:hAnsi="宋体" w:eastAsia="宋体" w:cs="宋体"/>
          <w:color w:val="000000"/>
          <w:sz w:val="24"/>
          <w:szCs w:val="24"/>
          <w:highlight w:val="none"/>
        </w:rPr>
        <w:t>通知书</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及其附件</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(4)施工组织</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)工程量清单报价组</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2．双方有关工程的洽商、变更等书面协议或文件、补充协议书均视为本合同的组成部分。</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2" w:firstLineChars="196"/>
        <w:textAlignment w:val="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八、验收</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0" w:firstLineChars="196"/>
        <w:textAlignment w:val="auto"/>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rPr>
        <w:t>（一）</w:t>
      </w:r>
      <w:r>
        <w:rPr>
          <w:rFonts w:hint="eastAsia" w:ascii="宋体" w:hAnsi="宋体" w:eastAsia="宋体" w:cs="宋体"/>
          <w:sz w:val="24"/>
          <w:szCs w:val="24"/>
          <w:highlight w:val="none"/>
          <w:lang w:val="zh-CN"/>
        </w:rPr>
        <w:t>主材到现场后，由甲方对其进行验收，确认材料的产地、规格、数量。</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0" w:firstLineChars="196"/>
        <w:textAlignment w:val="auto"/>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rPr>
        <w:t>（二）</w:t>
      </w:r>
      <w:r>
        <w:rPr>
          <w:rFonts w:hint="eastAsia" w:ascii="宋体" w:hAnsi="宋体" w:eastAsia="宋体" w:cs="宋体"/>
          <w:sz w:val="24"/>
          <w:szCs w:val="24"/>
          <w:highlight w:val="none"/>
          <w:lang w:val="zh-CN"/>
        </w:rPr>
        <w:t>乙方工程完工后，进行自检，合格后准备验收文件，并书面通知甲方。</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0" w:firstLineChars="196"/>
        <w:textAlignment w:val="auto"/>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rPr>
        <w:t>（三）</w:t>
      </w:r>
      <w:r>
        <w:rPr>
          <w:rFonts w:hint="eastAsia" w:ascii="宋体" w:hAnsi="宋体" w:eastAsia="宋体" w:cs="宋体"/>
          <w:sz w:val="24"/>
          <w:szCs w:val="24"/>
          <w:highlight w:val="none"/>
          <w:lang w:val="zh-CN"/>
        </w:rPr>
        <w:t>甲方确认乙方的自检内容，验收合格作为工程的最终认可。</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0" w:firstLineChars="196"/>
        <w:textAlignment w:val="auto"/>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rPr>
        <w:t>（四）</w:t>
      </w:r>
      <w:r>
        <w:rPr>
          <w:rFonts w:hint="eastAsia" w:ascii="宋体" w:hAnsi="宋体" w:eastAsia="宋体" w:cs="宋体"/>
          <w:sz w:val="24"/>
          <w:szCs w:val="24"/>
          <w:highlight w:val="none"/>
          <w:lang w:val="zh-CN"/>
        </w:rPr>
        <w:t>验收依据：</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0" w:firstLineChars="196"/>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4-1、合同、磋商文件、磋商响应文件及承诺。</w:t>
      </w:r>
    </w:p>
    <w:p>
      <w:pPr>
        <w:keepNext w:val="0"/>
        <w:keepLines w:val="0"/>
        <w:pageBreakBefore w:val="0"/>
        <w:widowControl w:val="0"/>
        <w:shd w:val="clear"/>
        <w:kinsoku/>
        <w:wordWrap/>
        <w:overflowPunct/>
        <w:topLinePunct w:val="0"/>
        <w:autoSpaceDE w:val="0"/>
        <w:autoSpaceDN w:val="0"/>
        <w:bidi w:val="0"/>
        <w:adjustRightInd w:val="0"/>
        <w:spacing w:line="480" w:lineRule="auto"/>
        <w:ind w:firstLine="470" w:firstLineChars="196"/>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4-2、国家相关</w:t>
      </w:r>
      <w:r>
        <w:rPr>
          <w:rFonts w:hint="eastAsia" w:ascii="宋体" w:hAnsi="宋体" w:eastAsia="宋体" w:cs="宋体"/>
          <w:bCs/>
          <w:sz w:val="24"/>
          <w:szCs w:val="24"/>
          <w:highlight w:val="none"/>
        </w:rPr>
        <w:t>标准、规范及有关技术文件</w:t>
      </w:r>
      <w:r>
        <w:rPr>
          <w:rFonts w:hint="eastAsia" w:ascii="宋体" w:hAnsi="宋体" w:eastAsia="宋体" w:cs="宋体"/>
          <w:sz w:val="24"/>
          <w:szCs w:val="24"/>
          <w:highlight w:val="none"/>
          <w:lang w:val="zh-CN"/>
        </w:rPr>
        <w:t>。</w:t>
      </w:r>
    </w:p>
    <w:p>
      <w:pPr>
        <w:keepNext w:val="0"/>
        <w:keepLines w:val="0"/>
        <w:pageBreakBefore w:val="0"/>
        <w:widowControl w:val="0"/>
        <w:shd w:val="clear"/>
        <w:kinsoku/>
        <w:wordWrap/>
        <w:overflowPunct/>
        <w:topLinePunct w:val="0"/>
        <w:bidi w:val="0"/>
        <w:spacing w:line="48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九</w:t>
      </w:r>
      <w:r>
        <w:rPr>
          <w:rFonts w:hint="eastAsia" w:ascii="宋体" w:hAnsi="宋体" w:eastAsia="宋体" w:cs="宋体"/>
          <w:b/>
          <w:color w:val="000000"/>
          <w:sz w:val="24"/>
          <w:szCs w:val="24"/>
          <w:highlight w:val="none"/>
        </w:rPr>
        <w:t>、争议的解决方式</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合同执行过程中如发生争议，双方应及时协商解决，协商不成， 双方均可向项目所在地人民法院起诉。</w:t>
      </w:r>
    </w:p>
    <w:p>
      <w:pPr>
        <w:keepNext w:val="0"/>
        <w:keepLines w:val="0"/>
        <w:pageBreakBefore w:val="0"/>
        <w:widowControl w:val="0"/>
        <w:shd w:val="clear"/>
        <w:kinsoku/>
        <w:wordWrap/>
        <w:overflowPunct/>
        <w:topLinePunct w:val="0"/>
        <w:bidi w:val="0"/>
        <w:spacing w:line="48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十</w:t>
      </w:r>
      <w:r>
        <w:rPr>
          <w:rFonts w:hint="eastAsia" w:ascii="宋体" w:hAnsi="宋体" w:eastAsia="宋体" w:cs="宋体"/>
          <w:b/>
          <w:color w:val="000000"/>
          <w:sz w:val="24"/>
          <w:szCs w:val="24"/>
          <w:highlight w:val="none"/>
        </w:rPr>
        <w:t>、其他</w:t>
      </w:r>
    </w:p>
    <w:p>
      <w:pPr>
        <w:keepNext w:val="0"/>
        <w:keepLines w:val="0"/>
        <w:pageBreakBefore w:val="0"/>
        <w:widowControl w:val="0"/>
        <w:shd w:val="clear"/>
        <w:kinsoku/>
        <w:wordWrap/>
        <w:overflowPunct/>
        <w:topLinePunct w:val="0"/>
        <w:bidi w:val="0"/>
        <w:spacing w:line="480" w:lineRule="auto"/>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本合同未定事宜，双方可根据具体情况结合有关规定另行签订补充协议，补充协议与本合同具有同等法律效力。</w:t>
      </w:r>
    </w:p>
    <w:p>
      <w:pPr>
        <w:keepNext w:val="0"/>
        <w:keepLines w:val="0"/>
        <w:pageBreakBefore w:val="0"/>
        <w:widowControl w:val="0"/>
        <w:shd w:val="clear"/>
        <w:kinsoku/>
        <w:wordWrap/>
        <w:overflowPunct/>
        <w:topLinePunct w:val="0"/>
        <w:bidi w:val="0"/>
        <w:spacing w:line="48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w:t>
      </w:r>
      <w:r>
        <w:rPr>
          <w:rFonts w:hint="eastAsia" w:ascii="宋体" w:hAnsi="宋体" w:eastAsia="宋体" w:cs="宋体"/>
          <w:b/>
          <w:color w:val="000000"/>
          <w:sz w:val="24"/>
          <w:szCs w:val="24"/>
          <w:highlight w:val="none"/>
          <w:lang w:eastAsia="zh-CN"/>
        </w:rPr>
        <w:t>一</w:t>
      </w:r>
      <w:r>
        <w:rPr>
          <w:rFonts w:hint="eastAsia" w:ascii="宋体" w:hAnsi="宋体" w:eastAsia="宋体" w:cs="宋体"/>
          <w:b/>
          <w:color w:val="000000"/>
          <w:sz w:val="24"/>
          <w:szCs w:val="24"/>
          <w:highlight w:val="none"/>
        </w:rPr>
        <w:t>、附则</w:t>
      </w:r>
    </w:p>
    <w:p>
      <w:pPr>
        <w:keepNext w:val="0"/>
        <w:keepLines w:val="0"/>
        <w:pageBreakBefore w:val="0"/>
        <w:widowControl w:val="0"/>
        <w:shd w:val="clear"/>
        <w:tabs>
          <w:tab w:val="left" w:pos="0"/>
        </w:tabs>
        <w:kinsoku/>
        <w:wordWrap/>
        <w:overflowPunct/>
        <w:topLinePunct w:val="0"/>
        <w:bidi w:val="0"/>
        <w:spacing w:line="48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（一）本合同一式</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份，正本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份，甲、乙方各执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份，副本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份，甲方执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份，乙方执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w:t>
      </w:r>
    </w:p>
    <w:p>
      <w:pPr>
        <w:keepNext w:val="0"/>
        <w:keepLines w:val="0"/>
        <w:pageBreakBefore w:val="0"/>
        <w:widowControl w:val="0"/>
        <w:shd w:val="clear"/>
        <w:kinsoku/>
        <w:wordWrap/>
        <w:overflowPunct/>
        <w:topLinePunct w:val="0"/>
        <w:bidi w:val="0"/>
        <w:spacing w:line="480" w:lineRule="auto"/>
        <w:ind w:firstLine="480" w:firstLineChars="200"/>
        <w:textAlignment w:val="auto"/>
        <w:rPr>
          <w:rFonts w:hint="eastAsia" w:ascii="宋体" w:hAnsi="宋体" w:eastAsia="宋体" w:cs="宋体"/>
          <w:spacing w:val="-20"/>
          <w:kern w:val="0"/>
          <w:sz w:val="24"/>
          <w:szCs w:val="24"/>
          <w:highlight w:val="none"/>
        </w:rPr>
      </w:pPr>
      <w:r>
        <w:rPr>
          <w:rFonts w:hint="eastAsia" w:ascii="宋体" w:hAnsi="宋体" w:eastAsia="宋体" w:cs="宋体"/>
          <w:color w:val="000000"/>
          <w:sz w:val="24"/>
          <w:szCs w:val="24"/>
          <w:highlight w:val="none"/>
        </w:rPr>
        <w:t>（二）合同经双方盖章后生效，各条款执行完毕后终止。</w:t>
      </w:r>
    </w:p>
    <w:tbl>
      <w:tblPr>
        <w:tblStyle w:val="35"/>
        <w:tblW w:w="8403" w:type="dxa"/>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甲  方</w:t>
            </w:r>
          </w:p>
        </w:tc>
        <w:tc>
          <w:tcPr>
            <w:tcW w:w="4202"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乙  方</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ind w:firstLine="700" w:firstLineChars="35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（盖章）</w:t>
            </w:r>
          </w:p>
        </w:tc>
        <w:tc>
          <w:tcPr>
            <w:tcW w:w="4202"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ind w:firstLine="800" w:firstLineChars="400"/>
              <w:textAlignment w:val="auto"/>
              <w:rPr>
                <w:rFonts w:hint="eastAsia" w:ascii="宋体" w:hAnsi="宋体" w:eastAsia="宋体" w:cs="宋体"/>
                <w:spacing w:val="-20"/>
                <w:kern w:val="0"/>
                <w:sz w:val="24"/>
                <w:szCs w:val="24"/>
                <w:highlight w:val="none"/>
              </w:rPr>
            </w:pPr>
            <w:r>
              <w:rPr>
                <w:rFonts w:hint="eastAsia" w:ascii="宋体" w:hAnsi="宋体" w:eastAsia="宋体" w:cs="宋体"/>
                <w:spacing w:val="-20"/>
                <w:kern w:val="0"/>
                <w:sz w:val="24"/>
                <w:szCs w:val="24"/>
                <w:highlight w:val="none"/>
              </w:rPr>
              <w:t>（盖章）</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 xml:space="preserve">地址： </w:t>
            </w:r>
          </w:p>
        </w:tc>
        <w:tc>
          <w:tcPr>
            <w:tcW w:w="4202"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地址：</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邮编：</w:t>
            </w:r>
          </w:p>
        </w:tc>
        <w:tc>
          <w:tcPr>
            <w:tcW w:w="4202"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邮编：</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 xml:space="preserve">法定代表人： </w:t>
            </w:r>
          </w:p>
        </w:tc>
        <w:tc>
          <w:tcPr>
            <w:tcW w:w="4202"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法定代表人：</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被授权代表：</w:t>
            </w:r>
          </w:p>
        </w:tc>
        <w:tc>
          <w:tcPr>
            <w:tcW w:w="4202"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被授权代表：</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电话：</w:t>
            </w:r>
          </w:p>
        </w:tc>
        <w:tc>
          <w:tcPr>
            <w:tcW w:w="4202"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ind w:left="840" w:hanging="720" w:hangingChars="300"/>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电话：</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传真：</w:t>
            </w:r>
          </w:p>
        </w:tc>
        <w:tc>
          <w:tcPr>
            <w:tcW w:w="4202"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传真：</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开户银行：</w:t>
            </w:r>
          </w:p>
        </w:tc>
        <w:tc>
          <w:tcPr>
            <w:tcW w:w="4202"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开户银行：</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日期：</w:t>
            </w:r>
          </w:p>
        </w:tc>
        <w:tc>
          <w:tcPr>
            <w:tcW w:w="4202" w:type="dxa"/>
            <w:noWrap w:val="0"/>
            <w:vAlign w:val="center"/>
          </w:tcPr>
          <w:p>
            <w:pPr>
              <w:keepNext w:val="0"/>
              <w:keepLines w:val="0"/>
              <w:pageBreakBefore w:val="0"/>
              <w:widowControl w:val="0"/>
              <w:shd w:val="clear"/>
              <w:kinsoku/>
              <w:wordWrap/>
              <w:overflowPunct/>
              <w:topLinePunct w:val="0"/>
              <w:autoSpaceDE w:val="0"/>
              <w:autoSpaceDN w:val="0"/>
              <w:bidi w:val="0"/>
              <w:adjustRightInd w:val="0"/>
              <w:spacing w:line="480" w:lineRule="auto"/>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日期：</w:t>
            </w:r>
          </w:p>
        </w:tc>
      </w:tr>
    </w:tbl>
    <w:p>
      <w:pPr>
        <w:shd w:val="clear"/>
        <w:jc w:val="left"/>
        <w:rPr>
          <w:highlight w:val="none"/>
        </w:rPr>
      </w:pPr>
    </w:p>
    <w:p>
      <w:pPr>
        <w:shd w:val="clear"/>
        <w:rPr>
          <w:highlight w:val="none"/>
        </w:rPr>
      </w:pPr>
    </w:p>
    <w:p>
      <w:pPr>
        <w:shd w:val="clear"/>
        <w:spacing w:line="360" w:lineRule="auto"/>
        <w:rPr>
          <w:sz w:val="24"/>
          <w:szCs w:val="24"/>
          <w:highlight w:val="none"/>
        </w:rPr>
      </w:pPr>
    </w:p>
    <w:p>
      <w:pPr>
        <w:shd w:val="clear"/>
        <w:spacing w:line="360" w:lineRule="auto"/>
        <w:rPr>
          <w:sz w:val="24"/>
          <w:szCs w:val="24"/>
          <w:highlight w:val="none"/>
        </w:rPr>
      </w:pPr>
    </w:p>
    <w:p>
      <w:pPr>
        <w:shd w:val="clear"/>
        <w:spacing w:line="360" w:lineRule="auto"/>
        <w:rPr>
          <w:sz w:val="24"/>
          <w:szCs w:val="24"/>
          <w:highlight w:val="none"/>
        </w:rPr>
      </w:pPr>
    </w:p>
    <w:p>
      <w:pPr>
        <w:shd w:val="clear"/>
        <w:spacing w:line="360" w:lineRule="auto"/>
        <w:rPr>
          <w:sz w:val="24"/>
          <w:szCs w:val="24"/>
          <w:highlight w:val="none"/>
        </w:rPr>
      </w:pPr>
    </w:p>
    <w:p>
      <w:pPr>
        <w:shd w:val="clear"/>
        <w:spacing w:line="360" w:lineRule="auto"/>
        <w:rPr>
          <w:sz w:val="24"/>
          <w:szCs w:val="24"/>
          <w:highlight w:val="none"/>
        </w:rPr>
      </w:pPr>
    </w:p>
    <w:p>
      <w:pPr>
        <w:shd w:val="clear"/>
        <w:spacing w:line="360" w:lineRule="auto"/>
        <w:rPr>
          <w:sz w:val="24"/>
          <w:szCs w:val="24"/>
          <w:highlight w:val="none"/>
        </w:rPr>
      </w:pPr>
    </w:p>
    <w:p>
      <w:pPr>
        <w:pStyle w:val="3"/>
        <w:keepNext w:val="0"/>
        <w:pageBreakBefore/>
        <w:numPr>
          <w:ilvl w:val="0"/>
          <w:numId w:val="7"/>
        </w:numPr>
        <w:shd w:val="clear"/>
        <w:spacing w:line="350" w:lineRule="auto"/>
        <w:jc w:val="center"/>
        <w:rPr>
          <w:rFonts w:hint="eastAsia" w:cs="宋体"/>
          <w:sz w:val="36"/>
          <w:szCs w:val="36"/>
          <w:highlight w:val="none"/>
        </w:rPr>
      </w:pPr>
      <w:bookmarkStart w:id="75" w:name="_Toc421778378"/>
      <w:bookmarkStart w:id="76" w:name="_Toc16582"/>
      <w:r>
        <w:rPr>
          <w:rFonts w:hint="eastAsia" w:cs="宋体"/>
          <w:sz w:val="36"/>
          <w:szCs w:val="36"/>
          <w:highlight w:val="none"/>
        </w:rPr>
        <w:t xml:space="preserve"> 工程量清单</w:t>
      </w:r>
      <w:bookmarkEnd w:id="75"/>
      <w:bookmarkEnd w:id="76"/>
      <w:bookmarkStart w:id="77" w:name="_Toc421778381"/>
      <w:r>
        <w:rPr>
          <w:rFonts w:hint="eastAsia" w:cs="宋体"/>
          <w:sz w:val="36"/>
          <w:szCs w:val="36"/>
          <w:highlight w:val="none"/>
          <w:lang w:eastAsia="zh-CN"/>
        </w:rPr>
        <w:t>（后附）</w:t>
      </w:r>
    </w:p>
    <w:p>
      <w:pPr>
        <w:pStyle w:val="2"/>
        <w:shd w:val="clear"/>
        <w:spacing w:line="360" w:lineRule="auto"/>
        <w:rPr>
          <w:rFonts w:hint="eastAsia"/>
          <w:sz w:val="24"/>
          <w:szCs w:val="24"/>
          <w:highlight w:val="none"/>
          <w:lang w:eastAsia="zh-CN"/>
        </w:rPr>
      </w:pPr>
      <w:r>
        <w:rPr>
          <w:rFonts w:hint="eastAsia"/>
          <w:sz w:val="24"/>
          <w:szCs w:val="24"/>
          <w:highlight w:val="none"/>
          <w:lang w:eastAsia="zh-CN"/>
        </w:rPr>
        <w:t>（广联达软件版本号为：5.4100.23.603）</w:t>
      </w:r>
    </w:p>
    <w:p>
      <w:pPr>
        <w:rPr>
          <w:rFonts w:hint="eastAsia"/>
          <w:b/>
          <w:bCs/>
          <w:sz w:val="24"/>
          <w:szCs w:val="24"/>
          <w:highlight w:val="none"/>
          <w:lang w:eastAsia="zh-CN"/>
        </w:rPr>
      </w:pPr>
      <w:r>
        <w:rPr>
          <w:rFonts w:hint="eastAsia"/>
          <w:b/>
          <w:bCs/>
          <w:sz w:val="24"/>
          <w:szCs w:val="24"/>
          <w:highlight w:val="none"/>
          <w:lang w:eastAsia="zh-CN"/>
        </w:rPr>
        <w:t>华阳小区：</w:t>
      </w:r>
    </w:p>
    <w:tbl>
      <w:tblPr>
        <w:tblStyle w:val="35"/>
        <w:tblW w:w="9127" w:type="dxa"/>
        <w:tblInd w:w="0" w:type="dxa"/>
        <w:shd w:val="clear" w:color="auto" w:fill="auto"/>
        <w:tblLayout w:type="fixed"/>
        <w:tblCellMar>
          <w:top w:w="0" w:type="dxa"/>
          <w:left w:w="0" w:type="dxa"/>
          <w:bottom w:w="0" w:type="dxa"/>
          <w:right w:w="0" w:type="dxa"/>
        </w:tblCellMar>
      </w:tblPr>
      <w:tblGrid>
        <w:gridCol w:w="652"/>
        <w:gridCol w:w="1350"/>
        <w:gridCol w:w="3293"/>
        <w:gridCol w:w="1102"/>
        <w:gridCol w:w="960"/>
        <w:gridCol w:w="368"/>
        <w:gridCol w:w="1402"/>
      </w:tblGrid>
      <w:tr>
        <w:tblPrEx>
          <w:shd w:val="clear" w:color="auto" w:fill="auto"/>
          <w:tblCellMar>
            <w:top w:w="0" w:type="dxa"/>
            <w:left w:w="0" w:type="dxa"/>
            <w:bottom w:w="0" w:type="dxa"/>
            <w:right w:w="0" w:type="dxa"/>
          </w:tblCellMar>
        </w:tblPrEx>
        <w:trPr>
          <w:trHeight w:val="795" w:hRule="atLeast"/>
        </w:trPr>
        <w:tc>
          <w:tcPr>
            <w:tcW w:w="9127"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分部分项工程量清单</w:t>
            </w:r>
          </w:p>
        </w:tc>
      </w:tr>
      <w:tr>
        <w:tblPrEx>
          <w:tblCellMar>
            <w:top w:w="0" w:type="dxa"/>
            <w:left w:w="0" w:type="dxa"/>
            <w:bottom w:w="0" w:type="dxa"/>
            <w:right w:w="0" w:type="dxa"/>
          </w:tblCellMar>
        </w:tblPrEx>
        <w:trPr>
          <w:trHeight w:val="825" w:hRule="atLeast"/>
        </w:trPr>
        <w:tc>
          <w:tcPr>
            <w:tcW w:w="5295"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工程名称：华阳小区基础设施改造提升</w:t>
            </w:r>
          </w:p>
        </w:tc>
        <w:tc>
          <w:tcPr>
            <w:tcW w:w="2430"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专业：市政土建</w:t>
            </w:r>
          </w:p>
        </w:tc>
        <w:tc>
          <w:tcPr>
            <w:tcW w:w="1402" w:type="dxa"/>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652"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5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4395"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1770" w:type="dxa"/>
            <w:gridSpan w:val="2"/>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工程数量</w:t>
            </w:r>
          </w:p>
        </w:tc>
      </w:tr>
      <w:tr>
        <w:tblPrEx>
          <w:tblCellMar>
            <w:top w:w="0" w:type="dxa"/>
            <w:left w:w="0" w:type="dxa"/>
            <w:bottom w:w="0" w:type="dxa"/>
            <w:right w:w="0" w:type="dxa"/>
          </w:tblCellMar>
        </w:tblPrEx>
        <w:trPr>
          <w:trHeight w:val="1845" w:hRule="atLeast"/>
        </w:trPr>
        <w:tc>
          <w:tcPr>
            <w:tcW w:w="65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040801003001</w:t>
            </w: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拆除人行道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1.材质:渗水砖；10cm混凝土垫层，20cm灰土基层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2.运输</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77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r>
      <w:tr>
        <w:tblPrEx>
          <w:tblCellMar>
            <w:top w:w="0" w:type="dxa"/>
            <w:left w:w="0" w:type="dxa"/>
            <w:bottom w:w="0" w:type="dxa"/>
            <w:right w:w="0" w:type="dxa"/>
          </w:tblCellMar>
        </w:tblPrEx>
        <w:trPr>
          <w:trHeight w:val="2355" w:hRule="atLeast"/>
        </w:trPr>
        <w:tc>
          <w:tcPr>
            <w:tcW w:w="65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040204001001</w:t>
            </w: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人行道块料铺设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1.材质:渗水砖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2.垫层材料品种、厚度、强度:C20混凝土垫层,20cm灰土基层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1.整形碾压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2.垫层、基础铺筑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3.块料铺设</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77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r>
      <w:tr>
        <w:tblPrEx>
          <w:tblCellMar>
            <w:top w:w="0" w:type="dxa"/>
            <w:left w:w="0" w:type="dxa"/>
            <w:bottom w:w="0" w:type="dxa"/>
            <w:right w:w="0" w:type="dxa"/>
          </w:tblCellMar>
        </w:tblPrEx>
        <w:trPr>
          <w:trHeight w:val="1590" w:hRule="atLeast"/>
        </w:trPr>
        <w:tc>
          <w:tcPr>
            <w:tcW w:w="65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040801004001</w:t>
            </w: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拆除侧缘石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1.材质:混凝土路缘石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2.运输</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77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r>
      <w:tr>
        <w:tblPrEx>
          <w:tblCellMar>
            <w:top w:w="0" w:type="dxa"/>
            <w:left w:w="0" w:type="dxa"/>
            <w:bottom w:w="0" w:type="dxa"/>
            <w:right w:w="0" w:type="dxa"/>
          </w:tblCellMar>
        </w:tblPrEx>
        <w:trPr>
          <w:trHeight w:val="2100" w:hRule="atLeast"/>
        </w:trPr>
        <w:tc>
          <w:tcPr>
            <w:tcW w:w="65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040204003001</w:t>
            </w: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安砌侧（平、缘）石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1.材料:混凝土路缘石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2.垫层、基础：材料品种、厚度、强度:C20混凝土靠背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1.垫层、基础铺筑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2.侧（平、缘）石安砌</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77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r>
      <w:tr>
        <w:tblPrEx>
          <w:tblCellMar>
            <w:top w:w="0" w:type="dxa"/>
            <w:left w:w="0" w:type="dxa"/>
            <w:bottom w:w="0" w:type="dxa"/>
            <w:right w:w="0" w:type="dxa"/>
          </w:tblCellMar>
        </w:tblPrEx>
        <w:trPr>
          <w:trHeight w:val="1845" w:hRule="atLeast"/>
        </w:trPr>
        <w:tc>
          <w:tcPr>
            <w:tcW w:w="65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040801001001</w:t>
            </w: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拆除路面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1.材质:20cmC30混凝土路面，20cm3:7灰土基层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2.运输</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77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909</w:t>
            </w:r>
          </w:p>
        </w:tc>
      </w:tr>
      <w:tr>
        <w:tblPrEx>
          <w:tblCellMar>
            <w:top w:w="0" w:type="dxa"/>
            <w:left w:w="0" w:type="dxa"/>
            <w:bottom w:w="0" w:type="dxa"/>
            <w:right w:w="0" w:type="dxa"/>
          </w:tblCellMar>
        </w:tblPrEx>
        <w:trPr>
          <w:trHeight w:val="3270" w:hRule="atLeast"/>
        </w:trPr>
        <w:tc>
          <w:tcPr>
            <w:tcW w:w="65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040203005001</w:t>
            </w: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水泥混凝土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1.混凝土强度等级、石料最大粒径:C30混凝土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2.厚度:20cm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1.传力杆及套筒制作、安装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2.混凝土浇筑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3.拉毛或压痕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4.伸缝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5.缩缝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6.锯缝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7.嵌缝</w:t>
            </w:r>
          </w:p>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8.路面养生</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77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909</w:t>
            </w:r>
          </w:p>
        </w:tc>
      </w:tr>
      <w:tr>
        <w:tblPrEx>
          <w:tblCellMar>
            <w:top w:w="0" w:type="dxa"/>
            <w:left w:w="0" w:type="dxa"/>
            <w:bottom w:w="0" w:type="dxa"/>
            <w:right w:w="0" w:type="dxa"/>
          </w:tblCellMar>
        </w:tblPrEx>
        <w:trPr>
          <w:trHeight w:val="3270" w:hRule="atLeast"/>
        </w:trPr>
        <w:tc>
          <w:tcPr>
            <w:tcW w:w="65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040103002001</w:t>
            </w: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余方弃置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1.废弃料品种:垃圾外运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2.人工装车、三轮车外运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3.运距:5km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1.余方点装料运输至弃置点</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m3</w:t>
            </w:r>
          </w:p>
        </w:tc>
        <w:tc>
          <w:tcPr>
            <w:tcW w:w="1770"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w:t>
            </w: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b/>
          <w:bCs/>
          <w:sz w:val="24"/>
          <w:szCs w:val="24"/>
          <w:lang w:eastAsia="zh-CN"/>
        </w:rPr>
      </w:pPr>
      <w:r>
        <w:rPr>
          <w:rFonts w:hint="eastAsia"/>
          <w:b/>
          <w:bCs/>
          <w:sz w:val="24"/>
          <w:szCs w:val="24"/>
          <w:lang w:eastAsia="zh-CN"/>
        </w:rPr>
        <w:t>秦岭小区：</w:t>
      </w:r>
    </w:p>
    <w:tbl>
      <w:tblPr>
        <w:tblStyle w:val="35"/>
        <w:tblW w:w="8557" w:type="dxa"/>
        <w:tblInd w:w="0" w:type="dxa"/>
        <w:shd w:val="clear" w:color="auto" w:fill="auto"/>
        <w:tblLayout w:type="fixed"/>
        <w:tblCellMar>
          <w:top w:w="0" w:type="dxa"/>
          <w:left w:w="0" w:type="dxa"/>
          <w:bottom w:w="0" w:type="dxa"/>
          <w:right w:w="0" w:type="dxa"/>
        </w:tblCellMar>
      </w:tblPr>
      <w:tblGrid>
        <w:gridCol w:w="712"/>
        <w:gridCol w:w="1320"/>
        <w:gridCol w:w="3263"/>
        <w:gridCol w:w="487"/>
        <w:gridCol w:w="1320"/>
        <w:gridCol w:w="623"/>
        <w:gridCol w:w="832"/>
      </w:tblGrid>
      <w:tr>
        <w:tblPrEx>
          <w:shd w:val="clear" w:color="auto" w:fill="auto"/>
          <w:tblCellMar>
            <w:top w:w="0" w:type="dxa"/>
            <w:left w:w="0" w:type="dxa"/>
            <w:bottom w:w="0" w:type="dxa"/>
            <w:right w:w="0" w:type="dxa"/>
          </w:tblCellMar>
        </w:tblPrEx>
        <w:trPr>
          <w:trHeight w:val="795" w:hRule="atLeast"/>
        </w:trPr>
        <w:tc>
          <w:tcPr>
            <w:tcW w:w="8557"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分部分项工程量清单</w:t>
            </w:r>
          </w:p>
        </w:tc>
      </w:tr>
      <w:tr>
        <w:tblPrEx>
          <w:tblCellMar>
            <w:top w:w="0" w:type="dxa"/>
            <w:left w:w="0" w:type="dxa"/>
            <w:bottom w:w="0" w:type="dxa"/>
            <w:right w:w="0" w:type="dxa"/>
          </w:tblCellMar>
        </w:tblPrEx>
        <w:trPr>
          <w:trHeight w:val="825" w:hRule="atLeast"/>
        </w:trPr>
        <w:tc>
          <w:tcPr>
            <w:tcW w:w="5295"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工程名称：秦岭小区基础设施改造提升</w:t>
            </w:r>
          </w:p>
        </w:tc>
        <w:tc>
          <w:tcPr>
            <w:tcW w:w="2430"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专业：市政土建</w:t>
            </w:r>
          </w:p>
        </w:tc>
        <w:tc>
          <w:tcPr>
            <w:tcW w:w="832" w:type="dxa"/>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712"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2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3750"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32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1455" w:type="dxa"/>
            <w:gridSpan w:val="2"/>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工程数量</w:t>
            </w:r>
          </w:p>
        </w:tc>
      </w:tr>
      <w:tr>
        <w:tblPrEx>
          <w:tblCellMar>
            <w:top w:w="0" w:type="dxa"/>
            <w:left w:w="0" w:type="dxa"/>
            <w:bottom w:w="0" w:type="dxa"/>
            <w:right w:w="0" w:type="dxa"/>
          </w:tblCellMar>
        </w:tblPrEx>
        <w:trPr>
          <w:trHeight w:val="1590"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040801004001</w:t>
            </w:r>
          </w:p>
        </w:tc>
        <w:tc>
          <w:tcPr>
            <w:tcW w:w="37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拆除侧缘石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1.材质:混凝土路缘石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2.运输</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45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r>
      <w:tr>
        <w:tblPrEx>
          <w:tblCellMar>
            <w:top w:w="0" w:type="dxa"/>
            <w:left w:w="0" w:type="dxa"/>
            <w:bottom w:w="0" w:type="dxa"/>
            <w:right w:w="0" w:type="dxa"/>
          </w:tblCellMar>
        </w:tblPrEx>
        <w:trPr>
          <w:trHeight w:val="2100"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040204003001</w:t>
            </w:r>
          </w:p>
        </w:tc>
        <w:tc>
          <w:tcPr>
            <w:tcW w:w="37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安砌侧（平、缘）石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1.材料:混凝土路缘石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2.垫层、基础：材料品种、厚度、强度:C20混凝土靠背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1.垫层、基础铺筑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2.侧（平、缘）石安砌</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45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r>
      <w:tr>
        <w:tblPrEx>
          <w:tblCellMar>
            <w:top w:w="0" w:type="dxa"/>
            <w:left w:w="0" w:type="dxa"/>
            <w:bottom w:w="0" w:type="dxa"/>
            <w:right w:w="0" w:type="dxa"/>
          </w:tblCellMar>
        </w:tblPrEx>
        <w:trPr>
          <w:trHeight w:val="1335"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DB003</w:t>
            </w:r>
          </w:p>
        </w:tc>
        <w:tc>
          <w:tcPr>
            <w:tcW w:w="37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路缘石喷涂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1.路缘石喷涂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1.刷漆</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45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5562</w:t>
            </w:r>
          </w:p>
        </w:tc>
      </w:tr>
      <w:tr>
        <w:tblPrEx>
          <w:tblCellMar>
            <w:top w:w="0" w:type="dxa"/>
            <w:left w:w="0" w:type="dxa"/>
            <w:bottom w:w="0" w:type="dxa"/>
            <w:right w:w="0" w:type="dxa"/>
          </w:tblCellMar>
        </w:tblPrEx>
        <w:trPr>
          <w:trHeight w:val="1335"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DB001</w:t>
            </w:r>
          </w:p>
        </w:tc>
        <w:tc>
          <w:tcPr>
            <w:tcW w:w="37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更换井圈、井盖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1.更换井圈、井盖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1.安装</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45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CellMar>
            <w:top w:w="0" w:type="dxa"/>
            <w:left w:w="0" w:type="dxa"/>
            <w:bottom w:w="0" w:type="dxa"/>
            <w:right w:w="0" w:type="dxa"/>
          </w:tblCellMar>
        </w:tblPrEx>
        <w:trPr>
          <w:trHeight w:val="1335"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040205006001</w:t>
            </w:r>
          </w:p>
        </w:tc>
        <w:tc>
          <w:tcPr>
            <w:tcW w:w="37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车位划线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1.油漆品种:冷漆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1.画线</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km</w:t>
            </w:r>
          </w:p>
        </w:tc>
        <w:tc>
          <w:tcPr>
            <w:tcW w:w="145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9.445</w:t>
            </w:r>
          </w:p>
        </w:tc>
      </w:tr>
      <w:tr>
        <w:tblPrEx>
          <w:tblCellMar>
            <w:top w:w="0" w:type="dxa"/>
            <w:left w:w="0" w:type="dxa"/>
            <w:bottom w:w="0" w:type="dxa"/>
            <w:right w:w="0" w:type="dxa"/>
          </w:tblCellMar>
        </w:tblPrEx>
        <w:trPr>
          <w:trHeight w:val="1335"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DB002</w:t>
            </w:r>
          </w:p>
        </w:tc>
        <w:tc>
          <w:tcPr>
            <w:tcW w:w="37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交通标识饰新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1.禁停标识刷漆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1.刷漆</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45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2100"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040204001001</w:t>
            </w:r>
          </w:p>
        </w:tc>
        <w:tc>
          <w:tcPr>
            <w:tcW w:w="37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广场地面块料铺设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1.材质:渗水砖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2.垫层材料品种、厚度、强度:C20混凝土垫层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1.整形碾压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2.垫层、基础铺筑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3.块料铺设</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45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CellMar>
            <w:top w:w="0" w:type="dxa"/>
            <w:left w:w="0" w:type="dxa"/>
            <w:bottom w:w="0" w:type="dxa"/>
            <w:right w:w="0" w:type="dxa"/>
          </w:tblCellMar>
        </w:tblPrEx>
        <w:trPr>
          <w:trHeight w:val="1080" w:hRule="atLeast"/>
        </w:trPr>
        <w:tc>
          <w:tcPr>
            <w:tcW w:w="71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040103002001</w:t>
            </w:r>
          </w:p>
        </w:tc>
        <w:tc>
          <w:tcPr>
            <w:tcW w:w="375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余方弃置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1.废弃料品种:垃圾外运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2.人工装车、三轮车外运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3.运距:5km</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45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b/>
          <w:bCs/>
          <w:sz w:val="24"/>
          <w:szCs w:val="24"/>
          <w:lang w:eastAsia="zh-CN"/>
        </w:rPr>
      </w:pPr>
      <w:r>
        <w:rPr>
          <w:rFonts w:hint="eastAsia"/>
          <w:b/>
          <w:bCs/>
          <w:sz w:val="24"/>
          <w:szCs w:val="24"/>
          <w:lang w:eastAsia="zh-CN"/>
        </w:rPr>
        <w:t>铁诺小区：</w:t>
      </w:r>
    </w:p>
    <w:tbl>
      <w:tblPr>
        <w:tblStyle w:val="35"/>
        <w:tblW w:w="8617" w:type="dxa"/>
        <w:tblInd w:w="0" w:type="dxa"/>
        <w:shd w:val="clear" w:color="auto" w:fill="auto"/>
        <w:tblLayout w:type="fixed"/>
        <w:tblCellMar>
          <w:top w:w="0" w:type="dxa"/>
          <w:left w:w="0" w:type="dxa"/>
          <w:bottom w:w="0" w:type="dxa"/>
          <w:right w:w="0" w:type="dxa"/>
        </w:tblCellMar>
      </w:tblPr>
      <w:tblGrid>
        <w:gridCol w:w="742"/>
        <w:gridCol w:w="1290"/>
        <w:gridCol w:w="3263"/>
        <w:gridCol w:w="727"/>
        <w:gridCol w:w="1200"/>
        <w:gridCol w:w="503"/>
        <w:gridCol w:w="892"/>
      </w:tblGrid>
      <w:tr>
        <w:tblPrEx>
          <w:shd w:val="clear" w:color="auto" w:fill="auto"/>
          <w:tblCellMar>
            <w:top w:w="0" w:type="dxa"/>
            <w:left w:w="0" w:type="dxa"/>
            <w:bottom w:w="0" w:type="dxa"/>
            <w:right w:w="0" w:type="dxa"/>
          </w:tblCellMar>
        </w:tblPrEx>
        <w:trPr>
          <w:trHeight w:val="795" w:hRule="atLeast"/>
        </w:trPr>
        <w:tc>
          <w:tcPr>
            <w:tcW w:w="8617"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分部分项工程量清单</w:t>
            </w:r>
          </w:p>
        </w:tc>
      </w:tr>
      <w:tr>
        <w:tblPrEx>
          <w:tblCellMar>
            <w:top w:w="0" w:type="dxa"/>
            <w:left w:w="0" w:type="dxa"/>
            <w:bottom w:w="0" w:type="dxa"/>
            <w:right w:w="0" w:type="dxa"/>
          </w:tblCellMar>
        </w:tblPrEx>
        <w:trPr>
          <w:trHeight w:val="825" w:hRule="atLeast"/>
        </w:trPr>
        <w:tc>
          <w:tcPr>
            <w:tcW w:w="5295"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工程名称：铁诺小区基础设施改造提升</w:t>
            </w:r>
          </w:p>
        </w:tc>
        <w:tc>
          <w:tcPr>
            <w:tcW w:w="2430"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专业：市政土建</w:t>
            </w:r>
          </w:p>
        </w:tc>
        <w:tc>
          <w:tcPr>
            <w:tcW w:w="892" w:type="dxa"/>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742"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9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3990"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20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1395" w:type="dxa"/>
            <w:gridSpan w:val="2"/>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工程数量</w:t>
            </w:r>
          </w:p>
        </w:tc>
      </w:tr>
      <w:tr>
        <w:tblPrEx>
          <w:tblCellMar>
            <w:top w:w="0" w:type="dxa"/>
            <w:left w:w="0" w:type="dxa"/>
            <w:bottom w:w="0" w:type="dxa"/>
            <w:right w:w="0" w:type="dxa"/>
          </w:tblCellMar>
        </w:tblPrEx>
        <w:trPr>
          <w:trHeight w:val="1590"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040801004001</w:t>
            </w:r>
          </w:p>
        </w:tc>
        <w:tc>
          <w:tcPr>
            <w:tcW w:w="399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拆除侧缘石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1.材质:混凝土路缘石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2.运输</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r>
      <w:tr>
        <w:tblPrEx>
          <w:tblCellMar>
            <w:top w:w="0" w:type="dxa"/>
            <w:left w:w="0" w:type="dxa"/>
            <w:bottom w:w="0" w:type="dxa"/>
            <w:right w:w="0" w:type="dxa"/>
          </w:tblCellMar>
        </w:tblPrEx>
        <w:trPr>
          <w:trHeight w:val="2100"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040204003001</w:t>
            </w:r>
          </w:p>
        </w:tc>
        <w:tc>
          <w:tcPr>
            <w:tcW w:w="399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安砌侧（平、缘）石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1.材料:混凝土路缘石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2.垫层、基础：材料品种、厚度、强度:C20混凝土靠背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1.垫层、基础铺筑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2.侧（平、缘）石安砌</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r>
      <w:tr>
        <w:tblPrEx>
          <w:tblCellMar>
            <w:top w:w="0" w:type="dxa"/>
            <w:left w:w="0" w:type="dxa"/>
            <w:bottom w:w="0" w:type="dxa"/>
            <w:right w:w="0" w:type="dxa"/>
          </w:tblCellMar>
        </w:tblPrEx>
        <w:trPr>
          <w:trHeight w:val="133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DB003</w:t>
            </w:r>
          </w:p>
        </w:tc>
        <w:tc>
          <w:tcPr>
            <w:tcW w:w="399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路缘石喷涂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1.路缘石喷涂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1.刷漆</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3055</w:t>
            </w:r>
          </w:p>
        </w:tc>
      </w:tr>
      <w:tr>
        <w:tblPrEx>
          <w:tblCellMar>
            <w:top w:w="0" w:type="dxa"/>
            <w:left w:w="0" w:type="dxa"/>
            <w:bottom w:w="0" w:type="dxa"/>
            <w:right w:w="0" w:type="dxa"/>
          </w:tblCellMar>
        </w:tblPrEx>
        <w:trPr>
          <w:trHeight w:val="133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DB001</w:t>
            </w:r>
          </w:p>
        </w:tc>
        <w:tc>
          <w:tcPr>
            <w:tcW w:w="399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更换井圈、井盖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1.更换井圈、井盖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1.安装</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133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040205006001</w:t>
            </w:r>
          </w:p>
        </w:tc>
        <w:tc>
          <w:tcPr>
            <w:tcW w:w="399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车位划线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1.油漆品种:冷漆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1.画线</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km</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6.142</w:t>
            </w:r>
          </w:p>
        </w:tc>
      </w:tr>
      <w:tr>
        <w:tblPrEx>
          <w:tblCellMar>
            <w:top w:w="0" w:type="dxa"/>
            <w:left w:w="0" w:type="dxa"/>
            <w:bottom w:w="0" w:type="dxa"/>
            <w:right w:w="0" w:type="dxa"/>
          </w:tblCellMar>
        </w:tblPrEx>
        <w:trPr>
          <w:trHeight w:val="133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DB002</w:t>
            </w:r>
          </w:p>
        </w:tc>
        <w:tc>
          <w:tcPr>
            <w:tcW w:w="399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禁停标识饰新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1.禁停标识刷漆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1.刷漆</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r>
      <w:tr>
        <w:tblPrEx>
          <w:tblCellMar>
            <w:top w:w="0" w:type="dxa"/>
            <w:left w:w="0" w:type="dxa"/>
            <w:bottom w:w="0" w:type="dxa"/>
            <w:right w:w="0" w:type="dxa"/>
          </w:tblCellMar>
        </w:tblPrEx>
        <w:trPr>
          <w:trHeight w:val="2100"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040202014001</w:t>
            </w:r>
          </w:p>
        </w:tc>
        <w:tc>
          <w:tcPr>
            <w:tcW w:w="399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水泥稳定碎（砾）石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1.工程部位：车行道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2.16cm水泥稳定碎石基层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3.厚度:16cm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4.水泥含量:水泥外掺5%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1.拌和、铺筑、找平、碾压、养护</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w:t>
            </w:r>
          </w:p>
        </w:tc>
      </w:tr>
      <w:tr>
        <w:tblPrEx>
          <w:tblCellMar>
            <w:top w:w="0" w:type="dxa"/>
            <w:left w:w="0" w:type="dxa"/>
            <w:bottom w:w="0" w:type="dxa"/>
            <w:right w:w="0" w:type="dxa"/>
          </w:tblCellMar>
        </w:tblPrEx>
        <w:trPr>
          <w:trHeight w:val="184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040203001001</w:t>
            </w:r>
          </w:p>
        </w:tc>
        <w:tc>
          <w:tcPr>
            <w:tcW w:w="399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热沥青碎石封层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1.沥青品种:A级90#道路石油热沥青碎石封层:1.8-2.2kg/m2，5-10mm碎石撒布量：6-8m3/1000m2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2.层数:单层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1.洒油</w:t>
            </w:r>
          </w:p>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2.碾压</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w:t>
            </w:r>
          </w:p>
        </w:tc>
      </w:tr>
      <w:tr>
        <w:tblPrEx>
          <w:tblCellMar>
            <w:top w:w="0" w:type="dxa"/>
            <w:left w:w="0" w:type="dxa"/>
            <w:bottom w:w="0" w:type="dxa"/>
            <w:right w:w="0" w:type="dxa"/>
          </w:tblCellMar>
        </w:tblPrEx>
        <w:trPr>
          <w:trHeight w:val="184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040203004001</w:t>
            </w:r>
          </w:p>
        </w:tc>
        <w:tc>
          <w:tcPr>
            <w:tcW w:w="399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沥青混凝土路面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1.工程部位:车行道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2.4cm厚AC-13细粒式沥青混凝土上面层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3.沥青粘层油（A级90#道路石油沥青用量（0.3kg-0.6kg）/㎡）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4.6cm厚AC-20中粒式沥青混凝土下面层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1.洒铺底油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2.铺筑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3.碾压</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m2</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w:t>
            </w:r>
          </w:p>
        </w:tc>
      </w:tr>
      <w:tr>
        <w:tblPrEx>
          <w:tblCellMar>
            <w:top w:w="0" w:type="dxa"/>
            <w:left w:w="0" w:type="dxa"/>
            <w:bottom w:w="0" w:type="dxa"/>
            <w:right w:w="0" w:type="dxa"/>
          </w:tblCellMar>
        </w:tblPrEx>
        <w:trPr>
          <w:trHeight w:val="184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040103002001</w:t>
            </w:r>
          </w:p>
        </w:tc>
        <w:tc>
          <w:tcPr>
            <w:tcW w:w="399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余方弃置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1.废弃料品种:垃圾外运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2.人工装车、三轮车外运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3.运距:5km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1.余方点装料运输至弃置点</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m3</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r>
    </w:tbl>
    <w:p>
      <w:pPr>
        <w:pStyle w:val="2"/>
        <w:rPr>
          <w:rFonts w:hint="eastAsia"/>
          <w:lang w:eastAsia="zh-CN"/>
        </w:rPr>
      </w:pPr>
    </w:p>
    <w:bookmarkEnd w:id="77"/>
    <w:p>
      <w:pPr>
        <w:pStyle w:val="3"/>
        <w:keepNext w:val="0"/>
        <w:pageBreakBefore/>
        <w:shd w:val="clear"/>
        <w:spacing w:line="350" w:lineRule="auto"/>
        <w:jc w:val="center"/>
        <w:rPr>
          <w:rFonts w:ascii="宋体" w:hAnsi="宋体" w:cs="宋体"/>
          <w:sz w:val="36"/>
          <w:szCs w:val="36"/>
          <w:highlight w:val="none"/>
        </w:rPr>
      </w:pPr>
      <w:bookmarkStart w:id="78" w:name="_Toc421778384"/>
      <w:bookmarkStart w:id="79" w:name="_Toc14636"/>
      <w:r>
        <w:rPr>
          <w:rFonts w:hint="eastAsia" w:ascii="宋体" w:hAnsi="宋体" w:cs="宋体"/>
          <w:sz w:val="36"/>
          <w:szCs w:val="36"/>
          <w:highlight w:val="none"/>
        </w:rPr>
        <w:t xml:space="preserve">第六章  </w:t>
      </w:r>
      <w:bookmarkStart w:id="80" w:name="_Toc721"/>
      <w:bookmarkStart w:id="81" w:name="_Toc22199"/>
      <w:r>
        <w:rPr>
          <w:rFonts w:hint="eastAsia" w:ascii="宋体" w:hAnsi="宋体" w:cs="宋体"/>
          <w:sz w:val="36"/>
          <w:szCs w:val="36"/>
          <w:highlight w:val="none"/>
        </w:rPr>
        <w:t>项目概况及技术要求</w:t>
      </w:r>
      <w:bookmarkEnd w:id="80"/>
      <w:bookmarkEnd w:id="81"/>
    </w:p>
    <w:p>
      <w:pPr>
        <w:keepNext w:val="0"/>
        <w:keepLines w:val="0"/>
        <w:pageBreakBefore w:val="0"/>
        <w:widowControl w:val="0"/>
        <w:numPr>
          <w:ilvl w:val="0"/>
          <w:numId w:val="0"/>
        </w:numPr>
        <w:shd w:val="clear"/>
        <w:kinsoku/>
        <w:wordWrap/>
        <w:overflowPunct/>
        <w:topLinePunct w:val="0"/>
        <w:autoSpaceDE/>
        <w:autoSpaceDN/>
        <w:bidi w:val="0"/>
        <w:adjustRightInd/>
        <w:snapToGrid/>
        <w:spacing w:before="157" w:beforeLines="50" w:after="157" w:afterLines="50" w:line="640" w:lineRule="exact"/>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一、</w:t>
      </w:r>
      <w:r>
        <w:rPr>
          <w:rFonts w:hint="eastAsia" w:ascii="宋体" w:hAnsi="宋体" w:eastAsia="宋体" w:cs="宋体"/>
          <w:b/>
          <w:sz w:val="24"/>
          <w:szCs w:val="24"/>
          <w:highlight w:val="none"/>
        </w:rPr>
        <w:t>工程项目概况：</w:t>
      </w:r>
    </w:p>
    <w:p>
      <w:pPr>
        <w:shd w:val="clear"/>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为进一步提升居民居住环境，完成老旧小区改造提升工作，新区创文办对华阳小区、秦岭小区、铁诺小区进行改造提升。改造内容：华阳小区人行道拆旧、铺新、渗水砖216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，道沿拆旧复新297m，水泥路面拆旧复新1088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，垃圾外运397m³；秦岭小区道沿拆旧复新320m,道沿刷漆饰新5562m，井圈井盖拆除换新30套，车位饰新569个，交通标志饰新12个，广场地面修补30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，垃圾清运68m³；铁诺小区道沿拆旧复新350m，道沿刷漆饰新3055m，井圈井盖拆除换新15套，车位饰新370个，禁停标准饰新380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，路面处理沥青铺设520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，垃圾外运40m³。</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57" w:beforeLines="50" w:after="157" w:afterLines="50" w:line="640" w:lineRule="exact"/>
        <w:textAlignment w:val="auto"/>
        <w:rPr>
          <w:rFonts w:hint="eastAsia" w:ascii="宋体" w:hAnsi="宋体" w:cs="宋体"/>
          <w:b/>
          <w:sz w:val="24"/>
          <w:szCs w:val="24"/>
          <w:highlight w:val="none"/>
          <w:lang w:eastAsia="zh-CN"/>
        </w:rPr>
      </w:pPr>
      <w:r>
        <w:rPr>
          <w:rFonts w:hint="eastAsia" w:ascii="宋体" w:hAnsi="宋体" w:cs="宋体"/>
          <w:b/>
          <w:sz w:val="24"/>
          <w:szCs w:val="24"/>
          <w:highlight w:val="none"/>
          <w:lang w:eastAsia="zh-CN"/>
        </w:rPr>
        <w:t>二、计划工期：</w:t>
      </w:r>
      <w:r>
        <w:rPr>
          <w:rFonts w:hint="eastAsia" w:ascii="宋体" w:hAnsi="宋体" w:cs="宋体"/>
          <w:b/>
          <w:sz w:val="24"/>
          <w:szCs w:val="24"/>
          <w:highlight w:val="none"/>
          <w:lang w:val="en-US" w:eastAsia="zh-CN"/>
        </w:rPr>
        <w:t>自合同签订之日起1个月内完成</w:t>
      </w:r>
      <w:r>
        <w:rPr>
          <w:rFonts w:hint="eastAsia" w:ascii="宋体" w:hAnsi="宋体" w:cs="宋体"/>
          <w:b/>
          <w:sz w:val="24"/>
          <w:szCs w:val="24"/>
          <w:highlight w:val="none"/>
          <w:lang w:eastAsia="zh-CN"/>
        </w:rPr>
        <w:t>。</w:t>
      </w:r>
    </w:p>
    <w:p>
      <w:pPr>
        <w:shd w:val="clear"/>
        <w:spacing w:line="360" w:lineRule="auto"/>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shd w:val="clear"/>
        <w:rPr>
          <w:highlight w:val="none"/>
        </w:rPr>
      </w:pPr>
    </w:p>
    <w:p>
      <w:pPr>
        <w:pStyle w:val="3"/>
        <w:keepNext w:val="0"/>
        <w:pageBreakBefore/>
        <w:shd w:val="clear"/>
        <w:spacing w:line="350" w:lineRule="auto"/>
        <w:jc w:val="center"/>
        <w:rPr>
          <w:sz w:val="36"/>
          <w:szCs w:val="36"/>
          <w:highlight w:val="none"/>
        </w:rPr>
      </w:pPr>
      <w:r>
        <w:rPr>
          <w:rFonts w:hint="eastAsia" w:cs="宋体"/>
          <w:sz w:val="36"/>
          <w:szCs w:val="36"/>
          <w:highlight w:val="none"/>
        </w:rPr>
        <w:t>第</w:t>
      </w:r>
      <w:r>
        <w:rPr>
          <w:rFonts w:hint="eastAsia" w:cs="宋体"/>
          <w:sz w:val="36"/>
          <w:szCs w:val="36"/>
          <w:highlight w:val="none"/>
          <w:lang w:eastAsia="zh-CN"/>
        </w:rPr>
        <w:t>七</w:t>
      </w:r>
      <w:r>
        <w:rPr>
          <w:rFonts w:hint="eastAsia" w:cs="宋体"/>
          <w:sz w:val="36"/>
          <w:szCs w:val="36"/>
          <w:highlight w:val="none"/>
        </w:rPr>
        <w:t>章</w:t>
      </w:r>
      <w:bookmarkEnd w:id="78"/>
      <w:r>
        <w:rPr>
          <w:rFonts w:hint="eastAsia" w:cs="宋体"/>
          <w:sz w:val="36"/>
          <w:szCs w:val="36"/>
          <w:highlight w:val="none"/>
          <w:lang w:val="en-US" w:eastAsia="zh-CN"/>
        </w:rPr>
        <w:t xml:space="preserve">  </w:t>
      </w:r>
      <w:r>
        <w:rPr>
          <w:rFonts w:hint="eastAsia" w:ascii="宋体"/>
          <w:sz w:val="36"/>
          <w:szCs w:val="36"/>
          <w:highlight w:val="none"/>
        </w:rPr>
        <w:t>竞争性磋商响应文件构成及格式</w:t>
      </w:r>
      <w:bookmarkEnd w:id="79"/>
    </w:p>
    <w:p>
      <w:pPr>
        <w:shd w:val="clear"/>
        <w:spacing w:line="540" w:lineRule="exact"/>
        <w:rPr>
          <w:rFonts w:hint="eastAsia" w:ascii="宋体" w:hAnsi="宋体" w:cs="宋体"/>
          <w:b/>
          <w:bCs/>
          <w:sz w:val="28"/>
          <w:szCs w:val="28"/>
          <w:highlight w:val="none"/>
        </w:rPr>
      </w:pPr>
    </w:p>
    <w:p>
      <w:pPr>
        <w:shd w:val="clear"/>
        <w:spacing w:line="540" w:lineRule="exact"/>
        <w:rPr>
          <w:rFonts w:ascii="宋体"/>
          <w:b/>
          <w:bCs/>
          <w:sz w:val="28"/>
          <w:szCs w:val="28"/>
          <w:highlight w:val="none"/>
        </w:rPr>
      </w:pPr>
      <w:r>
        <w:rPr>
          <w:rFonts w:hint="eastAsia" w:ascii="宋体" w:hAnsi="宋体" w:cs="宋体"/>
          <w:b/>
          <w:bCs/>
          <w:sz w:val="28"/>
          <w:szCs w:val="28"/>
          <w:highlight w:val="none"/>
        </w:rPr>
        <w:t>项目编号：</w:t>
      </w:r>
      <w:r>
        <w:rPr>
          <w:rFonts w:hint="eastAsia" w:ascii="宋体" w:hAnsi="宋体" w:cs="宋体"/>
          <w:b/>
          <w:bCs/>
          <w:sz w:val="28"/>
          <w:szCs w:val="28"/>
          <w:highlight w:val="none"/>
          <w:lang w:eastAsia="zh-CN"/>
        </w:rPr>
        <w:t>SXHXZB2019-ZC-CS1289</w:t>
      </w:r>
      <w:r>
        <w:rPr>
          <w:rFonts w:hint="eastAsia" w:ascii="宋体" w:hAnsi="宋体" w:cs="宋体"/>
          <w:b/>
          <w:bCs/>
          <w:sz w:val="28"/>
          <w:szCs w:val="28"/>
          <w:highlight w:val="none"/>
        </w:rPr>
        <w:t>（正本或副本）</w:t>
      </w:r>
    </w:p>
    <w:p>
      <w:pPr>
        <w:shd w:val="clear"/>
        <w:spacing w:line="360" w:lineRule="auto"/>
        <w:ind w:firstLine="420" w:firstLineChars="200"/>
        <w:rPr>
          <w:rFonts w:ascii="宋体"/>
          <w:highlight w:val="none"/>
        </w:rPr>
      </w:pPr>
    </w:p>
    <w:p>
      <w:pPr>
        <w:pStyle w:val="2"/>
        <w:shd w:val="clear"/>
        <w:rPr>
          <w:rFonts w:ascii="宋体"/>
          <w:highlight w:val="none"/>
        </w:rPr>
      </w:pPr>
    </w:p>
    <w:p>
      <w:pPr>
        <w:shd w:val="clear"/>
        <w:rPr>
          <w:highlight w:val="none"/>
        </w:rPr>
      </w:pPr>
    </w:p>
    <w:p>
      <w:pPr>
        <w:shd w:val="clear"/>
        <w:spacing w:line="360" w:lineRule="auto"/>
        <w:jc w:val="both"/>
        <w:rPr>
          <w:b/>
          <w:bCs/>
          <w:sz w:val="52"/>
          <w:szCs w:val="52"/>
          <w:highlight w:val="none"/>
        </w:rPr>
      </w:pPr>
    </w:p>
    <w:p>
      <w:pPr>
        <w:shd w:val="clear"/>
        <w:spacing w:line="360" w:lineRule="auto"/>
        <w:jc w:val="center"/>
        <w:rPr>
          <w:rFonts w:hint="eastAsia" w:ascii="宋体"/>
          <w:b/>
          <w:bCs/>
          <w:sz w:val="52"/>
          <w:szCs w:val="52"/>
          <w:highlight w:val="none"/>
          <w:lang w:eastAsia="zh-CN"/>
        </w:rPr>
      </w:pPr>
      <w:r>
        <w:rPr>
          <w:rFonts w:hint="eastAsia" w:ascii="宋体"/>
          <w:b/>
          <w:bCs/>
          <w:sz w:val="52"/>
          <w:szCs w:val="52"/>
          <w:highlight w:val="none"/>
          <w:lang w:eastAsia="zh-CN"/>
        </w:rPr>
        <w:t>铜川市新区创文办老旧小区基础设施改造提升项目</w:t>
      </w:r>
    </w:p>
    <w:p>
      <w:pPr>
        <w:pStyle w:val="2"/>
        <w:shd w:val="clear"/>
        <w:rPr>
          <w:rFonts w:hint="eastAsia" w:ascii="宋体"/>
          <w:b/>
          <w:bCs/>
          <w:sz w:val="52"/>
          <w:szCs w:val="52"/>
          <w:highlight w:val="none"/>
          <w:lang w:eastAsia="zh-CN"/>
        </w:rPr>
      </w:pPr>
    </w:p>
    <w:p>
      <w:pPr>
        <w:shd w:val="clear"/>
        <w:rPr>
          <w:rFonts w:hint="eastAsia" w:ascii="宋体"/>
          <w:b/>
          <w:bCs/>
          <w:sz w:val="52"/>
          <w:szCs w:val="52"/>
          <w:highlight w:val="none"/>
          <w:lang w:eastAsia="zh-CN"/>
        </w:rPr>
      </w:pPr>
    </w:p>
    <w:p>
      <w:pPr>
        <w:pStyle w:val="2"/>
        <w:shd w:val="clear"/>
        <w:rPr>
          <w:rFonts w:hint="eastAsia"/>
          <w:highlight w:val="none"/>
        </w:rPr>
      </w:pPr>
    </w:p>
    <w:p>
      <w:pPr>
        <w:shd w:val="clear"/>
        <w:spacing w:line="360" w:lineRule="auto"/>
        <w:jc w:val="center"/>
        <w:rPr>
          <w:rFonts w:ascii="宋体"/>
          <w:b/>
          <w:bCs/>
          <w:sz w:val="52"/>
          <w:szCs w:val="52"/>
          <w:highlight w:val="none"/>
        </w:rPr>
      </w:pPr>
      <w:r>
        <w:rPr>
          <w:rFonts w:hint="eastAsia" w:ascii="宋体" w:hAnsi="宋体" w:cs="宋体"/>
          <w:b/>
          <w:bCs/>
          <w:sz w:val="52"/>
          <w:szCs w:val="52"/>
          <w:highlight w:val="none"/>
        </w:rPr>
        <w:t>竞争性磋商响应文件</w:t>
      </w:r>
    </w:p>
    <w:p>
      <w:pPr>
        <w:shd w:val="clear"/>
        <w:spacing w:line="360" w:lineRule="auto"/>
        <w:ind w:firstLine="420" w:firstLineChars="200"/>
        <w:rPr>
          <w:rFonts w:ascii="宋体"/>
          <w:highlight w:val="none"/>
        </w:rPr>
      </w:pPr>
    </w:p>
    <w:p>
      <w:pPr>
        <w:shd w:val="clear"/>
        <w:spacing w:line="360" w:lineRule="auto"/>
        <w:ind w:firstLine="420" w:firstLineChars="200"/>
        <w:rPr>
          <w:rFonts w:ascii="宋体"/>
          <w:highlight w:val="none"/>
        </w:rPr>
      </w:pPr>
    </w:p>
    <w:p>
      <w:pPr>
        <w:shd w:val="clear"/>
        <w:spacing w:line="360" w:lineRule="auto"/>
        <w:rPr>
          <w:rFonts w:ascii="宋体"/>
          <w:highlight w:val="none"/>
        </w:rPr>
      </w:pPr>
    </w:p>
    <w:p>
      <w:pPr>
        <w:shd w:val="clear"/>
        <w:spacing w:line="360" w:lineRule="auto"/>
        <w:rPr>
          <w:rFonts w:ascii="宋体"/>
          <w:highlight w:val="none"/>
        </w:rPr>
      </w:pPr>
    </w:p>
    <w:p>
      <w:pPr>
        <w:shd w:val="clear"/>
        <w:spacing w:line="360" w:lineRule="auto"/>
        <w:rPr>
          <w:rFonts w:ascii="宋体"/>
          <w:highlight w:val="none"/>
        </w:rPr>
      </w:pPr>
    </w:p>
    <w:p>
      <w:pPr>
        <w:shd w:val="clear"/>
        <w:spacing w:line="360" w:lineRule="auto"/>
        <w:ind w:firstLine="420" w:firstLineChars="200"/>
        <w:rPr>
          <w:rFonts w:ascii="宋体"/>
          <w:highlight w:val="none"/>
        </w:rPr>
      </w:pPr>
    </w:p>
    <w:p>
      <w:pPr>
        <w:shd w:val="clear"/>
        <w:spacing w:line="360" w:lineRule="auto"/>
        <w:ind w:firstLine="1124" w:firstLineChars="400"/>
        <w:jc w:val="left"/>
        <w:rPr>
          <w:rFonts w:ascii="宋体"/>
          <w:b/>
          <w:bCs/>
          <w:sz w:val="28"/>
          <w:szCs w:val="28"/>
          <w:highlight w:val="none"/>
        </w:rPr>
      </w:pPr>
      <w:r>
        <w:rPr>
          <w:rFonts w:hint="eastAsia" w:ascii="宋体" w:hAnsi="宋体" w:cs="宋体"/>
          <w:b/>
          <w:bCs/>
          <w:sz w:val="28"/>
          <w:szCs w:val="28"/>
          <w:highlight w:val="none"/>
        </w:rPr>
        <w:t>供应商：（盖章）</w:t>
      </w:r>
    </w:p>
    <w:p>
      <w:pPr>
        <w:shd w:val="clear"/>
        <w:spacing w:line="360" w:lineRule="auto"/>
        <w:ind w:firstLine="1124" w:firstLineChars="400"/>
        <w:jc w:val="left"/>
        <w:rPr>
          <w:rFonts w:ascii="宋体"/>
          <w:b/>
          <w:bCs/>
          <w:sz w:val="28"/>
          <w:szCs w:val="28"/>
          <w:highlight w:val="none"/>
        </w:rPr>
      </w:pPr>
      <w:r>
        <w:rPr>
          <w:rFonts w:hint="eastAsia" w:ascii="宋体" w:hAnsi="宋体" w:cs="宋体"/>
          <w:b/>
          <w:bCs/>
          <w:sz w:val="28"/>
          <w:szCs w:val="28"/>
          <w:highlight w:val="none"/>
        </w:rPr>
        <w:t>法定代表人或其委托代理人：（签字或盖章）</w:t>
      </w:r>
    </w:p>
    <w:p>
      <w:pPr>
        <w:shd w:val="clear"/>
        <w:spacing w:line="360" w:lineRule="auto"/>
        <w:ind w:firstLine="1124" w:firstLineChars="400"/>
        <w:rPr>
          <w:rFonts w:ascii="宋体"/>
          <w:b/>
          <w:bCs/>
          <w:sz w:val="28"/>
          <w:szCs w:val="28"/>
          <w:highlight w:val="none"/>
        </w:rPr>
      </w:pPr>
      <w:r>
        <w:rPr>
          <w:rFonts w:hint="eastAsia" w:ascii="宋体" w:hAnsi="宋体" w:cs="宋体"/>
          <w:b/>
          <w:bCs/>
          <w:sz w:val="28"/>
          <w:szCs w:val="28"/>
          <w:highlight w:val="none"/>
        </w:rPr>
        <w:t>年   月    日</w:t>
      </w:r>
    </w:p>
    <w:p>
      <w:pPr>
        <w:shd w:val="clear"/>
        <w:spacing w:line="360" w:lineRule="auto"/>
        <w:jc w:val="center"/>
        <w:rPr>
          <w:rFonts w:ascii="宋体"/>
          <w:highlight w:val="none"/>
        </w:rPr>
        <w:sectPr>
          <w:pgSz w:w="11906" w:h="16838"/>
          <w:pgMar w:top="1417" w:right="1417" w:bottom="1417" w:left="1701" w:header="851" w:footer="992" w:gutter="0"/>
          <w:pgNumType w:fmt="decimal"/>
          <w:cols w:space="0" w:num="1"/>
          <w:docGrid w:type="lines" w:linePitch="312" w:charSpace="0"/>
        </w:sectPr>
      </w:pPr>
    </w:p>
    <w:p>
      <w:pPr>
        <w:shd w:val="clear"/>
        <w:jc w:val="center"/>
        <w:rPr>
          <w:rFonts w:cs="宋体"/>
          <w:b/>
          <w:bCs/>
          <w:sz w:val="32"/>
          <w:szCs w:val="32"/>
          <w:highlight w:val="none"/>
        </w:rPr>
      </w:pPr>
      <w:bookmarkStart w:id="82" w:name="_Toc372885969"/>
      <w:bookmarkStart w:id="83" w:name="_Toc421778385"/>
      <w:bookmarkStart w:id="84" w:name="_Toc420591666"/>
      <w:bookmarkStart w:id="85" w:name="_Toc420591500"/>
      <w:r>
        <w:rPr>
          <w:rFonts w:hint="eastAsia" w:cs="宋体"/>
          <w:b/>
          <w:bCs/>
          <w:sz w:val="32"/>
          <w:szCs w:val="32"/>
          <w:highlight w:val="none"/>
        </w:rPr>
        <w:t>目  录</w:t>
      </w:r>
      <w:bookmarkEnd w:id="82"/>
      <w:bookmarkEnd w:id="83"/>
      <w:bookmarkEnd w:id="84"/>
      <w:bookmarkEnd w:id="85"/>
    </w:p>
    <w:p>
      <w:pPr>
        <w:pStyle w:val="2"/>
        <w:shd w:val="clear"/>
        <w:rPr>
          <w:highlight w:val="none"/>
        </w:rPr>
      </w:pPr>
    </w:p>
    <w:p>
      <w:pPr>
        <w:shd w:val="clear"/>
        <w:spacing w:line="480" w:lineRule="auto"/>
        <w:jc w:val="left"/>
        <w:rPr>
          <w:rFonts w:ascii="宋体" w:hAnsi="宋体" w:cs="宋体"/>
          <w:sz w:val="24"/>
          <w:szCs w:val="24"/>
          <w:highlight w:val="none"/>
        </w:rPr>
      </w:pPr>
      <w:r>
        <w:rPr>
          <w:rFonts w:hint="eastAsia" w:ascii="宋体" w:hAnsi="宋体" w:cs="宋体"/>
          <w:sz w:val="24"/>
          <w:szCs w:val="24"/>
          <w:highlight w:val="none"/>
        </w:rPr>
        <w:t>一、磋商响应函</w:t>
      </w:r>
    </w:p>
    <w:p>
      <w:pPr>
        <w:shd w:val="clear"/>
        <w:spacing w:line="480" w:lineRule="auto"/>
        <w:jc w:val="left"/>
        <w:rPr>
          <w:rFonts w:ascii="宋体" w:hAnsi="宋体" w:cs="宋体"/>
          <w:sz w:val="24"/>
          <w:szCs w:val="24"/>
          <w:highlight w:val="none"/>
        </w:rPr>
      </w:pPr>
      <w:r>
        <w:rPr>
          <w:rFonts w:hint="eastAsia" w:ascii="宋体" w:hAnsi="宋体" w:cs="宋体"/>
          <w:sz w:val="24"/>
          <w:szCs w:val="24"/>
          <w:highlight w:val="none"/>
        </w:rPr>
        <w:t>二、磋商报价表</w:t>
      </w:r>
    </w:p>
    <w:p>
      <w:pPr>
        <w:shd w:val="clear"/>
        <w:spacing w:line="480" w:lineRule="auto"/>
        <w:jc w:val="left"/>
        <w:rPr>
          <w:rFonts w:ascii="宋体" w:hAnsi="宋体" w:cs="宋体"/>
          <w:sz w:val="24"/>
          <w:szCs w:val="24"/>
          <w:highlight w:val="none"/>
        </w:rPr>
      </w:pPr>
      <w:r>
        <w:rPr>
          <w:rFonts w:hint="eastAsia" w:ascii="宋体" w:hAnsi="宋体" w:cs="宋体"/>
          <w:sz w:val="24"/>
          <w:szCs w:val="24"/>
          <w:highlight w:val="none"/>
        </w:rPr>
        <w:t>三、法定代表人身份证明</w:t>
      </w:r>
    </w:p>
    <w:p>
      <w:pPr>
        <w:shd w:val="clear"/>
        <w:spacing w:line="480" w:lineRule="auto"/>
        <w:jc w:val="left"/>
        <w:rPr>
          <w:rFonts w:ascii="宋体" w:hAnsi="宋体" w:cs="宋体"/>
          <w:sz w:val="24"/>
          <w:szCs w:val="24"/>
          <w:highlight w:val="none"/>
        </w:rPr>
      </w:pPr>
      <w:r>
        <w:rPr>
          <w:rFonts w:hint="eastAsia" w:ascii="宋体" w:hAnsi="宋体" w:cs="宋体"/>
          <w:sz w:val="24"/>
          <w:szCs w:val="24"/>
          <w:highlight w:val="none"/>
        </w:rPr>
        <w:t>四、法人代表授权书</w:t>
      </w:r>
    </w:p>
    <w:p>
      <w:pPr>
        <w:shd w:val="clear"/>
        <w:spacing w:line="480" w:lineRule="auto"/>
        <w:jc w:val="left"/>
        <w:rPr>
          <w:rFonts w:ascii="宋体" w:hAnsi="宋体" w:cs="宋体"/>
          <w:sz w:val="24"/>
          <w:szCs w:val="24"/>
          <w:highlight w:val="none"/>
        </w:rPr>
      </w:pPr>
      <w:r>
        <w:rPr>
          <w:rFonts w:hint="eastAsia" w:ascii="宋体" w:hAnsi="宋体" w:cs="宋体"/>
          <w:sz w:val="24"/>
          <w:szCs w:val="24"/>
          <w:highlight w:val="none"/>
        </w:rPr>
        <w:t>五、已标价工程量清单</w:t>
      </w:r>
    </w:p>
    <w:p>
      <w:pPr>
        <w:shd w:val="clear"/>
        <w:spacing w:line="480" w:lineRule="auto"/>
        <w:jc w:val="left"/>
        <w:rPr>
          <w:rFonts w:hint="eastAsia" w:ascii="宋体" w:hAnsi="宋体" w:cs="宋体"/>
          <w:sz w:val="24"/>
          <w:szCs w:val="24"/>
          <w:highlight w:val="none"/>
        </w:rPr>
      </w:pPr>
      <w:r>
        <w:rPr>
          <w:rFonts w:hint="eastAsia" w:ascii="宋体" w:hAnsi="宋体" w:cs="宋体"/>
          <w:sz w:val="24"/>
          <w:szCs w:val="24"/>
          <w:highlight w:val="none"/>
        </w:rPr>
        <w:t>六、磋商方案说明书</w:t>
      </w:r>
    </w:p>
    <w:p>
      <w:pPr>
        <w:shd w:val="clear"/>
        <w:spacing w:line="480" w:lineRule="auto"/>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七、</w:t>
      </w:r>
      <w:r>
        <w:rPr>
          <w:rFonts w:hint="eastAsia" w:ascii="宋体" w:hAnsi="宋体" w:cs="宋体"/>
          <w:sz w:val="24"/>
          <w:szCs w:val="24"/>
          <w:highlight w:val="none"/>
          <w:lang w:val="en-US" w:eastAsia="zh-CN"/>
        </w:rPr>
        <w:t>商务条款偏离表</w:t>
      </w:r>
    </w:p>
    <w:p>
      <w:pPr>
        <w:shd w:val="clear"/>
        <w:spacing w:line="480" w:lineRule="auto"/>
        <w:jc w:val="left"/>
        <w:rPr>
          <w:rFonts w:hint="eastAsia" w:ascii="宋体" w:hAnsi="宋体" w:cs="宋体"/>
          <w:sz w:val="24"/>
          <w:szCs w:val="24"/>
          <w:highlight w:val="none"/>
        </w:rPr>
      </w:pPr>
      <w:r>
        <w:rPr>
          <w:rFonts w:hint="eastAsia" w:ascii="宋体" w:hAnsi="宋体" w:cs="宋体"/>
          <w:sz w:val="24"/>
          <w:szCs w:val="24"/>
          <w:highlight w:val="none"/>
          <w:lang w:eastAsia="zh-CN"/>
        </w:rPr>
        <w:t>八</w:t>
      </w:r>
      <w:r>
        <w:rPr>
          <w:rFonts w:hint="eastAsia" w:ascii="宋体" w:hAnsi="宋体" w:cs="宋体"/>
          <w:sz w:val="24"/>
          <w:szCs w:val="24"/>
          <w:highlight w:val="none"/>
        </w:rPr>
        <w:t>、陕西省政府采购网供应商拒绝政府采购领域商业贿赂承诺书</w:t>
      </w:r>
    </w:p>
    <w:p>
      <w:pPr>
        <w:shd w:val="clear"/>
        <w:spacing w:line="480" w:lineRule="auto"/>
        <w:jc w:val="left"/>
        <w:rPr>
          <w:rFonts w:hint="eastAsia" w:ascii="宋体" w:hAnsi="宋体" w:cs="宋体"/>
          <w:sz w:val="24"/>
          <w:szCs w:val="24"/>
          <w:highlight w:val="none"/>
        </w:rPr>
      </w:pPr>
      <w:r>
        <w:rPr>
          <w:rFonts w:hint="eastAsia" w:ascii="宋体" w:hAnsi="宋体" w:cs="宋体"/>
          <w:sz w:val="24"/>
          <w:szCs w:val="24"/>
          <w:highlight w:val="none"/>
          <w:lang w:eastAsia="zh-CN"/>
        </w:rPr>
        <w:t>九</w:t>
      </w:r>
      <w:r>
        <w:rPr>
          <w:rFonts w:hint="eastAsia" w:ascii="宋体" w:hAnsi="宋体" w:cs="宋体"/>
          <w:sz w:val="24"/>
          <w:szCs w:val="24"/>
          <w:highlight w:val="none"/>
        </w:rPr>
        <w:t>、资格证明文件</w:t>
      </w:r>
    </w:p>
    <w:p>
      <w:pPr>
        <w:shd w:val="clear"/>
        <w:rPr>
          <w:highlight w:val="none"/>
        </w:rPr>
      </w:pPr>
    </w:p>
    <w:p>
      <w:pPr>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pStyle w:val="33"/>
        <w:shd w:val="clear"/>
        <w:rPr>
          <w:highlight w:val="none"/>
        </w:rPr>
      </w:pPr>
    </w:p>
    <w:p>
      <w:pPr>
        <w:shd w:val="clear"/>
        <w:rPr>
          <w:highlight w:val="none"/>
        </w:rPr>
      </w:pPr>
      <w:bookmarkStart w:id="86" w:name="_Toc23278"/>
      <w:bookmarkStart w:id="87" w:name="_Toc425240481"/>
      <w:bookmarkStart w:id="88" w:name="_Toc387"/>
      <w:bookmarkStart w:id="89" w:name="_Toc420591667"/>
      <w:bookmarkStart w:id="90" w:name="_Toc421778386"/>
      <w:bookmarkStart w:id="91" w:name="_Toc32749"/>
    </w:p>
    <w:p>
      <w:pPr>
        <w:shd w:val="clear"/>
        <w:rPr>
          <w:highlight w:val="none"/>
        </w:rPr>
      </w:pPr>
    </w:p>
    <w:p>
      <w:pPr>
        <w:shd w:val="clear"/>
        <w:rPr>
          <w:highlight w:val="none"/>
        </w:rPr>
      </w:pPr>
    </w:p>
    <w:p>
      <w:pPr>
        <w:shd w:val="clear"/>
        <w:rPr>
          <w:highlight w:val="none"/>
        </w:rPr>
      </w:pPr>
    </w:p>
    <w:p>
      <w:pPr>
        <w:shd w:val="clear"/>
        <w:rPr>
          <w:highlight w:val="none"/>
        </w:rPr>
      </w:pP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jc w:val="center"/>
        <w:textAlignment w:val="auto"/>
        <w:outlineLvl w:val="1"/>
        <w:rPr>
          <w:b/>
          <w:bCs/>
          <w:sz w:val="32"/>
          <w:szCs w:val="32"/>
          <w:highlight w:val="none"/>
        </w:rPr>
      </w:pPr>
      <w:bookmarkStart w:id="92" w:name="_Toc13137"/>
      <w:r>
        <w:rPr>
          <w:rFonts w:hint="eastAsia"/>
          <w:b/>
          <w:bCs/>
          <w:sz w:val="32"/>
          <w:szCs w:val="32"/>
          <w:highlight w:val="none"/>
        </w:rPr>
        <w:t>一、</w:t>
      </w:r>
      <w:bookmarkEnd w:id="86"/>
      <w:bookmarkEnd w:id="87"/>
      <w:bookmarkEnd w:id="88"/>
      <w:bookmarkEnd w:id="89"/>
      <w:bookmarkEnd w:id="90"/>
      <w:bookmarkEnd w:id="91"/>
      <w:r>
        <w:rPr>
          <w:rFonts w:hint="eastAsia"/>
          <w:b/>
          <w:bCs/>
          <w:sz w:val="32"/>
          <w:szCs w:val="32"/>
          <w:highlight w:val="none"/>
        </w:rPr>
        <w:t>磋商响应函</w:t>
      </w:r>
      <w:bookmarkEnd w:id="92"/>
    </w:p>
    <w:p>
      <w:pPr>
        <w:pStyle w:val="31"/>
        <w:shd w:val="clear"/>
        <w:spacing w:before="0" w:beforeAutospacing="0" w:after="0" w:afterAutospacing="0" w:line="360" w:lineRule="auto"/>
        <w:rPr>
          <w:rFonts w:cs="Times New Roman"/>
          <w:highlight w:val="none"/>
        </w:rPr>
      </w:pPr>
      <w:r>
        <w:rPr>
          <w:rFonts w:hint="eastAsia"/>
          <w:highlight w:val="none"/>
        </w:rPr>
        <w:t>致：</w:t>
      </w:r>
      <w:r>
        <w:rPr>
          <w:rFonts w:hint="eastAsia"/>
          <w:highlight w:val="none"/>
          <w:u w:val="single"/>
          <w:lang w:eastAsia="zh-CN"/>
        </w:rPr>
        <w:t>铜川市新区创建全国文明城市工作领导小组办公室</w:t>
      </w:r>
      <w:r>
        <w:rPr>
          <w:rFonts w:hint="eastAsia"/>
          <w:highlight w:val="none"/>
          <w:u w:val="single"/>
        </w:rPr>
        <w:t>/（华夏国际项目管理有限公司）</w:t>
      </w:r>
    </w:p>
    <w:p>
      <w:pPr>
        <w:pStyle w:val="31"/>
        <w:shd w:val="clear"/>
        <w:spacing w:before="0" w:beforeAutospacing="0" w:after="0" w:afterAutospacing="0" w:line="360" w:lineRule="auto"/>
        <w:ind w:firstLine="480" w:firstLineChars="200"/>
        <w:rPr>
          <w:rFonts w:cs="Times New Roman"/>
          <w:highlight w:val="none"/>
        </w:rPr>
      </w:pPr>
      <w:r>
        <w:rPr>
          <w:highlight w:val="none"/>
        </w:rPr>
        <w:t>1</w:t>
      </w:r>
      <w:r>
        <w:rPr>
          <w:rFonts w:hint="eastAsia"/>
          <w:highlight w:val="none"/>
        </w:rPr>
        <w:t>、根据已收到</w:t>
      </w:r>
      <w:r>
        <w:rPr>
          <w:rFonts w:hint="eastAsia"/>
          <w:highlight w:val="none"/>
          <w:u w:val="single"/>
        </w:rPr>
        <w:t>（项目名称）（项目编号）</w:t>
      </w:r>
      <w:r>
        <w:rPr>
          <w:rFonts w:hint="eastAsia"/>
          <w:highlight w:val="none"/>
        </w:rPr>
        <w:t>的竞争性磋商文件，遵照</w:t>
      </w:r>
      <w:r>
        <w:rPr>
          <w:highlight w:val="none"/>
        </w:rPr>
        <w:t>《中华人民共和国政府采购法》</w:t>
      </w:r>
      <w:r>
        <w:rPr>
          <w:rFonts w:hint="eastAsia"/>
          <w:highlight w:val="none"/>
        </w:rPr>
        <w:t>及实施条例和</w:t>
      </w:r>
      <w:r>
        <w:rPr>
          <w:highlight w:val="none"/>
        </w:rPr>
        <w:t>关于印发《政府采购竞争性磋商采购方式管理暂行办法》的通知</w:t>
      </w:r>
      <w:r>
        <w:rPr>
          <w:rFonts w:hint="eastAsia"/>
          <w:highlight w:val="none"/>
        </w:rPr>
        <w:t>（</w:t>
      </w:r>
      <w:r>
        <w:rPr>
          <w:highlight w:val="none"/>
        </w:rPr>
        <w:t>财库【2014】214号</w:t>
      </w:r>
      <w:r>
        <w:rPr>
          <w:rFonts w:hint="eastAsia"/>
          <w:highlight w:val="none"/>
        </w:rPr>
        <w:t>）等有关规定，经踏勘本项目现场、参加答疑会议和仔细研究本工程竞争性磋商文件、答疑纪要、合同条款、工程量清单及其他有关文件后，我方愿以人民币</w:t>
      </w:r>
      <w:r>
        <w:rPr>
          <w:rFonts w:hint="eastAsia"/>
          <w:highlight w:val="none"/>
          <w:u w:val="single"/>
        </w:rPr>
        <w:t xml:space="preserve">（大写）       </w:t>
      </w:r>
      <w:r>
        <w:rPr>
          <w:rFonts w:hint="eastAsia"/>
          <w:highlight w:val="none"/>
        </w:rPr>
        <w:t>元（</w:t>
      </w:r>
      <w:r>
        <w:rPr>
          <w:rFonts w:hint="eastAsia"/>
          <w:highlight w:val="none"/>
          <w:u w:val="single"/>
        </w:rPr>
        <w:t xml:space="preserve">￥          元 </w:t>
      </w:r>
      <w:r>
        <w:rPr>
          <w:rFonts w:hint="eastAsia"/>
          <w:highlight w:val="none"/>
        </w:rPr>
        <w:t>）的磋商总报价，按</w:t>
      </w:r>
      <w:r>
        <w:rPr>
          <w:rFonts w:hint="eastAsia"/>
          <w:highlight w:val="none"/>
          <w:lang w:eastAsia="zh-CN"/>
        </w:rPr>
        <w:t>铜川市新区创文办老旧小区基础设施改造提升项目</w:t>
      </w:r>
      <w:r>
        <w:rPr>
          <w:rFonts w:hint="eastAsia"/>
          <w:highlight w:val="none"/>
        </w:rPr>
        <w:t>竞争性磋商文件、答疑纪要、合同条款、工程量清单及其他有关文件等承包本工程的施工、竣工和保修，并承担任何质量缺陷保修责任。</w:t>
      </w:r>
    </w:p>
    <w:p>
      <w:pPr>
        <w:pStyle w:val="31"/>
        <w:shd w:val="clear"/>
        <w:spacing w:before="0" w:beforeAutospacing="0" w:after="0" w:afterAutospacing="0" w:line="360" w:lineRule="auto"/>
        <w:ind w:firstLine="480" w:firstLineChars="200"/>
        <w:rPr>
          <w:rFonts w:cs="Times New Roman"/>
          <w:highlight w:val="none"/>
        </w:rPr>
      </w:pPr>
      <w:r>
        <w:rPr>
          <w:highlight w:val="none"/>
        </w:rPr>
        <w:t>2</w:t>
      </w:r>
      <w:r>
        <w:rPr>
          <w:rFonts w:hint="eastAsia"/>
          <w:highlight w:val="none"/>
        </w:rPr>
        <w:t>、我方已详细审核全部竞争性磋商文件及有关附件、工程现场条件、答疑纪要、补遗书等文件。</w:t>
      </w:r>
    </w:p>
    <w:p>
      <w:pPr>
        <w:pStyle w:val="31"/>
        <w:shd w:val="clear"/>
        <w:spacing w:before="0" w:beforeAutospacing="0" w:after="0" w:afterAutospacing="0" w:line="360" w:lineRule="auto"/>
        <w:ind w:firstLine="480" w:firstLineChars="200"/>
        <w:rPr>
          <w:rFonts w:cs="Times New Roman"/>
          <w:highlight w:val="none"/>
        </w:rPr>
      </w:pPr>
      <w:r>
        <w:rPr>
          <w:highlight w:val="none"/>
        </w:rPr>
        <w:t>3</w:t>
      </w:r>
      <w:r>
        <w:rPr>
          <w:rFonts w:hint="eastAsia"/>
          <w:highlight w:val="none"/>
        </w:rPr>
        <w:t>、该报价是完成本竞争性磋商文件规定的、所需的一切费用，且不低于我单位工程施工的成本价。</w:t>
      </w:r>
    </w:p>
    <w:p>
      <w:pPr>
        <w:pStyle w:val="31"/>
        <w:shd w:val="clear"/>
        <w:spacing w:before="0" w:beforeAutospacing="0" w:after="0" w:afterAutospacing="0" w:line="360" w:lineRule="auto"/>
        <w:ind w:firstLine="480" w:firstLineChars="200"/>
        <w:rPr>
          <w:rFonts w:cs="Times New Roman"/>
          <w:highlight w:val="none"/>
        </w:rPr>
      </w:pPr>
      <w:r>
        <w:rPr>
          <w:highlight w:val="none"/>
        </w:rPr>
        <w:t>4</w:t>
      </w:r>
      <w:r>
        <w:rPr>
          <w:rFonts w:hint="eastAsia"/>
          <w:highlight w:val="none"/>
        </w:rPr>
        <w:t>、如果我方成交，我方保证在合同签订后日内竣工，并确保工程质量达到标准。拟派项目经理，证书编号。我方同意本磋商响应函在竞争性磋商文件规定的提交竞争性磋商响应文件截止时间后，在竞争性磋商文件规定的磋商有效期期满前对我方具有约束力，且随时准备接受你方发出的成交通知书。</w:t>
      </w:r>
    </w:p>
    <w:p>
      <w:pPr>
        <w:pStyle w:val="31"/>
        <w:shd w:val="clear"/>
        <w:spacing w:before="0" w:beforeAutospacing="0" w:after="0" w:afterAutospacing="0" w:line="360" w:lineRule="auto"/>
        <w:ind w:firstLine="480" w:firstLineChars="200"/>
        <w:rPr>
          <w:rFonts w:cs="Times New Roman"/>
          <w:highlight w:val="none"/>
        </w:rPr>
      </w:pPr>
      <w:r>
        <w:rPr>
          <w:highlight w:val="none"/>
        </w:rPr>
        <w:t>5</w:t>
      </w:r>
      <w:r>
        <w:rPr>
          <w:rFonts w:hint="eastAsia"/>
          <w:highlight w:val="none"/>
        </w:rPr>
        <w:t>、如果我方成交，我方将按照采购人规定时间足额提交合同履约保证金。</w:t>
      </w:r>
    </w:p>
    <w:p>
      <w:pPr>
        <w:pStyle w:val="31"/>
        <w:shd w:val="clear"/>
        <w:spacing w:before="0" w:beforeAutospacing="0" w:after="0" w:afterAutospacing="0" w:line="360" w:lineRule="auto"/>
        <w:ind w:firstLine="480" w:firstLineChars="200"/>
        <w:rPr>
          <w:rFonts w:cs="Times New Roman"/>
          <w:highlight w:val="none"/>
        </w:rPr>
      </w:pPr>
      <w:r>
        <w:rPr>
          <w:highlight w:val="none"/>
        </w:rPr>
        <w:t>6</w:t>
      </w:r>
      <w:r>
        <w:rPr>
          <w:rFonts w:hint="eastAsia"/>
          <w:highlight w:val="none"/>
        </w:rPr>
        <w:t>、我方保证递交的本工程相关资料和磋商响应函中各种附件是真实可靠的，如有不实，我方将无条件接受采购人的处理决定，甚至自动退出磋商，由此产生的一切后果均由我方负责。</w:t>
      </w:r>
    </w:p>
    <w:p>
      <w:pPr>
        <w:pStyle w:val="31"/>
        <w:shd w:val="clear"/>
        <w:spacing w:before="0" w:beforeAutospacing="0" w:after="0" w:afterAutospacing="0" w:line="360" w:lineRule="auto"/>
        <w:ind w:firstLine="480" w:firstLineChars="200"/>
        <w:rPr>
          <w:rFonts w:cs="Times New Roman"/>
          <w:highlight w:val="none"/>
        </w:rPr>
      </w:pPr>
      <w:r>
        <w:rPr>
          <w:highlight w:val="none"/>
        </w:rPr>
        <w:t>7</w:t>
      </w:r>
      <w:r>
        <w:rPr>
          <w:rFonts w:hint="eastAsia"/>
          <w:highlight w:val="none"/>
        </w:rPr>
        <w:t>、除非另外达成协议并生效，你方的成交通知书和本竞争性磋商响应文件将构成约束我们双方的合同。</w:t>
      </w:r>
    </w:p>
    <w:p>
      <w:pPr>
        <w:pStyle w:val="31"/>
        <w:shd w:val="clear"/>
        <w:spacing w:before="0" w:beforeAutospacing="0" w:after="0" w:afterAutospacing="0" w:line="360" w:lineRule="auto"/>
        <w:ind w:firstLine="480" w:firstLineChars="200"/>
        <w:rPr>
          <w:rStyle w:val="38"/>
          <w:rFonts w:cs="Times New Roman"/>
          <w:b w:val="0"/>
          <w:bCs w:val="0"/>
          <w:highlight w:val="none"/>
        </w:rPr>
      </w:pPr>
      <w:r>
        <w:rPr>
          <w:highlight w:val="none"/>
        </w:rPr>
        <w:t>8</w:t>
      </w:r>
      <w:r>
        <w:rPr>
          <w:rFonts w:hint="eastAsia"/>
          <w:highlight w:val="none"/>
        </w:rPr>
        <w:t>、我方的竞争性磋商响应文件在磋商后</w:t>
      </w:r>
      <w:r>
        <w:rPr>
          <w:rFonts w:hint="eastAsia"/>
          <w:highlight w:val="none"/>
          <w:u w:val="single"/>
        </w:rPr>
        <w:t xml:space="preserve">     天</w:t>
      </w:r>
      <w:r>
        <w:rPr>
          <w:rFonts w:hint="eastAsia"/>
          <w:highlight w:val="none"/>
        </w:rPr>
        <w:t>有效，在磋商有效期内不修改或撤回竞争性磋商响应文件。</w:t>
      </w:r>
    </w:p>
    <w:p>
      <w:pPr>
        <w:pStyle w:val="31"/>
        <w:shd w:val="clear"/>
        <w:spacing w:before="0" w:beforeAutospacing="0" w:after="0" w:afterAutospacing="0" w:line="360" w:lineRule="auto"/>
        <w:ind w:firstLine="480" w:firstLineChars="200"/>
        <w:rPr>
          <w:rFonts w:cs="Times New Roman"/>
          <w:highlight w:val="none"/>
        </w:rPr>
      </w:pPr>
      <w:r>
        <w:rPr>
          <w:highlight w:val="none"/>
        </w:rPr>
        <w:t>9</w:t>
      </w:r>
      <w:r>
        <w:rPr>
          <w:rFonts w:hint="eastAsia"/>
          <w:highlight w:val="none"/>
        </w:rPr>
        <w:t>、我方理解你方及采购代理机构不另负担我们的任何磋商费用，无论我方总报价中是否包括磋商费用，也无论是否能够成交，均不要求你方及采购代理机构对磋商费用做任何补偿。</w:t>
      </w:r>
    </w:p>
    <w:p>
      <w:pPr>
        <w:pStyle w:val="31"/>
        <w:shd w:val="clear"/>
        <w:spacing w:before="0" w:beforeAutospacing="0" w:after="0" w:afterAutospacing="0" w:line="360" w:lineRule="auto"/>
        <w:ind w:firstLine="480" w:firstLineChars="200"/>
        <w:rPr>
          <w:rFonts w:cs="Times New Roman"/>
          <w:highlight w:val="none"/>
        </w:rPr>
      </w:pPr>
      <w:r>
        <w:rPr>
          <w:highlight w:val="none"/>
        </w:rPr>
        <w:t>10</w:t>
      </w:r>
      <w:r>
        <w:rPr>
          <w:rFonts w:hint="eastAsia"/>
          <w:highlight w:val="none"/>
        </w:rPr>
        <w:t>、我方理解你方及采购代理机构，我方不要求你方及采购代理机构对未成交原因做任何解释，也不退回竞争性磋商响应文件。</w:t>
      </w:r>
    </w:p>
    <w:p>
      <w:pPr>
        <w:pStyle w:val="31"/>
        <w:shd w:val="clear"/>
        <w:spacing w:before="0" w:beforeAutospacing="0" w:after="0" w:afterAutospacing="0" w:line="360" w:lineRule="auto"/>
        <w:ind w:firstLine="480" w:firstLineChars="200"/>
        <w:rPr>
          <w:rFonts w:cs="Times New Roman"/>
          <w:highlight w:val="none"/>
        </w:rPr>
      </w:pPr>
      <w:r>
        <w:rPr>
          <w:highlight w:val="none"/>
        </w:rPr>
        <w:t>11</w:t>
      </w:r>
      <w:r>
        <w:rPr>
          <w:rFonts w:hint="eastAsia"/>
          <w:highlight w:val="none"/>
        </w:rPr>
        <w:t>、如果因我方原因放弃成交，我方承诺，除采购人有权没收磋商保证金外，还承担因下个成交候选人成交给采购人带来的经济损失。</w:t>
      </w:r>
    </w:p>
    <w:p>
      <w:pPr>
        <w:pStyle w:val="31"/>
        <w:shd w:val="clear"/>
        <w:spacing w:before="0" w:beforeAutospacing="0" w:after="0" w:afterAutospacing="0" w:line="360" w:lineRule="auto"/>
        <w:ind w:firstLine="480" w:firstLineChars="200"/>
        <w:rPr>
          <w:rFonts w:cs="Times New Roman"/>
          <w:highlight w:val="none"/>
        </w:rPr>
      </w:pPr>
      <w:r>
        <w:rPr>
          <w:highlight w:val="none"/>
        </w:rPr>
        <w:t>12</w:t>
      </w:r>
      <w:r>
        <w:rPr>
          <w:rFonts w:hint="eastAsia"/>
          <w:highlight w:val="none"/>
        </w:rPr>
        <w:t>、若我方成交，将按时按规定缴纳招标代理服务费。</w:t>
      </w:r>
    </w:p>
    <w:p>
      <w:pPr>
        <w:pStyle w:val="31"/>
        <w:shd w:val="clear"/>
        <w:spacing w:before="0" w:beforeAutospacing="0" w:after="0" w:afterAutospacing="0" w:line="360" w:lineRule="auto"/>
        <w:ind w:firstLine="480" w:firstLineChars="200"/>
        <w:rPr>
          <w:rFonts w:cs="Times New Roman"/>
          <w:highlight w:val="none"/>
        </w:rPr>
      </w:pPr>
    </w:p>
    <w:p>
      <w:pPr>
        <w:pStyle w:val="31"/>
        <w:shd w:val="clear"/>
        <w:spacing w:before="0" w:beforeAutospacing="0" w:after="0" w:afterAutospacing="0" w:line="360" w:lineRule="auto"/>
        <w:ind w:firstLine="480" w:firstLineChars="200"/>
        <w:rPr>
          <w:rFonts w:cs="Times New Roman"/>
          <w:highlight w:val="none"/>
        </w:rPr>
      </w:pPr>
    </w:p>
    <w:p>
      <w:pPr>
        <w:pStyle w:val="31"/>
        <w:shd w:val="clear"/>
        <w:spacing w:before="0" w:beforeAutospacing="0" w:after="0" w:afterAutospacing="0" w:line="480" w:lineRule="auto"/>
        <w:ind w:firstLine="480" w:firstLineChars="200"/>
        <w:rPr>
          <w:rFonts w:cs="Times New Roman"/>
          <w:highlight w:val="none"/>
        </w:rPr>
      </w:pPr>
      <w:r>
        <w:rPr>
          <w:rFonts w:hint="eastAsia"/>
          <w:highlight w:val="none"/>
        </w:rPr>
        <w:t>供应商：（盖章）</w:t>
      </w:r>
    </w:p>
    <w:p>
      <w:pPr>
        <w:pStyle w:val="31"/>
        <w:shd w:val="clear"/>
        <w:spacing w:before="0" w:beforeAutospacing="0" w:after="0" w:afterAutospacing="0" w:line="480" w:lineRule="auto"/>
        <w:ind w:firstLine="480" w:firstLineChars="200"/>
        <w:rPr>
          <w:rFonts w:cs="Times New Roman"/>
          <w:highlight w:val="none"/>
        </w:rPr>
      </w:pPr>
      <w:r>
        <w:rPr>
          <w:rFonts w:hint="eastAsia"/>
          <w:highlight w:val="none"/>
        </w:rPr>
        <w:t>供应商电话：</w:t>
      </w:r>
    </w:p>
    <w:p>
      <w:pPr>
        <w:pStyle w:val="31"/>
        <w:shd w:val="clear"/>
        <w:spacing w:before="0" w:beforeAutospacing="0" w:after="0" w:afterAutospacing="0" w:line="480" w:lineRule="auto"/>
        <w:ind w:firstLine="480" w:firstLineChars="200"/>
        <w:rPr>
          <w:rFonts w:cs="Times New Roman"/>
          <w:highlight w:val="none"/>
        </w:rPr>
      </w:pPr>
      <w:r>
        <w:rPr>
          <w:rFonts w:hint="eastAsia"/>
          <w:highlight w:val="none"/>
        </w:rPr>
        <w:t>法人代表或委托代理人：（签章）</w:t>
      </w:r>
    </w:p>
    <w:p>
      <w:pPr>
        <w:pStyle w:val="31"/>
        <w:shd w:val="clear"/>
        <w:spacing w:before="0" w:beforeAutospacing="0" w:after="0" w:afterAutospacing="0" w:line="480" w:lineRule="auto"/>
        <w:ind w:firstLine="480" w:firstLineChars="200"/>
        <w:rPr>
          <w:highlight w:val="none"/>
        </w:rPr>
      </w:pPr>
      <w:r>
        <w:rPr>
          <w:rFonts w:hint="eastAsia"/>
          <w:highlight w:val="none"/>
        </w:rPr>
        <w:t>供应商地址</w:t>
      </w:r>
      <w:r>
        <w:rPr>
          <w:highlight w:val="none"/>
        </w:rPr>
        <w:t>:</w:t>
      </w:r>
    </w:p>
    <w:p>
      <w:pPr>
        <w:pStyle w:val="31"/>
        <w:shd w:val="clear"/>
        <w:spacing w:before="0" w:beforeAutospacing="0" w:after="0" w:afterAutospacing="0" w:line="480" w:lineRule="auto"/>
        <w:ind w:firstLine="480" w:firstLineChars="200"/>
        <w:rPr>
          <w:rFonts w:cs="Times New Roman"/>
          <w:highlight w:val="none"/>
        </w:rPr>
      </w:pPr>
      <w:r>
        <w:rPr>
          <w:rFonts w:hint="eastAsia"/>
          <w:highlight w:val="none"/>
        </w:rPr>
        <w:t>日期：</w:t>
      </w:r>
      <w:r>
        <w:rPr>
          <w:rFonts w:hint="eastAsia"/>
          <w:highlight w:val="none"/>
          <w:lang w:val="en-US" w:eastAsia="zh-CN"/>
        </w:rPr>
        <w:t xml:space="preserve">  </w:t>
      </w:r>
      <w:r>
        <w:rPr>
          <w:rFonts w:hint="eastAsia"/>
          <w:highlight w:val="none"/>
        </w:rPr>
        <w:t>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p>
      <w:pPr>
        <w:pStyle w:val="31"/>
        <w:shd w:val="clear"/>
        <w:spacing w:before="0" w:beforeAutospacing="0" w:after="0" w:afterAutospacing="0" w:line="360" w:lineRule="auto"/>
        <w:ind w:firstLine="480" w:firstLineChars="200"/>
        <w:rPr>
          <w:rFonts w:cs="Times New Roman"/>
          <w:highlight w:val="none"/>
        </w:rPr>
      </w:pPr>
    </w:p>
    <w:p>
      <w:pPr>
        <w:pStyle w:val="31"/>
        <w:shd w:val="clear"/>
        <w:spacing w:before="0" w:beforeAutospacing="0" w:after="0" w:afterAutospacing="0" w:line="360" w:lineRule="auto"/>
        <w:ind w:firstLine="480" w:firstLineChars="200"/>
        <w:rPr>
          <w:rFonts w:cs="Times New Roman"/>
          <w:highlight w:val="none"/>
        </w:rPr>
      </w:pPr>
    </w:p>
    <w:p>
      <w:pPr>
        <w:keepLines/>
        <w:pageBreakBefore/>
        <w:shd w:val="clear"/>
        <w:jc w:val="center"/>
        <w:outlineLvl w:val="1"/>
        <w:rPr>
          <w:b/>
          <w:bCs/>
          <w:sz w:val="32"/>
          <w:szCs w:val="32"/>
          <w:highlight w:val="none"/>
        </w:rPr>
      </w:pPr>
      <w:bookmarkStart w:id="93" w:name="_Toc3816"/>
      <w:bookmarkStart w:id="94" w:name="_Toc3994"/>
      <w:bookmarkStart w:id="95" w:name="_Toc421778387"/>
      <w:bookmarkStart w:id="96" w:name="_Toc420591668"/>
      <w:bookmarkStart w:id="97" w:name="_Toc425240482"/>
      <w:bookmarkStart w:id="98" w:name="_Toc32443"/>
      <w:bookmarkStart w:id="99" w:name="_Toc27768"/>
      <w:r>
        <w:rPr>
          <w:rFonts w:hint="eastAsia" w:cs="宋体"/>
          <w:b/>
          <w:bCs/>
          <w:sz w:val="32"/>
          <w:szCs w:val="32"/>
          <w:highlight w:val="none"/>
        </w:rPr>
        <w:t>二、</w:t>
      </w:r>
      <w:bookmarkEnd w:id="93"/>
      <w:bookmarkEnd w:id="94"/>
      <w:bookmarkEnd w:id="95"/>
      <w:bookmarkEnd w:id="96"/>
      <w:bookmarkEnd w:id="97"/>
      <w:bookmarkEnd w:id="98"/>
      <w:r>
        <w:rPr>
          <w:rFonts w:hint="eastAsia" w:cs="宋体"/>
          <w:b/>
          <w:bCs/>
          <w:sz w:val="32"/>
          <w:szCs w:val="32"/>
          <w:highlight w:val="none"/>
        </w:rPr>
        <w:t>磋商报价表</w:t>
      </w:r>
      <w:bookmarkEnd w:id="99"/>
    </w:p>
    <w:p>
      <w:pPr>
        <w:shd w:val="clear"/>
        <w:spacing w:line="360" w:lineRule="auto"/>
        <w:rPr>
          <w:rFonts w:ascii="宋体"/>
          <w:sz w:val="24"/>
          <w:szCs w:val="24"/>
          <w:highlight w:val="none"/>
        </w:rPr>
      </w:pPr>
      <w:r>
        <w:rPr>
          <w:rFonts w:hint="eastAsia" w:ascii="宋体" w:hAnsi="宋体" w:cs="宋体"/>
          <w:sz w:val="24"/>
          <w:szCs w:val="24"/>
          <w:highlight w:val="none"/>
        </w:rPr>
        <w:t>项目名称：</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项目编号：</w:t>
      </w:r>
    </w:p>
    <w:p>
      <w:pPr>
        <w:pStyle w:val="2"/>
        <w:shd w:val="clear"/>
        <w:rPr>
          <w:highlight w:val="none"/>
        </w:rPr>
      </w:pPr>
    </w:p>
    <w:tbl>
      <w:tblPr>
        <w:tblStyle w:val="35"/>
        <w:tblpPr w:leftFromText="180" w:rightFromText="180" w:vertAnchor="page" w:horzAnchor="page" w:tblpX="1732" w:tblpY="3405"/>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651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80" w:hRule="atLeast"/>
        </w:trPr>
        <w:tc>
          <w:tcPr>
            <w:tcW w:w="2795" w:type="dxa"/>
            <w:vMerge w:val="restart"/>
            <w:vAlign w:val="center"/>
          </w:tcPr>
          <w:p>
            <w:pPr>
              <w:shd w:val="clear"/>
              <w:rPr>
                <w:rFonts w:ascii="宋体" w:hAnsi="宋体"/>
                <w:sz w:val="24"/>
                <w:highlight w:val="none"/>
              </w:rPr>
            </w:pPr>
            <w:r>
              <w:rPr>
                <w:rFonts w:hint="eastAsia" w:hAnsi="宋体"/>
                <w:sz w:val="24"/>
                <w:highlight w:val="none"/>
              </w:rPr>
              <w:t>磋商</w:t>
            </w:r>
            <w:r>
              <w:rPr>
                <w:rFonts w:hint="eastAsia" w:ascii="宋体" w:hAnsi="宋体"/>
                <w:sz w:val="24"/>
                <w:highlight w:val="none"/>
              </w:rPr>
              <w:t>总报价（元）</w:t>
            </w:r>
          </w:p>
        </w:tc>
        <w:tc>
          <w:tcPr>
            <w:tcW w:w="6511" w:type="dxa"/>
            <w:vAlign w:val="center"/>
          </w:tcPr>
          <w:p>
            <w:pPr>
              <w:shd w:val="clear"/>
              <w:rPr>
                <w:rFonts w:ascii="宋体" w:hAnsi="宋体"/>
                <w:sz w:val="24"/>
                <w:highlight w:val="none"/>
              </w:rPr>
            </w:pPr>
            <w:r>
              <w:rPr>
                <w:rFonts w:hint="eastAsia" w:ascii="宋体"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80" w:hRule="atLeast"/>
        </w:trPr>
        <w:tc>
          <w:tcPr>
            <w:tcW w:w="2795" w:type="dxa"/>
            <w:vMerge w:val="continue"/>
            <w:vAlign w:val="center"/>
          </w:tcPr>
          <w:p>
            <w:pPr>
              <w:shd w:val="clear"/>
              <w:rPr>
                <w:rFonts w:ascii="宋体" w:hAnsi="宋体"/>
                <w:sz w:val="24"/>
                <w:highlight w:val="none"/>
              </w:rPr>
            </w:pPr>
          </w:p>
        </w:tc>
        <w:tc>
          <w:tcPr>
            <w:tcW w:w="6511" w:type="dxa"/>
            <w:vAlign w:val="center"/>
          </w:tcPr>
          <w:p>
            <w:pPr>
              <w:shd w:val="clear"/>
              <w:rPr>
                <w:rFonts w:ascii="宋体" w:hAnsi="宋体"/>
                <w:sz w:val="24"/>
                <w:highlight w:val="none"/>
              </w:rPr>
            </w:pPr>
            <w:r>
              <w:rPr>
                <w:rFonts w:hint="eastAsia" w:ascii="宋体" w:hAnsi="宋体"/>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795" w:type="dxa"/>
            <w:vAlign w:val="center"/>
          </w:tcPr>
          <w:p>
            <w:pPr>
              <w:shd w:val="clear"/>
              <w:rPr>
                <w:rFonts w:ascii="宋体" w:hAnsi="宋体"/>
                <w:sz w:val="24"/>
                <w:highlight w:val="none"/>
              </w:rPr>
            </w:pPr>
            <w:r>
              <w:rPr>
                <w:rFonts w:hint="eastAsia" w:ascii="宋体" w:hAnsi="宋体"/>
                <w:sz w:val="24"/>
                <w:highlight w:val="none"/>
              </w:rPr>
              <w:t>质量标准</w:t>
            </w:r>
          </w:p>
        </w:tc>
        <w:tc>
          <w:tcPr>
            <w:tcW w:w="6520" w:type="dxa"/>
            <w:gridSpan w:val="2"/>
            <w:vAlign w:val="center"/>
          </w:tcPr>
          <w:p>
            <w:pPr>
              <w:shd w:val="clea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2795" w:type="dxa"/>
            <w:vAlign w:val="center"/>
          </w:tcPr>
          <w:p>
            <w:pPr>
              <w:shd w:val="clear"/>
              <w:rPr>
                <w:rFonts w:ascii="宋体" w:hAnsi="宋体"/>
                <w:sz w:val="24"/>
                <w:highlight w:val="none"/>
              </w:rPr>
            </w:pPr>
            <w:r>
              <w:rPr>
                <w:rFonts w:hint="eastAsia" w:ascii="宋体" w:hAnsi="宋体"/>
                <w:sz w:val="24"/>
                <w:highlight w:val="none"/>
                <w:lang w:eastAsia="zh-CN"/>
              </w:rPr>
              <w:t>计划</w:t>
            </w:r>
            <w:r>
              <w:rPr>
                <w:rFonts w:hint="eastAsia" w:ascii="宋体" w:hAnsi="宋体"/>
                <w:sz w:val="24"/>
                <w:highlight w:val="none"/>
              </w:rPr>
              <w:t>工期（</w:t>
            </w:r>
            <w:r>
              <w:rPr>
                <w:rFonts w:hint="eastAsia" w:ascii="宋体" w:hAnsi="宋体"/>
                <w:sz w:val="24"/>
                <w:highlight w:val="none"/>
                <w:lang w:val="en-US" w:eastAsia="zh-CN"/>
              </w:rPr>
              <w:t>自合同签订之日起</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个月内</w:t>
            </w:r>
            <w:r>
              <w:rPr>
                <w:rFonts w:hint="eastAsia" w:ascii="宋体" w:hAnsi="宋体"/>
                <w:sz w:val="24"/>
                <w:highlight w:val="none"/>
              </w:rPr>
              <w:t>）</w:t>
            </w:r>
          </w:p>
        </w:tc>
        <w:tc>
          <w:tcPr>
            <w:tcW w:w="6520" w:type="dxa"/>
            <w:gridSpan w:val="2"/>
            <w:vAlign w:val="center"/>
          </w:tcPr>
          <w:p>
            <w:pPr>
              <w:shd w:val="clea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2795" w:type="dxa"/>
            <w:vAlign w:val="center"/>
          </w:tcPr>
          <w:p>
            <w:pPr>
              <w:shd w:val="clear"/>
              <w:rPr>
                <w:rFonts w:hint="eastAsia" w:ascii="宋体" w:hAnsi="宋体"/>
                <w:sz w:val="24"/>
                <w:highlight w:val="none"/>
                <w:lang w:eastAsia="zh-CN"/>
              </w:rPr>
            </w:pPr>
            <w:r>
              <w:rPr>
                <w:rFonts w:hint="eastAsia" w:ascii="宋体" w:hAnsi="宋体"/>
                <w:sz w:val="24"/>
                <w:highlight w:val="none"/>
                <w:lang w:eastAsia="zh-CN"/>
              </w:rPr>
              <w:t>备注</w:t>
            </w:r>
          </w:p>
        </w:tc>
        <w:tc>
          <w:tcPr>
            <w:tcW w:w="6520" w:type="dxa"/>
            <w:gridSpan w:val="2"/>
            <w:vAlign w:val="center"/>
          </w:tcPr>
          <w:p>
            <w:pPr>
              <w:shd w:val="clear"/>
              <w:rPr>
                <w:rFonts w:ascii="宋体" w:hAnsi="宋体"/>
                <w:sz w:val="24"/>
                <w:highlight w:val="none"/>
              </w:rPr>
            </w:pPr>
          </w:p>
        </w:tc>
      </w:tr>
    </w:tbl>
    <w:p>
      <w:pPr>
        <w:shd w:val="clear"/>
        <w:spacing w:line="120" w:lineRule="exact"/>
        <w:rPr>
          <w:rFonts w:ascii="宋体"/>
          <w:sz w:val="24"/>
          <w:szCs w:val="24"/>
          <w:highlight w:val="none"/>
        </w:rPr>
      </w:pPr>
    </w:p>
    <w:p>
      <w:pPr>
        <w:shd w:val="clear"/>
        <w:spacing w:line="360" w:lineRule="auto"/>
        <w:ind w:firstLine="360" w:firstLineChars="150"/>
        <w:rPr>
          <w:rFonts w:ascii="宋体"/>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、以上表内报价内容以元为单位，保留小数点后两位。</w:t>
      </w:r>
    </w:p>
    <w:p>
      <w:pPr>
        <w:shd w:val="clear"/>
        <w:spacing w:line="360" w:lineRule="auto"/>
        <w:ind w:firstLine="360" w:firstLineChars="150"/>
        <w:rPr>
          <w:rFonts w:ascii="宋体"/>
          <w:sz w:val="24"/>
          <w:szCs w:val="24"/>
          <w:highlight w:val="none"/>
        </w:rPr>
      </w:pPr>
      <w:r>
        <w:rPr>
          <w:rFonts w:ascii="宋体" w:hAnsi="宋体" w:cs="宋体"/>
          <w:sz w:val="24"/>
          <w:szCs w:val="24"/>
          <w:highlight w:val="none"/>
        </w:rPr>
        <w:t xml:space="preserve">    2</w:t>
      </w:r>
      <w:r>
        <w:rPr>
          <w:rFonts w:hint="eastAsia" w:ascii="宋体" w:hAnsi="宋体" w:cs="宋体"/>
          <w:sz w:val="24"/>
          <w:szCs w:val="24"/>
          <w:highlight w:val="none"/>
        </w:rPr>
        <w:t>、本表应按“供应商须知”的规定密封单独提交。</w:t>
      </w:r>
    </w:p>
    <w:p>
      <w:pPr>
        <w:shd w:val="clear"/>
        <w:spacing w:line="280" w:lineRule="exact"/>
        <w:ind w:right="540" w:rightChars="257" w:firstLine="4440" w:firstLineChars="1850"/>
        <w:jc w:val="left"/>
        <w:rPr>
          <w:rFonts w:ascii="宋体"/>
          <w:sz w:val="24"/>
          <w:szCs w:val="24"/>
          <w:highlight w:val="none"/>
        </w:rPr>
      </w:pPr>
    </w:p>
    <w:p>
      <w:pPr>
        <w:shd w:val="clear"/>
        <w:spacing w:line="280" w:lineRule="exact"/>
        <w:ind w:right="540" w:rightChars="257" w:firstLine="4440" w:firstLineChars="1850"/>
        <w:jc w:val="left"/>
        <w:rPr>
          <w:rFonts w:ascii="宋体"/>
          <w:sz w:val="24"/>
          <w:szCs w:val="24"/>
          <w:highlight w:val="none"/>
        </w:rPr>
      </w:pPr>
    </w:p>
    <w:p>
      <w:pPr>
        <w:shd w:val="clear"/>
        <w:spacing w:line="280" w:lineRule="exact"/>
        <w:ind w:right="540" w:rightChars="257" w:firstLine="4440" w:firstLineChars="1850"/>
        <w:jc w:val="left"/>
        <w:rPr>
          <w:rFonts w:ascii="宋体"/>
          <w:sz w:val="24"/>
          <w:szCs w:val="24"/>
          <w:highlight w:val="none"/>
        </w:rPr>
      </w:pPr>
      <w:bookmarkStart w:id="118" w:name="_GoBack"/>
      <w:bookmarkEnd w:id="118"/>
      <w:r>
        <w:rPr>
          <w:rFonts w:hint="eastAsia" w:ascii="宋体" w:hAnsi="宋体" w:cs="宋体"/>
          <w:sz w:val="24"/>
          <w:szCs w:val="24"/>
          <w:highlight w:val="none"/>
        </w:rPr>
        <w:t>供应商名称：</w:t>
      </w:r>
      <w:r>
        <w:rPr>
          <w:rFonts w:hint="eastAsia" w:ascii="宋体" w:hAnsi="宋体" w:cs="宋体"/>
          <w:sz w:val="24"/>
          <w:szCs w:val="24"/>
          <w:highlight w:val="none"/>
          <w:u w:val="single"/>
        </w:rPr>
        <w:t>（加盖单位公章）</w:t>
      </w:r>
    </w:p>
    <w:p>
      <w:pPr>
        <w:shd w:val="clear"/>
        <w:spacing w:line="280" w:lineRule="exact"/>
        <w:ind w:right="540" w:rightChars="257" w:firstLine="360" w:firstLineChars="150"/>
        <w:jc w:val="left"/>
        <w:rPr>
          <w:rFonts w:ascii="宋体"/>
          <w:sz w:val="24"/>
          <w:szCs w:val="24"/>
          <w:highlight w:val="none"/>
        </w:rPr>
      </w:pPr>
    </w:p>
    <w:p>
      <w:pPr>
        <w:shd w:val="clear"/>
        <w:spacing w:line="280" w:lineRule="exact"/>
        <w:ind w:right="540" w:rightChars="257" w:firstLine="4440" w:firstLineChars="1850"/>
        <w:jc w:val="left"/>
        <w:rPr>
          <w:rFonts w:ascii="宋体"/>
          <w:sz w:val="24"/>
          <w:szCs w:val="24"/>
          <w:highlight w:val="none"/>
        </w:rPr>
      </w:pPr>
    </w:p>
    <w:p>
      <w:pPr>
        <w:shd w:val="clear"/>
        <w:spacing w:line="280" w:lineRule="exact"/>
        <w:ind w:right="540" w:rightChars="257" w:firstLine="4440" w:firstLineChars="1850"/>
        <w:jc w:val="left"/>
        <w:rPr>
          <w:rFonts w:ascii="宋体"/>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rPr>
        <w:t>/</w:t>
      </w:r>
      <w:r>
        <w:rPr>
          <w:rFonts w:hint="eastAsia" w:ascii="宋体" w:hAnsi="宋体" w:cs="宋体"/>
          <w:sz w:val="24"/>
          <w:szCs w:val="24"/>
          <w:highlight w:val="none"/>
        </w:rPr>
        <w:t>或被授权人签章：</w:t>
      </w:r>
    </w:p>
    <w:p>
      <w:pPr>
        <w:shd w:val="clear"/>
        <w:spacing w:line="280" w:lineRule="exact"/>
        <w:ind w:right="540" w:rightChars="257" w:firstLine="4440" w:firstLineChars="1850"/>
        <w:jc w:val="left"/>
        <w:rPr>
          <w:rFonts w:ascii="宋体"/>
          <w:sz w:val="24"/>
          <w:szCs w:val="24"/>
          <w:highlight w:val="none"/>
        </w:rPr>
      </w:pPr>
    </w:p>
    <w:p>
      <w:pPr>
        <w:shd w:val="clear"/>
        <w:spacing w:line="280" w:lineRule="exact"/>
        <w:ind w:right="540" w:rightChars="257"/>
        <w:jc w:val="left"/>
        <w:rPr>
          <w:rFonts w:ascii="宋体"/>
          <w:sz w:val="24"/>
          <w:szCs w:val="24"/>
          <w:highlight w:val="none"/>
        </w:rPr>
      </w:pPr>
    </w:p>
    <w:p>
      <w:pPr>
        <w:shd w:val="clear"/>
        <w:spacing w:line="280" w:lineRule="exact"/>
        <w:ind w:right="540" w:rightChars="257" w:firstLine="4440" w:firstLineChars="1850"/>
        <w:rPr>
          <w:b/>
          <w:bCs/>
          <w:sz w:val="24"/>
          <w:szCs w:val="24"/>
          <w:highlight w:val="none"/>
        </w:rPr>
      </w:pPr>
      <w:r>
        <w:rPr>
          <w:rFonts w:hint="eastAsia" w:ascii="宋体" w:hAnsi="宋体" w:cs="宋体"/>
          <w:sz w:val="24"/>
          <w:szCs w:val="24"/>
          <w:highlight w:val="none"/>
        </w:rPr>
        <w:t>日期：    年   月   日</w:t>
      </w:r>
    </w:p>
    <w:p>
      <w:pPr>
        <w:keepLines/>
        <w:pageBreakBefore/>
        <w:shd w:val="clear"/>
        <w:jc w:val="center"/>
        <w:outlineLvl w:val="1"/>
        <w:rPr>
          <w:b/>
          <w:bCs/>
          <w:sz w:val="32"/>
          <w:szCs w:val="32"/>
          <w:highlight w:val="none"/>
        </w:rPr>
      </w:pPr>
      <w:bookmarkStart w:id="100" w:name="_Toc8044"/>
      <w:bookmarkStart w:id="101" w:name="_Toc13497"/>
      <w:bookmarkStart w:id="102" w:name="_Toc4857"/>
      <w:bookmarkStart w:id="103" w:name="_Toc16495"/>
      <w:bookmarkStart w:id="104" w:name="_Toc425240485"/>
      <w:bookmarkStart w:id="105" w:name="_Toc421778390"/>
      <w:r>
        <w:rPr>
          <w:rFonts w:hint="eastAsia" w:cs="宋体"/>
          <w:b/>
          <w:bCs/>
          <w:sz w:val="32"/>
          <w:szCs w:val="32"/>
          <w:highlight w:val="none"/>
          <w:lang w:eastAsia="zh-CN"/>
        </w:rPr>
        <w:t>三</w:t>
      </w:r>
      <w:r>
        <w:rPr>
          <w:rFonts w:hint="eastAsia" w:cs="宋体"/>
          <w:b/>
          <w:bCs/>
          <w:sz w:val="32"/>
          <w:szCs w:val="32"/>
          <w:highlight w:val="none"/>
        </w:rPr>
        <w:t>、已标价工程量清单</w:t>
      </w:r>
      <w:bookmarkEnd w:id="100"/>
      <w:bookmarkEnd w:id="101"/>
      <w:bookmarkEnd w:id="102"/>
      <w:bookmarkEnd w:id="103"/>
    </w:p>
    <w:p>
      <w:pPr>
        <w:pStyle w:val="81"/>
        <w:shd w:val="clear"/>
        <w:spacing w:line="480" w:lineRule="auto"/>
        <w:rPr>
          <w:rFonts w:hAnsi="宋体" w:cs="Times New Roman"/>
          <w:b w:val="0"/>
          <w:bCs w:val="0"/>
          <w:sz w:val="24"/>
          <w:szCs w:val="24"/>
          <w:highlight w:val="none"/>
        </w:rPr>
      </w:pPr>
    </w:p>
    <w:p>
      <w:pPr>
        <w:shd w:val="clear"/>
        <w:spacing w:line="480" w:lineRule="auto"/>
        <w:jc w:val="left"/>
        <w:rPr>
          <w:rFonts w:ascii="宋体"/>
          <w:sz w:val="24"/>
          <w:szCs w:val="24"/>
          <w:highlight w:val="none"/>
        </w:rPr>
      </w:pPr>
    </w:p>
    <w:p>
      <w:pPr>
        <w:shd w:val="clear"/>
        <w:spacing w:line="480" w:lineRule="auto"/>
        <w:jc w:val="left"/>
        <w:rPr>
          <w:rFonts w:ascii="宋体"/>
          <w:sz w:val="24"/>
          <w:szCs w:val="24"/>
          <w:highlight w:val="none"/>
        </w:rPr>
      </w:pPr>
    </w:p>
    <w:p>
      <w:pPr>
        <w:shd w:val="clear"/>
        <w:spacing w:line="480" w:lineRule="auto"/>
        <w:jc w:val="left"/>
        <w:rPr>
          <w:rFonts w:ascii="宋体"/>
          <w:sz w:val="24"/>
          <w:szCs w:val="24"/>
          <w:highlight w:val="none"/>
        </w:rPr>
      </w:pPr>
    </w:p>
    <w:p>
      <w:pPr>
        <w:shd w:val="clear"/>
        <w:spacing w:line="480" w:lineRule="auto"/>
        <w:jc w:val="left"/>
        <w:rPr>
          <w:rFonts w:ascii="宋体"/>
          <w:sz w:val="24"/>
          <w:szCs w:val="24"/>
          <w:highlight w:val="none"/>
        </w:rPr>
      </w:pPr>
    </w:p>
    <w:p>
      <w:pPr>
        <w:shd w:val="clear"/>
        <w:spacing w:line="480" w:lineRule="auto"/>
        <w:jc w:val="left"/>
        <w:rPr>
          <w:rFonts w:ascii="宋体"/>
          <w:sz w:val="24"/>
          <w:szCs w:val="24"/>
          <w:highlight w:val="none"/>
        </w:rPr>
      </w:pPr>
    </w:p>
    <w:p>
      <w:pPr>
        <w:widowControl/>
        <w:shd w:val="clear"/>
        <w:rPr>
          <w:sz w:val="24"/>
          <w:szCs w:val="24"/>
          <w:highlight w:val="none"/>
        </w:rPr>
      </w:pPr>
      <w:bookmarkStart w:id="106" w:name="_Toc5947"/>
      <w:bookmarkStart w:id="107" w:name="_Toc3574"/>
    </w:p>
    <w:p>
      <w:pPr>
        <w:keepLines/>
        <w:pageBreakBefore/>
        <w:numPr>
          <w:ilvl w:val="0"/>
          <w:numId w:val="0"/>
        </w:numPr>
        <w:shd w:val="clear"/>
        <w:jc w:val="center"/>
        <w:outlineLvl w:val="1"/>
        <w:rPr>
          <w:rFonts w:cs="宋体"/>
          <w:b/>
          <w:bCs/>
          <w:sz w:val="32"/>
          <w:szCs w:val="32"/>
          <w:highlight w:val="none"/>
        </w:rPr>
      </w:pPr>
      <w:bookmarkStart w:id="108" w:name="_Toc7616"/>
      <w:bookmarkStart w:id="109" w:name="_Toc6747"/>
      <w:bookmarkStart w:id="110" w:name="_Toc21095"/>
      <w:bookmarkStart w:id="111" w:name="_Toc15602"/>
      <w:r>
        <w:rPr>
          <w:rFonts w:hint="eastAsia" w:cs="宋体"/>
          <w:b/>
          <w:bCs/>
          <w:sz w:val="32"/>
          <w:szCs w:val="32"/>
          <w:highlight w:val="none"/>
          <w:lang w:eastAsia="zh-CN"/>
        </w:rPr>
        <w:t>四、</w:t>
      </w:r>
      <w:r>
        <w:rPr>
          <w:rFonts w:hint="eastAsia" w:cs="宋体"/>
          <w:b/>
          <w:bCs/>
          <w:sz w:val="32"/>
          <w:szCs w:val="32"/>
          <w:highlight w:val="none"/>
        </w:rPr>
        <w:t>磋商方案说明书</w:t>
      </w:r>
      <w:bookmarkEnd w:id="108"/>
    </w:p>
    <w:p>
      <w:pPr>
        <w:shd w:val="clear"/>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pPr>
        <w:shd w:val="clear"/>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项目编号：</w:t>
      </w:r>
    </w:p>
    <w:bookmarkEnd w:id="109"/>
    <w:bookmarkEnd w:id="110"/>
    <w:bookmarkEnd w:id="111"/>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eastAsia="zh-CN"/>
        </w:rPr>
        <w:t>竞争性磋商文件</w:t>
      </w:r>
      <w:r>
        <w:rPr>
          <w:rFonts w:hint="eastAsia" w:ascii="宋体" w:hAnsi="宋体" w:eastAsia="宋体" w:cs="宋体"/>
          <w:sz w:val="24"/>
          <w:szCs w:val="24"/>
          <w:highlight w:val="none"/>
        </w:rPr>
        <w:t>的要求编制技术响应施工组织设计</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至少包含以下内容：</w:t>
      </w:r>
    </w:p>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项目经理及组织机构人员配备方案</w:t>
      </w:r>
    </w:p>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施工方案</w:t>
      </w:r>
    </w:p>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确保安全生产的技术组织措施</w:t>
      </w:r>
    </w:p>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确保文明工地的技术组织措施及环境保护</w:t>
      </w:r>
    </w:p>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劳动力计划及主要材料供应计划</w:t>
      </w:r>
    </w:p>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施工机械设备供应计划表</w:t>
      </w:r>
    </w:p>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工程质量保证措施</w:t>
      </w:r>
    </w:p>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施工进度计划及确保工期的技术措施</w:t>
      </w:r>
    </w:p>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垃圾清运的计划</w:t>
      </w:r>
    </w:p>
    <w:p>
      <w:pPr>
        <w:shd w:val="clear"/>
        <w:spacing w:line="5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新技术、新产品、新工艺、新材料应用</w:t>
      </w:r>
    </w:p>
    <w:p>
      <w:pPr>
        <w:shd w:val="clear"/>
        <w:spacing w:line="5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11）业绩</w:t>
      </w:r>
    </w:p>
    <w:p>
      <w:pPr>
        <w:shd w:val="clear"/>
        <w:spacing w:line="5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r>
        <w:rPr>
          <w:rFonts w:hint="default" w:ascii="宋体" w:hAnsi="宋体" w:eastAsia="宋体" w:cs="宋体"/>
          <w:sz w:val="24"/>
          <w:szCs w:val="24"/>
          <w:highlight w:val="none"/>
          <w:lang w:val="en-US" w:eastAsia="zh-CN"/>
        </w:rPr>
        <w:t>工程质量承诺</w:t>
      </w:r>
    </w:p>
    <w:p>
      <w:pPr>
        <w:shd w:val="clear"/>
        <w:spacing w:line="5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r>
        <w:rPr>
          <w:rFonts w:hint="default" w:ascii="宋体" w:hAnsi="宋体" w:eastAsia="宋体" w:cs="宋体"/>
          <w:sz w:val="24"/>
          <w:szCs w:val="24"/>
          <w:highlight w:val="none"/>
          <w:lang w:val="en-US" w:eastAsia="zh-CN"/>
        </w:rPr>
        <w:t>后续服务</w:t>
      </w:r>
    </w:p>
    <w:p>
      <w:pPr>
        <w:shd w:val="clea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认为有必要说明的问题</w:t>
      </w:r>
    </w:p>
    <w:p>
      <w:pPr>
        <w:widowControl/>
        <w:shd w:val="clea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outlineLvl w:val="2"/>
        <w:rPr>
          <w:rFonts w:hint="eastAsia"/>
          <w:sz w:val="32"/>
          <w:szCs w:val="32"/>
          <w:highlight w:val="none"/>
        </w:rPr>
      </w:pPr>
      <w:bookmarkStart w:id="112" w:name="_Toc22047"/>
      <w:r>
        <w:rPr>
          <w:rFonts w:hint="eastAsia" w:ascii="宋体" w:hAnsi="宋体" w:cs="宋体"/>
          <w:b/>
          <w:bCs/>
          <w:sz w:val="32"/>
          <w:szCs w:val="32"/>
          <w:highlight w:val="none"/>
          <w:lang w:eastAsia="zh-CN"/>
        </w:rPr>
        <w:t>五</w:t>
      </w:r>
      <w:r>
        <w:rPr>
          <w:rFonts w:hint="eastAsia" w:ascii="宋体" w:hAnsi="宋体" w:eastAsia="宋体" w:cs="宋体"/>
          <w:b/>
          <w:bCs/>
          <w:sz w:val="32"/>
          <w:szCs w:val="32"/>
          <w:highlight w:val="none"/>
        </w:rPr>
        <w:t>、</w:t>
      </w:r>
      <w:bookmarkEnd w:id="112"/>
      <w:r>
        <w:rPr>
          <w:rFonts w:hint="eastAsia" w:ascii="宋体" w:hAnsi="宋体" w:eastAsia="宋体" w:cs="宋体"/>
          <w:b/>
          <w:bCs/>
          <w:sz w:val="32"/>
          <w:szCs w:val="32"/>
          <w:highlight w:val="none"/>
          <w:lang w:val="en-US" w:eastAsia="zh-CN"/>
        </w:rPr>
        <w:t>商务条款偏离表</w:t>
      </w:r>
    </w:p>
    <w:p>
      <w:pPr>
        <w:pStyle w:val="31"/>
        <w:keepNext w:val="0"/>
        <w:keepLines w:val="0"/>
        <w:widowControl w:val="0"/>
        <w:suppressLineNumbers w:val="0"/>
        <w:shd w:val="clear"/>
        <w:spacing w:before="0" w:beforeAutospacing="0" w:after="0" w:afterAutospacing="0"/>
        <w:ind w:right="0"/>
        <w:jc w:val="both"/>
        <w:rPr>
          <w:rFonts w:hint="eastAsia" w:ascii="宋体" w:hAnsi="宋体" w:eastAsia="宋体" w:cs="宋体"/>
          <w:highlight w:val="none"/>
          <w:lang w:val="en-US"/>
        </w:rPr>
      </w:pPr>
    </w:p>
    <w:p>
      <w:pPr>
        <w:pStyle w:val="31"/>
        <w:keepNext w:val="0"/>
        <w:keepLines w:val="0"/>
        <w:pageBreakBefore w:val="0"/>
        <w:widowControl w:val="0"/>
        <w:suppressLineNumbers w:val="0"/>
        <w:shd w:val="clear"/>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项目编号：</w:t>
      </w:r>
    </w:p>
    <w:p>
      <w:pPr>
        <w:pStyle w:val="31"/>
        <w:keepNext w:val="0"/>
        <w:keepLines w:val="0"/>
        <w:pageBreakBefore w:val="0"/>
        <w:widowControl w:val="0"/>
        <w:suppressLineNumbers w:val="0"/>
        <w:shd w:val="clear"/>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宋体" w:hAnsi="宋体" w:eastAsia="宋体" w:cs="宋体"/>
          <w:highlight w:val="none"/>
          <w:u w:val="single"/>
          <w:lang w:val="en-US" w:eastAsia="zh-CN"/>
        </w:rPr>
      </w:pPr>
      <w:r>
        <w:rPr>
          <w:rFonts w:hint="eastAsia" w:eastAsia="宋体" w:cs="宋体"/>
          <w:highlight w:val="none"/>
          <w:lang w:val="en-US" w:eastAsia="zh-CN"/>
        </w:rPr>
        <w:t>项目名称：</w:t>
      </w:r>
    </w:p>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bl>
      <w:tblPr>
        <w:tblStyle w:val="3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right="0"/>
              <w:jc w:val="center"/>
              <w:rPr>
                <w:rFonts w:hint="eastAsia" w:ascii="宋体" w:hAnsi="宋体" w:eastAsia="宋体" w:cs="宋体"/>
                <w:highlight w:val="none"/>
                <w:lang w:val="en-US"/>
              </w:rPr>
            </w:pPr>
            <w:r>
              <w:rPr>
                <w:rFonts w:hint="eastAsia" w:eastAsia="宋体" w:cs="宋体"/>
                <w:highlight w:val="none"/>
                <w:lang w:val="en-US" w:eastAsia="zh-CN"/>
              </w:rPr>
              <w:t>磋商</w:t>
            </w:r>
            <w:r>
              <w:rPr>
                <w:rFonts w:hint="eastAsia" w:ascii="宋体" w:hAnsi="宋体" w:eastAsia="宋体" w:cs="宋体"/>
                <w:highlight w:val="none"/>
                <w:lang w:val="en-US" w:eastAsia="zh-CN"/>
              </w:rPr>
              <w:t>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right="0"/>
              <w:jc w:val="center"/>
              <w:rPr>
                <w:rFonts w:hint="eastAsia" w:ascii="宋体" w:hAnsi="宋体" w:eastAsia="宋体" w:cs="宋体"/>
                <w:highlight w:val="none"/>
                <w:lang w:val="en-US"/>
              </w:rPr>
            </w:pPr>
            <w:r>
              <w:rPr>
                <w:rFonts w:hint="eastAsia" w:eastAsia="宋体" w:cs="宋体"/>
                <w:highlight w:val="none"/>
                <w:lang w:val="en-US" w:eastAsia="zh-CN"/>
              </w:rPr>
              <w:t>磋商</w:t>
            </w:r>
            <w:r>
              <w:rPr>
                <w:rFonts w:hint="eastAsia" w:ascii="宋体" w:hAnsi="宋体" w:eastAsia="宋体" w:cs="宋体"/>
                <w:highlight w:val="none"/>
                <w:lang w:val="en-US" w:eastAsia="zh-CN"/>
              </w:rPr>
              <w:t>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right="0"/>
              <w:jc w:val="center"/>
              <w:rPr>
                <w:rFonts w:hint="eastAsia" w:ascii="宋体" w:hAnsi="宋体" w:eastAsia="宋体" w:cs="宋体"/>
                <w:highlight w:val="none"/>
                <w:lang w:val="en-US"/>
              </w:rPr>
            </w:pPr>
            <w:r>
              <w:rPr>
                <w:rFonts w:hint="eastAsia" w:eastAsia="宋体" w:cs="宋体"/>
                <w:highlight w:val="none"/>
                <w:lang w:val="en-US" w:eastAsia="zh-CN"/>
              </w:rPr>
              <w:t>磋商响应</w:t>
            </w:r>
            <w:r>
              <w:rPr>
                <w:rFonts w:hint="eastAsia" w:ascii="宋体" w:hAnsi="宋体" w:eastAsia="宋体" w:cs="宋体"/>
                <w:highlight w:val="none"/>
                <w:lang w:val="en-US" w:eastAsia="zh-CN"/>
              </w:rPr>
              <w:t>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tc>
      </w:tr>
    </w:tbl>
    <w:p>
      <w:pPr>
        <w:pStyle w:val="31"/>
        <w:keepNext w:val="0"/>
        <w:keepLines w:val="0"/>
        <w:widowControl w:val="0"/>
        <w:suppressLineNumbers w:val="0"/>
        <w:shd w:val="clear"/>
        <w:spacing w:before="0" w:beforeAutospacing="0" w:after="0" w:afterAutospacing="0"/>
        <w:ind w:right="0"/>
        <w:jc w:val="left"/>
        <w:rPr>
          <w:rFonts w:hint="eastAsia" w:ascii="宋体" w:hAnsi="宋体" w:eastAsia="宋体" w:cs="宋体"/>
          <w:highlight w:val="none"/>
          <w:lang w:val="en-US"/>
        </w:rPr>
      </w:pPr>
      <w:r>
        <w:rPr>
          <w:rFonts w:hint="eastAsia" w:ascii="宋体" w:hAnsi="宋体" w:eastAsia="宋体" w:cs="宋体"/>
          <w:highlight w:val="none"/>
          <w:lang w:val="en-US"/>
        </w:rPr>
        <w:t>说明：</w:t>
      </w:r>
    </w:p>
    <w:p>
      <w:pPr>
        <w:pStyle w:val="31"/>
        <w:keepNext w:val="0"/>
        <w:keepLines w:val="0"/>
        <w:widowControl w:val="0"/>
        <w:suppressLineNumbers w:val="0"/>
        <w:shd w:val="clear"/>
        <w:spacing w:before="0" w:beforeAutospacing="0" w:after="0" w:afterAutospacing="0"/>
        <w:ind w:left="0" w:right="0" w:firstLine="480" w:firstLineChars="200"/>
        <w:jc w:val="both"/>
        <w:rPr>
          <w:rFonts w:hint="eastAsia" w:ascii="宋体" w:hAnsi="宋体" w:eastAsia="宋体" w:cs="宋体"/>
          <w:highlight w:val="none"/>
          <w:lang w:val="en-US"/>
        </w:rPr>
      </w:pPr>
      <w:r>
        <w:rPr>
          <w:rFonts w:hint="eastAsia" w:ascii="宋体" w:hAnsi="宋体" w:eastAsia="宋体" w:cs="宋体"/>
          <w:highlight w:val="none"/>
          <w:lang w:val="en-US"/>
        </w:rPr>
        <w:t>1.本表只填写</w:t>
      </w:r>
      <w:r>
        <w:rPr>
          <w:rFonts w:hint="eastAsia" w:eastAsia="宋体" w:cs="宋体"/>
          <w:highlight w:val="none"/>
          <w:lang w:val="en-US" w:eastAsia="zh-CN"/>
        </w:rPr>
        <w:t>磋商响应</w:t>
      </w:r>
      <w:r>
        <w:rPr>
          <w:rFonts w:hint="eastAsia" w:ascii="宋体" w:hAnsi="宋体" w:eastAsia="宋体" w:cs="宋体"/>
          <w:highlight w:val="none"/>
          <w:lang w:val="en-US"/>
        </w:rPr>
        <w:t>文件中与</w:t>
      </w:r>
      <w:r>
        <w:rPr>
          <w:rFonts w:hint="eastAsia" w:eastAsia="宋体" w:cs="宋体"/>
          <w:highlight w:val="none"/>
          <w:lang w:val="en-US" w:eastAsia="zh-CN"/>
        </w:rPr>
        <w:t>磋商</w:t>
      </w:r>
      <w:r>
        <w:rPr>
          <w:rFonts w:hint="eastAsia" w:ascii="宋体" w:hAnsi="宋体" w:eastAsia="宋体" w:cs="宋体"/>
          <w:highlight w:val="none"/>
          <w:lang w:val="en-US"/>
        </w:rPr>
        <w:t>文件有偏离（包括正偏离和负偏离）的内容，</w:t>
      </w:r>
      <w:r>
        <w:rPr>
          <w:rFonts w:hint="eastAsia" w:eastAsia="宋体" w:cs="宋体"/>
          <w:highlight w:val="none"/>
          <w:lang w:val="en-US" w:eastAsia="zh-CN"/>
        </w:rPr>
        <w:t>磋商响应</w:t>
      </w:r>
      <w:r>
        <w:rPr>
          <w:rFonts w:hint="eastAsia" w:ascii="宋体" w:hAnsi="宋体" w:eastAsia="宋体" w:cs="宋体"/>
          <w:highlight w:val="none"/>
          <w:lang w:val="en-US"/>
        </w:rPr>
        <w:t>文件中商务响应与</w:t>
      </w:r>
      <w:r>
        <w:rPr>
          <w:rFonts w:hint="eastAsia" w:eastAsia="宋体" w:cs="宋体"/>
          <w:highlight w:val="none"/>
          <w:lang w:val="en-US" w:eastAsia="zh-CN"/>
        </w:rPr>
        <w:t>磋商</w:t>
      </w:r>
      <w:r>
        <w:rPr>
          <w:rFonts w:hint="eastAsia" w:ascii="宋体" w:hAnsi="宋体" w:eastAsia="宋体" w:cs="宋体"/>
          <w:highlight w:val="none"/>
          <w:lang w:val="en-US"/>
        </w:rPr>
        <w:t>文件要求完全一致的，不用在此表中列出，但必须提交空白表。</w:t>
      </w:r>
    </w:p>
    <w:p>
      <w:pPr>
        <w:pStyle w:val="31"/>
        <w:keepNext w:val="0"/>
        <w:keepLines w:val="0"/>
        <w:widowControl w:val="0"/>
        <w:suppressLineNumbers w:val="0"/>
        <w:shd w:val="clear"/>
        <w:spacing w:before="0" w:beforeAutospacing="0" w:after="0" w:afterAutospacing="0"/>
        <w:ind w:left="0" w:right="0" w:firstLine="480" w:firstLineChars="200"/>
        <w:jc w:val="left"/>
        <w:rPr>
          <w:rFonts w:hint="eastAsia" w:ascii="宋体" w:hAnsi="宋体" w:eastAsia="宋体" w:cs="宋体"/>
          <w:highlight w:val="none"/>
          <w:lang w:val="en-US"/>
        </w:rPr>
      </w:pPr>
      <w:r>
        <w:rPr>
          <w:rFonts w:hint="eastAsia" w:ascii="宋体" w:hAnsi="宋体" w:eastAsia="宋体" w:cs="宋体"/>
          <w:highlight w:val="none"/>
          <w:lang w:val="en-US"/>
        </w:rPr>
        <w:t>2.</w:t>
      </w:r>
      <w:r>
        <w:rPr>
          <w:rFonts w:hint="eastAsia" w:eastAsia="宋体" w:cs="宋体"/>
          <w:highlight w:val="none"/>
          <w:lang w:val="en-US" w:eastAsia="zh-CN"/>
        </w:rPr>
        <w:t>供应商</w:t>
      </w:r>
      <w:r>
        <w:rPr>
          <w:rFonts w:hint="eastAsia" w:ascii="宋体" w:hAnsi="宋体" w:eastAsia="宋体" w:cs="宋体"/>
          <w:highlight w:val="none"/>
          <w:lang w:val="en-US"/>
        </w:rPr>
        <w:t>必须据实填写，不得虚假响应，否则将取消其</w:t>
      </w:r>
      <w:r>
        <w:rPr>
          <w:rFonts w:hint="eastAsia" w:eastAsia="宋体" w:cs="宋体"/>
          <w:highlight w:val="none"/>
          <w:lang w:val="en-US" w:eastAsia="zh-CN"/>
        </w:rPr>
        <w:t>磋商或成交</w:t>
      </w:r>
      <w:r>
        <w:rPr>
          <w:rFonts w:hint="eastAsia" w:ascii="宋体" w:hAnsi="宋体" w:eastAsia="宋体" w:cs="宋体"/>
          <w:highlight w:val="none"/>
          <w:lang w:val="en-US"/>
        </w:rPr>
        <w:t>资格，并按有关规定进处罚。</w:t>
      </w:r>
    </w:p>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p>
      <w:pPr>
        <w:pStyle w:val="31"/>
        <w:keepNext w:val="0"/>
        <w:keepLines w:val="0"/>
        <w:widowControl w:val="0"/>
        <w:suppressLineNumbers w:val="0"/>
        <w:shd w:val="clear"/>
        <w:spacing w:before="0" w:beforeAutospacing="0" w:after="0" w:afterAutospacing="0"/>
        <w:ind w:left="0" w:right="0" w:firstLine="480" w:firstLineChars="200"/>
        <w:jc w:val="left"/>
        <w:rPr>
          <w:rFonts w:hint="eastAsia" w:ascii="宋体" w:hAnsi="宋体" w:eastAsia="宋体" w:cs="宋体"/>
          <w:highlight w:val="none"/>
          <w:lang w:val="en-US"/>
        </w:rPr>
      </w:pPr>
      <w:r>
        <w:rPr>
          <w:rFonts w:hint="eastAsia" w:eastAsia="宋体" w:cs="宋体"/>
          <w:highlight w:val="none"/>
          <w:lang w:val="en-US" w:eastAsia="zh-CN"/>
        </w:rPr>
        <w:t>供应商</w:t>
      </w:r>
      <w:r>
        <w:rPr>
          <w:rFonts w:hint="eastAsia" w:ascii="宋体" w:hAnsi="宋体" w:eastAsia="宋体" w:cs="宋体"/>
          <w:highlight w:val="none"/>
          <w:lang w:val="en-US"/>
        </w:rPr>
        <w:t>名称：                     （单位公章）</w:t>
      </w:r>
    </w:p>
    <w:p>
      <w:pPr>
        <w:pStyle w:val="31"/>
        <w:keepNext w:val="0"/>
        <w:keepLines w:val="0"/>
        <w:widowControl w:val="0"/>
        <w:suppressLineNumbers w:val="0"/>
        <w:shd w:val="clear"/>
        <w:spacing w:before="0" w:beforeAutospacing="0" w:after="0" w:afterAutospacing="0"/>
        <w:ind w:left="0" w:right="0" w:firstLine="480" w:firstLineChars="200"/>
        <w:jc w:val="center"/>
        <w:rPr>
          <w:rFonts w:hint="eastAsia" w:ascii="宋体" w:hAnsi="宋体" w:eastAsia="宋体" w:cs="宋体"/>
          <w:highlight w:val="none"/>
          <w:lang w:val="en-US"/>
        </w:rPr>
      </w:pPr>
    </w:p>
    <w:p>
      <w:pPr>
        <w:shd w:val="clear"/>
        <w:spacing w:line="400" w:lineRule="exact"/>
        <w:ind w:firstLine="420" w:firstLineChars="200"/>
        <w:rPr>
          <w:rFonts w:hint="eastAsia" w:hAnsi="宋体"/>
          <w:szCs w:val="24"/>
          <w:highlight w:val="none"/>
        </w:rPr>
      </w:pPr>
      <w:r>
        <w:rPr>
          <w:rFonts w:hint="eastAsia" w:ascii="宋体" w:hAnsi="宋体" w:eastAsia="宋体" w:cs="宋体"/>
          <w:highlight w:val="none"/>
          <w:lang w:val="en-US"/>
        </w:rPr>
        <w:t xml:space="preserve">法定代表人或委托代理人：             （签字） </w:t>
      </w:r>
    </w:p>
    <w:p>
      <w:pPr>
        <w:shd w:val="clear"/>
        <w:spacing w:line="408" w:lineRule="auto"/>
        <w:rPr>
          <w:rFonts w:ascii="宋体" w:hAnsi="宋体" w:cs="宋体"/>
          <w:sz w:val="24"/>
          <w:szCs w:val="24"/>
          <w:highlight w:val="none"/>
        </w:rPr>
      </w:pPr>
    </w:p>
    <w:p>
      <w:pPr>
        <w:keepLines/>
        <w:pageBreakBefore/>
        <w:shd w:val="clear"/>
        <w:outlineLvl w:val="1"/>
        <w:rPr>
          <w:b/>
          <w:bCs/>
          <w:sz w:val="32"/>
          <w:szCs w:val="32"/>
          <w:highlight w:val="none"/>
        </w:rPr>
      </w:pPr>
      <w:bookmarkStart w:id="113" w:name="_Toc24985"/>
      <w:r>
        <w:rPr>
          <w:rFonts w:hint="eastAsia" w:cs="宋体"/>
          <w:b/>
          <w:bCs/>
          <w:sz w:val="32"/>
          <w:szCs w:val="32"/>
          <w:highlight w:val="none"/>
          <w:lang w:eastAsia="zh-CN"/>
        </w:rPr>
        <w:t>六</w:t>
      </w:r>
      <w:r>
        <w:rPr>
          <w:rFonts w:hint="eastAsia" w:cs="宋体"/>
          <w:b/>
          <w:bCs/>
          <w:sz w:val="32"/>
          <w:szCs w:val="32"/>
          <w:highlight w:val="none"/>
        </w:rPr>
        <w:t>、陕西省政府采购供应商拒绝政府采购领域商业贿赂承诺书</w:t>
      </w:r>
      <w:bookmarkEnd w:id="113"/>
    </w:p>
    <w:p>
      <w:pPr>
        <w:widowControl/>
        <w:shd w:val="clear"/>
        <w:spacing w:line="408" w:lineRule="auto"/>
        <w:ind w:left="239" w:leftChars="114" w:firstLine="470" w:firstLineChars="196"/>
        <w:jc w:val="left"/>
        <w:rPr>
          <w:rFonts w:ascii="宋体"/>
          <w:kern w:val="0"/>
          <w:sz w:val="24"/>
          <w:szCs w:val="24"/>
          <w:highlight w:val="none"/>
        </w:rPr>
      </w:pPr>
      <w:r>
        <w:rPr>
          <w:rFonts w:hint="eastAsia" w:ascii="宋体" w:hAnsi="宋体" w:cs="宋体"/>
          <w:kern w:val="0"/>
          <w:sz w:val="24"/>
          <w:szCs w:val="24"/>
          <w:highlight w:val="none"/>
        </w:rPr>
        <w:t>为响应党中央、国务院关于治理政府采购领域商业贿赂行为的号召，我公司在此庄严承诺：</w:t>
      </w:r>
      <w:r>
        <w:rPr>
          <w:rFonts w:ascii="宋体"/>
          <w:kern w:val="0"/>
          <w:sz w:val="24"/>
          <w:szCs w:val="24"/>
          <w:highlight w:val="none"/>
        </w:rPr>
        <w:br w:type="textWrapping"/>
      </w:r>
      <w:r>
        <w:rPr>
          <w:rFonts w:ascii="宋体" w:hAnsi="宋体" w:cs="宋体"/>
          <w:kern w:val="0"/>
          <w:sz w:val="24"/>
          <w:szCs w:val="24"/>
          <w:highlight w:val="none"/>
        </w:rPr>
        <w:t>1</w:t>
      </w:r>
      <w:r>
        <w:rPr>
          <w:rFonts w:hint="eastAsia" w:ascii="宋体" w:hAnsi="宋体" w:cs="宋体"/>
          <w:kern w:val="0"/>
          <w:sz w:val="24"/>
          <w:szCs w:val="24"/>
          <w:highlight w:val="none"/>
        </w:rPr>
        <w:t>、在参与政府采购活动中遵纪守法、诚信经营、公平竞标。</w:t>
      </w:r>
      <w:r>
        <w:rPr>
          <w:rFonts w:ascii="宋体"/>
          <w:kern w:val="0"/>
          <w:sz w:val="24"/>
          <w:szCs w:val="24"/>
          <w:highlight w:val="none"/>
        </w:rPr>
        <w:br w:type="textWrapping"/>
      </w:r>
      <w:r>
        <w:rPr>
          <w:rFonts w:ascii="宋体" w:hAnsi="宋体" w:cs="宋体"/>
          <w:kern w:val="0"/>
          <w:sz w:val="24"/>
          <w:szCs w:val="24"/>
          <w:highlight w:val="none"/>
        </w:rPr>
        <w:t>2</w:t>
      </w:r>
      <w:r>
        <w:rPr>
          <w:rFonts w:hint="eastAsia" w:ascii="宋体" w:hAnsi="宋体" w:cs="宋体"/>
          <w:kern w:val="0"/>
          <w:sz w:val="24"/>
          <w:szCs w:val="24"/>
          <w:highlight w:val="none"/>
        </w:rPr>
        <w:t>、不向政府采购人、采购代理机构和政府采购评审专家进行任何形式的商业贿赂以谋取交易机会。</w:t>
      </w:r>
      <w:r>
        <w:rPr>
          <w:rFonts w:ascii="宋体"/>
          <w:kern w:val="0"/>
          <w:sz w:val="24"/>
          <w:szCs w:val="24"/>
          <w:highlight w:val="none"/>
        </w:rPr>
        <w:br w:type="textWrapping"/>
      </w:r>
      <w:r>
        <w:rPr>
          <w:rFonts w:ascii="宋体" w:hAnsi="宋体" w:cs="宋体"/>
          <w:kern w:val="0"/>
          <w:sz w:val="24"/>
          <w:szCs w:val="24"/>
          <w:highlight w:val="none"/>
        </w:rPr>
        <w:t>3</w:t>
      </w:r>
      <w:r>
        <w:rPr>
          <w:rFonts w:hint="eastAsia" w:ascii="宋体" w:hAnsi="宋体" w:cs="宋体"/>
          <w:kern w:val="0"/>
          <w:sz w:val="24"/>
          <w:szCs w:val="24"/>
          <w:highlight w:val="none"/>
        </w:rPr>
        <w:t>、不向政府采购代理机构和采购人提供虚假资质文件或采用虚假应标方式参与政府采购市场竞争并谋取中标、成交。</w:t>
      </w:r>
      <w:r>
        <w:rPr>
          <w:rFonts w:ascii="宋体"/>
          <w:kern w:val="0"/>
          <w:sz w:val="24"/>
          <w:szCs w:val="24"/>
          <w:highlight w:val="none"/>
        </w:rPr>
        <w:br w:type="textWrapping"/>
      </w:r>
      <w:r>
        <w:rPr>
          <w:rFonts w:ascii="宋体" w:hAnsi="宋体" w:cs="宋体"/>
          <w:kern w:val="0"/>
          <w:sz w:val="24"/>
          <w:szCs w:val="24"/>
          <w:highlight w:val="none"/>
        </w:rPr>
        <w:t>4</w:t>
      </w:r>
      <w:r>
        <w:rPr>
          <w:rFonts w:hint="eastAsia" w:ascii="宋体" w:hAnsi="宋体" w:cs="宋体"/>
          <w:kern w:val="0"/>
          <w:sz w:val="24"/>
          <w:szCs w:val="24"/>
          <w:highlight w:val="none"/>
        </w:rPr>
        <w:t>、不采取</w:t>
      </w:r>
      <w:r>
        <w:rPr>
          <w:rFonts w:hint="eastAsia" w:ascii="宋体" w:cs="宋体"/>
          <w:kern w:val="0"/>
          <w:sz w:val="24"/>
          <w:szCs w:val="24"/>
          <w:highlight w:val="none"/>
        </w:rPr>
        <w:t>“</w:t>
      </w:r>
      <w:r>
        <w:rPr>
          <w:rFonts w:hint="eastAsia" w:ascii="宋体" w:hAnsi="宋体" w:cs="宋体"/>
          <w:kern w:val="0"/>
          <w:sz w:val="24"/>
          <w:szCs w:val="24"/>
          <w:highlight w:val="none"/>
        </w:rPr>
        <w:t>围标、陪标</w:t>
      </w:r>
      <w:r>
        <w:rPr>
          <w:rFonts w:hint="eastAsia" w:ascii="宋体" w:cs="宋体"/>
          <w:kern w:val="0"/>
          <w:sz w:val="24"/>
          <w:szCs w:val="24"/>
          <w:highlight w:val="none"/>
        </w:rPr>
        <w:t>”</w:t>
      </w:r>
      <w:r>
        <w:rPr>
          <w:rFonts w:hint="eastAsia" w:ascii="宋体" w:hAnsi="宋体" w:cs="宋体"/>
          <w:kern w:val="0"/>
          <w:sz w:val="24"/>
          <w:szCs w:val="24"/>
          <w:highlight w:val="none"/>
        </w:rPr>
        <w:t>等商业欺诈手段获得政府采购定单。</w:t>
      </w:r>
      <w:r>
        <w:rPr>
          <w:rFonts w:ascii="宋体"/>
          <w:kern w:val="0"/>
          <w:sz w:val="24"/>
          <w:szCs w:val="24"/>
          <w:highlight w:val="none"/>
        </w:rPr>
        <w:br w:type="textWrapping"/>
      </w:r>
      <w:r>
        <w:rPr>
          <w:rFonts w:ascii="宋体" w:hAnsi="宋体" w:cs="宋体"/>
          <w:kern w:val="0"/>
          <w:sz w:val="24"/>
          <w:szCs w:val="24"/>
          <w:highlight w:val="none"/>
        </w:rPr>
        <w:t>5</w:t>
      </w:r>
      <w:r>
        <w:rPr>
          <w:rFonts w:hint="eastAsia" w:ascii="宋体" w:hAnsi="宋体" w:cs="宋体"/>
          <w:kern w:val="0"/>
          <w:sz w:val="24"/>
          <w:szCs w:val="24"/>
          <w:highlight w:val="none"/>
        </w:rPr>
        <w:t>、不采取不正当手段诋毁、排挤其他供应商。</w:t>
      </w:r>
      <w:r>
        <w:rPr>
          <w:rFonts w:ascii="宋体"/>
          <w:kern w:val="0"/>
          <w:sz w:val="24"/>
          <w:szCs w:val="24"/>
          <w:highlight w:val="none"/>
        </w:rPr>
        <w:br w:type="textWrapping"/>
      </w:r>
      <w:r>
        <w:rPr>
          <w:rFonts w:ascii="宋体" w:hAnsi="宋体" w:cs="宋体"/>
          <w:kern w:val="0"/>
          <w:sz w:val="24"/>
          <w:szCs w:val="24"/>
          <w:highlight w:val="none"/>
        </w:rPr>
        <w:t>6</w:t>
      </w:r>
      <w:r>
        <w:rPr>
          <w:rFonts w:hint="eastAsia" w:ascii="宋体" w:hAnsi="宋体" w:cs="宋体"/>
          <w:kern w:val="0"/>
          <w:sz w:val="24"/>
          <w:szCs w:val="24"/>
          <w:highlight w:val="none"/>
        </w:rPr>
        <w:t>、不在提供商品和服务时</w:t>
      </w:r>
      <w:r>
        <w:rPr>
          <w:rFonts w:hint="eastAsia" w:ascii="宋体" w:cs="宋体"/>
          <w:kern w:val="0"/>
          <w:sz w:val="24"/>
          <w:szCs w:val="24"/>
          <w:highlight w:val="none"/>
        </w:rPr>
        <w:t>“</w:t>
      </w:r>
      <w:r>
        <w:rPr>
          <w:rFonts w:hint="eastAsia" w:ascii="宋体" w:hAnsi="宋体" w:cs="宋体"/>
          <w:kern w:val="0"/>
          <w:sz w:val="24"/>
          <w:szCs w:val="24"/>
          <w:highlight w:val="none"/>
        </w:rPr>
        <w:t>偷梁换柱、以次充好</w:t>
      </w:r>
      <w:r>
        <w:rPr>
          <w:rFonts w:hint="eastAsia" w:ascii="宋体" w:cs="宋体"/>
          <w:kern w:val="0"/>
          <w:sz w:val="24"/>
          <w:szCs w:val="24"/>
          <w:highlight w:val="none"/>
        </w:rPr>
        <w:t>”</w:t>
      </w:r>
      <w:r>
        <w:rPr>
          <w:rFonts w:hint="eastAsia" w:ascii="宋体" w:hAnsi="宋体" w:cs="宋体"/>
          <w:kern w:val="0"/>
          <w:sz w:val="24"/>
          <w:szCs w:val="24"/>
          <w:highlight w:val="none"/>
        </w:rPr>
        <w:t>损害采购人的合法权益。</w:t>
      </w:r>
      <w:r>
        <w:rPr>
          <w:rFonts w:ascii="宋体"/>
          <w:kern w:val="0"/>
          <w:sz w:val="24"/>
          <w:szCs w:val="24"/>
          <w:highlight w:val="none"/>
        </w:rPr>
        <w:br w:type="textWrapping"/>
      </w:r>
      <w:r>
        <w:rPr>
          <w:rFonts w:ascii="宋体" w:hAnsi="宋体" w:cs="宋体"/>
          <w:kern w:val="0"/>
          <w:sz w:val="24"/>
          <w:szCs w:val="24"/>
          <w:highlight w:val="none"/>
        </w:rPr>
        <w:t>7</w:t>
      </w:r>
      <w:r>
        <w:rPr>
          <w:rFonts w:hint="eastAsia" w:ascii="宋体" w:hAnsi="宋体" w:cs="宋体"/>
          <w:kern w:val="0"/>
          <w:sz w:val="24"/>
          <w:szCs w:val="24"/>
          <w:highlight w:val="none"/>
        </w:rPr>
        <w:t>、不与采购人、采购代理机构政府采购评审专家或其它供应商恶意串通，进行质疑和投诉，维护政府采购市场秩序。</w:t>
      </w:r>
      <w:r>
        <w:rPr>
          <w:rFonts w:ascii="宋体"/>
          <w:kern w:val="0"/>
          <w:sz w:val="24"/>
          <w:szCs w:val="24"/>
          <w:highlight w:val="none"/>
        </w:rPr>
        <w:br w:type="textWrapping"/>
      </w:r>
      <w:r>
        <w:rPr>
          <w:rFonts w:ascii="宋体" w:hAnsi="宋体" w:cs="宋体"/>
          <w:kern w:val="0"/>
          <w:sz w:val="24"/>
          <w:szCs w:val="24"/>
          <w:highlight w:val="none"/>
        </w:rPr>
        <w:t>8</w:t>
      </w:r>
      <w:r>
        <w:rPr>
          <w:rFonts w:hint="eastAsia" w:ascii="宋体" w:hAnsi="宋体" w:cs="宋体"/>
          <w:kern w:val="0"/>
          <w:sz w:val="24"/>
          <w:szCs w:val="24"/>
          <w:highlight w:val="none"/>
        </w:rPr>
        <w:t>、尊重和接受政府采购监督管理部门的监督和政府采购代理机构招标采购要求，承担因违约行为给采购人造成的损失。</w:t>
      </w:r>
      <w:r>
        <w:rPr>
          <w:rFonts w:ascii="宋体"/>
          <w:kern w:val="0"/>
          <w:sz w:val="24"/>
          <w:szCs w:val="24"/>
          <w:highlight w:val="none"/>
        </w:rPr>
        <w:br w:type="textWrapping"/>
      </w:r>
      <w:r>
        <w:rPr>
          <w:rFonts w:ascii="宋体" w:hAnsi="宋体" w:cs="宋体"/>
          <w:kern w:val="0"/>
          <w:sz w:val="24"/>
          <w:szCs w:val="24"/>
          <w:highlight w:val="none"/>
        </w:rPr>
        <w:t>9</w:t>
      </w:r>
      <w:r>
        <w:rPr>
          <w:rFonts w:hint="eastAsia" w:ascii="宋体" w:hAnsi="宋体" w:cs="宋体"/>
          <w:kern w:val="0"/>
          <w:sz w:val="24"/>
          <w:szCs w:val="24"/>
          <w:highlight w:val="none"/>
        </w:rPr>
        <w:t>、不发生其他有悖于政府采购公开、公平、公正和诚信原则的行为。</w:t>
      </w:r>
      <w:r>
        <w:rPr>
          <w:rFonts w:ascii="宋体"/>
          <w:kern w:val="0"/>
          <w:sz w:val="24"/>
          <w:szCs w:val="24"/>
          <w:highlight w:val="none"/>
        </w:rPr>
        <w:br w:type="textWrapping"/>
      </w:r>
    </w:p>
    <w:p>
      <w:pPr>
        <w:widowControl/>
        <w:shd w:val="clear"/>
        <w:spacing w:line="408" w:lineRule="auto"/>
        <w:ind w:left="239" w:leftChars="114"/>
        <w:jc w:val="left"/>
        <w:rPr>
          <w:rFonts w:ascii="宋体"/>
          <w:kern w:val="0"/>
          <w:sz w:val="24"/>
          <w:szCs w:val="24"/>
          <w:highlight w:val="none"/>
        </w:rPr>
      </w:pPr>
      <w:r>
        <w:rPr>
          <w:rFonts w:hint="eastAsia" w:ascii="宋体" w:hAnsi="宋体" w:cs="宋体"/>
          <w:kern w:val="0"/>
          <w:sz w:val="24"/>
          <w:szCs w:val="24"/>
          <w:highlight w:val="none"/>
        </w:rPr>
        <w:t>承诺单位：    （盖章）</w:t>
      </w:r>
      <w:r>
        <w:rPr>
          <w:rFonts w:ascii="宋体"/>
          <w:kern w:val="0"/>
          <w:sz w:val="24"/>
          <w:szCs w:val="24"/>
          <w:highlight w:val="none"/>
        </w:rPr>
        <w:br w:type="textWrapping"/>
      </w:r>
      <w:r>
        <w:rPr>
          <w:rFonts w:hint="eastAsia" w:ascii="宋体" w:hAnsi="宋体" w:cs="宋体"/>
          <w:kern w:val="0"/>
          <w:sz w:val="24"/>
          <w:szCs w:val="24"/>
          <w:highlight w:val="none"/>
        </w:rPr>
        <w:t>全权代表：（签章）</w:t>
      </w:r>
      <w:r>
        <w:rPr>
          <w:rFonts w:ascii="宋体"/>
          <w:kern w:val="0"/>
          <w:sz w:val="24"/>
          <w:szCs w:val="24"/>
          <w:highlight w:val="none"/>
        </w:rPr>
        <w:br w:type="textWrapping"/>
      </w:r>
      <w:r>
        <w:rPr>
          <w:rFonts w:hint="eastAsia" w:ascii="宋体" w:hAnsi="宋体" w:cs="宋体"/>
          <w:kern w:val="0"/>
          <w:sz w:val="24"/>
          <w:szCs w:val="24"/>
          <w:highlight w:val="none"/>
        </w:rPr>
        <w:t>地址：</w:t>
      </w:r>
    </w:p>
    <w:p>
      <w:pPr>
        <w:widowControl/>
        <w:shd w:val="clear"/>
        <w:spacing w:line="408" w:lineRule="auto"/>
        <w:ind w:left="239" w:leftChars="114"/>
        <w:jc w:val="left"/>
        <w:rPr>
          <w:rFonts w:ascii="宋体"/>
          <w:kern w:val="0"/>
          <w:sz w:val="24"/>
          <w:szCs w:val="24"/>
          <w:highlight w:val="none"/>
        </w:rPr>
      </w:pPr>
      <w:r>
        <w:rPr>
          <w:rFonts w:hint="eastAsia" w:ascii="宋体" w:hAnsi="宋体" w:cs="宋体"/>
          <w:kern w:val="0"/>
          <w:sz w:val="24"/>
          <w:szCs w:val="24"/>
          <w:highlight w:val="none"/>
        </w:rPr>
        <w:t>邮编：</w:t>
      </w:r>
      <w:r>
        <w:rPr>
          <w:rFonts w:ascii="宋体"/>
          <w:kern w:val="0"/>
          <w:sz w:val="24"/>
          <w:szCs w:val="24"/>
          <w:highlight w:val="none"/>
        </w:rPr>
        <w:br w:type="textWrapping"/>
      </w:r>
      <w:r>
        <w:rPr>
          <w:rFonts w:hint="eastAsia" w:ascii="宋体" w:hAnsi="宋体" w:cs="宋体"/>
          <w:kern w:val="0"/>
          <w:sz w:val="24"/>
          <w:szCs w:val="24"/>
          <w:highlight w:val="none"/>
        </w:rPr>
        <w:t>电话：</w:t>
      </w:r>
    </w:p>
    <w:p>
      <w:pPr>
        <w:widowControl/>
        <w:shd w:val="clear"/>
        <w:spacing w:line="408" w:lineRule="auto"/>
        <w:ind w:left="239" w:leftChars="114"/>
        <w:jc w:val="left"/>
        <w:rPr>
          <w:rFonts w:ascii="宋体" w:hAnsi="宋体" w:cs="宋体"/>
          <w:kern w:val="0"/>
          <w:sz w:val="24"/>
          <w:szCs w:val="24"/>
          <w:highlight w:val="none"/>
        </w:rPr>
      </w:pPr>
      <w:r>
        <w:rPr>
          <w:rFonts w:hint="eastAsia" w:ascii="宋体"/>
          <w:kern w:val="0"/>
          <w:sz w:val="24"/>
          <w:szCs w:val="24"/>
          <w:highlight w:val="none"/>
        </w:rPr>
        <w:t>日期：</w:t>
      </w:r>
      <w:r>
        <w:rPr>
          <w:rFonts w:hint="eastAsia" w:ascii="宋体"/>
          <w:kern w:val="0"/>
          <w:sz w:val="24"/>
          <w:szCs w:val="24"/>
          <w:highlight w:val="none"/>
          <w:lang w:val="en-US" w:eastAsia="zh-CN"/>
        </w:rPr>
        <w:t xml:space="preserve"> </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日</w:t>
      </w:r>
    </w:p>
    <w:p>
      <w:pPr>
        <w:shd w:val="clear"/>
        <w:spacing w:line="408" w:lineRule="auto"/>
        <w:ind w:left="525" w:leftChars="250"/>
        <w:rPr>
          <w:rFonts w:ascii="宋体" w:hAnsi="宋体" w:cs="宋体"/>
          <w:sz w:val="24"/>
          <w:szCs w:val="24"/>
          <w:highlight w:val="none"/>
        </w:rPr>
      </w:pPr>
    </w:p>
    <w:p>
      <w:pPr>
        <w:shd w:val="clear"/>
        <w:spacing w:line="408" w:lineRule="auto"/>
        <w:ind w:left="525" w:leftChars="250"/>
        <w:rPr>
          <w:rFonts w:ascii="宋体" w:hAnsi="宋体" w:cs="宋体"/>
          <w:sz w:val="24"/>
          <w:szCs w:val="24"/>
          <w:highlight w:val="none"/>
        </w:rPr>
      </w:pPr>
    </w:p>
    <w:p>
      <w:pPr>
        <w:shd w:val="clear"/>
        <w:spacing w:line="408" w:lineRule="auto"/>
        <w:ind w:left="525" w:leftChars="250"/>
        <w:rPr>
          <w:rFonts w:ascii="宋体" w:hAnsi="宋体" w:cs="宋体"/>
          <w:sz w:val="24"/>
          <w:szCs w:val="24"/>
          <w:highlight w:val="none"/>
        </w:rPr>
      </w:pPr>
    </w:p>
    <w:p>
      <w:pPr>
        <w:widowControl/>
        <w:shd w:val="clear"/>
        <w:jc w:val="center"/>
        <w:outlineLvl w:val="1"/>
        <w:rPr>
          <w:rFonts w:cs="宋体"/>
          <w:b/>
          <w:bCs/>
          <w:sz w:val="32"/>
          <w:szCs w:val="32"/>
          <w:highlight w:val="none"/>
        </w:rPr>
      </w:pPr>
      <w:bookmarkStart w:id="114" w:name="_Toc5235"/>
      <w:r>
        <w:rPr>
          <w:rFonts w:hint="eastAsia" w:cs="宋体"/>
          <w:b/>
          <w:bCs/>
          <w:sz w:val="32"/>
          <w:szCs w:val="32"/>
          <w:highlight w:val="none"/>
          <w:lang w:eastAsia="zh-CN"/>
        </w:rPr>
        <w:t>七</w:t>
      </w:r>
      <w:r>
        <w:rPr>
          <w:rFonts w:hint="eastAsia" w:cs="宋体"/>
          <w:b/>
          <w:bCs/>
          <w:sz w:val="32"/>
          <w:szCs w:val="32"/>
          <w:highlight w:val="none"/>
        </w:rPr>
        <w:t>、供应商资格证明文件</w:t>
      </w:r>
      <w:bookmarkEnd w:id="114"/>
    </w:p>
    <w:p>
      <w:pPr>
        <w:shd w:val="clea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1、提供合格有效的法人或者其他组织的营业执照等证明文件，自然人的身份证明；</w:t>
      </w: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rFonts w:ascii="宋体" w:hAnsi="宋体" w:cs="宋体"/>
          <w:sz w:val="24"/>
          <w:szCs w:val="24"/>
          <w:highlight w:val="none"/>
        </w:rPr>
      </w:pPr>
    </w:p>
    <w:p>
      <w:pPr>
        <w:shd w:val="clear"/>
        <w:rPr>
          <w:rFonts w:ascii="宋体" w:hAnsi="宋体" w:cs="宋体"/>
          <w:sz w:val="24"/>
          <w:szCs w:val="24"/>
          <w:highlight w:val="none"/>
        </w:rPr>
      </w:pPr>
    </w:p>
    <w:p>
      <w:pPr>
        <w:pStyle w:val="2"/>
        <w:shd w:val="clear"/>
        <w:rPr>
          <w:highlight w:val="none"/>
        </w:rPr>
      </w:pPr>
    </w:p>
    <w:p>
      <w:pPr>
        <w:shd w:val="clear"/>
        <w:spacing w:line="600" w:lineRule="exact"/>
        <w:rPr>
          <w:highlight w:val="none"/>
        </w:rPr>
      </w:pPr>
      <w:r>
        <w:rPr>
          <w:rFonts w:hint="eastAsia" w:ascii="宋体" w:hAnsi="宋体" w:cs="宋体"/>
          <w:sz w:val="24"/>
          <w:szCs w:val="24"/>
          <w:highlight w:val="none"/>
        </w:rPr>
        <w:t>2、法定代表人授权书（附法定代表人、被授权人身份证复印件）及被授权人身份证（法定代表人直接参加磋商，须提供法定代表人身份证明及身份证原件）</w:t>
      </w:r>
      <w:r>
        <w:rPr>
          <w:rFonts w:hint="eastAsia"/>
          <w:highlight w:val="none"/>
        </w:rPr>
        <w:t>；</w:t>
      </w:r>
    </w:p>
    <w:p>
      <w:pPr>
        <w:pStyle w:val="2"/>
        <w:shd w:val="clear"/>
        <w:rPr>
          <w:highlight w:val="none"/>
        </w:rPr>
      </w:pPr>
    </w:p>
    <w:p>
      <w:pPr>
        <w:shd w:val="clear"/>
        <w:rPr>
          <w:highlight w:val="none"/>
        </w:rPr>
      </w:pPr>
    </w:p>
    <w:p>
      <w:pPr>
        <w:pStyle w:val="2"/>
        <w:shd w:val="clear"/>
        <w:rPr>
          <w:highlight w:val="none"/>
        </w:rPr>
      </w:pPr>
    </w:p>
    <w:p>
      <w:pPr>
        <w:shd w:val="clear"/>
        <w:rPr>
          <w:highlight w:val="none"/>
        </w:rPr>
      </w:pPr>
    </w:p>
    <w:p>
      <w:pPr>
        <w:pStyle w:val="2"/>
        <w:shd w:val="clear"/>
        <w:rPr>
          <w:rFonts w:hAnsi="宋体"/>
          <w:b/>
          <w:bCs/>
          <w:sz w:val="32"/>
          <w:szCs w:val="32"/>
          <w:highlight w:val="none"/>
        </w:rPr>
      </w:pPr>
      <w:r>
        <w:rPr>
          <w:rFonts w:hint="eastAsia" w:hAnsi="宋体"/>
          <w:b/>
          <w:bCs/>
          <w:sz w:val="32"/>
          <w:szCs w:val="32"/>
          <w:highlight w:val="none"/>
        </w:rPr>
        <w:t>法定代表人身份证明</w:t>
      </w:r>
    </w:p>
    <w:p>
      <w:pPr>
        <w:shd w:val="clear"/>
        <w:autoSpaceDE w:val="0"/>
        <w:autoSpaceDN w:val="0"/>
        <w:adjustRightInd w:val="0"/>
        <w:snapToGrid w:val="0"/>
        <w:spacing w:beforeLines="50" w:line="440" w:lineRule="exact"/>
        <w:jc w:val="left"/>
        <w:rPr>
          <w:rFonts w:ascii="宋体" w:hAnsi="宋体" w:cs="宋体"/>
          <w:kern w:val="0"/>
          <w:sz w:val="24"/>
          <w:highlight w:val="none"/>
        </w:rPr>
      </w:pPr>
      <w:r>
        <w:rPr>
          <w:rFonts w:hint="eastAsia" w:hAnsi="宋体"/>
          <w:sz w:val="24"/>
          <w:highlight w:val="none"/>
        </w:rPr>
        <w:t>供应商</w:t>
      </w:r>
      <w:r>
        <w:rPr>
          <w:rFonts w:hint="eastAsia" w:ascii="宋体" w:hAnsi="宋体" w:cs="宋体"/>
          <w:kern w:val="0"/>
          <w:sz w:val="24"/>
          <w:highlight w:val="none"/>
        </w:rPr>
        <w:t>名称：</w:t>
      </w:r>
    </w:p>
    <w:p>
      <w:pPr>
        <w:shd w:val="clear"/>
        <w:autoSpaceDE w:val="0"/>
        <w:autoSpaceDN w:val="0"/>
        <w:adjustRightInd w:val="0"/>
        <w:snapToGrid w:val="0"/>
        <w:spacing w:beforeLines="50" w:line="440" w:lineRule="exact"/>
        <w:jc w:val="left"/>
        <w:rPr>
          <w:rFonts w:ascii="宋体" w:hAnsi="宋体" w:cs="宋体"/>
          <w:kern w:val="0"/>
          <w:sz w:val="24"/>
          <w:highlight w:val="none"/>
        </w:rPr>
      </w:pPr>
      <w:r>
        <w:rPr>
          <w:rFonts w:hint="eastAsia" w:ascii="宋体" w:hAnsi="宋体" w:cs="宋体"/>
          <w:kern w:val="0"/>
          <w:sz w:val="24"/>
          <w:highlight w:val="none"/>
        </w:rPr>
        <w:t>统一社会信用代码：</w:t>
      </w:r>
    </w:p>
    <w:p>
      <w:pPr>
        <w:shd w:val="clear"/>
        <w:autoSpaceDE w:val="0"/>
        <w:autoSpaceDN w:val="0"/>
        <w:adjustRightInd w:val="0"/>
        <w:snapToGrid w:val="0"/>
        <w:spacing w:beforeLines="50" w:line="440" w:lineRule="exact"/>
        <w:jc w:val="left"/>
        <w:rPr>
          <w:rFonts w:ascii="宋体" w:hAnsi="宋体" w:cs="宋体"/>
          <w:kern w:val="0"/>
          <w:sz w:val="24"/>
          <w:highlight w:val="none"/>
        </w:rPr>
      </w:pPr>
      <w:r>
        <w:rPr>
          <w:rFonts w:hint="eastAsia" w:ascii="宋体" w:hAnsi="宋体" w:cs="宋体"/>
          <w:kern w:val="0"/>
          <w:sz w:val="24"/>
          <w:highlight w:val="none"/>
        </w:rPr>
        <w:t>注册地址：</w:t>
      </w:r>
    </w:p>
    <w:p>
      <w:pPr>
        <w:shd w:val="clear"/>
        <w:autoSpaceDE w:val="0"/>
        <w:autoSpaceDN w:val="0"/>
        <w:adjustRightInd w:val="0"/>
        <w:snapToGrid w:val="0"/>
        <w:spacing w:beforeLines="50" w:line="440" w:lineRule="exact"/>
        <w:jc w:val="left"/>
        <w:rPr>
          <w:rFonts w:ascii="宋体" w:hAnsi="宋体" w:cs="宋体"/>
          <w:kern w:val="0"/>
          <w:sz w:val="24"/>
          <w:highlight w:val="none"/>
        </w:rPr>
      </w:pPr>
      <w:r>
        <w:rPr>
          <w:rFonts w:hint="eastAsia" w:ascii="宋体" w:hAnsi="宋体" w:cs="宋体"/>
          <w:kern w:val="0"/>
          <w:sz w:val="24"/>
          <w:highlight w:val="none"/>
        </w:rPr>
        <w:t>成立时间：年 月日</w:t>
      </w:r>
    </w:p>
    <w:p>
      <w:pPr>
        <w:shd w:val="clear"/>
        <w:autoSpaceDE w:val="0"/>
        <w:autoSpaceDN w:val="0"/>
        <w:adjustRightInd w:val="0"/>
        <w:snapToGrid w:val="0"/>
        <w:spacing w:beforeLines="50" w:line="440" w:lineRule="exact"/>
        <w:jc w:val="left"/>
        <w:rPr>
          <w:rFonts w:ascii="宋体" w:hAnsi="宋体" w:cs="宋体"/>
          <w:kern w:val="0"/>
          <w:sz w:val="24"/>
          <w:highlight w:val="none"/>
          <w:u w:val="single"/>
        </w:rPr>
      </w:pPr>
      <w:r>
        <w:rPr>
          <w:rFonts w:hint="eastAsia" w:ascii="宋体" w:hAnsi="宋体" w:cs="宋体"/>
          <w:kern w:val="0"/>
          <w:sz w:val="24"/>
          <w:highlight w:val="none"/>
        </w:rPr>
        <w:t>经营期限：</w:t>
      </w:r>
    </w:p>
    <w:p>
      <w:pPr>
        <w:shd w:val="clear"/>
        <w:autoSpaceDE w:val="0"/>
        <w:autoSpaceDN w:val="0"/>
        <w:adjustRightInd w:val="0"/>
        <w:snapToGrid w:val="0"/>
        <w:spacing w:beforeLines="50" w:line="440" w:lineRule="exact"/>
        <w:jc w:val="left"/>
        <w:rPr>
          <w:rFonts w:ascii="宋体" w:hAnsi="宋体" w:cs="宋体"/>
          <w:kern w:val="0"/>
          <w:sz w:val="24"/>
          <w:highlight w:val="none"/>
        </w:rPr>
      </w:pPr>
      <w:r>
        <w:rPr>
          <w:rFonts w:hint="eastAsia" w:ascii="宋体" w:hAnsi="宋体" w:cs="宋体"/>
          <w:kern w:val="0"/>
          <w:sz w:val="24"/>
          <w:highlight w:val="none"/>
        </w:rPr>
        <w:t>姓名： 性别： 年龄： 系（</w:t>
      </w:r>
      <w:r>
        <w:rPr>
          <w:rFonts w:hint="eastAsia" w:hAnsi="宋体" w:cs="宋体"/>
          <w:kern w:val="0"/>
          <w:sz w:val="24"/>
          <w:highlight w:val="none"/>
        </w:rPr>
        <w:t>供应商</w:t>
      </w:r>
      <w:r>
        <w:rPr>
          <w:rFonts w:hint="eastAsia" w:ascii="宋体" w:hAnsi="宋体" w:cs="宋体"/>
          <w:kern w:val="0"/>
          <w:sz w:val="24"/>
          <w:highlight w:val="none"/>
        </w:rPr>
        <w:t>名称）的法定代表人。</w:t>
      </w:r>
    </w:p>
    <w:p>
      <w:pPr>
        <w:shd w:val="clear"/>
        <w:autoSpaceDE w:val="0"/>
        <w:autoSpaceDN w:val="0"/>
        <w:adjustRightInd w:val="0"/>
        <w:snapToGrid w:val="0"/>
        <w:spacing w:beforeLines="50" w:line="440" w:lineRule="exact"/>
        <w:jc w:val="left"/>
        <w:rPr>
          <w:rFonts w:ascii="宋体" w:hAnsi="宋体" w:cs="宋体"/>
          <w:kern w:val="0"/>
          <w:sz w:val="24"/>
          <w:highlight w:val="none"/>
        </w:rPr>
      </w:pPr>
      <w:r>
        <w:rPr>
          <w:rFonts w:hint="eastAsia" w:ascii="宋体" w:hAnsi="宋体" w:cs="宋体"/>
          <w:kern w:val="0"/>
          <w:sz w:val="24"/>
          <w:highlight w:val="none"/>
        </w:rPr>
        <w:t>特此证明。</w:t>
      </w:r>
    </w:p>
    <w:p>
      <w:pPr>
        <w:shd w:val="clear"/>
        <w:autoSpaceDE w:val="0"/>
        <w:autoSpaceDN w:val="0"/>
        <w:adjustRightInd w:val="0"/>
        <w:snapToGrid w:val="0"/>
        <w:spacing w:beforeLines="50" w:line="440" w:lineRule="exact"/>
        <w:jc w:val="left"/>
        <w:rPr>
          <w:rFonts w:ascii="宋体" w:hAnsi="宋体" w:cs="宋体"/>
          <w:kern w:val="0"/>
          <w:highlight w:val="none"/>
        </w:rPr>
      </w:pPr>
      <w:r>
        <w:rPr>
          <w:rFonts w:hint="eastAsia" w:ascii="宋体" w:hAnsi="宋体"/>
          <w:highlight w:val="none"/>
        </w:rPr>
        <w:t>附：法定代表人身份证复印件</w:t>
      </w:r>
    </w:p>
    <w:tbl>
      <w:tblPr>
        <w:tblStyle w:val="36"/>
        <w:tblpPr w:leftFromText="180" w:rightFromText="180" w:vertAnchor="text" w:horzAnchor="margin" w:tblpXSpec="center" w:tblpY="104"/>
        <w:tblW w:w="5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880" w:type="dxa"/>
            <w:vAlign w:val="center"/>
          </w:tcPr>
          <w:p>
            <w:pPr>
              <w:shd w:val="clear"/>
              <w:snapToGrid w:val="0"/>
              <w:spacing w:line="480" w:lineRule="auto"/>
              <w:jc w:val="center"/>
              <w:rPr>
                <w:rFonts w:ascii="宋体" w:hAnsi="宋体"/>
                <w:highlight w:val="none"/>
              </w:rPr>
            </w:pPr>
          </w:p>
          <w:p>
            <w:pPr>
              <w:shd w:val="clear"/>
              <w:snapToGrid w:val="0"/>
              <w:spacing w:line="480" w:lineRule="auto"/>
              <w:jc w:val="center"/>
              <w:rPr>
                <w:rFonts w:ascii="宋体" w:hAnsi="宋体"/>
                <w:highlight w:val="none"/>
              </w:rPr>
            </w:pPr>
          </w:p>
          <w:p>
            <w:pPr>
              <w:shd w:val="clear"/>
              <w:autoSpaceDE w:val="0"/>
              <w:autoSpaceDN w:val="0"/>
              <w:adjustRightInd w:val="0"/>
              <w:snapToGrid w:val="0"/>
              <w:spacing w:beforeLines="50" w:line="360" w:lineRule="auto"/>
              <w:jc w:val="center"/>
              <w:rPr>
                <w:rFonts w:ascii="宋体" w:hAnsi="宋体"/>
                <w:highlight w:val="none"/>
              </w:rPr>
            </w:pPr>
            <w:r>
              <w:rPr>
                <w:rFonts w:hint="eastAsia" w:ascii="宋体" w:hAnsi="宋体"/>
                <w:highlight w:val="none"/>
              </w:rPr>
              <w:t>法定代表人身份证复印件粘贴处</w:t>
            </w:r>
          </w:p>
          <w:p>
            <w:pPr>
              <w:shd w:val="clear"/>
              <w:snapToGrid w:val="0"/>
              <w:spacing w:line="480" w:lineRule="auto"/>
              <w:jc w:val="center"/>
              <w:rPr>
                <w:rFonts w:hint="eastAsia" w:ascii="宋体" w:hAnsi="宋体"/>
                <w:highlight w:val="none"/>
                <w:lang w:val="en-US" w:eastAsia="zh-CN"/>
              </w:rPr>
            </w:pPr>
            <w:r>
              <w:rPr>
                <w:rFonts w:hint="eastAsia" w:ascii="宋体" w:hAnsi="宋体"/>
                <w:highlight w:val="none"/>
                <w:lang w:val="en-US" w:eastAsia="zh-CN"/>
              </w:rPr>
              <w:t xml:space="preserve"> </w:t>
            </w:r>
          </w:p>
          <w:p>
            <w:pPr>
              <w:pStyle w:val="2"/>
              <w:shd w:val="clear"/>
              <w:rPr>
                <w:rFonts w:hint="eastAsia"/>
                <w:highlight w:val="none"/>
                <w:lang w:eastAsia="zh-CN"/>
              </w:rPr>
            </w:pPr>
          </w:p>
          <w:p>
            <w:pPr>
              <w:shd w:val="clear"/>
              <w:snapToGrid w:val="0"/>
              <w:spacing w:line="480" w:lineRule="auto"/>
              <w:jc w:val="center"/>
              <w:rPr>
                <w:rFonts w:ascii="宋体" w:hAnsi="宋体"/>
                <w:highlight w:val="none"/>
              </w:rPr>
            </w:pPr>
          </w:p>
        </w:tc>
      </w:tr>
    </w:tbl>
    <w:p>
      <w:pPr>
        <w:shd w:val="clear"/>
        <w:snapToGrid w:val="0"/>
        <w:spacing w:line="480" w:lineRule="auto"/>
        <w:rPr>
          <w:rFonts w:ascii="宋体" w:hAnsi="宋体"/>
          <w:highlight w:val="none"/>
        </w:rPr>
      </w:pPr>
    </w:p>
    <w:p>
      <w:pPr>
        <w:shd w:val="clear"/>
        <w:snapToGrid w:val="0"/>
        <w:rPr>
          <w:rFonts w:ascii="宋体" w:hAnsi="宋体"/>
          <w:highlight w:val="none"/>
        </w:rPr>
      </w:pPr>
    </w:p>
    <w:p>
      <w:pPr>
        <w:shd w:val="clear"/>
        <w:snapToGrid w:val="0"/>
        <w:rPr>
          <w:rFonts w:ascii="宋体" w:hAnsi="宋体"/>
          <w:highlight w:val="none"/>
        </w:rPr>
      </w:pPr>
    </w:p>
    <w:p>
      <w:pPr>
        <w:shd w:val="clear"/>
        <w:snapToGrid w:val="0"/>
        <w:rPr>
          <w:rFonts w:ascii="宋体" w:hAnsi="宋体"/>
          <w:highlight w:val="none"/>
        </w:rPr>
      </w:pPr>
    </w:p>
    <w:p>
      <w:pPr>
        <w:shd w:val="clear"/>
        <w:snapToGrid w:val="0"/>
        <w:rPr>
          <w:rFonts w:ascii="宋体" w:hAnsi="宋体"/>
          <w:highlight w:val="none"/>
        </w:rPr>
      </w:pPr>
    </w:p>
    <w:p>
      <w:pPr>
        <w:shd w:val="clear"/>
        <w:adjustRightInd w:val="0"/>
        <w:snapToGrid w:val="0"/>
        <w:spacing w:line="360" w:lineRule="auto"/>
        <w:rPr>
          <w:rFonts w:ascii="宋体" w:hAnsi="宋体"/>
          <w:sz w:val="24"/>
          <w:highlight w:val="none"/>
        </w:rPr>
      </w:pPr>
    </w:p>
    <w:p>
      <w:pPr>
        <w:shd w:val="clear"/>
        <w:adjustRightInd w:val="0"/>
        <w:snapToGrid w:val="0"/>
        <w:spacing w:line="360" w:lineRule="auto"/>
        <w:ind w:right="420"/>
        <w:rPr>
          <w:rFonts w:ascii="宋体" w:hAnsi="宋体"/>
          <w:sz w:val="24"/>
          <w:highlight w:val="none"/>
        </w:rPr>
      </w:pPr>
    </w:p>
    <w:p>
      <w:pPr>
        <w:shd w:val="clear"/>
        <w:adjustRightInd w:val="0"/>
        <w:snapToGrid w:val="0"/>
        <w:spacing w:line="360" w:lineRule="auto"/>
        <w:ind w:right="420"/>
        <w:rPr>
          <w:rFonts w:ascii="宋体" w:hAnsi="宋体"/>
          <w:sz w:val="24"/>
          <w:highlight w:val="none"/>
        </w:rPr>
      </w:pPr>
    </w:p>
    <w:p>
      <w:pPr>
        <w:shd w:val="clear"/>
        <w:adjustRightInd w:val="0"/>
        <w:snapToGrid w:val="0"/>
        <w:spacing w:line="360" w:lineRule="auto"/>
        <w:ind w:right="420"/>
        <w:rPr>
          <w:rFonts w:ascii="宋体" w:hAnsi="宋体"/>
          <w:sz w:val="24"/>
          <w:highlight w:val="none"/>
        </w:rPr>
      </w:pPr>
    </w:p>
    <w:p>
      <w:pPr>
        <w:shd w:val="clear"/>
        <w:adjustRightInd w:val="0"/>
        <w:snapToGrid w:val="0"/>
        <w:spacing w:line="360" w:lineRule="auto"/>
        <w:ind w:right="420"/>
        <w:rPr>
          <w:rFonts w:ascii="宋体" w:hAnsi="宋体"/>
          <w:sz w:val="24"/>
          <w:highlight w:val="none"/>
        </w:rPr>
      </w:pPr>
    </w:p>
    <w:p>
      <w:pPr>
        <w:shd w:val="clear"/>
        <w:adjustRightInd w:val="0"/>
        <w:snapToGrid w:val="0"/>
        <w:spacing w:line="360" w:lineRule="auto"/>
        <w:ind w:right="420"/>
        <w:rPr>
          <w:rFonts w:ascii="宋体" w:hAnsi="宋体"/>
          <w:sz w:val="24"/>
          <w:highlight w:val="none"/>
        </w:rPr>
      </w:pPr>
      <w:r>
        <w:rPr>
          <w:rFonts w:hint="eastAsia" w:hAnsi="宋体"/>
          <w:sz w:val="24"/>
          <w:highlight w:val="none"/>
        </w:rPr>
        <w:t>供应商</w:t>
      </w:r>
      <w:r>
        <w:rPr>
          <w:rFonts w:hint="eastAsia" w:ascii="宋体" w:hAnsi="宋体"/>
          <w:sz w:val="24"/>
          <w:highlight w:val="none"/>
        </w:rPr>
        <w:t>名称（</w:t>
      </w:r>
      <w:r>
        <w:rPr>
          <w:rFonts w:hint="eastAsia" w:hAnsi="宋体"/>
          <w:sz w:val="24"/>
          <w:highlight w:val="none"/>
        </w:rPr>
        <w:t>公章</w:t>
      </w:r>
      <w:r>
        <w:rPr>
          <w:rFonts w:hint="eastAsia" w:ascii="宋体" w:hAnsi="宋体"/>
          <w:sz w:val="24"/>
          <w:highlight w:val="none"/>
        </w:rPr>
        <w:t>）：</w:t>
      </w:r>
    </w:p>
    <w:p>
      <w:pPr>
        <w:shd w:val="clear"/>
        <w:adjustRightInd w:val="0"/>
        <w:snapToGrid w:val="0"/>
        <w:spacing w:line="360" w:lineRule="auto"/>
        <w:ind w:right="420"/>
        <w:rPr>
          <w:highlight w:val="none"/>
        </w:rPr>
      </w:pPr>
      <w:r>
        <w:rPr>
          <w:rFonts w:hint="eastAsia" w:ascii="宋体" w:hAnsi="宋体"/>
          <w:sz w:val="24"/>
          <w:highlight w:val="none"/>
        </w:rPr>
        <w:t>日期：    年  月  日</w:t>
      </w:r>
    </w:p>
    <w:p>
      <w:pPr>
        <w:shd w:val="clear"/>
        <w:adjustRightInd w:val="0"/>
        <w:snapToGrid w:val="0"/>
        <w:spacing w:line="360" w:lineRule="auto"/>
        <w:ind w:right="420"/>
        <w:rPr>
          <w:b/>
          <w:bCs/>
          <w:sz w:val="32"/>
          <w:szCs w:val="32"/>
          <w:highlight w:val="none"/>
        </w:rPr>
      </w:pPr>
      <w:r>
        <w:rPr>
          <w:rFonts w:hint="eastAsia" w:ascii="宋体" w:hAnsi="宋体" w:cs="宋体"/>
          <w:b/>
          <w:bCs/>
          <w:sz w:val="24"/>
          <w:szCs w:val="24"/>
          <w:highlight w:val="none"/>
        </w:rPr>
        <w:t>说明：仅限法定代表人参加</w:t>
      </w:r>
      <w:r>
        <w:rPr>
          <w:rFonts w:hint="eastAsia" w:hAnsi="宋体" w:cs="宋体"/>
          <w:b/>
          <w:bCs/>
          <w:sz w:val="24"/>
          <w:szCs w:val="24"/>
          <w:highlight w:val="none"/>
        </w:rPr>
        <w:t>磋商</w:t>
      </w:r>
      <w:r>
        <w:rPr>
          <w:rFonts w:hint="eastAsia" w:ascii="宋体" w:hAnsi="宋体" w:cs="宋体"/>
          <w:b/>
          <w:bCs/>
          <w:sz w:val="24"/>
          <w:szCs w:val="24"/>
          <w:highlight w:val="none"/>
        </w:rPr>
        <w:t>时提供</w:t>
      </w:r>
      <w:r>
        <w:rPr>
          <w:rFonts w:hint="eastAsia" w:ascii="宋体" w:hAnsi="宋体" w:cs="宋体"/>
          <w:sz w:val="24"/>
          <w:szCs w:val="24"/>
          <w:highlight w:val="none"/>
        </w:rPr>
        <w:t>。</w:t>
      </w:r>
    </w:p>
    <w:p>
      <w:pPr>
        <w:keepNext/>
        <w:shd w:val="clear"/>
        <w:spacing w:line="360" w:lineRule="auto"/>
        <w:jc w:val="center"/>
        <w:rPr>
          <w:b/>
          <w:bCs/>
          <w:szCs w:val="32"/>
          <w:highlight w:val="none"/>
        </w:rPr>
      </w:pPr>
      <w:r>
        <w:rPr>
          <w:rFonts w:hint="eastAsia"/>
          <w:b/>
          <w:bCs/>
          <w:sz w:val="32"/>
          <w:szCs w:val="32"/>
          <w:highlight w:val="none"/>
        </w:rPr>
        <w:t>法定代表人授权书</w:t>
      </w:r>
    </w:p>
    <w:p>
      <w:pPr>
        <w:shd w:val="clear"/>
        <w:spacing w:line="360" w:lineRule="auto"/>
        <w:jc w:val="left"/>
        <w:rPr>
          <w:rFonts w:hAnsi="宋体"/>
          <w:spacing w:val="4"/>
          <w:sz w:val="24"/>
          <w:szCs w:val="24"/>
          <w:highlight w:val="none"/>
        </w:rPr>
      </w:pPr>
      <w:r>
        <w:rPr>
          <w:rFonts w:hint="eastAsia" w:hAnsi="宋体"/>
          <w:spacing w:val="4"/>
          <w:sz w:val="24"/>
          <w:szCs w:val="24"/>
          <w:highlight w:val="none"/>
        </w:rPr>
        <w:t>致：</w:t>
      </w:r>
      <w:r>
        <w:rPr>
          <w:rFonts w:hint="eastAsia" w:hAnsi="宋体"/>
          <w:spacing w:val="4"/>
          <w:sz w:val="24"/>
          <w:szCs w:val="24"/>
          <w:highlight w:val="none"/>
          <w:u w:val="single"/>
          <w:lang w:eastAsia="zh-CN"/>
        </w:rPr>
        <w:t>铜川市新区创建全国文明城市工作领导小组办公室</w:t>
      </w:r>
      <w:r>
        <w:rPr>
          <w:rFonts w:hint="eastAsia" w:hAnsi="宋体"/>
          <w:spacing w:val="4"/>
          <w:sz w:val="24"/>
          <w:szCs w:val="24"/>
          <w:highlight w:val="none"/>
          <w:u w:val="single"/>
        </w:rPr>
        <w:t xml:space="preserve">/华夏国际项目管理有限公司 </w:t>
      </w:r>
    </w:p>
    <w:p>
      <w:pPr>
        <w:shd w:val="clear"/>
        <w:spacing w:line="360" w:lineRule="auto"/>
        <w:ind w:firstLine="496" w:firstLineChars="200"/>
        <w:jc w:val="left"/>
        <w:rPr>
          <w:rFonts w:hAnsi="宋体"/>
          <w:spacing w:val="4"/>
          <w:sz w:val="24"/>
          <w:szCs w:val="24"/>
          <w:highlight w:val="none"/>
        </w:rPr>
      </w:pPr>
      <w:r>
        <w:rPr>
          <w:rFonts w:hint="eastAsia" w:hAnsi="宋体"/>
          <w:spacing w:val="4"/>
          <w:sz w:val="24"/>
          <w:szCs w:val="24"/>
          <w:highlight w:val="none"/>
          <w:u w:val="single"/>
        </w:rPr>
        <w:t>(供应商名称)</w:t>
      </w:r>
      <w:r>
        <w:rPr>
          <w:rFonts w:hint="eastAsia" w:hAnsi="宋体"/>
          <w:spacing w:val="4"/>
          <w:sz w:val="24"/>
          <w:szCs w:val="24"/>
          <w:highlight w:val="none"/>
        </w:rPr>
        <w:t>按中华人民共和国法律于</w:t>
      </w:r>
      <w:r>
        <w:rPr>
          <w:rFonts w:hint="eastAsia" w:hAnsi="宋体"/>
          <w:spacing w:val="4"/>
          <w:sz w:val="24"/>
          <w:szCs w:val="24"/>
          <w:highlight w:val="none"/>
          <w:u w:val="single"/>
        </w:rPr>
        <w:t>（  年  月  日 ）</w:t>
      </w:r>
      <w:r>
        <w:rPr>
          <w:rFonts w:hint="eastAsia" w:hAnsi="宋体"/>
          <w:spacing w:val="4"/>
          <w:sz w:val="24"/>
          <w:szCs w:val="24"/>
          <w:highlight w:val="none"/>
        </w:rPr>
        <w:t xml:space="preserve">成立。 </w:t>
      </w:r>
      <w:r>
        <w:rPr>
          <w:rFonts w:hint="eastAsia" w:ascii="宋体" w:hAnsi="宋体" w:cs="宋体"/>
          <w:sz w:val="24"/>
          <w:szCs w:val="24"/>
          <w:highlight w:val="none"/>
        </w:rPr>
        <w:t>法定代表人</w:t>
      </w:r>
      <w:r>
        <w:rPr>
          <w:rFonts w:hint="eastAsia" w:ascii="宋体" w:hAnsi="宋体" w:cs="宋体"/>
          <w:spacing w:val="4"/>
          <w:sz w:val="24"/>
          <w:szCs w:val="24"/>
          <w:highlight w:val="none"/>
          <w:u w:val="single"/>
        </w:rPr>
        <w:t>姓名</w:t>
      </w:r>
      <w:r>
        <w:rPr>
          <w:rFonts w:hint="eastAsia" w:ascii="宋体" w:hAnsi="宋体" w:cs="宋体"/>
          <w:spacing w:val="4"/>
          <w:sz w:val="24"/>
          <w:szCs w:val="24"/>
          <w:highlight w:val="none"/>
        </w:rPr>
        <w:t>特授权</w:t>
      </w:r>
      <w:r>
        <w:rPr>
          <w:rFonts w:hint="eastAsia" w:hAnsi="宋体" w:cs="宋体"/>
          <w:sz w:val="24"/>
          <w:szCs w:val="24"/>
          <w:highlight w:val="none"/>
          <w:u w:val="single"/>
        </w:rPr>
        <w:t>被授权人</w:t>
      </w:r>
      <w:r>
        <w:rPr>
          <w:rFonts w:hint="eastAsia" w:ascii="宋体" w:hAnsi="宋体" w:cs="宋体"/>
          <w:spacing w:val="4"/>
          <w:sz w:val="24"/>
          <w:szCs w:val="24"/>
          <w:highlight w:val="none"/>
          <w:u w:val="single"/>
        </w:rPr>
        <w:t>姓名</w:t>
      </w:r>
      <w:r>
        <w:rPr>
          <w:rFonts w:hint="eastAsia" w:hAnsi="宋体"/>
          <w:spacing w:val="4"/>
          <w:sz w:val="24"/>
          <w:szCs w:val="24"/>
          <w:highlight w:val="none"/>
        </w:rPr>
        <w:t>代表我公司全权办理针对本次</w:t>
      </w:r>
      <w:r>
        <w:rPr>
          <w:rFonts w:hint="eastAsia" w:ascii="宋体" w:hAnsi="宋体" w:cs="宋体"/>
          <w:spacing w:val="4"/>
          <w:sz w:val="24"/>
          <w:szCs w:val="24"/>
          <w:highlight w:val="none"/>
          <w:u w:val="single"/>
        </w:rPr>
        <w:t>项目名称、项目编号</w:t>
      </w:r>
      <w:r>
        <w:rPr>
          <w:rFonts w:hint="eastAsia" w:hAnsi="宋体"/>
          <w:spacing w:val="4"/>
          <w:sz w:val="24"/>
          <w:szCs w:val="24"/>
          <w:highlight w:val="none"/>
        </w:rPr>
        <w:t>的磋商、签约等具体工作，并签署全部有关的文件、协议及合同。</w:t>
      </w:r>
    </w:p>
    <w:p>
      <w:pPr>
        <w:shd w:val="clear"/>
        <w:spacing w:line="360" w:lineRule="auto"/>
        <w:ind w:firstLine="496" w:firstLineChars="200"/>
        <w:jc w:val="left"/>
        <w:rPr>
          <w:rFonts w:hAnsi="宋体"/>
          <w:spacing w:val="4"/>
          <w:sz w:val="24"/>
          <w:szCs w:val="24"/>
          <w:highlight w:val="none"/>
        </w:rPr>
      </w:pPr>
      <w:r>
        <w:rPr>
          <w:rFonts w:hint="eastAsia" w:hAnsi="宋体"/>
          <w:spacing w:val="4"/>
          <w:sz w:val="24"/>
          <w:szCs w:val="24"/>
          <w:highlight w:val="none"/>
        </w:rPr>
        <w:t>我公司对被授权人的签名负全部责任。</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委托期限：自磋商之日起90天。</w:t>
      </w:r>
    </w:p>
    <w:p>
      <w:pPr>
        <w:shd w:val="clear"/>
        <w:spacing w:line="360" w:lineRule="auto"/>
        <w:ind w:firstLine="480" w:firstLineChars="200"/>
        <w:rPr>
          <w:rFonts w:hAnsi="宋体"/>
          <w:spacing w:val="4"/>
          <w:sz w:val="24"/>
          <w:szCs w:val="24"/>
          <w:highlight w:val="none"/>
        </w:rPr>
      </w:pPr>
      <w:r>
        <w:rPr>
          <w:rFonts w:hint="eastAsia" w:ascii="宋体" w:hAnsi="宋体" w:cs="宋体"/>
          <w:sz w:val="24"/>
          <w:szCs w:val="24"/>
          <w:highlight w:val="none"/>
        </w:rPr>
        <w:t>本授权书于</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日签字生效，特此证明。</w:t>
      </w:r>
    </w:p>
    <w:tbl>
      <w:tblPr>
        <w:tblStyle w:val="35"/>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vAlign w:val="center"/>
          </w:tcPr>
          <w:p>
            <w:pPr>
              <w:shd w:val="clear"/>
              <w:spacing w:line="360" w:lineRule="auto"/>
              <w:rPr>
                <w:rFonts w:hAnsi="宋体"/>
                <w:spacing w:val="4"/>
                <w:sz w:val="24"/>
                <w:szCs w:val="24"/>
                <w:highlight w:val="none"/>
              </w:rPr>
            </w:pPr>
            <w:r>
              <w:rPr>
                <w:rFonts w:hint="eastAsia" w:hAnsi="宋体"/>
                <w:spacing w:val="4"/>
                <w:sz w:val="24"/>
                <w:szCs w:val="24"/>
                <w:highlight w:val="none"/>
              </w:rPr>
              <w:t>被授权人签字或盖章：</w:t>
            </w:r>
          </w:p>
        </w:tc>
        <w:tc>
          <w:tcPr>
            <w:tcW w:w="3990" w:type="dxa"/>
            <w:vAlign w:val="center"/>
          </w:tcPr>
          <w:p>
            <w:pPr>
              <w:shd w:val="clear"/>
              <w:spacing w:line="360" w:lineRule="auto"/>
              <w:rPr>
                <w:rFonts w:hAnsi="宋体"/>
                <w:spacing w:val="4"/>
                <w:sz w:val="24"/>
                <w:szCs w:val="24"/>
                <w:highlight w:val="none"/>
              </w:rPr>
            </w:pPr>
            <w:r>
              <w:rPr>
                <w:rFonts w:hint="eastAsia" w:hAnsi="宋体"/>
                <w:spacing w:val="4"/>
                <w:sz w:val="24"/>
                <w:szCs w:val="24"/>
                <w:highlight w:val="none"/>
              </w:rPr>
              <w:t>法定代表人签字或盖章：</w:t>
            </w:r>
          </w:p>
        </w:tc>
      </w:tr>
      <w:tr>
        <w:tblPrEx>
          <w:tblCellMar>
            <w:top w:w="0" w:type="dxa"/>
            <w:left w:w="108" w:type="dxa"/>
            <w:bottom w:w="0" w:type="dxa"/>
            <w:right w:w="108" w:type="dxa"/>
          </w:tblCellMar>
        </w:tblPrEx>
        <w:trPr>
          <w:trHeight w:val="600" w:hRule="atLeast"/>
        </w:trPr>
        <w:tc>
          <w:tcPr>
            <w:tcW w:w="4200" w:type="dxa"/>
            <w:vAlign w:val="center"/>
          </w:tcPr>
          <w:p>
            <w:pPr>
              <w:shd w:val="clear"/>
              <w:spacing w:line="360" w:lineRule="auto"/>
              <w:rPr>
                <w:rFonts w:hAnsi="宋体"/>
                <w:spacing w:val="4"/>
                <w:sz w:val="24"/>
                <w:szCs w:val="24"/>
                <w:highlight w:val="none"/>
              </w:rPr>
            </w:pPr>
            <w:r>
              <w:rPr>
                <w:rFonts w:hint="eastAsia" w:hAnsi="宋体"/>
                <w:spacing w:val="4"/>
                <w:sz w:val="24"/>
                <w:szCs w:val="24"/>
                <w:highlight w:val="none"/>
              </w:rPr>
              <w:t>职务：</w:t>
            </w:r>
          </w:p>
        </w:tc>
        <w:tc>
          <w:tcPr>
            <w:tcW w:w="3990" w:type="dxa"/>
            <w:vAlign w:val="center"/>
          </w:tcPr>
          <w:p>
            <w:pPr>
              <w:shd w:val="clear"/>
              <w:spacing w:line="360" w:lineRule="auto"/>
              <w:rPr>
                <w:rFonts w:hAnsi="宋体"/>
                <w:spacing w:val="4"/>
                <w:sz w:val="24"/>
                <w:szCs w:val="24"/>
                <w:highlight w:val="none"/>
              </w:rPr>
            </w:pPr>
            <w:r>
              <w:rPr>
                <w:rFonts w:hint="eastAsia" w:hAnsi="宋体"/>
                <w:spacing w:val="4"/>
                <w:sz w:val="24"/>
                <w:szCs w:val="24"/>
                <w:highlight w:val="none"/>
              </w:rPr>
              <w:t>职务：</w:t>
            </w:r>
          </w:p>
        </w:tc>
      </w:tr>
      <w:tr>
        <w:tblPrEx>
          <w:tblCellMar>
            <w:top w:w="0" w:type="dxa"/>
            <w:left w:w="108" w:type="dxa"/>
            <w:bottom w:w="0" w:type="dxa"/>
            <w:right w:w="108" w:type="dxa"/>
          </w:tblCellMar>
        </w:tblPrEx>
        <w:trPr>
          <w:trHeight w:val="600" w:hRule="atLeast"/>
        </w:trPr>
        <w:tc>
          <w:tcPr>
            <w:tcW w:w="4200" w:type="dxa"/>
            <w:vAlign w:val="center"/>
          </w:tcPr>
          <w:p>
            <w:pPr>
              <w:shd w:val="clear"/>
              <w:spacing w:line="360" w:lineRule="auto"/>
              <w:rPr>
                <w:rFonts w:hAnsi="宋体"/>
                <w:spacing w:val="4"/>
                <w:sz w:val="24"/>
                <w:szCs w:val="24"/>
                <w:highlight w:val="none"/>
              </w:rPr>
            </w:pPr>
            <w:r>
              <w:rPr>
                <w:rFonts w:hint="eastAsia" w:hAnsi="宋体"/>
                <w:spacing w:val="4"/>
                <w:sz w:val="24"/>
                <w:szCs w:val="24"/>
                <w:highlight w:val="none"/>
              </w:rPr>
              <w:t>身份证号：</w:t>
            </w:r>
          </w:p>
        </w:tc>
        <w:tc>
          <w:tcPr>
            <w:tcW w:w="3990" w:type="dxa"/>
            <w:vAlign w:val="center"/>
          </w:tcPr>
          <w:p>
            <w:pPr>
              <w:shd w:val="clear"/>
              <w:spacing w:line="360" w:lineRule="auto"/>
              <w:rPr>
                <w:rFonts w:hAnsi="宋体"/>
                <w:spacing w:val="4"/>
                <w:sz w:val="24"/>
                <w:szCs w:val="24"/>
                <w:highlight w:val="none"/>
              </w:rPr>
            </w:pPr>
            <w:r>
              <w:rPr>
                <w:rFonts w:hint="eastAsia" w:hAnsi="宋体"/>
                <w:spacing w:val="4"/>
                <w:sz w:val="24"/>
                <w:szCs w:val="24"/>
                <w:highlight w:val="none"/>
              </w:rPr>
              <w:t>身份证号：</w:t>
            </w:r>
          </w:p>
        </w:tc>
      </w:tr>
      <w:tr>
        <w:tblPrEx>
          <w:tblCellMar>
            <w:top w:w="0" w:type="dxa"/>
            <w:left w:w="108" w:type="dxa"/>
            <w:bottom w:w="0" w:type="dxa"/>
            <w:right w:w="108" w:type="dxa"/>
          </w:tblCellMar>
        </w:tblPrEx>
        <w:trPr>
          <w:trHeight w:val="600" w:hRule="atLeast"/>
        </w:trPr>
        <w:tc>
          <w:tcPr>
            <w:tcW w:w="4200" w:type="dxa"/>
            <w:vAlign w:val="center"/>
          </w:tcPr>
          <w:p>
            <w:pPr>
              <w:shd w:val="clear"/>
              <w:spacing w:line="360" w:lineRule="auto"/>
              <w:rPr>
                <w:rFonts w:hAnsi="宋体"/>
                <w:spacing w:val="4"/>
                <w:sz w:val="24"/>
                <w:szCs w:val="24"/>
                <w:highlight w:val="none"/>
              </w:rPr>
            </w:pPr>
            <w:r>
              <w:rPr>
                <w:rFonts w:hint="eastAsia" w:hAnsi="宋体"/>
                <w:spacing w:val="4"/>
                <w:sz w:val="24"/>
                <w:szCs w:val="24"/>
                <w:highlight w:val="none"/>
              </w:rPr>
              <w:t>所在部门：</w:t>
            </w:r>
          </w:p>
        </w:tc>
        <w:tc>
          <w:tcPr>
            <w:tcW w:w="3990" w:type="dxa"/>
            <w:vAlign w:val="center"/>
          </w:tcPr>
          <w:p>
            <w:pPr>
              <w:shd w:val="clear"/>
              <w:spacing w:line="360" w:lineRule="auto"/>
              <w:rPr>
                <w:rFonts w:hAnsi="宋体"/>
                <w:spacing w:val="4"/>
                <w:sz w:val="24"/>
                <w:szCs w:val="24"/>
                <w:highlight w:val="none"/>
              </w:rPr>
            </w:pPr>
          </w:p>
        </w:tc>
      </w:tr>
    </w:tbl>
    <w:p>
      <w:pPr>
        <w:shd w:val="clear"/>
        <w:spacing w:line="360" w:lineRule="auto"/>
        <w:ind w:firstLine="505" w:firstLineChars="204"/>
        <w:rPr>
          <w:rFonts w:hAnsi="宋体"/>
          <w:spacing w:val="4"/>
          <w:sz w:val="24"/>
          <w:szCs w:val="24"/>
          <w:highlight w:val="none"/>
        </w:rPr>
      </w:pPr>
      <w:r>
        <w:rPr>
          <w:rFonts w:hint="eastAsia" w:hAnsi="宋体"/>
          <w:spacing w:val="4"/>
          <w:sz w:val="24"/>
          <w:szCs w:val="24"/>
          <w:highlight w:val="none"/>
        </w:rPr>
        <w:t>附：法定代表人、被授权人身份证复印件</w:t>
      </w:r>
    </w:p>
    <w:p>
      <w:pPr>
        <w:shd w:val="clear"/>
        <w:spacing w:line="360" w:lineRule="auto"/>
        <w:rPr>
          <w:rFonts w:hAnsi="宋体"/>
          <w:spacing w:val="4"/>
          <w:sz w:val="24"/>
          <w:szCs w:val="24"/>
          <w:highlight w:val="none"/>
        </w:rPr>
      </w:pPr>
    </w:p>
    <w:p>
      <w:pPr>
        <w:shd w:val="clear"/>
        <w:spacing w:line="360" w:lineRule="auto"/>
        <w:ind w:firstLine="510"/>
        <w:rPr>
          <w:rFonts w:hAnsi="宋体"/>
          <w:spacing w:val="4"/>
          <w:sz w:val="24"/>
          <w:szCs w:val="24"/>
          <w:highlight w:val="none"/>
        </w:rPr>
      </w:pPr>
    </w:p>
    <w:p>
      <w:pPr>
        <w:pStyle w:val="2"/>
        <w:shd w:val="clear"/>
        <w:rPr>
          <w:rFonts w:hAnsi="宋体"/>
          <w:spacing w:val="4"/>
          <w:sz w:val="24"/>
          <w:szCs w:val="24"/>
          <w:highlight w:val="none"/>
        </w:rPr>
      </w:pPr>
    </w:p>
    <w:p>
      <w:pPr>
        <w:pStyle w:val="2"/>
        <w:shd w:val="clear"/>
        <w:rPr>
          <w:rFonts w:hAnsi="宋体"/>
          <w:spacing w:val="4"/>
          <w:sz w:val="24"/>
          <w:szCs w:val="24"/>
          <w:highlight w:val="none"/>
        </w:rPr>
      </w:pPr>
    </w:p>
    <w:p>
      <w:pPr>
        <w:pStyle w:val="2"/>
        <w:shd w:val="clear"/>
        <w:rPr>
          <w:rFonts w:hAnsi="宋体"/>
          <w:spacing w:val="4"/>
          <w:sz w:val="24"/>
          <w:szCs w:val="24"/>
          <w:highlight w:val="none"/>
        </w:rPr>
      </w:pPr>
    </w:p>
    <w:p>
      <w:pPr>
        <w:pStyle w:val="2"/>
        <w:shd w:val="clear"/>
        <w:rPr>
          <w:sz w:val="24"/>
          <w:szCs w:val="24"/>
          <w:highlight w:val="none"/>
        </w:rPr>
      </w:pPr>
    </w:p>
    <w:p>
      <w:pPr>
        <w:shd w:val="clear"/>
        <w:spacing w:line="360" w:lineRule="auto"/>
        <w:jc w:val="left"/>
        <w:rPr>
          <w:rFonts w:hAnsi="宋体"/>
          <w:spacing w:val="4"/>
          <w:sz w:val="24"/>
          <w:szCs w:val="24"/>
          <w:highlight w:val="none"/>
        </w:rPr>
      </w:pPr>
      <w:r>
        <w:rPr>
          <w:rFonts w:hint="eastAsia" w:hAnsi="宋体"/>
          <w:spacing w:val="4"/>
          <w:sz w:val="24"/>
          <w:szCs w:val="24"/>
          <w:highlight w:val="none"/>
        </w:rPr>
        <w:t>供应商名称（公章）</w:t>
      </w:r>
    </w:p>
    <w:p>
      <w:pPr>
        <w:shd w:val="clear"/>
        <w:spacing w:line="360" w:lineRule="auto"/>
        <w:rPr>
          <w:rFonts w:hAnsi="宋体"/>
          <w:spacing w:val="4"/>
          <w:sz w:val="24"/>
          <w:szCs w:val="24"/>
          <w:highlight w:val="none"/>
        </w:rPr>
      </w:pPr>
    </w:p>
    <w:p>
      <w:pPr>
        <w:shd w:val="clear"/>
        <w:spacing w:line="360" w:lineRule="auto"/>
        <w:rPr>
          <w:rFonts w:hAnsi="宋体"/>
          <w:spacing w:val="4"/>
          <w:sz w:val="24"/>
          <w:szCs w:val="24"/>
          <w:highlight w:val="none"/>
        </w:rPr>
      </w:pPr>
      <w:r>
        <w:rPr>
          <w:rFonts w:hint="eastAsia" w:hAnsi="宋体"/>
          <w:spacing w:val="4"/>
          <w:sz w:val="24"/>
          <w:szCs w:val="24"/>
          <w:highlight w:val="none"/>
        </w:rPr>
        <w:t>日期：</w:t>
      </w:r>
    </w:p>
    <w:p>
      <w:pPr>
        <w:pStyle w:val="2"/>
        <w:shd w:val="clear"/>
        <w:rPr>
          <w:highlight w:val="none"/>
        </w:rPr>
      </w:pPr>
    </w:p>
    <w:p>
      <w:pPr>
        <w:shd w:val="clear"/>
        <w:adjustRightInd w:val="0"/>
        <w:snapToGrid w:val="0"/>
        <w:spacing w:line="360" w:lineRule="auto"/>
        <w:ind w:right="420"/>
        <w:rPr>
          <w:b/>
          <w:bCs/>
          <w:sz w:val="32"/>
          <w:szCs w:val="32"/>
          <w:highlight w:val="none"/>
        </w:rPr>
      </w:pPr>
      <w:r>
        <w:rPr>
          <w:rFonts w:hint="eastAsia" w:ascii="宋体" w:hAnsi="宋体" w:cs="宋体"/>
          <w:b/>
          <w:bCs/>
          <w:sz w:val="24"/>
          <w:szCs w:val="24"/>
          <w:highlight w:val="none"/>
        </w:rPr>
        <w:t>仅限</w:t>
      </w:r>
      <w:r>
        <w:rPr>
          <w:rFonts w:hint="eastAsia" w:ascii="宋体" w:hAnsi="宋体" w:cs="宋体"/>
          <w:b/>
          <w:bCs/>
          <w:sz w:val="24"/>
          <w:szCs w:val="24"/>
          <w:highlight w:val="none"/>
          <w:lang w:eastAsia="zh-CN"/>
        </w:rPr>
        <w:t>被授权</w:t>
      </w:r>
      <w:r>
        <w:rPr>
          <w:rFonts w:hint="eastAsia" w:ascii="宋体" w:hAnsi="宋体" w:cs="宋体"/>
          <w:b/>
          <w:bCs/>
          <w:sz w:val="24"/>
          <w:szCs w:val="24"/>
          <w:highlight w:val="none"/>
        </w:rPr>
        <w:t>人参加</w:t>
      </w:r>
      <w:r>
        <w:rPr>
          <w:rFonts w:hint="eastAsia" w:hAnsi="宋体" w:cs="宋体"/>
          <w:b/>
          <w:bCs/>
          <w:sz w:val="24"/>
          <w:szCs w:val="24"/>
          <w:highlight w:val="none"/>
        </w:rPr>
        <w:t>磋商</w:t>
      </w:r>
      <w:r>
        <w:rPr>
          <w:rFonts w:hint="eastAsia" w:ascii="宋体" w:hAnsi="宋体" w:cs="宋体"/>
          <w:b/>
          <w:bCs/>
          <w:sz w:val="24"/>
          <w:szCs w:val="24"/>
          <w:highlight w:val="none"/>
        </w:rPr>
        <w:t>时提供</w:t>
      </w:r>
      <w:r>
        <w:rPr>
          <w:rFonts w:hint="eastAsia" w:ascii="宋体" w:hAnsi="宋体" w:cs="宋体"/>
          <w:sz w:val="24"/>
          <w:szCs w:val="24"/>
          <w:highlight w:val="none"/>
        </w:rPr>
        <w:t>。</w:t>
      </w:r>
    </w:p>
    <w:p>
      <w:pPr>
        <w:pStyle w:val="2"/>
        <w:shd w:val="clear"/>
        <w:jc w:val="left"/>
        <w:rPr>
          <w:highlight w:val="none"/>
        </w:rPr>
      </w:pPr>
      <w:r>
        <w:rPr>
          <w:rFonts w:hint="eastAsia" w:ascii="宋体" w:hAnsi="宋体" w:cs="宋体"/>
          <w:b/>
          <w:bCs/>
          <w:highlight w:val="none"/>
          <w:lang w:val="zh-CN"/>
        </w:rPr>
        <w:br w:type="page"/>
      </w:r>
    </w:p>
    <w:p>
      <w:pPr>
        <w:shd w:val="clear"/>
        <w:spacing w:line="600" w:lineRule="exact"/>
        <w:ind w:firstLine="480" w:firstLineChars="200"/>
        <w:rPr>
          <w:rFonts w:hint="eastAsia" w:hAnsi="宋体"/>
          <w:sz w:val="24"/>
          <w:szCs w:val="24"/>
          <w:highlight w:val="none"/>
        </w:rPr>
        <w:sectPr>
          <w:pgSz w:w="11906" w:h="16838"/>
          <w:pgMar w:top="1417" w:right="1417" w:bottom="1417" w:left="1701" w:header="851" w:footer="992" w:gutter="0"/>
          <w:pgNumType w:fmt="decimal"/>
          <w:cols w:space="0" w:num="1"/>
          <w:docGrid w:type="lines" w:linePitch="312" w:charSpace="0"/>
        </w:sectPr>
      </w:pPr>
      <w:bookmarkStart w:id="115" w:name="_Toc16355"/>
      <w:r>
        <w:rPr>
          <w:rFonts w:hint="eastAsia" w:ascii="宋体" w:hAnsi="宋体" w:cs="宋体"/>
          <w:sz w:val="24"/>
          <w:szCs w:val="24"/>
          <w:highlight w:val="none"/>
          <w:lang w:val="en-US" w:eastAsia="zh-CN"/>
        </w:rPr>
        <w:t>3</w:t>
      </w:r>
      <w:r>
        <w:rPr>
          <w:rFonts w:hint="eastAsia" w:ascii="宋体" w:hAnsi="宋体" w:cs="宋体"/>
          <w:sz w:val="24"/>
          <w:szCs w:val="24"/>
          <w:highlight w:val="none"/>
        </w:rPr>
        <w:t>、财务状况报告</w:t>
      </w:r>
      <w:r>
        <w:rPr>
          <w:rFonts w:hint="eastAsia" w:hAnsi="宋体"/>
          <w:sz w:val="24"/>
          <w:szCs w:val="24"/>
          <w:highlight w:val="none"/>
        </w:rPr>
        <w:t>：提供2018年度经审计的财务报告（成立时间至提交响应文件截止时间不足一年的可提供成立后任意时段的资产负债表），或其基本存款账户开户银行出具的资信证明及基本存款账户开户许可证；</w:t>
      </w:r>
    </w:p>
    <w:p>
      <w:pPr>
        <w:shd w:val="clear"/>
        <w:spacing w:line="600" w:lineRule="exact"/>
        <w:ind w:firstLine="480" w:firstLineChars="200"/>
        <w:rPr>
          <w:rFonts w:hint="eastAsia" w:hAnsi="宋体"/>
          <w:sz w:val="24"/>
          <w:szCs w:val="24"/>
          <w:highlight w:val="none"/>
        </w:rPr>
        <w:sectPr>
          <w:pgSz w:w="11906" w:h="16838"/>
          <w:pgMar w:top="1417" w:right="1417" w:bottom="1417" w:left="1701" w:header="851" w:footer="992" w:gutter="0"/>
          <w:pgNumType w:fmt="decimal"/>
          <w:cols w:space="0" w:num="1"/>
          <w:docGrid w:type="lines" w:linePitch="312" w:charSpace="0"/>
        </w:sectPr>
      </w:pPr>
      <w:r>
        <w:rPr>
          <w:rFonts w:hint="eastAsia" w:hAnsi="宋体"/>
          <w:sz w:val="24"/>
          <w:szCs w:val="24"/>
          <w:highlight w:val="none"/>
          <w:lang w:val="en-US" w:eastAsia="zh-CN"/>
        </w:rPr>
        <w:t>4、税收缴纳证明：提供磋商响应文件递交截止日前一年内至少一个月的纳税证明或完税证明，纳税证明或完税证明上应有代收机构或税务机关的公章或业务专用章。依法免税的供应商应提供相关文件证明</w:t>
      </w:r>
      <w:r>
        <w:rPr>
          <w:rFonts w:hint="eastAsia" w:hAnsi="宋体"/>
          <w:sz w:val="24"/>
          <w:szCs w:val="24"/>
          <w:highlight w:val="none"/>
          <w:lang w:eastAsia="zh-CN"/>
        </w:rPr>
        <w:t>；</w:t>
      </w:r>
    </w:p>
    <w:p>
      <w:pPr>
        <w:shd w:val="clear"/>
        <w:spacing w:line="500" w:lineRule="exact"/>
        <w:ind w:firstLine="480" w:firstLineChars="200"/>
        <w:rPr>
          <w:rFonts w:hint="eastAsia" w:ascii="宋体" w:hAnsi="宋体" w:cs="宋体"/>
          <w:sz w:val="24"/>
          <w:szCs w:val="24"/>
          <w:highlight w:val="none"/>
          <w:lang w:val="en-US" w:eastAsia="zh-CN"/>
        </w:rPr>
        <w:sectPr>
          <w:pgSz w:w="11906" w:h="16838"/>
          <w:pgMar w:top="1417" w:right="1417" w:bottom="1417" w:left="1701" w:header="851" w:footer="992" w:gutter="0"/>
          <w:pgNumType w:fmt="decimal"/>
          <w:cols w:space="0" w:num="1"/>
          <w:docGrid w:type="lines" w:linePitch="312" w:charSpace="0"/>
        </w:sectPr>
      </w:pPr>
      <w:r>
        <w:rPr>
          <w:rFonts w:hint="eastAsia" w:ascii="宋体" w:hAnsi="宋体" w:cs="宋体"/>
          <w:sz w:val="24"/>
          <w:szCs w:val="24"/>
          <w:highlight w:val="none"/>
          <w:lang w:val="en-US" w:eastAsia="zh-CN"/>
        </w:rPr>
        <w:t>5</w:t>
      </w:r>
      <w:r>
        <w:rPr>
          <w:rFonts w:hint="eastAsia" w:ascii="宋体" w:hAnsi="宋体" w:cs="宋体"/>
          <w:sz w:val="24"/>
          <w:szCs w:val="24"/>
          <w:highlight w:val="none"/>
        </w:rPr>
        <w:t>、社会保障资金缴纳证明：提供磋商响应文件递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cs="宋体"/>
          <w:sz w:val="24"/>
          <w:szCs w:val="24"/>
          <w:highlight w:val="none"/>
          <w:lang w:eastAsia="zh-CN"/>
        </w:rPr>
        <w:t>；</w:t>
      </w:r>
    </w:p>
    <w:p>
      <w:pPr>
        <w:shd w:val="clear"/>
        <w:spacing w:line="440" w:lineRule="exact"/>
        <w:ind w:firstLine="240" w:firstLineChars="100"/>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、参加政府采购活动前3年内，在经营活动中没有重大违法记录的书面声明；</w:t>
      </w:r>
    </w:p>
    <w:p>
      <w:pPr>
        <w:shd w:val="clear"/>
        <w:spacing w:line="440" w:lineRule="exact"/>
        <w:ind w:firstLine="480"/>
        <w:rPr>
          <w:rFonts w:hint="eastAsia" w:ascii="宋体" w:hAnsi="宋体" w:cs="宋体"/>
          <w:sz w:val="24"/>
          <w:szCs w:val="24"/>
          <w:highlight w:val="none"/>
        </w:rPr>
        <w:sectPr>
          <w:pgSz w:w="11906" w:h="16838"/>
          <w:pgMar w:top="1417" w:right="1417" w:bottom="1417" w:left="1701" w:header="851" w:footer="992" w:gutter="0"/>
          <w:pgNumType w:fmt="decimal"/>
          <w:cols w:space="0" w:num="1"/>
          <w:docGrid w:type="lines" w:linePitch="312" w:charSpace="0"/>
        </w:sectPr>
      </w:pPr>
    </w:p>
    <w:p>
      <w:pPr>
        <w:shd w:val="clear"/>
        <w:spacing w:line="440" w:lineRule="exact"/>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、磋商保证金缴纳凭证或担保机构出具的保函正本</w:t>
      </w:r>
      <w:r>
        <w:rPr>
          <w:rFonts w:hint="eastAsia" w:ascii="宋体" w:hAnsi="宋体" w:cs="宋体"/>
          <w:sz w:val="24"/>
          <w:szCs w:val="24"/>
          <w:highlight w:val="none"/>
          <w:lang w:eastAsia="zh-CN"/>
        </w:rPr>
        <w:t>。</w:t>
      </w:r>
    </w:p>
    <w:p>
      <w:pPr>
        <w:keepLines/>
        <w:pageBreakBefore/>
        <w:shd w:val="clear"/>
        <w:jc w:val="center"/>
        <w:outlineLvl w:val="1"/>
        <w:rPr>
          <w:rFonts w:cs="宋体"/>
          <w:b/>
          <w:bCs/>
          <w:sz w:val="32"/>
          <w:szCs w:val="32"/>
          <w:highlight w:val="none"/>
        </w:rPr>
      </w:pPr>
      <w:r>
        <w:rPr>
          <w:rFonts w:hint="eastAsia" w:cs="宋体"/>
          <w:b/>
          <w:bCs/>
          <w:sz w:val="32"/>
          <w:szCs w:val="32"/>
          <w:highlight w:val="none"/>
          <w:lang w:eastAsia="zh-CN"/>
        </w:rPr>
        <w:t>八</w:t>
      </w:r>
      <w:r>
        <w:rPr>
          <w:rFonts w:hint="eastAsia" w:cs="宋体"/>
          <w:b/>
          <w:bCs/>
          <w:sz w:val="32"/>
          <w:szCs w:val="32"/>
          <w:highlight w:val="none"/>
        </w:rPr>
        <w:t>、其他可以证明供应商实力的文件</w:t>
      </w:r>
      <w:bookmarkEnd w:id="115"/>
    </w:p>
    <w:p>
      <w:pPr>
        <w:shd w:val="clear"/>
        <w:spacing w:line="408" w:lineRule="auto"/>
        <w:ind w:left="525" w:leftChars="250"/>
        <w:rPr>
          <w:rFonts w:ascii="宋体" w:hAnsi="宋体" w:cs="宋体"/>
          <w:sz w:val="32"/>
          <w:szCs w:val="32"/>
          <w:highlight w:val="none"/>
        </w:rPr>
      </w:pPr>
    </w:p>
    <w:bookmarkEnd w:id="104"/>
    <w:bookmarkEnd w:id="105"/>
    <w:bookmarkEnd w:id="106"/>
    <w:bookmarkEnd w:id="107"/>
    <w:p>
      <w:pPr>
        <w:shd w:val="clear"/>
        <w:spacing w:line="408" w:lineRule="auto"/>
        <w:rPr>
          <w:highlight w:val="none"/>
        </w:rPr>
      </w:pPr>
      <w:r>
        <w:rPr>
          <w:rFonts w:ascii="宋体" w:hAnsi="宋体"/>
          <w:sz w:val="28"/>
          <w:szCs w:val="28"/>
          <w:highlight w:val="none"/>
          <w:u w:val="single"/>
        </w:rPr>
        <w:br w:type="page"/>
      </w:r>
      <w:r>
        <w:rPr>
          <w:rFonts w:hint="eastAsia" w:hAnsi="宋体"/>
          <w:b/>
          <w:bCs/>
          <w:sz w:val="28"/>
          <w:szCs w:val="28"/>
          <w:highlight w:val="none"/>
        </w:rPr>
        <w:t>附件1：</w:t>
      </w:r>
    </w:p>
    <w:p>
      <w:pPr>
        <w:shd w:val="clear"/>
        <w:spacing w:before="100" w:beforeAutospacing="1" w:afterLines="50" w:line="360" w:lineRule="auto"/>
        <w:jc w:val="center"/>
        <w:rPr>
          <w:rFonts w:ascii="宋体" w:hAnsi="宋体" w:cs="宋体"/>
          <w:b/>
          <w:sz w:val="24"/>
          <w:szCs w:val="24"/>
          <w:highlight w:val="none"/>
        </w:rPr>
      </w:pPr>
      <w:r>
        <w:rPr>
          <w:rFonts w:hint="eastAsia" w:ascii="宋体" w:hAnsi="宋体" w:cs="宋体"/>
          <w:b/>
          <w:sz w:val="24"/>
          <w:szCs w:val="24"/>
          <w:highlight w:val="none"/>
        </w:rPr>
        <w:t>中小企业声明函</w:t>
      </w:r>
    </w:p>
    <w:p>
      <w:pPr>
        <w:shd w:val="clear"/>
        <w:tabs>
          <w:tab w:val="left" w:pos="1620"/>
          <w:tab w:val="left" w:pos="180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本公司郑重声明，根据《政府采购促进中小企业发展暂行办法》(财库【2011】181号）的规定，本公司为(请填写：中型、小型、微型）企业。即，本公司同时满足以下条件：</w:t>
      </w:r>
    </w:p>
    <w:p>
      <w:pPr>
        <w:numPr>
          <w:ilvl w:val="0"/>
          <w:numId w:val="8"/>
        </w:numPr>
        <w:shd w:val="clear"/>
        <w:tabs>
          <w:tab w:val="left" w:pos="1620"/>
          <w:tab w:val="left" w:pos="180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根据《工业和信息化部、国家统计局、国家发展和改革委员会、财政部关于印发中小企业划分标准规定的通知》（工信部联企业【2011】300号）规定的划分标准，本公司为（请填写：中型、小型、微型）企业。</w:t>
      </w:r>
    </w:p>
    <w:p>
      <w:pPr>
        <w:numPr>
          <w:ilvl w:val="0"/>
          <w:numId w:val="8"/>
        </w:numPr>
        <w:shd w:val="clear"/>
        <w:tabs>
          <w:tab w:val="left" w:pos="1620"/>
          <w:tab w:val="left" w:pos="180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本公司参加单位的项目采购活动提供本企业制造的货物，由本企业提供服务，或者提供其他(请填写：中型、小型、微型）企业制造的货物。本条所称货物不包括使用大型企业注册商标的货物。</w:t>
      </w:r>
    </w:p>
    <w:p>
      <w:pPr>
        <w:shd w:val="clea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3、本公司属于行业，有从业人员人，最近一年营业收入为元。</w:t>
      </w:r>
    </w:p>
    <w:p>
      <w:pPr>
        <w:shd w:val="clear"/>
        <w:tabs>
          <w:tab w:val="left" w:pos="1620"/>
          <w:tab w:val="left" w:pos="1800"/>
        </w:tabs>
        <w:spacing w:line="500" w:lineRule="exact"/>
        <w:ind w:firstLine="480"/>
        <w:rPr>
          <w:rFonts w:ascii="宋体" w:hAnsi="宋体" w:cs="宋体"/>
          <w:sz w:val="24"/>
          <w:szCs w:val="24"/>
          <w:highlight w:val="none"/>
        </w:rPr>
      </w:pPr>
      <w:r>
        <w:rPr>
          <w:rFonts w:hint="eastAsia" w:ascii="宋体" w:hAnsi="宋体" w:cs="宋体"/>
          <w:sz w:val="24"/>
          <w:szCs w:val="24"/>
          <w:highlight w:val="none"/>
        </w:rPr>
        <w:t>本公司对上述声明的真实性负责。如有虚假，将依法承担相应责任。</w:t>
      </w:r>
    </w:p>
    <w:p>
      <w:pPr>
        <w:shd w:val="clear"/>
        <w:tabs>
          <w:tab w:val="left" w:pos="1620"/>
          <w:tab w:val="left" w:pos="1800"/>
        </w:tabs>
        <w:spacing w:line="500" w:lineRule="exact"/>
        <w:ind w:firstLine="480"/>
        <w:rPr>
          <w:rFonts w:ascii="宋体" w:hAnsi="宋体" w:cs="宋体"/>
          <w:sz w:val="24"/>
          <w:szCs w:val="24"/>
          <w:highlight w:val="none"/>
        </w:rPr>
      </w:pPr>
    </w:p>
    <w:p>
      <w:pPr>
        <w:shd w:val="clear"/>
        <w:tabs>
          <w:tab w:val="left" w:pos="1620"/>
          <w:tab w:val="left" w:pos="1800"/>
        </w:tabs>
        <w:spacing w:line="500" w:lineRule="exact"/>
        <w:rPr>
          <w:rFonts w:ascii="宋体" w:hAnsi="宋体" w:cs="宋体"/>
          <w:sz w:val="24"/>
          <w:szCs w:val="24"/>
          <w:highlight w:val="none"/>
        </w:rPr>
      </w:pPr>
      <w:r>
        <w:rPr>
          <w:rFonts w:hint="eastAsia" w:ascii="宋体" w:hAnsi="宋体" w:cs="宋体"/>
          <w:sz w:val="24"/>
          <w:szCs w:val="24"/>
          <w:highlight w:val="none"/>
        </w:rPr>
        <w:t xml:space="preserve">                                          单位名称（公章）：</w:t>
      </w:r>
    </w:p>
    <w:p>
      <w:pPr>
        <w:shd w:val="clear"/>
        <w:tabs>
          <w:tab w:val="left" w:pos="1620"/>
          <w:tab w:val="left" w:pos="1800"/>
        </w:tabs>
        <w:spacing w:line="500" w:lineRule="exact"/>
        <w:rPr>
          <w:rFonts w:ascii="宋体" w:hAnsi="宋体" w:cs="宋体"/>
          <w:sz w:val="24"/>
          <w:szCs w:val="24"/>
          <w:highlight w:val="none"/>
        </w:rPr>
      </w:pPr>
      <w:r>
        <w:rPr>
          <w:rFonts w:hint="eastAsia" w:ascii="宋体" w:hAnsi="宋体" w:cs="宋体"/>
          <w:sz w:val="24"/>
          <w:szCs w:val="24"/>
          <w:highlight w:val="none"/>
        </w:rPr>
        <w:t xml:space="preserve">                                           日   期：</w:t>
      </w:r>
    </w:p>
    <w:p>
      <w:pPr>
        <w:shd w:val="clear"/>
        <w:tabs>
          <w:tab w:val="left" w:pos="1620"/>
          <w:tab w:val="left" w:pos="1800"/>
        </w:tabs>
        <w:spacing w:line="500" w:lineRule="exact"/>
        <w:rPr>
          <w:rFonts w:ascii="宋体" w:hAnsi="宋体" w:cs="宋体"/>
          <w:sz w:val="24"/>
          <w:szCs w:val="24"/>
          <w:highlight w:val="none"/>
        </w:rPr>
      </w:pPr>
      <w:r>
        <w:rPr>
          <w:rFonts w:hint="eastAsia" w:ascii="宋体" w:hAnsi="宋体" w:cs="宋体"/>
          <w:sz w:val="24"/>
          <w:szCs w:val="24"/>
          <w:highlight w:val="none"/>
        </w:rPr>
        <w:t>备注：</w:t>
      </w:r>
    </w:p>
    <w:p>
      <w:pPr>
        <w:shd w:val="clear"/>
        <w:tabs>
          <w:tab w:val="left" w:pos="1620"/>
          <w:tab w:val="left" w:pos="180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1、填写前请认真阅读工业和信息化部、国家统计局、国家发展和改革委员会、财政部关于印发中小企业划分标准规定的通知》（工信部联企业【2011】300号）和《财政部  工业和信息化部关于印发政府采购促进中小企业发展暂行办法的通知》（财库【2011】181号）相关规定。</w:t>
      </w:r>
    </w:p>
    <w:p>
      <w:pPr>
        <w:shd w:val="clear"/>
        <w:tabs>
          <w:tab w:val="left" w:pos="1620"/>
          <w:tab w:val="left" w:pos="180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2、供应商认为其为小型或微型企业的应提交本函，在评审时，磋商小组依据供应商提交的2018年度的财务报表及供应商注册地社会保险机构盖章的单位职工缴纳社会保险清单进行评审。提供的证明材料不全或有瑕疵的，在评审时不享受政府采购优惠政策。</w:t>
      </w:r>
    </w:p>
    <w:p>
      <w:pPr>
        <w:shd w:val="clear"/>
        <w:spacing w:before="100" w:beforeAutospacing="1" w:afterLines="50" w:line="360" w:lineRule="auto"/>
        <w:rPr>
          <w:rFonts w:hint="eastAsia" w:ascii="宋体" w:hAnsi="宋体" w:cs="宋体"/>
          <w:b/>
          <w:bCs/>
          <w:spacing w:val="6"/>
          <w:sz w:val="30"/>
          <w:szCs w:val="30"/>
          <w:highlight w:val="none"/>
        </w:rPr>
      </w:pPr>
    </w:p>
    <w:p>
      <w:pPr>
        <w:shd w:val="clear"/>
        <w:spacing w:before="100" w:beforeAutospacing="1" w:afterLines="50" w:line="360" w:lineRule="auto"/>
        <w:rPr>
          <w:rFonts w:ascii="宋体" w:hAnsi="宋体" w:cs="宋体"/>
          <w:b/>
          <w:bCs/>
          <w:spacing w:val="6"/>
          <w:sz w:val="30"/>
          <w:szCs w:val="30"/>
          <w:highlight w:val="none"/>
        </w:rPr>
      </w:pPr>
      <w:r>
        <w:rPr>
          <w:rFonts w:hint="eastAsia" w:ascii="宋体" w:hAnsi="宋体" w:cs="宋体"/>
          <w:b/>
          <w:bCs/>
          <w:spacing w:val="6"/>
          <w:sz w:val="30"/>
          <w:szCs w:val="30"/>
          <w:highlight w:val="none"/>
        </w:rPr>
        <w:t>附件2</w:t>
      </w:r>
      <w:r>
        <w:rPr>
          <w:rFonts w:hint="eastAsia" w:hAnsi="宋体" w:cs="宋体"/>
          <w:b/>
          <w:bCs/>
          <w:spacing w:val="6"/>
          <w:sz w:val="30"/>
          <w:szCs w:val="30"/>
          <w:highlight w:val="none"/>
        </w:rPr>
        <w:t>（如有）：</w:t>
      </w:r>
    </w:p>
    <w:p>
      <w:pPr>
        <w:shd w:val="clear"/>
        <w:spacing w:line="588" w:lineRule="exact"/>
        <w:jc w:val="center"/>
        <w:rPr>
          <w:rFonts w:ascii="宋体" w:hAnsi="宋体" w:cs="宋体"/>
          <w:b/>
          <w:spacing w:val="6"/>
          <w:sz w:val="32"/>
          <w:szCs w:val="32"/>
          <w:highlight w:val="none"/>
        </w:rPr>
      </w:pPr>
      <w:bookmarkStart w:id="116" w:name="OLE_LINK13"/>
      <w:bookmarkStart w:id="117" w:name="OLE_LINK14"/>
      <w:r>
        <w:rPr>
          <w:rFonts w:hint="eastAsia" w:ascii="宋体" w:hAnsi="宋体" w:cs="宋体"/>
          <w:b/>
          <w:spacing w:val="6"/>
          <w:sz w:val="32"/>
          <w:szCs w:val="32"/>
          <w:highlight w:val="none"/>
        </w:rPr>
        <w:t>残疾人福利性单位声明函</w:t>
      </w:r>
    </w:p>
    <w:bookmarkEnd w:id="116"/>
    <w:bookmarkEnd w:id="117"/>
    <w:p>
      <w:pPr>
        <w:shd w:val="clear"/>
        <w:spacing w:line="588" w:lineRule="exact"/>
        <w:rPr>
          <w:rFonts w:ascii="宋体" w:hAnsi="宋体" w:cs="宋体"/>
          <w:b/>
          <w:spacing w:val="6"/>
          <w:sz w:val="30"/>
          <w:szCs w:val="30"/>
          <w:highlight w:val="none"/>
        </w:rPr>
      </w:pPr>
    </w:p>
    <w:p>
      <w:pPr>
        <w:shd w:val="clea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本单位郑重声明，根据《财政部 民政部 中国残疾人联合会关于促进残疾人就业政府采购政策的通知》（财库</w:t>
      </w:r>
      <w:r>
        <w:rPr>
          <w:rFonts w:hint="eastAsia" w:ascii="宋体" w:hAnsi="宋体" w:cs="宋体"/>
          <w:sz w:val="24"/>
          <w:szCs w:val="24"/>
          <w:highlight w:val="none"/>
        </w:rPr>
        <w:t>〔2017〕 141</w:t>
      </w:r>
      <w:r>
        <w:rPr>
          <w:rFonts w:hint="eastAsia" w:ascii="宋体" w:hAnsi="宋体" w:cs="宋体"/>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本单位对上述声明的真实性负责。如有虚假，将依法承担相应责任。</w:t>
      </w:r>
    </w:p>
    <w:p>
      <w:pPr>
        <w:shd w:val="clear"/>
        <w:spacing w:line="588" w:lineRule="exact"/>
        <w:ind w:firstLine="504" w:firstLineChars="200"/>
        <w:rPr>
          <w:rFonts w:ascii="宋体" w:hAnsi="宋体" w:cs="宋体"/>
          <w:spacing w:val="6"/>
          <w:sz w:val="24"/>
          <w:szCs w:val="24"/>
          <w:highlight w:val="none"/>
        </w:rPr>
      </w:pPr>
    </w:p>
    <w:p>
      <w:pPr>
        <w:shd w:val="clear"/>
        <w:spacing w:line="588" w:lineRule="exact"/>
        <w:ind w:firstLine="504" w:firstLineChars="200"/>
        <w:rPr>
          <w:rFonts w:ascii="宋体" w:hAnsi="宋体" w:cs="宋体"/>
          <w:spacing w:val="6"/>
          <w:sz w:val="24"/>
          <w:szCs w:val="24"/>
          <w:highlight w:val="none"/>
        </w:rPr>
      </w:pPr>
    </w:p>
    <w:p>
      <w:pPr>
        <w:shd w:val="clear"/>
        <w:spacing w:line="588" w:lineRule="exact"/>
        <w:ind w:firstLine="504" w:firstLineChars="200"/>
        <w:rPr>
          <w:rFonts w:ascii="宋体" w:hAnsi="宋体" w:cs="宋体"/>
          <w:spacing w:val="6"/>
          <w:sz w:val="24"/>
          <w:szCs w:val="24"/>
          <w:highlight w:val="none"/>
        </w:rPr>
      </w:pPr>
    </w:p>
    <w:p>
      <w:pPr>
        <w:shd w:val="clear"/>
        <w:spacing w:line="588" w:lineRule="exact"/>
        <w:ind w:firstLine="504" w:firstLineChars="200"/>
        <w:rPr>
          <w:rFonts w:ascii="宋体" w:hAnsi="宋体" w:cs="宋体"/>
          <w:spacing w:val="6"/>
          <w:sz w:val="24"/>
          <w:szCs w:val="24"/>
          <w:highlight w:val="none"/>
        </w:rPr>
      </w:pPr>
    </w:p>
    <w:p>
      <w:pPr>
        <w:shd w:val="clear"/>
        <w:tabs>
          <w:tab w:val="left" w:pos="4860"/>
        </w:tabs>
        <w:spacing w:line="588" w:lineRule="exact"/>
        <w:ind w:right="1560" w:firstLine="504" w:firstLineChars="200"/>
        <w:jc w:val="center"/>
        <w:rPr>
          <w:rFonts w:ascii="宋体" w:hAnsi="宋体" w:cs="宋体"/>
          <w:spacing w:val="6"/>
          <w:sz w:val="24"/>
          <w:szCs w:val="24"/>
          <w:highlight w:val="none"/>
        </w:rPr>
      </w:pPr>
      <w:r>
        <w:rPr>
          <w:rFonts w:hint="eastAsia" w:ascii="宋体" w:hAnsi="宋体" w:cs="宋体"/>
          <w:spacing w:val="6"/>
          <w:sz w:val="24"/>
          <w:szCs w:val="24"/>
          <w:highlight w:val="none"/>
        </w:rPr>
        <w:t xml:space="preserve">               单位名称（盖章）：</w:t>
      </w:r>
    </w:p>
    <w:p>
      <w:pPr>
        <w:shd w:val="clear"/>
        <w:tabs>
          <w:tab w:val="left" w:pos="4860"/>
        </w:tabs>
        <w:spacing w:line="588" w:lineRule="exact"/>
        <w:ind w:right="1560" w:firstLine="504" w:firstLineChars="200"/>
        <w:jc w:val="center"/>
        <w:rPr>
          <w:rFonts w:ascii="宋体" w:hAnsi="宋体" w:cs="宋体"/>
          <w:spacing w:val="6"/>
          <w:sz w:val="24"/>
          <w:szCs w:val="24"/>
          <w:highlight w:val="none"/>
        </w:rPr>
      </w:pPr>
      <w:r>
        <w:rPr>
          <w:rFonts w:hint="eastAsia" w:ascii="宋体" w:hAnsi="宋体" w:cs="宋体"/>
          <w:spacing w:val="6"/>
          <w:sz w:val="24"/>
          <w:szCs w:val="24"/>
          <w:highlight w:val="none"/>
        </w:rPr>
        <w:t>日  期：</w:t>
      </w:r>
    </w:p>
    <w:p>
      <w:pPr>
        <w:shd w:val="clear"/>
        <w:tabs>
          <w:tab w:val="left" w:pos="1620"/>
          <w:tab w:val="left" w:pos="1800"/>
        </w:tabs>
        <w:spacing w:line="440" w:lineRule="exact"/>
        <w:ind w:right="540" w:rightChars="257"/>
        <w:rPr>
          <w:rFonts w:ascii="宋体" w:hAnsi="宋体" w:cs="宋体"/>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rPr>
          <w:rFonts w:ascii="宋体" w:hAnsi="宋体"/>
          <w:sz w:val="24"/>
          <w:szCs w:val="24"/>
          <w:highlight w:val="none"/>
        </w:rPr>
      </w:pPr>
    </w:p>
    <w:p>
      <w:pPr>
        <w:shd w:val="clear"/>
        <w:tabs>
          <w:tab w:val="left" w:pos="2488"/>
        </w:tabs>
        <w:jc w:val="left"/>
        <w:rPr>
          <w:highlight w:val="none"/>
        </w:rPr>
      </w:pPr>
    </w:p>
    <w:p>
      <w:pPr>
        <w:keepLines/>
        <w:pageBreakBefore/>
        <w:shd w:val="clear"/>
        <w:spacing w:before="100" w:beforeAutospacing="1" w:afterLines="50" w:line="360" w:lineRule="auto"/>
        <w:rPr>
          <w:rFonts w:hAnsi="宋体" w:cs="Verdana"/>
          <w:b/>
          <w:sz w:val="28"/>
          <w:szCs w:val="28"/>
          <w:highlight w:val="none"/>
        </w:rPr>
      </w:pPr>
      <w:r>
        <w:rPr>
          <w:rFonts w:hint="eastAsia" w:hAnsi="宋体" w:cs="Verdana"/>
          <w:b/>
          <w:sz w:val="28"/>
          <w:szCs w:val="28"/>
          <w:highlight w:val="none"/>
        </w:rPr>
        <w:t>附件</w:t>
      </w:r>
      <w:r>
        <w:rPr>
          <w:rFonts w:hint="eastAsia" w:hAnsi="宋体" w:cs="Verdana"/>
          <w:b/>
          <w:sz w:val="28"/>
          <w:szCs w:val="28"/>
          <w:highlight w:val="none"/>
          <w:lang w:val="en-US" w:eastAsia="zh-CN"/>
        </w:rPr>
        <w:t>3</w:t>
      </w:r>
      <w:r>
        <w:rPr>
          <w:rFonts w:hint="eastAsia" w:hAnsi="宋体" w:cs="Verdana"/>
          <w:b/>
          <w:sz w:val="28"/>
          <w:szCs w:val="28"/>
          <w:highlight w:val="none"/>
        </w:rPr>
        <w:t>：</w:t>
      </w:r>
      <w:r>
        <w:rPr>
          <w:rFonts w:hint="eastAsia" w:hAnsi="宋体"/>
          <w:b/>
          <w:sz w:val="28"/>
          <w:szCs w:val="28"/>
          <w:highlight w:val="none"/>
        </w:rPr>
        <w:t>（参考格式）</w:t>
      </w:r>
    </w:p>
    <w:p>
      <w:pPr>
        <w:shd w:val="clear"/>
        <w:spacing w:line="550" w:lineRule="exact"/>
        <w:jc w:val="center"/>
        <w:rPr>
          <w:rFonts w:hAnsi="宋体"/>
          <w:b/>
          <w:bCs/>
          <w:sz w:val="32"/>
          <w:szCs w:val="32"/>
          <w:highlight w:val="none"/>
        </w:rPr>
      </w:pPr>
      <w:r>
        <w:rPr>
          <w:rFonts w:hint="eastAsia" w:hAnsi="宋体"/>
          <w:b/>
          <w:bCs/>
          <w:sz w:val="32"/>
          <w:szCs w:val="32"/>
          <w:highlight w:val="none"/>
        </w:rPr>
        <w:t>磋商担保函</w:t>
      </w:r>
    </w:p>
    <w:p>
      <w:pPr>
        <w:shd w:val="clear"/>
        <w:rPr>
          <w:rFonts w:ascii="仿宋_GB2312" w:hAnsi="仿宋_GB2312" w:eastAsia="仿宋_GB2312"/>
          <w:szCs w:val="32"/>
          <w:highlight w:val="none"/>
        </w:rPr>
      </w:pPr>
    </w:p>
    <w:p>
      <w:pPr>
        <w:shd w:val="clear"/>
        <w:jc w:val="center"/>
        <w:rPr>
          <w:rFonts w:ascii="仿宋_GB2312" w:hAnsi="仿宋_GB2312" w:eastAsia="仿宋_GB2312"/>
          <w:szCs w:val="32"/>
          <w:highlight w:val="none"/>
        </w:rPr>
      </w:pPr>
      <w:r>
        <w:rPr>
          <w:rFonts w:hint="eastAsia" w:hAnsi="宋体"/>
          <w:szCs w:val="24"/>
          <w:highlight w:val="none"/>
        </w:rPr>
        <w:t xml:space="preserve">         编号： </w:t>
      </w:r>
    </w:p>
    <w:p>
      <w:pPr>
        <w:shd w:val="clear"/>
        <w:rPr>
          <w:rFonts w:ascii="宋体" w:hAnsi="宋体" w:cs="宋体"/>
          <w:sz w:val="24"/>
          <w:szCs w:val="24"/>
          <w:highlight w:val="none"/>
          <w:u w:val="single"/>
        </w:rPr>
      </w:pP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___________________（采购人或采购代理机构）： </w:t>
      </w:r>
    </w:p>
    <w:p>
      <w:pPr>
        <w:shd w:val="clea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鉴于_______________（以下简称“供应商”）拟参加编号为___________的________________________项目（以下简称“本项目”）磋商，根据本项目竞争性磋商文件，供应商参加磋商时应向你方交纳磋商保证金，且可以磋商担保函的形式交纳磋商保证金。应供应商的申请，我方以保证的方式向你方提供如下磋商保证金担保： </w:t>
      </w:r>
    </w:p>
    <w:p>
      <w:pPr>
        <w:shd w:val="clear"/>
        <w:spacing w:line="360" w:lineRule="auto"/>
        <w:rPr>
          <w:rFonts w:ascii="宋体" w:hAnsi="宋体" w:cs="宋体"/>
          <w:b/>
          <w:sz w:val="24"/>
          <w:szCs w:val="24"/>
          <w:highlight w:val="none"/>
        </w:rPr>
      </w:pPr>
      <w:r>
        <w:rPr>
          <w:rFonts w:hint="eastAsia" w:ascii="宋体" w:hAnsi="宋体" w:cs="宋体"/>
          <w:b/>
          <w:sz w:val="24"/>
          <w:szCs w:val="24"/>
          <w:highlight w:val="none"/>
        </w:rPr>
        <w:t xml:space="preserve"> 一、保证责任的情形及保证金额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（一）在供应商出现下列情形之一时，我方承担保证责任：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1．成交后供应商无正当理由不与采购人或者采购代理机构签订《政府采购合同》；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2．竞争性磋商文件规定的供应商应当缴纳保证金的其他情形。 </w:t>
      </w:r>
    </w:p>
    <w:p>
      <w:pPr>
        <w:shd w:val="clea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  （二）我方承担保证责任的最高金额为人民币______元（大写_____________），即本项目的磋商保证金金额。 </w:t>
      </w:r>
    </w:p>
    <w:p>
      <w:pPr>
        <w:shd w:val="clear"/>
        <w:spacing w:line="360" w:lineRule="auto"/>
        <w:rPr>
          <w:rFonts w:ascii="宋体" w:hAnsi="宋体" w:cs="宋体"/>
          <w:b/>
          <w:sz w:val="24"/>
          <w:szCs w:val="24"/>
          <w:highlight w:val="none"/>
        </w:rPr>
      </w:pPr>
      <w:r>
        <w:rPr>
          <w:rFonts w:hint="eastAsia" w:ascii="宋体" w:hAnsi="宋体" w:cs="宋体"/>
          <w:b/>
          <w:sz w:val="24"/>
          <w:szCs w:val="24"/>
          <w:highlight w:val="none"/>
        </w:rPr>
        <w:t xml:space="preserve"> 二、保证的方式及保证期间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我方保证的方式为：连带责任保证。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我方的保证期间为：自本保函生效之日起______个月止。 </w:t>
      </w:r>
    </w:p>
    <w:p>
      <w:pPr>
        <w:shd w:val="clear"/>
        <w:spacing w:line="360" w:lineRule="auto"/>
        <w:rPr>
          <w:rFonts w:ascii="宋体" w:hAnsi="宋体" w:cs="宋体"/>
          <w:b/>
          <w:sz w:val="24"/>
          <w:szCs w:val="24"/>
          <w:highlight w:val="none"/>
        </w:rPr>
      </w:pPr>
      <w:r>
        <w:rPr>
          <w:rFonts w:hint="eastAsia" w:ascii="宋体" w:hAnsi="宋体" w:cs="宋体"/>
          <w:b/>
          <w:sz w:val="24"/>
          <w:szCs w:val="24"/>
          <w:highlight w:val="none"/>
        </w:rPr>
        <w:t xml:space="preserve"> 三、承担保证责任的程序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2．我方在收到索赔通知及相关证明材料后，在_____个工作日内进行审查，符合应承担保证责任情形的，我方应按照你方的要求代供应商向你方支付磋商保证金。 </w:t>
      </w:r>
    </w:p>
    <w:p>
      <w:pPr>
        <w:shd w:val="clear"/>
        <w:spacing w:line="360" w:lineRule="auto"/>
        <w:rPr>
          <w:rFonts w:ascii="宋体" w:hAnsi="宋体" w:cs="宋体"/>
          <w:b/>
          <w:sz w:val="24"/>
          <w:szCs w:val="24"/>
          <w:highlight w:val="none"/>
        </w:rPr>
      </w:pPr>
      <w:r>
        <w:rPr>
          <w:rFonts w:hint="eastAsia" w:ascii="宋体" w:hAnsi="宋体" w:cs="宋体"/>
          <w:b/>
          <w:sz w:val="24"/>
          <w:szCs w:val="24"/>
          <w:highlight w:val="none"/>
        </w:rPr>
        <w:t xml:space="preserve">    四、保证责任的终止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1．保证期间届满你方未向我方书面主张保证责任的，自保证期间届满次日起，我方保证责任自动终止。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2．我方按照本保函向你方履行了保证责任后，自我方向你方支付款项（支付款项从我方账户划出）之日起，保证责任终止。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3．按照法律法规的规定或出现我方保证责任终止的其它情形的，我方在本保函项下的保证责任亦终止。 </w:t>
      </w:r>
    </w:p>
    <w:p>
      <w:pPr>
        <w:shd w:val="clear"/>
        <w:spacing w:line="360" w:lineRule="auto"/>
        <w:rPr>
          <w:rFonts w:ascii="宋体" w:hAnsi="宋体" w:cs="宋体"/>
          <w:b/>
          <w:sz w:val="24"/>
          <w:szCs w:val="24"/>
          <w:highlight w:val="none"/>
        </w:rPr>
      </w:pPr>
      <w:r>
        <w:rPr>
          <w:rFonts w:hint="eastAsia" w:ascii="宋体" w:hAnsi="宋体" w:cs="宋体"/>
          <w:b/>
          <w:sz w:val="24"/>
          <w:szCs w:val="24"/>
          <w:highlight w:val="none"/>
        </w:rPr>
        <w:t xml:space="preserve">    五、免责条款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1．依照法律规定或你方与供应商的另行约定，全部或者部分免除供应商磋商保证金义务时，我方亦免除相应的保证责任。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2．因你方原因致使供应商发生本保函第一条第（一）款约定情形的，我方不承担保证责任。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3．因不可抗力造成供应商发生本保函第一条约定情形的，我方不承担保证责任。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4．你方或其他有权机关对竞争性磋商文件进行任何澄清或修改，加重我方保证责任的，我方对加重部分不承担保证责任，但该澄清或修改经我方事先书面同意的除外。 </w:t>
      </w:r>
    </w:p>
    <w:p>
      <w:pPr>
        <w:shd w:val="clear"/>
        <w:spacing w:line="360" w:lineRule="auto"/>
        <w:rPr>
          <w:rFonts w:ascii="宋体" w:hAnsi="宋体" w:cs="宋体"/>
          <w:b/>
          <w:sz w:val="24"/>
          <w:szCs w:val="24"/>
          <w:highlight w:val="none"/>
        </w:rPr>
      </w:pPr>
      <w:r>
        <w:rPr>
          <w:rFonts w:hint="eastAsia" w:ascii="宋体" w:hAnsi="宋体" w:cs="宋体"/>
          <w:b/>
          <w:sz w:val="24"/>
          <w:szCs w:val="24"/>
          <w:highlight w:val="none"/>
        </w:rPr>
        <w:t xml:space="preserve"> 六、争议的解决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因本保函发生的纠纷，由你我双方协商解决，协商不成的，通过诉讼程序解决，诉讼管辖地法院为________________法院。 </w:t>
      </w:r>
    </w:p>
    <w:p>
      <w:pPr>
        <w:shd w:val="clear"/>
        <w:spacing w:line="360" w:lineRule="auto"/>
        <w:rPr>
          <w:rFonts w:ascii="宋体" w:hAnsi="宋体" w:cs="宋体"/>
          <w:b/>
          <w:sz w:val="24"/>
          <w:szCs w:val="24"/>
          <w:highlight w:val="none"/>
        </w:rPr>
      </w:pPr>
      <w:r>
        <w:rPr>
          <w:rFonts w:hint="eastAsia" w:ascii="宋体" w:hAnsi="宋体" w:cs="宋体"/>
          <w:b/>
          <w:sz w:val="24"/>
          <w:szCs w:val="24"/>
          <w:highlight w:val="none"/>
        </w:rPr>
        <w:t xml:space="preserve">    七、保函的生效 </w:t>
      </w:r>
    </w:p>
    <w:p>
      <w:pPr>
        <w:shd w:val="clear"/>
        <w:spacing w:line="360" w:lineRule="auto"/>
        <w:rPr>
          <w:rFonts w:ascii="宋体" w:hAnsi="宋体" w:cs="宋体"/>
          <w:sz w:val="24"/>
          <w:szCs w:val="24"/>
          <w:highlight w:val="none"/>
        </w:rPr>
      </w:pPr>
      <w:r>
        <w:rPr>
          <w:rFonts w:hint="eastAsia" w:ascii="宋体" w:hAnsi="宋体" w:cs="宋体"/>
          <w:sz w:val="24"/>
          <w:szCs w:val="24"/>
          <w:highlight w:val="none"/>
        </w:rPr>
        <w:t xml:space="preserve">    本保函自我方加盖公章之日起生效。 </w:t>
      </w:r>
    </w:p>
    <w:p>
      <w:pPr>
        <w:shd w:val="clear"/>
        <w:spacing w:line="360" w:lineRule="auto"/>
        <w:rPr>
          <w:rFonts w:ascii="宋体" w:hAnsi="宋体" w:cs="宋体"/>
          <w:sz w:val="24"/>
          <w:szCs w:val="24"/>
          <w:highlight w:val="none"/>
        </w:rPr>
      </w:pPr>
    </w:p>
    <w:p>
      <w:pPr>
        <w:shd w:val="clear"/>
        <w:spacing w:line="360" w:lineRule="auto"/>
        <w:rPr>
          <w:rFonts w:ascii="宋体" w:hAnsi="宋体" w:cs="宋体"/>
          <w:sz w:val="24"/>
          <w:szCs w:val="24"/>
          <w:highlight w:val="none"/>
        </w:rPr>
      </w:pPr>
    </w:p>
    <w:p>
      <w:pPr>
        <w:shd w:val="clear"/>
        <w:spacing w:line="360" w:lineRule="auto"/>
        <w:rPr>
          <w:rFonts w:ascii="宋体" w:hAnsi="宋体" w:cs="宋体"/>
          <w:sz w:val="24"/>
          <w:szCs w:val="24"/>
          <w:highlight w:val="none"/>
        </w:rPr>
      </w:pPr>
    </w:p>
    <w:p>
      <w:pPr>
        <w:shd w:val="clear"/>
        <w:spacing w:line="360" w:lineRule="auto"/>
        <w:rPr>
          <w:rFonts w:ascii="宋体" w:hAnsi="宋体" w:cs="宋体"/>
          <w:sz w:val="24"/>
          <w:szCs w:val="24"/>
          <w:highlight w:val="none"/>
        </w:rPr>
      </w:pPr>
    </w:p>
    <w:p>
      <w:pPr>
        <w:shd w:val="clear"/>
        <w:spacing w:line="360" w:lineRule="auto"/>
        <w:ind w:right="640" w:firstLine="3840" w:firstLineChars="1600"/>
        <w:rPr>
          <w:rFonts w:ascii="宋体" w:hAnsi="宋体" w:cs="宋体"/>
          <w:sz w:val="24"/>
          <w:szCs w:val="24"/>
          <w:highlight w:val="none"/>
        </w:rPr>
      </w:pPr>
      <w:r>
        <w:rPr>
          <w:rFonts w:hint="eastAsia" w:ascii="宋体" w:hAnsi="宋体" w:cs="宋体"/>
          <w:sz w:val="24"/>
          <w:szCs w:val="24"/>
          <w:highlight w:val="none"/>
        </w:rPr>
        <w:t>保证人：（公章）</w:t>
      </w:r>
    </w:p>
    <w:p>
      <w:pPr>
        <w:shd w:val="clear"/>
        <w:spacing w:line="360" w:lineRule="auto"/>
        <w:ind w:right="640"/>
        <w:rPr>
          <w:rFonts w:ascii="宋体" w:hAnsi="宋体" w:cs="宋体"/>
          <w:sz w:val="24"/>
          <w:szCs w:val="24"/>
          <w:highlight w:val="none"/>
        </w:rPr>
      </w:pPr>
      <w:r>
        <w:rPr>
          <w:rFonts w:hint="eastAsia" w:ascii="宋体" w:hAnsi="宋体" w:cs="宋体"/>
          <w:sz w:val="24"/>
          <w:szCs w:val="24"/>
          <w:highlight w:val="none"/>
        </w:rPr>
        <w:t xml:space="preserve">                              年     月      日</w:t>
      </w:r>
    </w:p>
    <w:p>
      <w:pPr>
        <w:shd w:val="clear"/>
        <w:tabs>
          <w:tab w:val="left" w:pos="7839"/>
        </w:tabs>
        <w:rPr>
          <w:rFonts w:ascii="宋体" w:hAnsi="宋体" w:cs="宋体"/>
          <w:sz w:val="24"/>
          <w:szCs w:val="24"/>
          <w:highlight w:val="none"/>
        </w:rPr>
      </w:pPr>
      <w:r>
        <w:rPr>
          <w:rFonts w:hint="eastAsia" w:ascii="宋体" w:hAnsi="宋体" w:cs="宋体"/>
          <w:sz w:val="24"/>
          <w:szCs w:val="24"/>
          <w:highlight w:val="none"/>
        </w:rPr>
        <w:tab/>
      </w:r>
    </w:p>
    <w:p>
      <w:pPr>
        <w:shd w:val="clear"/>
        <w:spacing w:line="550" w:lineRule="exact"/>
        <w:ind w:right="640"/>
        <w:rPr>
          <w:rFonts w:ascii="宋体"/>
          <w:sz w:val="24"/>
          <w:szCs w:val="24"/>
          <w:highlight w:val="none"/>
        </w:rPr>
      </w:pPr>
    </w:p>
    <w:sectPr>
      <w:pgSz w:w="11906" w:h="16838"/>
      <w:pgMar w:top="1417" w:right="1417"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ont-weight : 400">
    <w:altName w:val="Times New Roman"/>
    <w:panose1 w:val="00000000000000000000"/>
    <w:charset w:val="00"/>
    <w:family w:val="auto"/>
    <w:pitch w:val="default"/>
    <w:sig w:usb0="00000000" w:usb1="00000000" w:usb2="00000000" w:usb3="00000000" w:csb0="00000001" w:csb1="00000000"/>
  </w:font>
  <w:font w:name="方正大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华夏国际项目管理有限公司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r>
      <w:rPr>
        <w:rFonts w:hint="eastAsia" w:cs="宋体"/>
      </w:rPr>
      <w:t xml:space="preserve">华夏国际项目管理有限公司                               </w:t>
    </w:r>
    <w:r>
      <w:rPr>
        <w:rFonts w:hint="eastAsia"/>
      </w:rPr>
      <w:t>地址：西安市高新区科技五路8号数字大厦11楼</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O0wMwBAAB5AwAADgAAAGRycy9lMm9Eb2MueG1srVPBbhMxEL0j8Q+W&#10;72S3qYr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o7TAzAEAAHk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r>
      <w:rPr>
        <w:rFonts w:hint="eastAsia"/>
      </w:rPr>
      <w:t>华夏国际项目管理有限公司</w: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-1905</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15pt;height:10.35pt;width:9.05pt;mso-position-horizontal:center;mso-position-horizontal-relative:margin;mso-wrap-style:none;z-index:251658240;mso-width-relative:page;mso-height-relative:page;" filled="f" stroked="f" coordsize="21600,21600" o:gfxdata="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7VZx/SAAAABAEAAA8AAAAA&#10;AAAAAQAgAAAAIgAAAGRycy9kb3ducmV2LnhtbFBLAQIUABQAAAAIAIdO4kDIxn5bGgIAACEEAAAO&#10;AAAAAAAAAAEAIAAAACEBAABkcnMvZTJvRG9jLnhtbFBLBQYAAAAABgAGAFkBAACt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w:rPr>
        <w:rFonts w:hint="eastAsia"/>
      </w:rPr>
      <w:tab/>
    </w:r>
    <w:r>
      <w:rPr>
        <w:rFonts w:hint="eastAsia"/>
        <w:lang w:val="en-US" w:eastAsia="zh-CN"/>
      </w:rPr>
      <w:t xml:space="preserve">                             </w:t>
    </w:r>
    <w:r>
      <w:rPr>
        <w:rFonts w:hint="eastAsia"/>
      </w:rPr>
      <w:t>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251"/>
        <w:tab w:val="clear" w:pos="4153"/>
      </w:tabs>
      <w:jc w:val="both"/>
    </w:pPr>
    <w:r>
      <w:rPr>
        <w:rFonts w:hint="eastAsia" w:ascii="宋体" w:hAnsi="宋体" w:cs="宋体"/>
        <w:lang w:eastAsia="zh-CN"/>
      </w:rPr>
      <w:t>铜川市新区创文办老旧小区基础设施改造提升项目</w:t>
    </w:r>
    <w:r>
      <w:rPr>
        <w:rFonts w:hint="eastAsia" w:ascii="宋体" w:hAnsi="宋体" w:cs="宋体"/>
      </w:rPr>
      <w:tab/>
    </w:r>
    <w:r>
      <w:rPr>
        <w:rFonts w:hint="eastAsia" w:hAnsi="宋体"/>
        <w:bCs/>
      </w:rPr>
      <w:t xml:space="preserve"> </w:t>
    </w:r>
    <w:r>
      <w:rPr>
        <w:rFonts w:hint="eastAsia" w:hAnsi="宋体"/>
        <w:bCs/>
        <w:lang w:val="en-US" w:eastAsia="zh-CN"/>
      </w:rPr>
      <w:t xml:space="preserve">            </w:t>
    </w:r>
    <w:r>
      <w:rPr>
        <w:rFonts w:hint="eastAsia" w:hAnsi="宋体"/>
        <w:b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BC7FA"/>
    <w:multiLevelType w:val="singleLevel"/>
    <w:tmpl w:val="993BC7FA"/>
    <w:lvl w:ilvl="0" w:tentative="0">
      <w:start w:val="3"/>
      <w:numFmt w:val="decimal"/>
      <w:suff w:val="nothing"/>
      <w:lvlText w:val="%1．"/>
      <w:lvlJc w:val="left"/>
    </w:lvl>
  </w:abstractNum>
  <w:abstractNum w:abstractNumId="1">
    <w:nsid w:val="AA22893D"/>
    <w:multiLevelType w:val="singleLevel"/>
    <w:tmpl w:val="AA22893D"/>
    <w:lvl w:ilvl="0" w:tentative="0">
      <w:start w:val="1"/>
      <w:numFmt w:val="decimal"/>
      <w:suff w:val="nothing"/>
      <w:lvlText w:val="%1、"/>
      <w:lvlJc w:val="left"/>
    </w:lvl>
  </w:abstractNum>
  <w:abstractNum w:abstractNumId="2">
    <w:nsid w:val="5354ECB6"/>
    <w:multiLevelType w:val="singleLevel"/>
    <w:tmpl w:val="5354ECB6"/>
    <w:lvl w:ilvl="0" w:tentative="0">
      <w:start w:val="1"/>
      <w:numFmt w:val="decimal"/>
      <w:suff w:val="nothing"/>
      <w:lvlText w:val="%1、"/>
      <w:lvlJc w:val="left"/>
    </w:lvl>
  </w:abstractNum>
  <w:abstractNum w:abstractNumId="3">
    <w:nsid w:val="58491603"/>
    <w:multiLevelType w:val="singleLevel"/>
    <w:tmpl w:val="58491603"/>
    <w:lvl w:ilvl="0" w:tentative="0">
      <w:start w:val="1"/>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abstractNum w:abstractNumId="5">
    <w:nsid w:val="5DAE9BD7"/>
    <w:multiLevelType w:val="singleLevel"/>
    <w:tmpl w:val="5DAE9BD7"/>
    <w:lvl w:ilvl="0" w:tentative="0">
      <w:start w:val="1"/>
      <w:numFmt w:val="chineseCounting"/>
      <w:suff w:val="nothing"/>
      <w:lvlText w:val="%1、"/>
      <w:lvlJc w:val="left"/>
      <w:rPr>
        <w:rFonts w:hint="eastAsia"/>
      </w:rPr>
    </w:lvl>
  </w:abstractNum>
  <w:abstractNum w:abstractNumId="6">
    <w:nsid w:val="7924E581"/>
    <w:multiLevelType w:val="singleLevel"/>
    <w:tmpl w:val="7924E581"/>
    <w:lvl w:ilvl="0" w:tentative="0">
      <w:start w:val="1"/>
      <w:numFmt w:val="decimal"/>
      <w:suff w:val="nothing"/>
      <w:lvlText w:val="（%1）"/>
      <w:lvlJc w:val="left"/>
    </w:lvl>
  </w:abstractNum>
  <w:abstractNum w:abstractNumId="7">
    <w:nsid w:val="7B8DEB03"/>
    <w:multiLevelType w:val="singleLevel"/>
    <w:tmpl w:val="7B8DEB03"/>
    <w:lvl w:ilvl="0" w:tentative="0">
      <w:start w:val="5"/>
      <w:numFmt w:val="chineseCounting"/>
      <w:suff w:val="space"/>
      <w:lvlText w:val="第%1章"/>
      <w:lvlJc w:val="left"/>
      <w:rPr>
        <w:rFonts w:hint="eastAsia"/>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9"/>
    <w:rsid w:val="0000215D"/>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6FF"/>
    <w:rsid w:val="000207FF"/>
    <w:rsid w:val="00021267"/>
    <w:rsid w:val="00023783"/>
    <w:rsid w:val="000239F4"/>
    <w:rsid w:val="000250BB"/>
    <w:rsid w:val="000253E5"/>
    <w:rsid w:val="000255CB"/>
    <w:rsid w:val="000261B6"/>
    <w:rsid w:val="000268D2"/>
    <w:rsid w:val="00027D20"/>
    <w:rsid w:val="00031201"/>
    <w:rsid w:val="00033C66"/>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02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965"/>
    <w:rsid w:val="00111DC3"/>
    <w:rsid w:val="0011389D"/>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A92"/>
    <w:rsid w:val="0014274E"/>
    <w:rsid w:val="00143711"/>
    <w:rsid w:val="00143D6F"/>
    <w:rsid w:val="00144199"/>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39A8"/>
    <w:rsid w:val="00203EBE"/>
    <w:rsid w:val="00203F16"/>
    <w:rsid w:val="00205499"/>
    <w:rsid w:val="002055E6"/>
    <w:rsid w:val="002058B4"/>
    <w:rsid w:val="002064AA"/>
    <w:rsid w:val="002068C4"/>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0F4C"/>
    <w:rsid w:val="002516F8"/>
    <w:rsid w:val="0025250C"/>
    <w:rsid w:val="00252E6B"/>
    <w:rsid w:val="00253665"/>
    <w:rsid w:val="002536FB"/>
    <w:rsid w:val="002543BE"/>
    <w:rsid w:val="002548AF"/>
    <w:rsid w:val="00255263"/>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2CC6"/>
    <w:rsid w:val="002D3494"/>
    <w:rsid w:val="002D4239"/>
    <w:rsid w:val="002D4B56"/>
    <w:rsid w:val="002D5573"/>
    <w:rsid w:val="002D616A"/>
    <w:rsid w:val="002D652C"/>
    <w:rsid w:val="002D6C1C"/>
    <w:rsid w:val="002D7BA7"/>
    <w:rsid w:val="002D7C37"/>
    <w:rsid w:val="002E1205"/>
    <w:rsid w:val="002E4A0F"/>
    <w:rsid w:val="002E4A7A"/>
    <w:rsid w:val="002E61D6"/>
    <w:rsid w:val="002E69CB"/>
    <w:rsid w:val="002E719D"/>
    <w:rsid w:val="002E783B"/>
    <w:rsid w:val="002F0E0D"/>
    <w:rsid w:val="002F0F35"/>
    <w:rsid w:val="002F1355"/>
    <w:rsid w:val="002F149D"/>
    <w:rsid w:val="002F1905"/>
    <w:rsid w:val="002F5377"/>
    <w:rsid w:val="002F694A"/>
    <w:rsid w:val="002F6BC6"/>
    <w:rsid w:val="002F7AE9"/>
    <w:rsid w:val="002F7BD0"/>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9F8"/>
    <w:rsid w:val="00322D6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05A"/>
    <w:rsid w:val="003A5163"/>
    <w:rsid w:val="003A6636"/>
    <w:rsid w:val="003A6FD1"/>
    <w:rsid w:val="003B020A"/>
    <w:rsid w:val="003B1786"/>
    <w:rsid w:val="003B21BF"/>
    <w:rsid w:val="003B435C"/>
    <w:rsid w:val="003B465A"/>
    <w:rsid w:val="003B4721"/>
    <w:rsid w:val="003B5ACB"/>
    <w:rsid w:val="003B65AD"/>
    <w:rsid w:val="003B705B"/>
    <w:rsid w:val="003B7837"/>
    <w:rsid w:val="003C13C5"/>
    <w:rsid w:val="003C199E"/>
    <w:rsid w:val="003C263C"/>
    <w:rsid w:val="003C3899"/>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568F"/>
    <w:rsid w:val="003E66EE"/>
    <w:rsid w:val="003E6DE2"/>
    <w:rsid w:val="003E70C5"/>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7BD5"/>
    <w:rsid w:val="0041008F"/>
    <w:rsid w:val="00410B10"/>
    <w:rsid w:val="0041149B"/>
    <w:rsid w:val="00412E98"/>
    <w:rsid w:val="004148C2"/>
    <w:rsid w:val="00414940"/>
    <w:rsid w:val="00415502"/>
    <w:rsid w:val="00415682"/>
    <w:rsid w:val="00415B59"/>
    <w:rsid w:val="004164DC"/>
    <w:rsid w:val="00416C79"/>
    <w:rsid w:val="00417BC1"/>
    <w:rsid w:val="00417E61"/>
    <w:rsid w:val="00417FD0"/>
    <w:rsid w:val="0042034E"/>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5090B"/>
    <w:rsid w:val="00450A87"/>
    <w:rsid w:val="00450B27"/>
    <w:rsid w:val="00451EB7"/>
    <w:rsid w:val="00452807"/>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A6C84"/>
    <w:rsid w:val="004B0429"/>
    <w:rsid w:val="004B05C4"/>
    <w:rsid w:val="004B1211"/>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2CD3"/>
    <w:rsid w:val="00502F4C"/>
    <w:rsid w:val="00503576"/>
    <w:rsid w:val="00503902"/>
    <w:rsid w:val="00504ADC"/>
    <w:rsid w:val="00504BC3"/>
    <w:rsid w:val="00505650"/>
    <w:rsid w:val="005067FE"/>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E36"/>
    <w:rsid w:val="00576610"/>
    <w:rsid w:val="00577116"/>
    <w:rsid w:val="005776AE"/>
    <w:rsid w:val="0058068B"/>
    <w:rsid w:val="00581BBD"/>
    <w:rsid w:val="0058448D"/>
    <w:rsid w:val="00584A45"/>
    <w:rsid w:val="00584B97"/>
    <w:rsid w:val="0058555B"/>
    <w:rsid w:val="00586AFC"/>
    <w:rsid w:val="00586D61"/>
    <w:rsid w:val="0058757C"/>
    <w:rsid w:val="00587EDD"/>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74C"/>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CA0"/>
    <w:rsid w:val="006164E5"/>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76B6"/>
    <w:rsid w:val="006701AA"/>
    <w:rsid w:val="006706B8"/>
    <w:rsid w:val="00670740"/>
    <w:rsid w:val="00672DB5"/>
    <w:rsid w:val="006743BE"/>
    <w:rsid w:val="006752D4"/>
    <w:rsid w:val="00677E41"/>
    <w:rsid w:val="00681E86"/>
    <w:rsid w:val="0068204C"/>
    <w:rsid w:val="006833B4"/>
    <w:rsid w:val="00683C24"/>
    <w:rsid w:val="00685DB5"/>
    <w:rsid w:val="006861D7"/>
    <w:rsid w:val="006869D1"/>
    <w:rsid w:val="00687A9C"/>
    <w:rsid w:val="00690869"/>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FE8"/>
    <w:rsid w:val="006D4E7D"/>
    <w:rsid w:val="006D7742"/>
    <w:rsid w:val="006E0AAF"/>
    <w:rsid w:val="006E3E48"/>
    <w:rsid w:val="006E4252"/>
    <w:rsid w:val="006E4488"/>
    <w:rsid w:val="006E5974"/>
    <w:rsid w:val="006E622A"/>
    <w:rsid w:val="006E6C07"/>
    <w:rsid w:val="006E70B2"/>
    <w:rsid w:val="006F03A6"/>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72B"/>
    <w:rsid w:val="00773475"/>
    <w:rsid w:val="00774490"/>
    <w:rsid w:val="00776725"/>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8E7"/>
    <w:rsid w:val="00790A70"/>
    <w:rsid w:val="00791709"/>
    <w:rsid w:val="00792B25"/>
    <w:rsid w:val="00793829"/>
    <w:rsid w:val="0079405C"/>
    <w:rsid w:val="00796496"/>
    <w:rsid w:val="00796B92"/>
    <w:rsid w:val="007A0361"/>
    <w:rsid w:val="007A0EF1"/>
    <w:rsid w:val="007A32D3"/>
    <w:rsid w:val="007A43F4"/>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C5E"/>
    <w:rsid w:val="007D46B4"/>
    <w:rsid w:val="007D4BC5"/>
    <w:rsid w:val="007D4E85"/>
    <w:rsid w:val="007D673A"/>
    <w:rsid w:val="007D75D2"/>
    <w:rsid w:val="007D7BF4"/>
    <w:rsid w:val="007E1A07"/>
    <w:rsid w:val="007E1C3B"/>
    <w:rsid w:val="007E32DE"/>
    <w:rsid w:val="007E3AD5"/>
    <w:rsid w:val="007E4A67"/>
    <w:rsid w:val="007E543B"/>
    <w:rsid w:val="007E60DE"/>
    <w:rsid w:val="007E6C3F"/>
    <w:rsid w:val="007F073F"/>
    <w:rsid w:val="007F2E3C"/>
    <w:rsid w:val="007F3EEE"/>
    <w:rsid w:val="007F3F52"/>
    <w:rsid w:val="007F524C"/>
    <w:rsid w:val="007F57CC"/>
    <w:rsid w:val="007F6B6F"/>
    <w:rsid w:val="007F6C36"/>
    <w:rsid w:val="007F798B"/>
    <w:rsid w:val="007F7BFA"/>
    <w:rsid w:val="00802206"/>
    <w:rsid w:val="00802AEF"/>
    <w:rsid w:val="00802F3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9FA"/>
    <w:rsid w:val="00831AE2"/>
    <w:rsid w:val="008328DC"/>
    <w:rsid w:val="00832CA2"/>
    <w:rsid w:val="008333CF"/>
    <w:rsid w:val="0083351B"/>
    <w:rsid w:val="00834AF1"/>
    <w:rsid w:val="00835455"/>
    <w:rsid w:val="0083686F"/>
    <w:rsid w:val="008375E0"/>
    <w:rsid w:val="00840A3F"/>
    <w:rsid w:val="00840D35"/>
    <w:rsid w:val="00840D7D"/>
    <w:rsid w:val="00840F5A"/>
    <w:rsid w:val="00841A0D"/>
    <w:rsid w:val="00841BB0"/>
    <w:rsid w:val="0084405E"/>
    <w:rsid w:val="0084520D"/>
    <w:rsid w:val="008459DB"/>
    <w:rsid w:val="0084704A"/>
    <w:rsid w:val="0084715E"/>
    <w:rsid w:val="0084746F"/>
    <w:rsid w:val="00847976"/>
    <w:rsid w:val="00850485"/>
    <w:rsid w:val="00851433"/>
    <w:rsid w:val="00851625"/>
    <w:rsid w:val="0085208F"/>
    <w:rsid w:val="008526CA"/>
    <w:rsid w:val="008535FC"/>
    <w:rsid w:val="0085438A"/>
    <w:rsid w:val="00856863"/>
    <w:rsid w:val="00857683"/>
    <w:rsid w:val="00857C2A"/>
    <w:rsid w:val="00860CC0"/>
    <w:rsid w:val="00860DEA"/>
    <w:rsid w:val="00862977"/>
    <w:rsid w:val="00863FF0"/>
    <w:rsid w:val="00864505"/>
    <w:rsid w:val="00866569"/>
    <w:rsid w:val="00866628"/>
    <w:rsid w:val="008677FA"/>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87E21"/>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5055"/>
    <w:rsid w:val="00905D2A"/>
    <w:rsid w:val="00906A2A"/>
    <w:rsid w:val="00907097"/>
    <w:rsid w:val="0091056D"/>
    <w:rsid w:val="00910A7E"/>
    <w:rsid w:val="0091134E"/>
    <w:rsid w:val="009117EA"/>
    <w:rsid w:val="00912F26"/>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C9E"/>
    <w:rsid w:val="00932EDE"/>
    <w:rsid w:val="00933C86"/>
    <w:rsid w:val="00933D37"/>
    <w:rsid w:val="00933F77"/>
    <w:rsid w:val="0093469D"/>
    <w:rsid w:val="00935035"/>
    <w:rsid w:val="00936700"/>
    <w:rsid w:val="0093675E"/>
    <w:rsid w:val="00937530"/>
    <w:rsid w:val="009375D9"/>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1BD1"/>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0D1"/>
    <w:rsid w:val="00AB142D"/>
    <w:rsid w:val="00AB2B9F"/>
    <w:rsid w:val="00AB472A"/>
    <w:rsid w:val="00AB4AD6"/>
    <w:rsid w:val="00AB4F07"/>
    <w:rsid w:val="00AB4F49"/>
    <w:rsid w:val="00AB7187"/>
    <w:rsid w:val="00AB73A2"/>
    <w:rsid w:val="00AC0442"/>
    <w:rsid w:val="00AC07C9"/>
    <w:rsid w:val="00AC33A8"/>
    <w:rsid w:val="00AC360D"/>
    <w:rsid w:val="00AC4780"/>
    <w:rsid w:val="00AC5948"/>
    <w:rsid w:val="00AC6EBD"/>
    <w:rsid w:val="00AC6EFF"/>
    <w:rsid w:val="00AC743C"/>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A28"/>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5E39"/>
    <w:rsid w:val="00B872FA"/>
    <w:rsid w:val="00B8752E"/>
    <w:rsid w:val="00B87829"/>
    <w:rsid w:val="00B87A96"/>
    <w:rsid w:val="00B87AE6"/>
    <w:rsid w:val="00B910F2"/>
    <w:rsid w:val="00B932B0"/>
    <w:rsid w:val="00B944C5"/>
    <w:rsid w:val="00B94E20"/>
    <w:rsid w:val="00B94ECD"/>
    <w:rsid w:val="00B9511E"/>
    <w:rsid w:val="00B965A0"/>
    <w:rsid w:val="00B973E6"/>
    <w:rsid w:val="00BA0C34"/>
    <w:rsid w:val="00BA1767"/>
    <w:rsid w:val="00BA1E41"/>
    <w:rsid w:val="00BA2167"/>
    <w:rsid w:val="00BA236C"/>
    <w:rsid w:val="00BA2962"/>
    <w:rsid w:val="00BA38F0"/>
    <w:rsid w:val="00BA3FA5"/>
    <w:rsid w:val="00BA5CB6"/>
    <w:rsid w:val="00BA6C3D"/>
    <w:rsid w:val="00BA77A3"/>
    <w:rsid w:val="00BB03A6"/>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B26"/>
    <w:rsid w:val="00BD6F36"/>
    <w:rsid w:val="00BD6F65"/>
    <w:rsid w:val="00BE0068"/>
    <w:rsid w:val="00BE101D"/>
    <w:rsid w:val="00BE207D"/>
    <w:rsid w:val="00BE2A79"/>
    <w:rsid w:val="00BE2C12"/>
    <w:rsid w:val="00BE2F33"/>
    <w:rsid w:val="00BE36F0"/>
    <w:rsid w:val="00BE4F35"/>
    <w:rsid w:val="00BE7D14"/>
    <w:rsid w:val="00BF0323"/>
    <w:rsid w:val="00BF070D"/>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53F4"/>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5173F"/>
    <w:rsid w:val="00C54244"/>
    <w:rsid w:val="00C5429E"/>
    <w:rsid w:val="00C60502"/>
    <w:rsid w:val="00C61032"/>
    <w:rsid w:val="00C613E1"/>
    <w:rsid w:val="00C6169C"/>
    <w:rsid w:val="00C6303F"/>
    <w:rsid w:val="00C6357D"/>
    <w:rsid w:val="00C635B3"/>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6D5"/>
    <w:rsid w:val="00CC5CFF"/>
    <w:rsid w:val="00CC63A1"/>
    <w:rsid w:val="00CD045D"/>
    <w:rsid w:val="00CD09A6"/>
    <w:rsid w:val="00CD09F1"/>
    <w:rsid w:val="00CD0AA7"/>
    <w:rsid w:val="00CD200E"/>
    <w:rsid w:val="00CD3152"/>
    <w:rsid w:val="00CD3516"/>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BC2"/>
    <w:rsid w:val="00D1336A"/>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5A8B"/>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53EB"/>
    <w:rsid w:val="00D45697"/>
    <w:rsid w:val="00D46CE2"/>
    <w:rsid w:val="00D473B4"/>
    <w:rsid w:val="00D526D1"/>
    <w:rsid w:val="00D52A19"/>
    <w:rsid w:val="00D52AE0"/>
    <w:rsid w:val="00D537D1"/>
    <w:rsid w:val="00D53EE0"/>
    <w:rsid w:val="00D54106"/>
    <w:rsid w:val="00D550F5"/>
    <w:rsid w:val="00D55360"/>
    <w:rsid w:val="00D55628"/>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3C33"/>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6199"/>
    <w:rsid w:val="00DE6F1C"/>
    <w:rsid w:val="00DE7148"/>
    <w:rsid w:val="00DE7208"/>
    <w:rsid w:val="00DF04E9"/>
    <w:rsid w:val="00DF0EBC"/>
    <w:rsid w:val="00DF13C6"/>
    <w:rsid w:val="00DF14FE"/>
    <w:rsid w:val="00DF1639"/>
    <w:rsid w:val="00DF2F1E"/>
    <w:rsid w:val="00DF3E1D"/>
    <w:rsid w:val="00DF6A04"/>
    <w:rsid w:val="00DF6BD3"/>
    <w:rsid w:val="00DF79F6"/>
    <w:rsid w:val="00E00FF0"/>
    <w:rsid w:val="00E01722"/>
    <w:rsid w:val="00E01FE1"/>
    <w:rsid w:val="00E02321"/>
    <w:rsid w:val="00E02600"/>
    <w:rsid w:val="00E031F9"/>
    <w:rsid w:val="00E03254"/>
    <w:rsid w:val="00E03F87"/>
    <w:rsid w:val="00E0548E"/>
    <w:rsid w:val="00E0632D"/>
    <w:rsid w:val="00E06652"/>
    <w:rsid w:val="00E06702"/>
    <w:rsid w:val="00E072AE"/>
    <w:rsid w:val="00E10019"/>
    <w:rsid w:val="00E105C7"/>
    <w:rsid w:val="00E10C40"/>
    <w:rsid w:val="00E121F2"/>
    <w:rsid w:val="00E13520"/>
    <w:rsid w:val="00E13975"/>
    <w:rsid w:val="00E1437D"/>
    <w:rsid w:val="00E145D2"/>
    <w:rsid w:val="00E156D4"/>
    <w:rsid w:val="00E15BB2"/>
    <w:rsid w:val="00E164CC"/>
    <w:rsid w:val="00E176C5"/>
    <w:rsid w:val="00E21948"/>
    <w:rsid w:val="00E21C93"/>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2BC"/>
    <w:rsid w:val="00F13BC0"/>
    <w:rsid w:val="00F150D4"/>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24B4"/>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B81"/>
    <w:rsid w:val="00FD7B98"/>
    <w:rsid w:val="00FE0AC9"/>
    <w:rsid w:val="00FE29AA"/>
    <w:rsid w:val="00FE3415"/>
    <w:rsid w:val="00FE37D3"/>
    <w:rsid w:val="00FE5197"/>
    <w:rsid w:val="00FE59C7"/>
    <w:rsid w:val="00FE6093"/>
    <w:rsid w:val="00FE6D1B"/>
    <w:rsid w:val="00FE78C6"/>
    <w:rsid w:val="00FE79AA"/>
    <w:rsid w:val="00FE7DEF"/>
    <w:rsid w:val="00FF0C23"/>
    <w:rsid w:val="00FF127B"/>
    <w:rsid w:val="00FF3C8F"/>
    <w:rsid w:val="00FF3D37"/>
    <w:rsid w:val="00FF3E62"/>
    <w:rsid w:val="00FF4F84"/>
    <w:rsid w:val="00FF535D"/>
    <w:rsid w:val="00FF58AC"/>
    <w:rsid w:val="00FF5C98"/>
    <w:rsid w:val="00FF6381"/>
    <w:rsid w:val="00FF679D"/>
    <w:rsid w:val="00FF6DB2"/>
    <w:rsid w:val="00FF7E2F"/>
    <w:rsid w:val="01382DB4"/>
    <w:rsid w:val="013C5C8D"/>
    <w:rsid w:val="01457F6F"/>
    <w:rsid w:val="01747D1E"/>
    <w:rsid w:val="01985796"/>
    <w:rsid w:val="01BA688A"/>
    <w:rsid w:val="01C43576"/>
    <w:rsid w:val="01C47CF3"/>
    <w:rsid w:val="01CF1907"/>
    <w:rsid w:val="01E4051A"/>
    <w:rsid w:val="01F178BE"/>
    <w:rsid w:val="023006A7"/>
    <w:rsid w:val="0252665D"/>
    <w:rsid w:val="025F19CF"/>
    <w:rsid w:val="028A13E5"/>
    <w:rsid w:val="02FF7A7B"/>
    <w:rsid w:val="03122A82"/>
    <w:rsid w:val="035203D6"/>
    <w:rsid w:val="03610DE0"/>
    <w:rsid w:val="0361681B"/>
    <w:rsid w:val="03B31C96"/>
    <w:rsid w:val="03CF5C98"/>
    <w:rsid w:val="03ED1CC0"/>
    <w:rsid w:val="03EE1902"/>
    <w:rsid w:val="04057985"/>
    <w:rsid w:val="04253FDA"/>
    <w:rsid w:val="0427696D"/>
    <w:rsid w:val="045C66B2"/>
    <w:rsid w:val="04641540"/>
    <w:rsid w:val="048A515F"/>
    <w:rsid w:val="0491498E"/>
    <w:rsid w:val="04A41675"/>
    <w:rsid w:val="04C837E3"/>
    <w:rsid w:val="04D253F8"/>
    <w:rsid w:val="05084354"/>
    <w:rsid w:val="0525422D"/>
    <w:rsid w:val="056B1564"/>
    <w:rsid w:val="057E51D7"/>
    <w:rsid w:val="058B77B2"/>
    <w:rsid w:val="05A671DA"/>
    <w:rsid w:val="05B9261D"/>
    <w:rsid w:val="0623601E"/>
    <w:rsid w:val="06597543"/>
    <w:rsid w:val="06945BC3"/>
    <w:rsid w:val="06C550DB"/>
    <w:rsid w:val="06D0743C"/>
    <w:rsid w:val="075E2523"/>
    <w:rsid w:val="076E6B10"/>
    <w:rsid w:val="07944BFB"/>
    <w:rsid w:val="07A36A9F"/>
    <w:rsid w:val="07D26F91"/>
    <w:rsid w:val="07E44F59"/>
    <w:rsid w:val="08377730"/>
    <w:rsid w:val="086C26E0"/>
    <w:rsid w:val="0872537C"/>
    <w:rsid w:val="08822685"/>
    <w:rsid w:val="088C0A16"/>
    <w:rsid w:val="089C2DE1"/>
    <w:rsid w:val="08C52D6F"/>
    <w:rsid w:val="0929584C"/>
    <w:rsid w:val="092E340E"/>
    <w:rsid w:val="093431FC"/>
    <w:rsid w:val="0966617B"/>
    <w:rsid w:val="09DD2B7E"/>
    <w:rsid w:val="09DE12BD"/>
    <w:rsid w:val="09DF5A3E"/>
    <w:rsid w:val="09EB1B94"/>
    <w:rsid w:val="0A081B61"/>
    <w:rsid w:val="0A303D95"/>
    <w:rsid w:val="0A4038E0"/>
    <w:rsid w:val="0A80495D"/>
    <w:rsid w:val="0A8623B3"/>
    <w:rsid w:val="0A9860DD"/>
    <w:rsid w:val="0AC966B5"/>
    <w:rsid w:val="0ADB1F72"/>
    <w:rsid w:val="0B243B52"/>
    <w:rsid w:val="0B3C79BD"/>
    <w:rsid w:val="0B591E2E"/>
    <w:rsid w:val="0B5B2F34"/>
    <w:rsid w:val="0B6049A4"/>
    <w:rsid w:val="0B6C3CB0"/>
    <w:rsid w:val="0B6E4223"/>
    <w:rsid w:val="0B790F07"/>
    <w:rsid w:val="0B982B1A"/>
    <w:rsid w:val="0B99344C"/>
    <w:rsid w:val="0BCD1763"/>
    <w:rsid w:val="0C1D75EE"/>
    <w:rsid w:val="0C5F0057"/>
    <w:rsid w:val="0C691C6B"/>
    <w:rsid w:val="0C890D10"/>
    <w:rsid w:val="0CB50A66"/>
    <w:rsid w:val="0CC06DF7"/>
    <w:rsid w:val="0D783ECE"/>
    <w:rsid w:val="0D897787"/>
    <w:rsid w:val="0DAF4501"/>
    <w:rsid w:val="0DBF0356"/>
    <w:rsid w:val="0DEF62B6"/>
    <w:rsid w:val="0E3C75E8"/>
    <w:rsid w:val="0E5C591E"/>
    <w:rsid w:val="0E617934"/>
    <w:rsid w:val="0E8343A6"/>
    <w:rsid w:val="0E8419FF"/>
    <w:rsid w:val="0EEA0A05"/>
    <w:rsid w:val="0EEE65D1"/>
    <w:rsid w:val="0F006FBA"/>
    <w:rsid w:val="0F0273A3"/>
    <w:rsid w:val="0F4E27DE"/>
    <w:rsid w:val="0F6D2474"/>
    <w:rsid w:val="0F6D575B"/>
    <w:rsid w:val="0F8B645F"/>
    <w:rsid w:val="0F971E23"/>
    <w:rsid w:val="0FAB02B9"/>
    <w:rsid w:val="0FE02217"/>
    <w:rsid w:val="0FEE0B42"/>
    <w:rsid w:val="103A162C"/>
    <w:rsid w:val="107431BA"/>
    <w:rsid w:val="109B03CC"/>
    <w:rsid w:val="109E452C"/>
    <w:rsid w:val="10A4174E"/>
    <w:rsid w:val="10F94EC2"/>
    <w:rsid w:val="11044434"/>
    <w:rsid w:val="11127111"/>
    <w:rsid w:val="113A4600"/>
    <w:rsid w:val="113D42B9"/>
    <w:rsid w:val="11494DD3"/>
    <w:rsid w:val="11515D18"/>
    <w:rsid w:val="11645423"/>
    <w:rsid w:val="11783E6A"/>
    <w:rsid w:val="118B5AD6"/>
    <w:rsid w:val="11942369"/>
    <w:rsid w:val="11A16C37"/>
    <w:rsid w:val="12912E05"/>
    <w:rsid w:val="12A44024"/>
    <w:rsid w:val="12A97B84"/>
    <w:rsid w:val="12F46208"/>
    <w:rsid w:val="132802B6"/>
    <w:rsid w:val="13327318"/>
    <w:rsid w:val="13327FF2"/>
    <w:rsid w:val="13451321"/>
    <w:rsid w:val="134770B1"/>
    <w:rsid w:val="13887B1A"/>
    <w:rsid w:val="13AA413F"/>
    <w:rsid w:val="13B833D2"/>
    <w:rsid w:val="13C635ED"/>
    <w:rsid w:val="13D778B6"/>
    <w:rsid w:val="13D84FB6"/>
    <w:rsid w:val="14071D12"/>
    <w:rsid w:val="140B4870"/>
    <w:rsid w:val="14162C01"/>
    <w:rsid w:val="143015E2"/>
    <w:rsid w:val="14565413"/>
    <w:rsid w:val="14D56784"/>
    <w:rsid w:val="14E4621D"/>
    <w:rsid w:val="1508348E"/>
    <w:rsid w:val="150E2655"/>
    <w:rsid w:val="15203C88"/>
    <w:rsid w:val="15242DBE"/>
    <w:rsid w:val="1526273B"/>
    <w:rsid w:val="15317A6C"/>
    <w:rsid w:val="154842EA"/>
    <w:rsid w:val="157977D3"/>
    <w:rsid w:val="15B21729"/>
    <w:rsid w:val="15EB4E7C"/>
    <w:rsid w:val="15F92FD8"/>
    <w:rsid w:val="1620557D"/>
    <w:rsid w:val="164040B0"/>
    <w:rsid w:val="16574C71"/>
    <w:rsid w:val="167071E4"/>
    <w:rsid w:val="16733962"/>
    <w:rsid w:val="16757268"/>
    <w:rsid w:val="16AC5172"/>
    <w:rsid w:val="16E722FC"/>
    <w:rsid w:val="16FF19EA"/>
    <w:rsid w:val="172179B8"/>
    <w:rsid w:val="17562E91"/>
    <w:rsid w:val="17850FB1"/>
    <w:rsid w:val="17DC4231"/>
    <w:rsid w:val="180E3DC2"/>
    <w:rsid w:val="182944A3"/>
    <w:rsid w:val="184D2564"/>
    <w:rsid w:val="1852743B"/>
    <w:rsid w:val="188B43D5"/>
    <w:rsid w:val="18CF639B"/>
    <w:rsid w:val="19024013"/>
    <w:rsid w:val="19414DFD"/>
    <w:rsid w:val="19420680"/>
    <w:rsid w:val="194C318E"/>
    <w:rsid w:val="19AF5431"/>
    <w:rsid w:val="19CF3767"/>
    <w:rsid w:val="19D528C7"/>
    <w:rsid w:val="19E96131"/>
    <w:rsid w:val="1A1041D0"/>
    <w:rsid w:val="1A247A97"/>
    <w:rsid w:val="1A3A7593"/>
    <w:rsid w:val="1A5535C1"/>
    <w:rsid w:val="1A7C1301"/>
    <w:rsid w:val="1A9C7638"/>
    <w:rsid w:val="1AA530AD"/>
    <w:rsid w:val="1AFB58F2"/>
    <w:rsid w:val="1B136BC1"/>
    <w:rsid w:val="1B2E3201"/>
    <w:rsid w:val="1B376301"/>
    <w:rsid w:val="1B380F38"/>
    <w:rsid w:val="1B415452"/>
    <w:rsid w:val="1B6B6A0B"/>
    <w:rsid w:val="1B873DD2"/>
    <w:rsid w:val="1BA357EC"/>
    <w:rsid w:val="1C154F6E"/>
    <w:rsid w:val="1C197E29"/>
    <w:rsid w:val="1C4A49B2"/>
    <w:rsid w:val="1C4C1EC5"/>
    <w:rsid w:val="1C4F6C7E"/>
    <w:rsid w:val="1C625C9F"/>
    <w:rsid w:val="1C912F6B"/>
    <w:rsid w:val="1CD30C0D"/>
    <w:rsid w:val="1D03247A"/>
    <w:rsid w:val="1D047EAE"/>
    <w:rsid w:val="1D6E70D6"/>
    <w:rsid w:val="1D7A568E"/>
    <w:rsid w:val="1DB530CD"/>
    <w:rsid w:val="1DB54DF1"/>
    <w:rsid w:val="1DC23799"/>
    <w:rsid w:val="1E0B1FC4"/>
    <w:rsid w:val="1E2101FE"/>
    <w:rsid w:val="1E3B28B6"/>
    <w:rsid w:val="1E5E66D2"/>
    <w:rsid w:val="1EA416D1"/>
    <w:rsid w:val="1EA4585B"/>
    <w:rsid w:val="1EE61241"/>
    <w:rsid w:val="1F010A0B"/>
    <w:rsid w:val="1F06691B"/>
    <w:rsid w:val="1F1C0F96"/>
    <w:rsid w:val="1F1F7A4B"/>
    <w:rsid w:val="1F271CAA"/>
    <w:rsid w:val="1F3C63CC"/>
    <w:rsid w:val="1F8A0ACB"/>
    <w:rsid w:val="1FCD7EB9"/>
    <w:rsid w:val="200A5B20"/>
    <w:rsid w:val="20163B31"/>
    <w:rsid w:val="20201EC2"/>
    <w:rsid w:val="20220951"/>
    <w:rsid w:val="204C14F0"/>
    <w:rsid w:val="20585C30"/>
    <w:rsid w:val="207A3E5E"/>
    <w:rsid w:val="20D17AAC"/>
    <w:rsid w:val="20E91E42"/>
    <w:rsid w:val="20EF3C66"/>
    <w:rsid w:val="21C76D7B"/>
    <w:rsid w:val="21E736FC"/>
    <w:rsid w:val="22156984"/>
    <w:rsid w:val="221E3F06"/>
    <w:rsid w:val="223D7544"/>
    <w:rsid w:val="22587EB6"/>
    <w:rsid w:val="22645564"/>
    <w:rsid w:val="227420D1"/>
    <w:rsid w:val="227A7704"/>
    <w:rsid w:val="229628CB"/>
    <w:rsid w:val="22CC223E"/>
    <w:rsid w:val="22D20532"/>
    <w:rsid w:val="22D66F38"/>
    <w:rsid w:val="22DC346F"/>
    <w:rsid w:val="2301535A"/>
    <w:rsid w:val="2364201F"/>
    <w:rsid w:val="23A52A88"/>
    <w:rsid w:val="23B0469D"/>
    <w:rsid w:val="23C1773C"/>
    <w:rsid w:val="23F75EBD"/>
    <w:rsid w:val="24470995"/>
    <w:rsid w:val="24482291"/>
    <w:rsid w:val="24674FCB"/>
    <w:rsid w:val="252A6FED"/>
    <w:rsid w:val="253F1428"/>
    <w:rsid w:val="2562407F"/>
    <w:rsid w:val="258E0735"/>
    <w:rsid w:val="25AB737D"/>
    <w:rsid w:val="260F5480"/>
    <w:rsid w:val="265C76C2"/>
    <w:rsid w:val="269D1C78"/>
    <w:rsid w:val="26A06F6E"/>
    <w:rsid w:val="26A27E79"/>
    <w:rsid w:val="26B639D7"/>
    <w:rsid w:val="26DE0FD1"/>
    <w:rsid w:val="26E31B2E"/>
    <w:rsid w:val="26EE1790"/>
    <w:rsid w:val="271F064B"/>
    <w:rsid w:val="2781405D"/>
    <w:rsid w:val="280B3FC1"/>
    <w:rsid w:val="285E3505"/>
    <w:rsid w:val="286233FC"/>
    <w:rsid w:val="287149A1"/>
    <w:rsid w:val="28AF344A"/>
    <w:rsid w:val="28B14910"/>
    <w:rsid w:val="28DC6898"/>
    <w:rsid w:val="290568FB"/>
    <w:rsid w:val="29854031"/>
    <w:rsid w:val="29880BEA"/>
    <w:rsid w:val="29980F12"/>
    <w:rsid w:val="29EF4A01"/>
    <w:rsid w:val="2A1A4572"/>
    <w:rsid w:val="2A230DAE"/>
    <w:rsid w:val="2A3B04C1"/>
    <w:rsid w:val="2A3D54A2"/>
    <w:rsid w:val="2A423861"/>
    <w:rsid w:val="2AB22C1B"/>
    <w:rsid w:val="2AEA3A1A"/>
    <w:rsid w:val="2B267866"/>
    <w:rsid w:val="2B320F6B"/>
    <w:rsid w:val="2B3C72FC"/>
    <w:rsid w:val="2BCF5E1C"/>
    <w:rsid w:val="2C020C0D"/>
    <w:rsid w:val="2C25678C"/>
    <w:rsid w:val="2CD537FC"/>
    <w:rsid w:val="2CEF21C5"/>
    <w:rsid w:val="2D1A6673"/>
    <w:rsid w:val="2D334E73"/>
    <w:rsid w:val="2D452F54"/>
    <w:rsid w:val="2D5A676F"/>
    <w:rsid w:val="2D62114D"/>
    <w:rsid w:val="2DBD6096"/>
    <w:rsid w:val="2DC77CAA"/>
    <w:rsid w:val="2DE662A3"/>
    <w:rsid w:val="2E7108A1"/>
    <w:rsid w:val="2ECC1AD7"/>
    <w:rsid w:val="2ED72669"/>
    <w:rsid w:val="2F0D2540"/>
    <w:rsid w:val="2F386C07"/>
    <w:rsid w:val="2F7552B2"/>
    <w:rsid w:val="2F7E21F2"/>
    <w:rsid w:val="2F9D7121"/>
    <w:rsid w:val="2FA7791A"/>
    <w:rsid w:val="2FD62A87"/>
    <w:rsid w:val="2FFC10A4"/>
    <w:rsid w:val="303704EF"/>
    <w:rsid w:val="305D6C29"/>
    <w:rsid w:val="307D149D"/>
    <w:rsid w:val="30B7244A"/>
    <w:rsid w:val="30C10EB6"/>
    <w:rsid w:val="30C44089"/>
    <w:rsid w:val="30D7336F"/>
    <w:rsid w:val="30E531BD"/>
    <w:rsid w:val="30EB624E"/>
    <w:rsid w:val="311D09DC"/>
    <w:rsid w:val="3123307F"/>
    <w:rsid w:val="312F5E08"/>
    <w:rsid w:val="3157337F"/>
    <w:rsid w:val="318206BD"/>
    <w:rsid w:val="318254C8"/>
    <w:rsid w:val="319A5D04"/>
    <w:rsid w:val="31A17BC3"/>
    <w:rsid w:val="31F9640B"/>
    <w:rsid w:val="3204001F"/>
    <w:rsid w:val="32242AD2"/>
    <w:rsid w:val="322A3DF1"/>
    <w:rsid w:val="328234D4"/>
    <w:rsid w:val="328E1B6C"/>
    <w:rsid w:val="32C91C94"/>
    <w:rsid w:val="32F93DAF"/>
    <w:rsid w:val="330672EA"/>
    <w:rsid w:val="33391532"/>
    <w:rsid w:val="333F0CA1"/>
    <w:rsid w:val="33C92B36"/>
    <w:rsid w:val="33CE41B8"/>
    <w:rsid w:val="33D72119"/>
    <w:rsid w:val="33DC6658"/>
    <w:rsid w:val="33EE0F32"/>
    <w:rsid w:val="33F73CD2"/>
    <w:rsid w:val="340016F7"/>
    <w:rsid w:val="34270272"/>
    <w:rsid w:val="343B5701"/>
    <w:rsid w:val="344779A5"/>
    <w:rsid w:val="34581401"/>
    <w:rsid w:val="34933B51"/>
    <w:rsid w:val="34A90CC0"/>
    <w:rsid w:val="34F27A73"/>
    <w:rsid w:val="35216666"/>
    <w:rsid w:val="352A12DB"/>
    <w:rsid w:val="353F7ACA"/>
    <w:rsid w:val="354069E9"/>
    <w:rsid w:val="35853545"/>
    <w:rsid w:val="358E1AEB"/>
    <w:rsid w:val="35B80C45"/>
    <w:rsid w:val="35C032BE"/>
    <w:rsid w:val="35D579E0"/>
    <w:rsid w:val="35FD4E0B"/>
    <w:rsid w:val="35FF332A"/>
    <w:rsid w:val="3635305F"/>
    <w:rsid w:val="366D46DB"/>
    <w:rsid w:val="36820DFD"/>
    <w:rsid w:val="368D718F"/>
    <w:rsid w:val="36A1505D"/>
    <w:rsid w:val="36DB4D0F"/>
    <w:rsid w:val="36E92EE0"/>
    <w:rsid w:val="371812F1"/>
    <w:rsid w:val="37406AD6"/>
    <w:rsid w:val="374166E4"/>
    <w:rsid w:val="375201D1"/>
    <w:rsid w:val="378E453E"/>
    <w:rsid w:val="37910FBB"/>
    <w:rsid w:val="37BD5302"/>
    <w:rsid w:val="37D2073D"/>
    <w:rsid w:val="3801031D"/>
    <w:rsid w:val="3810198E"/>
    <w:rsid w:val="384A2968"/>
    <w:rsid w:val="385641FC"/>
    <w:rsid w:val="386B671F"/>
    <w:rsid w:val="387656B9"/>
    <w:rsid w:val="38EE3475"/>
    <w:rsid w:val="390A7481"/>
    <w:rsid w:val="393941D4"/>
    <w:rsid w:val="393F0C84"/>
    <w:rsid w:val="39A37A41"/>
    <w:rsid w:val="39B3294F"/>
    <w:rsid w:val="39BB7346"/>
    <w:rsid w:val="39D20B92"/>
    <w:rsid w:val="39EB029D"/>
    <w:rsid w:val="39FC7DAF"/>
    <w:rsid w:val="39FD3633"/>
    <w:rsid w:val="3A0B4374"/>
    <w:rsid w:val="3A29797A"/>
    <w:rsid w:val="3A3C2693"/>
    <w:rsid w:val="3A4B50C2"/>
    <w:rsid w:val="3A73272E"/>
    <w:rsid w:val="3A7D508C"/>
    <w:rsid w:val="3AA34EA9"/>
    <w:rsid w:val="3ACB7183"/>
    <w:rsid w:val="3AEE2E06"/>
    <w:rsid w:val="3B191137"/>
    <w:rsid w:val="3B3E09F3"/>
    <w:rsid w:val="3B6405FB"/>
    <w:rsid w:val="3BF179ED"/>
    <w:rsid w:val="3C1C362D"/>
    <w:rsid w:val="3C26613B"/>
    <w:rsid w:val="3C94676F"/>
    <w:rsid w:val="3CA96714"/>
    <w:rsid w:val="3CC66044"/>
    <w:rsid w:val="3CE974FE"/>
    <w:rsid w:val="3D264530"/>
    <w:rsid w:val="3D393E77"/>
    <w:rsid w:val="3D493E51"/>
    <w:rsid w:val="3D61263F"/>
    <w:rsid w:val="3D660DA1"/>
    <w:rsid w:val="3D8C258A"/>
    <w:rsid w:val="3DEC58B0"/>
    <w:rsid w:val="3DFA2BBE"/>
    <w:rsid w:val="3DFE50A4"/>
    <w:rsid w:val="3E017E1B"/>
    <w:rsid w:val="3E0854F4"/>
    <w:rsid w:val="3E0F3A5D"/>
    <w:rsid w:val="3E6266AD"/>
    <w:rsid w:val="3EF43B41"/>
    <w:rsid w:val="3F0874F8"/>
    <w:rsid w:val="3F39320C"/>
    <w:rsid w:val="3F602397"/>
    <w:rsid w:val="3F69137B"/>
    <w:rsid w:val="3F6F5F91"/>
    <w:rsid w:val="3F814CD4"/>
    <w:rsid w:val="3FA12730"/>
    <w:rsid w:val="3FDE08F5"/>
    <w:rsid w:val="401776B5"/>
    <w:rsid w:val="40A57735"/>
    <w:rsid w:val="40C50AD3"/>
    <w:rsid w:val="40E65833"/>
    <w:rsid w:val="414B09AC"/>
    <w:rsid w:val="416D6F77"/>
    <w:rsid w:val="418A654E"/>
    <w:rsid w:val="41947EA6"/>
    <w:rsid w:val="41D47F93"/>
    <w:rsid w:val="41EA105E"/>
    <w:rsid w:val="41F533C3"/>
    <w:rsid w:val="42004FD7"/>
    <w:rsid w:val="42014C57"/>
    <w:rsid w:val="4211049B"/>
    <w:rsid w:val="42772D77"/>
    <w:rsid w:val="42C07614"/>
    <w:rsid w:val="42C42797"/>
    <w:rsid w:val="42C8103A"/>
    <w:rsid w:val="42D178AE"/>
    <w:rsid w:val="432418C0"/>
    <w:rsid w:val="4351010D"/>
    <w:rsid w:val="435C3C0F"/>
    <w:rsid w:val="43713BB4"/>
    <w:rsid w:val="438B4FB1"/>
    <w:rsid w:val="43947F98"/>
    <w:rsid w:val="439B601B"/>
    <w:rsid w:val="43A45F3A"/>
    <w:rsid w:val="43A825AA"/>
    <w:rsid w:val="43AA0362"/>
    <w:rsid w:val="43AE11BC"/>
    <w:rsid w:val="442339D8"/>
    <w:rsid w:val="443C0CBE"/>
    <w:rsid w:val="444710C6"/>
    <w:rsid w:val="444D3807"/>
    <w:rsid w:val="44563ED5"/>
    <w:rsid w:val="44605A3B"/>
    <w:rsid w:val="44D25AAC"/>
    <w:rsid w:val="44F92736"/>
    <w:rsid w:val="45030AC7"/>
    <w:rsid w:val="45441531"/>
    <w:rsid w:val="45647867"/>
    <w:rsid w:val="456E61AA"/>
    <w:rsid w:val="45913BAE"/>
    <w:rsid w:val="45BA1CB8"/>
    <w:rsid w:val="45C66607"/>
    <w:rsid w:val="45D55F98"/>
    <w:rsid w:val="46295027"/>
    <w:rsid w:val="4650656B"/>
    <w:rsid w:val="465E3302"/>
    <w:rsid w:val="46816C10"/>
    <w:rsid w:val="46D37A2F"/>
    <w:rsid w:val="47051512"/>
    <w:rsid w:val="47567722"/>
    <w:rsid w:val="477B3E72"/>
    <w:rsid w:val="478E1953"/>
    <w:rsid w:val="47934379"/>
    <w:rsid w:val="47D01EDF"/>
    <w:rsid w:val="47DD782E"/>
    <w:rsid w:val="481822D3"/>
    <w:rsid w:val="48AB2F86"/>
    <w:rsid w:val="48BF3D66"/>
    <w:rsid w:val="48C26EC5"/>
    <w:rsid w:val="49682FC6"/>
    <w:rsid w:val="498C34BA"/>
    <w:rsid w:val="499E6ADA"/>
    <w:rsid w:val="49B8117F"/>
    <w:rsid w:val="4A003787"/>
    <w:rsid w:val="4ABD162D"/>
    <w:rsid w:val="4ACE2F74"/>
    <w:rsid w:val="4AEA39F4"/>
    <w:rsid w:val="4B3F2B00"/>
    <w:rsid w:val="4B8B517E"/>
    <w:rsid w:val="4B9B51B7"/>
    <w:rsid w:val="4BD03E62"/>
    <w:rsid w:val="4BF51EB0"/>
    <w:rsid w:val="4C0C69D1"/>
    <w:rsid w:val="4C4A4923"/>
    <w:rsid w:val="4C537700"/>
    <w:rsid w:val="4C80271E"/>
    <w:rsid w:val="4C8F3727"/>
    <w:rsid w:val="4C910478"/>
    <w:rsid w:val="4CB06962"/>
    <w:rsid w:val="4CD01F92"/>
    <w:rsid w:val="4CF04F62"/>
    <w:rsid w:val="4D490586"/>
    <w:rsid w:val="4D5E2AFB"/>
    <w:rsid w:val="4D7A64BE"/>
    <w:rsid w:val="4D7E0E31"/>
    <w:rsid w:val="4D8347ED"/>
    <w:rsid w:val="4DBD235A"/>
    <w:rsid w:val="4E0C3F18"/>
    <w:rsid w:val="4E6D2CB8"/>
    <w:rsid w:val="4ED97DE9"/>
    <w:rsid w:val="4F404BC5"/>
    <w:rsid w:val="4F45079D"/>
    <w:rsid w:val="4F7C2E75"/>
    <w:rsid w:val="4F851663"/>
    <w:rsid w:val="4FC12EB2"/>
    <w:rsid w:val="5027550C"/>
    <w:rsid w:val="504C4DCB"/>
    <w:rsid w:val="5054095A"/>
    <w:rsid w:val="506E547B"/>
    <w:rsid w:val="507B081A"/>
    <w:rsid w:val="509267FF"/>
    <w:rsid w:val="50A75D18"/>
    <w:rsid w:val="50B47D79"/>
    <w:rsid w:val="50CD3844"/>
    <w:rsid w:val="512A4843"/>
    <w:rsid w:val="512C69AF"/>
    <w:rsid w:val="513A40D0"/>
    <w:rsid w:val="514946EA"/>
    <w:rsid w:val="515A6B83"/>
    <w:rsid w:val="51765EB8"/>
    <w:rsid w:val="517A073C"/>
    <w:rsid w:val="517F6B8D"/>
    <w:rsid w:val="519B2E9C"/>
    <w:rsid w:val="519C2A23"/>
    <w:rsid w:val="51A161BE"/>
    <w:rsid w:val="51C91FF5"/>
    <w:rsid w:val="51D714C7"/>
    <w:rsid w:val="51E00412"/>
    <w:rsid w:val="51F562DF"/>
    <w:rsid w:val="51F81D44"/>
    <w:rsid w:val="520B08F9"/>
    <w:rsid w:val="52121BB5"/>
    <w:rsid w:val="521D0102"/>
    <w:rsid w:val="52493A89"/>
    <w:rsid w:val="52B513BE"/>
    <w:rsid w:val="52EC03EB"/>
    <w:rsid w:val="530B1DCC"/>
    <w:rsid w:val="530C225C"/>
    <w:rsid w:val="531F0928"/>
    <w:rsid w:val="533E08F9"/>
    <w:rsid w:val="5346672E"/>
    <w:rsid w:val="5357444A"/>
    <w:rsid w:val="537D0DF6"/>
    <w:rsid w:val="53820B12"/>
    <w:rsid w:val="53B36B0E"/>
    <w:rsid w:val="53C548B8"/>
    <w:rsid w:val="53F71D25"/>
    <w:rsid w:val="53F96DF7"/>
    <w:rsid w:val="54267F9B"/>
    <w:rsid w:val="54782184"/>
    <w:rsid w:val="54897CCB"/>
    <w:rsid w:val="54E15978"/>
    <w:rsid w:val="5509025D"/>
    <w:rsid w:val="551556A5"/>
    <w:rsid w:val="552170E4"/>
    <w:rsid w:val="55401D6C"/>
    <w:rsid w:val="554558D8"/>
    <w:rsid w:val="55754AD4"/>
    <w:rsid w:val="557708B5"/>
    <w:rsid w:val="558B778B"/>
    <w:rsid w:val="55C43625"/>
    <w:rsid w:val="55DB77D0"/>
    <w:rsid w:val="55ED318A"/>
    <w:rsid w:val="55FA625C"/>
    <w:rsid w:val="563E54BC"/>
    <w:rsid w:val="565328E8"/>
    <w:rsid w:val="565B7F3A"/>
    <w:rsid w:val="566225BF"/>
    <w:rsid w:val="56FC74EB"/>
    <w:rsid w:val="56FD77F1"/>
    <w:rsid w:val="571778FD"/>
    <w:rsid w:val="571E12FD"/>
    <w:rsid w:val="571F24A8"/>
    <w:rsid w:val="573E3DB0"/>
    <w:rsid w:val="578A642E"/>
    <w:rsid w:val="578C1931"/>
    <w:rsid w:val="57A7215B"/>
    <w:rsid w:val="58425BDC"/>
    <w:rsid w:val="58803394"/>
    <w:rsid w:val="588562C6"/>
    <w:rsid w:val="58980F2D"/>
    <w:rsid w:val="58C247C2"/>
    <w:rsid w:val="58D6513A"/>
    <w:rsid w:val="58F54541"/>
    <w:rsid w:val="59522196"/>
    <w:rsid w:val="59632A79"/>
    <w:rsid w:val="597102E2"/>
    <w:rsid w:val="59712290"/>
    <w:rsid w:val="59964337"/>
    <w:rsid w:val="59A92BA5"/>
    <w:rsid w:val="59AA2204"/>
    <w:rsid w:val="59EC260F"/>
    <w:rsid w:val="5A006E37"/>
    <w:rsid w:val="5A102F25"/>
    <w:rsid w:val="5A6C3F68"/>
    <w:rsid w:val="5ABF32C5"/>
    <w:rsid w:val="5AEE3DBE"/>
    <w:rsid w:val="5B0F6FF4"/>
    <w:rsid w:val="5B343F5B"/>
    <w:rsid w:val="5B646B54"/>
    <w:rsid w:val="5B715A14"/>
    <w:rsid w:val="5B7F2E79"/>
    <w:rsid w:val="5B8945B3"/>
    <w:rsid w:val="5B9C20DB"/>
    <w:rsid w:val="5BD347B4"/>
    <w:rsid w:val="5BD42235"/>
    <w:rsid w:val="5BDD2B45"/>
    <w:rsid w:val="5BE701AC"/>
    <w:rsid w:val="5BFA51BE"/>
    <w:rsid w:val="5C3B728F"/>
    <w:rsid w:val="5C493E38"/>
    <w:rsid w:val="5C497C75"/>
    <w:rsid w:val="5CD765E0"/>
    <w:rsid w:val="5D385380"/>
    <w:rsid w:val="5D397EA1"/>
    <w:rsid w:val="5D6F7A58"/>
    <w:rsid w:val="5D715229"/>
    <w:rsid w:val="5D7C7487"/>
    <w:rsid w:val="5DA80EB7"/>
    <w:rsid w:val="5DD067F8"/>
    <w:rsid w:val="5E12784F"/>
    <w:rsid w:val="5E26061F"/>
    <w:rsid w:val="5E564103"/>
    <w:rsid w:val="5E5C43AA"/>
    <w:rsid w:val="5E613DD4"/>
    <w:rsid w:val="5E7864A5"/>
    <w:rsid w:val="5E8800C5"/>
    <w:rsid w:val="5ED22E1B"/>
    <w:rsid w:val="5ED46B86"/>
    <w:rsid w:val="5ED50624"/>
    <w:rsid w:val="5ED8702A"/>
    <w:rsid w:val="5EF4357B"/>
    <w:rsid w:val="5F031FB7"/>
    <w:rsid w:val="5F125568"/>
    <w:rsid w:val="5F164911"/>
    <w:rsid w:val="5F3560BF"/>
    <w:rsid w:val="5F5370C1"/>
    <w:rsid w:val="5F843DB3"/>
    <w:rsid w:val="5FD50E80"/>
    <w:rsid w:val="5FFA4FD6"/>
    <w:rsid w:val="602B694B"/>
    <w:rsid w:val="60467201"/>
    <w:rsid w:val="60685FC3"/>
    <w:rsid w:val="607F5921"/>
    <w:rsid w:val="611B369C"/>
    <w:rsid w:val="6145077E"/>
    <w:rsid w:val="614A6BE5"/>
    <w:rsid w:val="614E48B2"/>
    <w:rsid w:val="61855A0A"/>
    <w:rsid w:val="61E63DED"/>
    <w:rsid w:val="61FC0809"/>
    <w:rsid w:val="6213637E"/>
    <w:rsid w:val="62146209"/>
    <w:rsid w:val="621674EE"/>
    <w:rsid w:val="623F1E5F"/>
    <w:rsid w:val="62616200"/>
    <w:rsid w:val="627B71A0"/>
    <w:rsid w:val="62B751F1"/>
    <w:rsid w:val="62BB1799"/>
    <w:rsid w:val="62E301DC"/>
    <w:rsid w:val="63130619"/>
    <w:rsid w:val="63483071"/>
    <w:rsid w:val="63800859"/>
    <w:rsid w:val="63936B74"/>
    <w:rsid w:val="64423289"/>
    <w:rsid w:val="645B1696"/>
    <w:rsid w:val="645F60EA"/>
    <w:rsid w:val="647319F7"/>
    <w:rsid w:val="64901066"/>
    <w:rsid w:val="64A07201"/>
    <w:rsid w:val="64B1636B"/>
    <w:rsid w:val="6501056A"/>
    <w:rsid w:val="65367019"/>
    <w:rsid w:val="654B2B4E"/>
    <w:rsid w:val="659A6D3E"/>
    <w:rsid w:val="65D920A6"/>
    <w:rsid w:val="65DB2210"/>
    <w:rsid w:val="6619093D"/>
    <w:rsid w:val="661F6E0C"/>
    <w:rsid w:val="663667DB"/>
    <w:rsid w:val="664107D0"/>
    <w:rsid w:val="664E0A47"/>
    <w:rsid w:val="667A6BE2"/>
    <w:rsid w:val="667B19B6"/>
    <w:rsid w:val="667C162B"/>
    <w:rsid w:val="66990B2F"/>
    <w:rsid w:val="66B229A3"/>
    <w:rsid w:val="66CC7AB7"/>
    <w:rsid w:val="66EC34BE"/>
    <w:rsid w:val="670853FD"/>
    <w:rsid w:val="670E46A1"/>
    <w:rsid w:val="67140138"/>
    <w:rsid w:val="67456D79"/>
    <w:rsid w:val="67602EBD"/>
    <w:rsid w:val="67666032"/>
    <w:rsid w:val="676C7B91"/>
    <w:rsid w:val="67706CC4"/>
    <w:rsid w:val="67742D74"/>
    <w:rsid w:val="677A5055"/>
    <w:rsid w:val="67840999"/>
    <w:rsid w:val="678655E4"/>
    <w:rsid w:val="67BC5ABE"/>
    <w:rsid w:val="683C64A0"/>
    <w:rsid w:val="683F2814"/>
    <w:rsid w:val="68402ED8"/>
    <w:rsid w:val="68511835"/>
    <w:rsid w:val="686D58E2"/>
    <w:rsid w:val="687E024B"/>
    <w:rsid w:val="688A7410"/>
    <w:rsid w:val="689B7277"/>
    <w:rsid w:val="68BE5982"/>
    <w:rsid w:val="690B15F3"/>
    <w:rsid w:val="690B5432"/>
    <w:rsid w:val="691E5A0E"/>
    <w:rsid w:val="6923630A"/>
    <w:rsid w:val="692E7F1E"/>
    <w:rsid w:val="6973594D"/>
    <w:rsid w:val="6974674E"/>
    <w:rsid w:val="698F343B"/>
    <w:rsid w:val="699636A9"/>
    <w:rsid w:val="69AC6C0B"/>
    <w:rsid w:val="69C60CF1"/>
    <w:rsid w:val="69CA7C19"/>
    <w:rsid w:val="6A015CF8"/>
    <w:rsid w:val="6A3D00DC"/>
    <w:rsid w:val="6A491970"/>
    <w:rsid w:val="6A524ACF"/>
    <w:rsid w:val="6A5C2B8F"/>
    <w:rsid w:val="6A764DED"/>
    <w:rsid w:val="6A9A0475"/>
    <w:rsid w:val="6AC6424D"/>
    <w:rsid w:val="6AE24359"/>
    <w:rsid w:val="6AEA5C76"/>
    <w:rsid w:val="6B8911B2"/>
    <w:rsid w:val="6B9D1981"/>
    <w:rsid w:val="6BB256BF"/>
    <w:rsid w:val="6BC31BD8"/>
    <w:rsid w:val="6BF74B2E"/>
    <w:rsid w:val="6C272092"/>
    <w:rsid w:val="6C2B07E3"/>
    <w:rsid w:val="6C3A689C"/>
    <w:rsid w:val="6C6241DE"/>
    <w:rsid w:val="6C8F7D1B"/>
    <w:rsid w:val="6C9D7C38"/>
    <w:rsid w:val="6CAD2E04"/>
    <w:rsid w:val="6CBD35F3"/>
    <w:rsid w:val="6CC05E20"/>
    <w:rsid w:val="6D302924"/>
    <w:rsid w:val="6D341F2A"/>
    <w:rsid w:val="6D400349"/>
    <w:rsid w:val="6D447ADB"/>
    <w:rsid w:val="6D474FD5"/>
    <w:rsid w:val="6D557757"/>
    <w:rsid w:val="6D727209"/>
    <w:rsid w:val="6D756624"/>
    <w:rsid w:val="6DAA1F76"/>
    <w:rsid w:val="6E077F01"/>
    <w:rsid w:val="6E20323A"/>
    <w:rsid w:val="6E214F78"/>
    <w:rsid w:val="6E283E5B"/>
    <w:rsid w:val="6E4E2A84"/>
    <w:rsid w:val="6E500DC6"/>
    <w:rsid w:val="6E911DD0"/>
    <w:rsid w:val="6EA64798"/>
    <w:rsid w:val="6EB66959"/>
    <w:rsid w:val="6EDC35ED"/>
    <w:rsid w:val="6EEE64A5"/>
    <w:rsid w:val="6EEF7CEE"/>
    <w:rsid w:val="6EF342A2"/>
    <w:rsid w:val="6EFC1923"/>
    <w:rsid w:val="6EFC51A7"/>
    <w:rsid w:val="6F056BEA"/>
    <w:rsid w:val="6F5B6554"/>
    <w:rsid w:val="6FB52AD3"/>
    <w:rsid w:val="6FE93317"/>
    <w:rsid w:val="6FEE0256"/>
    <w:rsid w:val="70087C0C"/>
    <w:rsid w:val="700B5387"/>
    <w:rsid w:val="700C1760"/>
    <w:rsid w:val="70123DFB"/>
    <w:rsid w:val="703716AB"/>
    <w:rsid w:val="70406A16"/>
    <w:rsid w:val="70593DDE"/>
    <w:rsid w:val="706A37E2"/>
    <w:rsid w:val="70A0333E"/>
    <w:rsid w:val="70A367DC"/>
    <w:rsid w:val="70B97668"/>
    <w:rsid w:val="70C65EC1"/>
    <w:rsid w:val="70DA0EB4"/>
    <w:rsid w:val="714A2FA6"/>
    <w:rsid w:val="715304D9"/>
    <w:rsid w:val="71920663"/>
    <w:rsid w:val="71952DC7"/>
    <w:rsid w:val="719E6674"/>
    <w:rsid w:val="7203206D"/>
    <w:rsid w:val="722A686B"/>
    <w:rsid w:val="723F59E4"/>
    <w:rsid w:val="724C7A91"/>
    <w:rsid w:val="72510C2D"/>
    <w:rsid w:val="725A196C"/>
    <w:rsid w:val="726F7A40"/>
    <w:rsid w:val="727A2B5F"/>
    <w:rsid w:val="728241F2"/>
    <w:rsid w:val="728D3B4B"/>
    <w:rsid w:val="729506CB"/>
    <w:rsid w:val="72C267D6"/>
    <w:rsid w:val="72D95730"/>
    <w:rsid w:val="72E54DD2"/>
    <w:rsid w:val="72F3399E"/>
    <w:rsid w:val="72F675B5"/>
    <w:rsid w:val="72F81625"/>
    <w:rsid w:val="73166260"/>
    <w:rsid w:val="733A09A1"/>
    <w:rsid w:val="7359610E"/>
    <w:rsid w:val="7396227D"/>
    <w:rsid w:val="73B1065D"/>
    <w:rsid w:val="73C64D7F"/>
    <w:rsid w:val="73C85151"/>
    <w:rsid w:val="73C93A07"/>
    <w:rsid w:val="740D74D1"/>
    <w:rsid w:val="74165233"/>
    <w:rsid w:val="74887320"/>
    <w:rsid w:val="74944C62"/>
    <w:rsid w:val="74964153"/>
    <w:rsid w:val="74A024E4"/>
    <w:rsid w:val="74A677B5"/>
    <w:rsid w:val="74A9289C"/>
    <w:rsid w:val="74C0081A"/>
    <w:rsid w:val="74CF3C20"/>
    <w:rsid w:val="74E81B55"/>
    <w:rsid w:val="75011284"/>
    <w:rsid w:val="750547F2"/>
    <w:rsid w:val="752175BA"/>
    <w:rsid w:val="75396209"/>
    <w:rsid w:val="756D74E4"/>
    <w:rsid w:val="75702082"/>
    <w:rsid w:val="75C42647"/>
    <w:rsid w:val="75D00657"/>
    <w:rsid w:val="75D100C4"/>
    <w:rsid w:val="763224AC"/>
    <w:rsid w:val="765C3ABF"/>
    <w:rsid w:val="7663757C"/>
    <w:rsid w:val="767720EA"/>
    <w:rsid w:val="76853969"/>
    <w:rsid w:val="76B94407"/>
    <w:rsid w:val="76BA0A8A"/>
    <w:rsid w:val="76F85242"/>
    <w:rsid w:val="76FB7CCC"/>
    <w:rsid w:val="772B760F"/>
    <w:rsid w:val="772D6395"/>
    <w:rsid w:val="774A0BC1"/>
    <w:rsid w:val="77543BCA"/>
    <w:rsid w:val="778238A1"/>
    <w:rsid w:val="778D1C32"/>
    <w:rsid w:val="77FB2266"/>
    <w:rsid w:val="78157E84"/>
    <w:rsid w:val="78173D95"/>
    <w:rsid w:val="78296B75"/>
    <w:rsid w:val="78304CBF"/>
    <w:rsid w:val="78711EA5"/>
    <w:rsid w:val="78E149D0"/>
    <w:rsid w:val="78F227FE"/>
    <w:rsid w:val="78FC3F32"/>
    <w:rsid w:val="79490F1B"/>
    <w:rsid w:val="79BD3F25"/>
    <w:rsid w:val="7A905722"/>
    <w:rsid w:val="7AA51E44"/>
    <w:rsid w:val="7AD0650C"/>
    <w:rsid w:val="7ADD0A77"/>
    <w:rsid w:val="7B5D15F3"/>
    <w:rsid w:val="7B8B1FA7"/>
    <w:rsid w:val="7BBB1C1E"/>
    <w:rsid w:val="7BC36BAD"/>
    <w:rsid w:val="7BFC04F7"/>
    <w:rsid w:val="7BFC0976"/>
    <w:rsid w:val="7C5B3A94"/>
    <w:rsid w:val="7C6552DE"/>
    <w:rsid w:val="7C8313D5"/>
    <w:rsid w:val="7C8E7766"/>
    <w:rsid w:val="7C985AF7"/>
    <w:rsid w:val="7C993D97"/>
    <w:rsid w:val="7CBB1D79"/>
    <w:rsid w:val="7CDC328D"/>
    <w:rsid w:val="7CE551BE"/>
    <w:rsid w:val="7CEF6506"/>
    <w:rsid w:val="7CFA011A"/>
    <w:rsid w:val="7D4071CA"/>
    <w:rsid w:val="7D510DF9"/>
    <w:rsid w:val="7D7C1806"/>
    <w:rsid w:val="7D9E6DEE"/>
    <w:rsid w:val="7DC93C6B"/>
    <w:rsid w:val="7DD532C9"/>
    <w:rsid w:val="7DF34AAF"/>
    <w:rsid w:val="7E0220FC"/>
    <w:rsid w:val="7E0A3E44"/>
    <w:rsid w:val="7E286E4E"/>
    <w:rsid w:val="7E4A0D41"/>
    <w:rsid w:val="7E4D1DE3"/>
    <w:rsid w:val="7E5252B7"/>
    <w:rsid w:val="7E587DBC"/>
    <w:rsid w:val="7E620CB9"/>
    <w:rsid w:val="7E8400D0"/>
    <w:rsid w:val="7EA038CE"/>
    <w:rsid w:val="7ECD2214"/>
    <w:rsid w:val="7EF548F9"/>
    <w:rsid w:val="7F242240"/>
    <w:rsid w:val="7F2C6E61"/>
    <w:rsid w:val="7F3A4439"/>
    <w:rsid w:val="7F5B0B7E"/>
    <w:rsid w:val="7F5D1C11"/>
    <w:rsid w:val="7F656F0F"/>
    <w:rsid w:val="7F7E7F1B"/>
    <w:rsid w:val="7F992933"/>
    <w:rsid w:val="7FA22BE1"/>
    <w:rsid w:val="7FB665F7"/>
    <w:rsid w:val="7FBA383D"/>
    <w:rsid w:val="7FC65CAF"/>
    <w:rsid w:val="7FEF31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1"/>
    <w:qFormat/>
    <w:uiPriority w:val="99"/>
    <w:pPr>
      <w:keepNext/>
      <w:keepLines/>
      <w:spacing w:line="360" w:lineRule="auto"/>
      <w:outlineLvl w:val="0"/>
    </w:pPr>
    <w:rPr>
      <w:b/>
      <w:bCs/>
      <w:kern w:val="44"/>
      <w:sz w:val="32"/>
      <w:szCs w:val="32"/>
    </w:rPr>
  </w:style>
  <w:style w:type="paragraph" w:styleId="4">
    <w:name w:val="heading 2"/>
    <w:basedOn w:val="1"/>
    <w:next w:val="1"/>
    <w:link w:val="53"/>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link w:val="54"/>
    <w:qFormat/>
    <w:uiPriority w:val="99"/>
    <w:pPr>
      <w:keepNext/>
      <w:keepLines/>
      <w:spacing w:line="360" w:lineRule="auto"/>
      <w:outlineLvl w:val="2"/>
    </w:pPr>
    <w:rPr>
      <w:b/>
      <w:bCs/>
      <w:sz w:val="24"/>
      <w:szCs w:val="24"/>
    </w:rPr>
  </w:style>
  <w:style w:type="paragraph" w:styleId="6">
    <w:name w:val="heading 4"/>
    <w:basedOn w:val="1"/>
    <w:next w:val="1"/>
    <w:link w:val="55"/>
    <w:qFormat/>
    <w:uiPriority w:val="99"/>
    <w:pPr>
      <w:keepNext/>
      <w:keepLines/>
      <w:spacing w:line="360" w:lineRule="auto"/>
      <w:outlineLvl w:val="3"/>
    </w:pPr>
    <w:rPr>
      <w:rFonts w:ascii="Arial" w:hAnsi="Arial" w:cs="Arial"/>
      <w:b/>
      <w:bCs/>
    </w:rPr>
  </w:style>
  <w:style w:type="paragraph" w:styleId="7">
    <w:name w:val="heading 5"/>
    <w:basedOn w:val="1"/>
    <w:next w:val="1"/>
    <w:link w:val="56"/>
    <w:qFormat/>
    <w:uiPriority w:val="99"/>
    <w:pPr>
      <w:keepNext/>
      <w:keepLines/>
      <w:spacing w:before="280" w:after="290" w:line="376" w:lineRule="auto"/>
      <w:outlineLvl w:val="4"/>
    </w:pPr>
    <w:rPr>
      <w:b/>
      <w:bCs/>
      <w:sz w:val="28"/>
      <w:szCs w:val="28"/>
    </w:rPr>
  </w:style>
  <w:style w:type="paragraph" w:styleId="8">
    <w:name w:val="heading 6"/>
    <w:basedOn w:val="1"/>
    <w:next w:val="1"/>
    <w:link w:val="57"/>
    <w:qFormat/>
    <w:uiPriority w:val="99"/>
    <w:pPr>
      <w:keepNext/>
      <w:keepLines/>
      <w:spacing w:before="240" w:after="64" w:line="320" w:lineRule="auto"/>
      <w:outlineLvl w:val="5"/>
    </w:pPr>
    <w:rPr>
      <w:rFonts w:ascii="Arial" w:hAnsi="Arial" w:eastAsia="黑体" w:cs="Arial"/>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2"/>
    <w:qFormat/>
    <w:uiPriority w:val="99"/>
    <w:pPr>
      <w:jc w:val="center"/>
    </w:pPr>
  </w:style>
  <w:style w:type="paragraph" w:styleId="9">
    <w:name w:val="toc 7"/>
    <w:basedOn w:val="1"/>
    <w:next w:val="1"/>
    <w:semiHidden/>
    <w:qFormat/>
    <w:uiPriority w:val="99"/>
    <w:pPr>
      <w:ind w:left="1260"/>
      <w:jc w:val="left"/>
    </w:pPr>
    <w:rPr>
      <w:rFonts w:ascii="Calibri" w:hAnsi="Calibri" w:cs="Calibri"/>
      <w:sz w:val="18"/>
      <w:szCs w:val="18"/>
    </w:rPr>
  </w:style>
  <w:style w:type="paragraph" w:styleId="10">
    <w:name w:val="Normal Indent"/>
    <w:basedOn w:val="1"/>
    <w:qFormat/>
    <w:uiPriority w:val="99"/>
    <w:pPr>
      <w:ind w:firstLine="420"/>
    </w:pPr>
  </w:style>
  <w:style w:type="paragraph" w:styleId="11">
    <w:name w:val="Document Map"/>
    <w:basedOn w:val="1"/>
    <w:link w:val="60"/>
    <w:semiHidden/>
    <w:qFormat/>
    <w:uiPriority w:val="99"/>
    <w:pPr>
      <w:shd w:val="clear" w:color="auto" w:fill="000080"/>
    </w:pPr>
  </w:style>
  <w:style w:type="paragraph" w:styleId="12">
    <w:name w:val="annotation text"/>
    <w:basedOn w:val="1"/>
    <w:link w:val="58"/>
    <w:semiHidden/>
    <w:qFormat/>
    <w:uiPriority w:val="99"/>
    <w:pPr>
      <w:jc w:val="left"/>
    </w:pPr>
  </w:style>
  <w:style w:type="paragraph" w:styleId="13">
    <w:name w:val="Body Text 3"/>
    <w:basedOn w:val="1"/>
    <w:link w:val="61"/>
    <w:qFormat/>
    <w:uiPriority w:val="99"/>
    <w:rPr>
      <w:rFonts w:ascii="宋体" w:cs="宋体"/>
      <w:sz w:val="24"/>
      <w:szCs w:val="24"/>
    </w:rPr>
  </w:style>
  <w:style w:type="paragraph" w:styleId="14">
    <w:name w:val="Body Text Indent"/>
    <w:basedOn w:val="1"/>
    <w:link w:val="63"/>
    <w:qFormat/>
    <w:uiPriority w:val="99"/>
    <w:pPr>
      <w:spacing w:line="360" w:lineRule="auto"/>
      <w:ind w:left="424" w:leftChars="202" w:firstLine="567"/>
    </w:pPr>
    <w:rPr>
      <w:sz w:val="24"/>
      <w:szCs w:val="24"/>
    </w:rPr>
  </w:style>
  <w:style w:type="paragraph" w:styleId="15">
    <w:name w:val="toc 5"/>
    <w:basedOn w:val="1"/>
    <w:next w:val="1"/>
    <w:semiHidden/>
    <w:qFormat/>
    <w:uiPriority w:val="99"/>
    <w:pPr>
      <w:ind w:left="840"/>
      <w:jc w:val="left"/>
    </w:pPr>
    <w:rPr>
      <w:rFonts w:ascii="Calibri" w:hAnsi="Calibri" w:cs="Calibri"/>
      <w:sz w:val="18"/>
      <w:szCs w:val="18"/>
    </w:rPr>
  </w:style>
  <w:style w:type="paragraph" w:styleId="16">
    <w:name w:val="toc 3"/>
    <w:basedOn w:val="1"/>
    <w:next w:val="1"/>
    <w:semiHidden/>
    <w:qFormat/>
    <w:uiPriority w:val="99"/>
    <w:pPr>
      <w:ind w:left="420"/>
      <w:jc w:val="left"/>
    </w:pPr>
    <w:rPr>
      <w:rFonts w:ascii="Calibri" w:hAnsi="Calibri" w:cs="Calibri"/>
      <w:i/>
      <w:iCs/>
      <w:sz w:val="20"/>
      <w:szCs w:val="20"/>
    </w:rPr>
  </w:style>
  <w:style w:type="paragraph" w:styleId="17">
    <w:name w:val="Plain Text"/>
    <w:basedOn w:val="1"/>
    <w:link w:val="64"/>
    <w:qFormat/>
    <w:uiPriority w:val="99"/>
    <w:rPr>
      <w:rFonts w:ascii="宋体" w:hAnsi="Courier New" w:cs="宋体"/>
    </w:rPr>
  </w:style>
  <w:style w:type="paragraph" w:styleId="18">
    <w:name w:val="toc 8"/>
    <w:basedOn w:val="1"/>
    <w:next w:val="1"/>
    <w:semiHidden/>
    <w:qFormat/>
    <w:uiPriority w:val="99"/>
    <w:pPr>
      <w:ind w:left="1470"/>
      <w:jc w:val="left"/>
    </w:pPr>
    <w:rPr>
      <w:rFonts w:ascii="Calibri" w:hAnsi="Calibri" w:cs="Calibri"/>
      <w:sz w:val="18"/>
      <w:szCs w:val="18"/>
    </w:rPr>
  </w:style>
  <w:style w:type="paragraph" w:styleId="19">
    <w:name w:val="Date"/>
    <w:basedOn w:val="1"/>
    <w:next w:val="1"/>
    <w:link w:val="65"/>
    <w:qFormat/>
    <w:uiPriority w:val="99"/>
    <w:pPr>
      <w:ind w:left="100" w:leftChars="2500"/>
    </w:pPr>
  </w:style>
  <w:style w:type="paragraph" w:styleId="20">
    <w:name w:val="Body Text Indent 2"/>
    <w:basedOn w:val="1"/>
    <w:link w:val="66"/>
    <w:qFormat/>
    <w:uiPriority w:val="99"/>
    <w:pPr>
      <w:spacing w:line="480" w:lineRule="exact"/>
      <w:ind w:left="-1"/>
    </w:pPr>
    <w:rPr>
      <w:sz w:val="24"/>
      <w:szCs w:val="24"/>
    </w:rPr>
  </w:style>
  <w:style w:type="paragraph" w:styleId="21">
    <w:name w:val="Balloon Text"/>
    <w:basedOn w:val="1"/>
    <w:link w:val="67"/>
    <w:semiHidden/>
    <w:qFormat/>
    <w:uiPriority w:val="99"/>
    <w:rPr>
      <w:sz w:val="18"/>
      <w:szCs w:val="18"/>
    </w:rPr>
  </w:style>
  <w:style w:type="paragraph" w:styleId="22">
    <w:name w:val="footer"/>
    <w:basedOn w:val="1"/>
    <w:link w:val="68"/>
    <w:qFormat/>
    <w:uiPriority w:val="99"/>
    <w:pPr>
      <w:tabs>
        <w:tab w:val="center" w:pos="4153"/>
        <w:tab w:val="right" w:pos="8306"/>
      </w:tabs>
      <w:snapToGrid w:val="0"/>
      <w:jc w:val="left"/>
    </w:pPr>
    <w:rPr>
      <w:sz w:val="18"/>
      <w:szCs w:val="18"/>
    </w:rPr>
  </w:style>
  <w:style w:type="paragraph" w:styleId="23">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spacing w:before="120" w:after="120"/>
      <w:jc w:val="left"/>
    </w:pPr>
    <w:rPr>
      <w:rFonts w:ascii="Calibri" w:hAnsi="Calibri" w:cs="Calibri"/>
      <w:b/>
      <w:bCs/>
      <w:caps/>
      <w:sz w:val="20"/>
      <w:szCs w:val="20"/>
    </w:rPr>
  </w:style>
  <w:style w:type="paragraph" w:styleId="25">
    <w:name w:val="toc 4"/>
    <w:basedOn w:val="1"/>
    <w:next w:val="1"/>
    <w:semiHidden/>
    <w:qFormat/>
    <w:uiPriority w:val="99"/>
    <w:pPr>
      <w:ind w:left="630"/>
      <w:jc w:val="left"/>
    </w:pPr>
    <w:rPr>
      <w:rFonts w:ascii="Calibri" w:hAnsi="Calibri" w:cs="Calibri"/>
      <w:sz w:val="18"/>
      <w:szCs w:val="18"/>
    </w:rPr>
  </w:style>
  <w:style w:type="paragraph" w:styleId="26">
    <w:name w:val="toc 6"/>
    <w:basedOn w:val="1"/>
    <w:next w:val="1"/>
    <w:semiHidden/>
    <w:qFormat/>
    <w:uiPriority w:val="99"/>
    <w:pPr>
      <w:ind w:left="1050"/>
      <w:jc w:val="left"/>
    </w:pPr>
    <w:rPr>
      <w:rFonts w:ascii="Calibri" w:hAnsi="Calibri" w:cs="Calibri"/>
      <w:sz w:val="18"/>
      <w:szCs w:val="18"/>
    </w:rPr>
  </w:style>
  <w:style w:type="paragraph" w:styleId="27">
    <w:name w:val="Body Text Indent 3"/>
    <w:basedOn w:val="1"/>
    <w:link w:val="70"/>
    <w:qFormat/>
    <w:uiPriority w:val="99"/>
    <w:pPr>
      <w:spacing w:line="360" w:lineRule="auto"/>
      <w:ind w:left="420" w:firstLine="480"/>
    </w:pPr>
    <w:rPr>
      <w:rFonts w:ascii="宋体" w:hAnsi="宋体" w:cs="宋体"/>
      <w:sz w:val="24"/>
      <w:szCs w:val="24"/>
    </w:rPr>
  </w:style>
  <w:style w:type="paragraph" w:styleId="28">
    <w:name w:val="toc 2"/>
    <w:basedOn w:val="1"/>
    <w:next w:val="1"/>
    <w:semiHidden/>
    <w:qFormat/>
    <w:uiPriority w:val="99"/>
    <w:pPr>
      <w:ind w:left="210"/>
      <w:jc w:val="left"/>
    </w:pPr>
    <w:rPr>
      <w:rFonts w:ascii="Calibri" w:hAnsi="Calibri" w:cs="Calibri"/>
      <w:smallCaps/>
      <w:sz w:val="20"/>
      <w:szCs w:val="20"/>
    </w:rPr>
  </w:style>
  <w:style w:type="paragraph" w:styleId="29">
    <w:name w:val="toc 9"/>
    <w:basedOn w:val="1"/>
    <w:next w:val="1"/>
    <w:semiHidden/>
    <w:qFormat/>
    <w:uiPriority w:val="99"/>
    <w:pPr>
      <w:ind w:left="1680"/>
      <w:jc w:val="left"/>
    </w:pPr>
    <w:rPr>
      <w:rFonts w:ascii="Calibri" w:hAnsi="Calibri" w:cs="Calibri"/>
      <w:sz w:val="18"/>
      <w:szCs w:val="18"/>
    </w:rPr>
  </w:style>
  <w:style w:type="paragraph" w:styleId="30">
    <w:name w:val="Body Text 2"/>
    <w:basedOn w:val="1"/>
    <w:link w:val="71"/>
    <w:qFormat/>
    <w:uiPriority w:val="99"/>
    <w:pPr>
      <w:adjustRightInd w:val="0"/>
      <w:snapToGrid w:val="0"/>
      <w:spacing w:before="60" w:after="60" w:line="300" w:lineRule="auto"/>
    </w:pPr>
    <w:rPr>
      <w:rFonts w:ascii="宋体" w:cs="宋体"/>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2">
    <w:name w:val="annotation subject"/>
    <w:basedOn w:val="12"/>
    <w:next w:val="12"/>
    <w:link w:val="59"/>
    <w:semiHidden/>
    <w:qFormat/>
    <w:uiPriority w:val="99"/>
    <w:rPr>
      <w:b/>
      <w:bCs/>
    </w:rPr>
  </w:style>
  <w:style w:type="paragraph" w:styleId="33">
    <w:name w:val="Body Text First Indent"/>
    <w:basedOn w:val="2"/>
    <w:qFormat/>
    <w:locked/>
    <w:uiPriority w:val="0"/>
    <w:pPr>
      <w:spacing w:line="312" w:lineRule="auto"/>
      <w:ind w:firstLine="420"/>
    </w:pPr>
  </w:style>
  <w:style w:type="paragraph" w:styleId="34">
    <w:name w:val="Body Text First Indent 2"/>
    <w:basedOn w:val="14"/>
    <w:qFormat/>
    <w:locked/>
    <w:uiPriority w:val="0"/>
    <w:pPr>
      <w:ind w:firstLine="420" w:firstLineChars="2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99"/>
    <w:rPr>
      <w:b/>
      <w:bCs/>
    </w:rPr>
  </w:style>
  <w:style w:type="character" w:styleId="39">
    <w:name w:val="page number"/>
    <w:basedOn w:val="37"/>
    <w:qFormat/>
    <w:uiPriority w:val="99"/>
  </w:style>
  <w:style w:type="character" w:styleId="40">
    <w:name w:val="FollowedHyperlink"/>
    <w:basedOn w:val="37"/>
    <w:qFormat/>
    <w:uiPriority w:val="99"/>
    <w:rPr>
      <w:color w:val="auto"/>
      <w:u w:val="none"/>
    </w:rPr>
  </w:style>
  <w:style w:type="character" w:styleId="41">
    <w:name w:val="Emphasis"/>
    <w:basedOn w:val="37"/>
    <w:qFormat/>
    <w:uiPriority w:val="99"/>
    <w:rPr>
      <w:i/>
      <w:iCs/>
    </w:rPr>
  </w:style>
  <w:style w:type="character" w:styleId="42">
    <w:name w:val="HTML Definition"/>
    <w:basedOn w:val="37"/>
    <w:qFormat/>
    <w:uiPriority w:val="99"/>
  </w:style>
  <w:style w:type="character" w:styleId="43">
    <w:name w:val="HTML Acronym"/>
    <w:basedOn w:val="37"/>
    <w:qFormat/>
    <w:uiPriority w:val="99"/>
  </w:style>
  <w:style w:type="character" w:styleId="44">
    <w:name w:val="HTML Variable"/>
    <w:basedOn w:val="37"/>
    <w:qFormat/>
    <w:uiPriority w:val="99"/>
  </w:style>
  <w:style w:type="character" w:styleId="45">
    <w:name w:val="Hyperlink"/>
    <w:basedOn w:val="37"/>
    <w:qFormat/>
    <w:uiPriority w:val="99"/>
    <w:rPr>
      <w:color w:val="auto"/>
      <w:u w:val="none"/>
    </w:rPr>
  </w:style>
  <w:style w:type="character" w:styleId="46">
    <w:name w:val="HTML Code"/>
    <w:basedOn w:val="37"/>
    <w:qFormat/>
    <w:uiPriority w:val="99"/>
    <w:rPr>
      <w:rFonts w:ascii="monospace" w:hAnsi="monospace" w:cs="monospace"/>
      <w:sz w:val="24"/>
      <w:szCs w:val="24"/>
    </w:rPr>
  </w:style>
  <w:style w:type="character" w:styleId="47">
    <w:name w:val="annotation reference"/>
    <w:basedOn w:val="37"/>
    <w:semiHidden/>
    <w:qFormat/>
    <w:uiPriority w:val="99"/>
    <w:rPr>
      <w:sz w:val="21"/>
      <w:szCs w:val="21"/>
    </w:rPr>
  </w:style>
  <w:style w:type="character" w:styleId="48">
    <w:name w:val="HTML Cite"/>
    <w:basedOn w:val="37"/>
    <w:qFormat/>
    <w:uiPriority w:val="99"/>
  </w:style>
  <w:style w:type="character" w:styleId="49">
    <w:name w:val="HTML Keyboard"/>
    <w:basedOn w:val="37"/>
    <w:qFormat/>
    <w:uiPriority w:val="99"/>
    <w:rPr>
      <w:rFonts w:ascii="monospace" w:hAnsi="monospace" w:cs="monospace"/>
      <w:sz w:val="24"/>
      <w:szCs w:val="24"/>
    </w:rPr>
  </w:style>
  <w:style w:type="character" w:styleId="50">
    <w:name w:val="HTML Sample"/>
    <w:basedOn w:val="37"/>
    <w:qFormat/>
    <w:uiPriority w:val="99"/>
    <w:rPr>
      <w:rFonts w:ascii="monospace" w:hAnsi="monospace" w:cs="monospace"/>
      <w:sz w:val="24"/>
      <w:szCs w:val="24"/>
    </w:rPr>
  </w:style>
  <w:style w:type="character" w:customStyle="1" w:styleId="51">
    <w:name w:val="标题 1 Char"/>
    <w:basedOn w:val="37"/>
    <w:link w:val="3"/>
    <w:qFormat/>
    <w:locked/>
    <w:uiPriority w:val="99"/>
    <w:rPr>
      <w:b/>
      <w:bCs/>
      <w:kern w:val="44"/>
      <w:sz w:val="44"/>
      <w:szCs w:val="44"/>
    </w:rPr>
  </w:style>
  <w:style w:type="paragraph" w:customStyle="1" w:styleId="52">
    <w:name w:val="样式 首行缩进:  2 字符"/>
    <w:basedOn w:val="1"/>
    <w:qFormat/>
    <w:uiPriority w:val="0"/>
    <w:pPr>
      <w:ind w:firstLine="560"/>
    </w:pPr>
    <w:rPr>
      <w:rFonts w:eastAsia="仿宋_GB2312" w:cs="宋体"/>
      <w:sz w:val="24"/>
      <w:szCs w:val="20"/>
    </w:rPr>
  </w:style>
  <w:style w:type="character" w:customStyle="1" w:styleId="53">
    <w:name w:val="标题 2 Char"/>
    <w:basedOn w:val="37"/>
    <w:link w:val="4"/>
    <w:qFormat/>
    <w:locked/>
    <w:uiPriority w:val="99"/>
    <w:rPr>
      <w:rFonts w:ascii="Cambria" w:hAnsi="Cambria" w:cs="Cambria"/>
      <w:b/>
      <w:bCs/>
      <w:kern w:val="2"/>
      <w:sz w:val="32"/>
      <w:szCs w:val="32"/>
    </w:rPr>
  </w:style>
  <w:style w:type="character" w:customStyle="1" w:styleId="54">
    <w:name w:val="标题 3 Char"/>
    <w:basedOn w:val="37"/>
    <w:link w:val="5"/>
    <w:qFormat/>
    <w:locked/>
    <w:uiPriority w:val="99"/>
    <w:rPr>
      <w:b/>
      <w:bCs/>
      <w:kern w:val="2"/>
      <w:sz w:val="32"/>
      <w:szCs w:val="32"/>
    </w:rPr>
  </w:style>
  <w:style w:type="character" w:customStyle="1" w:styleId="55">
    <w:name w:val="标题 4 Char"/>
    <w:basedOn w:val="37"/>
    <w:link w:val="6"/>
    <w:semiHidden/>
    <w:qFormat/>
    <w:locked/>
    <w:uiPriority w:val="99"/>
    <w:rPr>
      <w:rFonts w:ascii="Cambria" w:hAnsi="Cambria" w:eastAsia="宋体" w:cs="Cambria"/>
      <w:b/>
      <w:bCs/>
      <w:sz w:val="28"/>
      <w:szCs w:val="28"/>
    </w:rPr>
  </w:style>
  <w:style w:type="character" w:customStyle="1" w:styleId="56">
    <w:name w:val="标题 5 Char"/>
    <w:basedOn w:val="37"/>
    <w:link w:val="7"/>
    <w:qFormat/>
    <w:locked/>
    <w:uiPriority w:val="99"/>
    <w:rPr>
      <w:b/>
      <w:bCs/>
      <w:kern w:val="2"/>
      <w:sz w:val="28"/>
      <w:szCs w:val="28"/>
    </w:rPr>
  </w:style>
  <w:style w:type="character" w:customStyle="1" w:styleId="57">
    <w:name w:val="标题 6 Char"/>
    <w:basedOn w:val="37"/>
    <w:link w:val="8"/>
    <w:semiHidden/>
    <w:qFormat/>
    <w:locked/>
    <w:uiPriority w:val="99"/>
    <w:rPr>
      <w:rFonts w:ascii="Cambria" w:hAnsi="Cambria" w:eastAsia="宋体" w:cs="Cambria"/>
      <w:b/>
      <w:bCs/>
      <w:sz w:val="24"/>
      <w:szCs w:val="24"/>
    </w:rPr>
  </w:style>
  <w:style w:type="character" w:customStyle="1" w:styleId="58">
    <w:name w:val="批注文字 Char"/>
    <w:basedOn w:val="37"/>
    <w:link w:val="12"/>
    <w:semiHidden/>
    <w:qFormat/>
    <w:locked/>
    <w:uiPriority w:val="99"/>
    <w:rPr>
      <w:sz w:val="21"/>
      <w:szCs w:val="21"/>
    </w:rPr>
  </w:style>
  <w:style w:type="character" w:customStyle="1" w:styleId="59">
    <w:name w:val="批注主题 Char"/>
    <w:basedOn w:val="58"/>
    <w:link w:val="32"/>
    <w:semiHidden/>
    <w:qFormat/>
    <w:locked/>
    <w:uiPriority w:val="99"/>
    <w:rPr>
      <w:b/>
      <w:bCs/>
    </w:rPr>
  </w:style>
  <w:style w:type="character" w:customStyle="1" w:styleId="60">
    <w:name w:val="文档结构图 Char"/>
    <w:basedOn w:val="37"/>
    <w:link w:val="11"/>
    <w:semiHidden/>
    <w:qFormat/>
    <w:locked/>
    <w:uiPriority w:val="99"/>
    <w:rPr>
      <w:sz w:val="2"/>
      <w:szCs w:val="2"/>
    </w:rPr>
  </w:style>
  <w:style w:type="character" w:customStyle="1" w:styleId="61">
    <w:name w:val="正文文本 3 Char"/>
    <w:basedOn w:val="37"/>
    <w:link w:val="13"/>
    <w:semiHidden/>
    <w:qFormat/>
    <w:locked/>
    <w:uiPriority w:val="99"/>
    <w:rPr>
      <w:sz w:val="16"/>
      <w:szCs w:val="16"/>
    </w:rPr>
  </w:style>
  <w:style w:type="character" w:customStyle="1" w:styleId="62">
    <w:name w:val="正文文本 Char"/>
    <w:basedOn w:val="37"/>
    <w:link w:val="2"/>
    <w:qFormat/>
    <w:locked/>
    <w:uiPriority w:val="99"/>
    <w:rPr>
      <w:rFonts w:eastAsia="宋体"/>
      <w:kern w:val="2"/>
      <w:sz w:val="21"/>
      <w:szCs w:val="21"/>
      <w:lang w:val="en-US" w:eastAsia="zh-CN"/>
    </w:rPr>
  </w:style>
  <w:style w:type="character" w:customStyle="1" w:styleId="63">
    <w:name w:val="正文文本缩进 Char"/>
    <w:basedOn w:val="37"/>
    <w:link w:val="14"/>
    <w:qFormat/>
    <w:locked/>
    <w:uiPriority w:val="99"/>
    <w:rPr>
      <w:snapToGrid w:val="0"/>
      <w:sz w:val="24"/>
      <w:szCs w:val="24"/>
    </w:rPr>
  </w:style>
  <w:style w:type="character" w:customStyle="1" w:styleId="64">
    <w:name w:val="纯文本 Char"/>
    <w:basedOn w:val="37"/>
    <w:link w:val="17"/>
    <w:qFormat/>
    <w:locked/>
    <w:uiPriority w:val="99"/>
    <w:rPr>
      <w:rFonts w:ascii="宋体" w:hAnsi="Courier New" w:eastAsia="宋体" w:cs="宋体"/>
      <w:kern w:val="2"/>
      <w:sz w:val="21"/>
      <w:szCs w:val="21"/>
      <w:lang w:val="en-US" w:eastAsia="zh-CN"/>
    </w:rPr>
  </w:style>
  <w:style w:type="character" w:customStyle="1" w:styleId="65">
    <w:name w:val="日期 Char"/>
    <w:basedOn w:val="37"/>
    <w:link w:val="19"/>
    <w:semiHidden/>
    <w:qFormat/>
    <w:locked/>
    <w:uiPriority w:val="99"/>
    <w:rPr>
      <w:sz w:val="21"/>
      <w:szCs w:val="21"/>
    </w:rPr>
  </w:style>
  <w:style w:type="character" w:customStyle="1" w:styleId="66">
    <w:name w:val="正文文本缩进 2 Char"/>
    <w:basedOn w:val="37"/>
    <w:link w:val="20"/>
    <w:qFormat/>
    <w:locked/>
    <w:uiPriority w:val="99"/>
    <w:rPr>
      <w:snapToGrid w:val="0"/>
      <w:sz w:val="24"/>
      <w:szCs w:val="24"/>
    </w:rPr>
  </w:style>
  <w:style w:type="character" w:customStyle="1" w:styleId="67">
    <w:name w:val="批注框文本 Char"/>
    <w:basedOn w:val="37"/>
    <w:link w:val="21"/>
    <w:qFormat/>
    <w:locked/>
    <w:uiPriority w:val="99"/>
    <w:rPr>
      <w:kern w:val="2"/>
      <w:sz w:val="18"/>
      <w:szCs w:val="18"/>
    </w:rPr>
  </w:style>
  <w:style w:type="character" w:customStyle="1" w:styleId="68">
    <w:name w:val="页脚 Char"/>
    <w:basedOn w:val="37"/>
    <w:link w:val="22"/>
    <w:qFormat/>
    <w:locked/>
    <w:uiPriority w:val="99"/>
    <w:rPr>
      <w:rFonts w:eastAsia="宋体"/>
      <w:kern w:val="2"/>
      <w:sz w:val="18"/>
      <w:szCs w:val="18"/>
      <w:lang w:val="en-US" w:eastAsia="zh-CN"/>
    </w:rPr>
  </w:style>
  <w:style w:type="character" w:customStyle="1" w:styleId="69">
    <w:name w:val="页眉 Char"/>
    <w:basedOn w:val="37"/>
    <w:link w:val="23"/>
    <w:semiHidden/>
    <w:qFormat/>
    <w:locked/>
    <w:uiPriority w:val="99"/>
    <w:rPr>
      <w:sz w:val="18"/>
      <w:szCs w:val="18"/>
    </w:rPr>
  </w:style>
  <w:style w:type="character" w:customStyle="1" w:styleId="70">
    <w:name w:val="正文文本缩进 3 Char"/>
    <w:basedOn w:val="37"/>
    <w:link w:val="27"/>
    <w:qFormat/>
    <w:locked/>
    <w:uiPriority w:val="99"/>
    <w:rPr>
      <w:rFonts w:ascii="宋体" w:eastAsia="宋体" w:cs="宋体"/>
      <w:snapToGrid w:val="0"/>
      <w:sz w:val="24"/>
      <w:szCs w:val="24"/>
    </w:rPr>
  </w:style>
  <w:style w:type="character" w:customStyle="1" w:styleId="71">
    <w:name w:val="正文文本 2 Char"/>
    <w:basedOn w:val="37"/>
    <w:link w:val="30"/>
    <w:qFormat/>
    <w:locked/>
    <w:uiPriority w:val="99"/>
    <w:rPr>
      <w:rFonts w:ascii="宋体" w:cs="宋体"/>
      <w:kern w:val="2"/>
      <w:sz w:val="24"/>
      <w:szCs w:val="24"/>
    </w:rPr>
  </w:style>
  <w:style w:type="character" w:customStyle="1" w:styleId="72">
    <w:name w:val="Char Char24"/>
    <w:qFormat/>
    <w:locked/>
    <w:uiPriority w:val="99"/>
    <w:rPr>
      <w:rFonts w:eastAsia="宋体"/>
      <w:b/>
      <w:bCs/>
      <w:kern w:val="2"/>
      <w:sz w:val="32"/>
      <w:szCs w:val="32"/>
      <w:lang w:val="en-US" w:eastAsia="zh-CN"/>
    </w:rPr>
  </w:style>
  <w:style w:type="character" w:customStyle="1" w:styleId="73">
    <w:name w:val="t_tag"/>
    <w:basedOn w:val="37"/>
    <w:qFormat/>
    <w:uiPriority w:val="99"/>
  </w:style>
  <w:style w:type="character" w:customStyle="1" w:styleId="74">
    <w:name w:val="Char Char3"/>
    <w:qFormat/>
    <w:uiPriority w:val="99"/>
    <w:rPr>
      <w:rFonts w:eastAsia="宋体"/>
      <w:kern w:val="2"/>
      <w:sz w:val="24"/>
      <w:szCs w:val="24"/>
      <w:lang w:val="en-US" w:eastAsia="zh-CN"/>
    </w:rPr>
  </w:style>
  <w:style w:type="paragraph" w:customStyle="1" w:styleId="75">
    <w:name w:val="Char Char Char Char"/>
    <w:basedOn w:val="1"/>
    <w:qFormat/>
    <w:uiPriority w:val="99"/>
    <w:rPr>
      <w:rFonts w:ascii="Tahoma" w:hAnsi="Tahoma" w:cs="Tahoma"/>
      <w:sz w:val="24"/>
      <w:szCs w:val="24"/>
    </w:rPr>
  </w:style>
  <w:style w:type="paragraph" w:customStyle="1" w:styleId="76">
    <w:name w:val="Char Char Char"/>
    <w:basedOn w:val="1"/>
    <w:qFormat/>
    <w:uiPriority w:val="99"/>
    <w:pPr>
      <w:spacing w:line="360" w:lineRule="auto"/>
    </w:pPr>
  </w:style>
  <w:style w:type="paragraph" w:customStyle="1" w:styleId="77">
    <w:name w:val="列出段落1"/>
    <w:basedOn w:val="1"/>
    <w:qFormat/>
    <w:uiPriority w:val="99"/>
    <w:pPr>
      <w:ind w:firstLine="420" w:firstLineChars="200"/>
    </w:pPr>
    <w:rPr>
      <w:rFonts w:ascii="Calibri" w:hAnsi="Calibri" w:cs="Calibri"/>
    </w:rPr>
  </w:style>
  <w:style w:type="paragraph" w:customStyle="1" w:styleId="78">
    <w:name w:val="Char"/>
    <w:basedOn w:val="1"/>
    <w:qFormat/>
    <w:uiPriority w:val="99"/>
    <w:pPr>
      <w:spacing w:line="360" w:lineRule="auto"/>
    </w:pPr>
    <w:rPr>
      <w:rFonts w:ascii="仿宋_GB2312" w:eastAsia="仿宋_GB2312" w:cs="仿宋_GB2312"/>
      <w:b/>
      <w:bCs/>
      <w:sz w:val="32"/>
      <w:szCs w:val="32"/>
    </w:rPr>
  </w:style>
  <w:style w:type="paragraph" w:customStyle="1" w:styleId="79">
    <w:name w:val="保留正文"/>
    <w:basedOn w:val="2"/>
    <w:qFormat/>
    <w:uiPriority w:val="99"/>
    <w:pPr>
      <w:keepNext/>
      <w:spacing w:after="160"/>
      <w:jc w:val="both"/>
    </w:pPr>
  </w:style>
  <w:style w:type="paragraph" w:customStyle="1" w:styleId="80">
    <w:name w:val="普通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81">
    <w:name w:val="目录"/>
    <w:basedOn w:val="1"/>
    <w:qFormat/>
    <w:uiPriority w:val="99"/>
    <w:pPr>
      <w:widowControl/>
      <w:jc w:val="center"/>
    </w:pPr>
    <w:rPr>
      <w:rFonts w:ascii="宋体" w:cs="宋体"/>
      <w:b/>
      <w:bCs/>
      <w:sz w:val="36"/>
      <w:szCs w:val="36"/>
    </w:rPr>
  </w:style>
  <w:style w:type="paragraph" w:customStyle="1" w:styleId="82">
    <w:name w:val="Char Char Char Char1"/>
    <w:basedOn w:val="1"/>
    <w:qFormat/>
    <w:uiPriority w:val="99"/>
    <w:pPr>
      <w:adjustRightInd w:val="0"/>
      <w:spacing w:line="440" w:lineRule="exact"/>
    </w:pPr>
    <w:rPr>
      <w:sz w:val="20"/>
      <w:szCs w:val="20"/>
    </w:rPr>
  </w:style>
  <w:style w:type="character" w:customStyle="1" w:styleId="83">
    <w:name w:val="ui-bz-bg-hover"/>
    <w:basedOn w:val="37"/>
    <w:qFormat/>
    <w:uiPriority w:val="99"/>
    <w:rPr>
      <w:shd w:val="clear" w:color="auto" w:fill="000000"/>
    </w:rPr>
  </w:style>
  <w:style w:type="character" w:customStyle="1" w:styleId="84">
    <w:name w:val="ui-bz-bg-hover1"/>
    <w:basedOn w:val="37"/>
    <w:qFormat/>
    <w:uiPriority w:val="99"/>
  </w:style>
  <w:style w:type="character" w:customStyle="1" w:styleId="85">
    <w:name w:val="top-icon"/>
    <w:basedOn w:val="37"/>
    <w:qFormat/>
    <w:uiPriority w:val="99"/>
  </w:style>
  <w:style w:type="character" w:customStyle="1" w:styleId="86">
    <w:name w:val="t-tag"/>
    <w:basedOn w:val="37"/>
    <w:qFormat/>
    <w:uiPriority w:val="99"/>
    <w:rPr>
      <w:color w:val="FFFFFF"/>
      <w:sz w:val="18"/>
      <w:szCs w:val="18"/>
      <w:shd w:val="clear" w:color="auto" w:fill="auto"/>
    </w:rPr>
  </w:style>
  <w:style w:type="character" w:customStyle="1" w:styleId="87">
    <w:name w:val="bds_more2"/>
    <w:basedOn w:val="37"/>
    <w:qFormat/>
    <w:uiPriority w:val="99"/>
  </w:style>
  <w:style w:type="character" w:customStyle="1" w:styleId="88">
    <w:name w:val="bds_more3"/>
    <w:basedOn w:val="37"/>
    <w:qFormat/>
    <w:uiPriority w:val="99"/>
  </w:style>
  <w:style w:type="character" w:customStyle="1" w:styleId="89">
    <w:name w:val="f-star"/>
    <w:basedOn w:val="37"/>
    <w:qFormat/>
    <w:uiPriority w:val="99"/>
    <w:rPr>
      <w:color w:val="auto"/>
      <w:sz w:val="21"/>
      <w:szCs w:val="21"/>
    </w:rPr>
  </w:style>
  <w:style w:type="character" w:customStyle="1" w:styleId="90">
    <w:name w:val="bds_nopic"/>
    <w:basedOn w:val="37"/>
    <w:qFormat/>
    <w:uiPriority w:val="99"/>
  </w:style>
  <w:style w:type="character" w:customStyle="1" w:styleId="91">
    <w:name w:val="orange"/>
    <w:basedOn w:val="37"/>
    <w:qFormat/>
    <w:uiPriority w:val="99"/>
    <w:rPr>
      <w:color w:val="auto"/>
    </w:rPr>
  </w:style>
  <w:style w:type="character" w:customStyle="1" w:styleId="92">
    <w:name w:val="org_name"/>
    <w:basedOn w:val="37"/>
    <w:qFormat/>
    <w:uiPriority w:val="99"/>
  </w:style>
  <w:style w:type="character" w:customStyle="1" w:styleId="93">
    <w:name w:val="no42"/>
    <w:basedOn w:val="37"/>
    <w:qFormat/>
    <w:uiPriority w:val="99"/>
  </w:style>
  <w:style w:type="character" w:customStyle="1" w:styleId="94">
    <w:name w:val="no52"/>
    <w:basedOn w:val="37"/>
    <w:qFormat/>
    <w:uiPriority w:val="99"/>
  </w:style>
  <w:style w:type="character" w:customStyle="1" w:styleId="95">
    <w:name w:val="no62"/>
    <w:basedOn w:val="37"/>
    <w:qFormat/>
    <w:uiPriority w:val="99"/>
  </w:style>
  <w:style w:type="character" w:customStyle="1" w:styleId="96">
    <w:name w:val="no72"/>
    <w:basedOn w:val="37"/>
    <w:qFormat/>
    <w:uiPriority w:val="99"/>
  </w:style>
  <w:style w:type="character" w:customStyle="1" w:styleId="97">
    <w:name w:val="ico-jiang"/>
    <w:basedOn w:val="37"/>
    <w:qFormat/>
    <w:uiPriority w:val="99"/>
  </w:style>
  <w:style w:type="character" w:customStyle="1" w:styleId="98">
    <w:name w:val="ico-jiang1"/>
    <w:basedOn w:val="37"/>
    <w:qFormat/>
    <w:uiPriority w:val="99"/>
  </w:style>
  <w:style w:type="character" w:customStyle="1" w:styleId="99">
    <w:name w:val="my-notice1"/>
    <w:basedOn w:val="37"/>
    <w:qFormat/>
    <w:uiPriority w:val="99"/>
  </w:style>
  <w:style w:type="character" w:customStyle="1" w:styleId="100">
    <w:name w:val="my-class"/>
    <w:basedOn w:val="37"/>
    <w:qFormat/>
    <w:uiPriority w:val="99"/>
  </w:style>
  <w:style w:type="character" w:customStyle="1" w:styleId="101">
    <w:name w:val="tip10"/>
    <w:basedOn w:val="37"/>
    <w:qFormat/>
    <w:uiPriority w:val="99"/>
    <w:rPr>
      <w:vanish/>
      <w:color w:val="FF0000"/>
      <w:sz w:val="18"/>
      <w:szCs w:val="18"/>
    </w:rPr>
  </w:style>
  <w:style w:type="character" w:customStyle="1" w:styleId="102">
    <w:name w:val="my-class2"/>
    <w:basedOn w:val="37"/>
    <w:qFormat/>
    <w:uiPriority w:val="99"/>
  </w:style>
  <w:style w:type="character" w:customStyle="1" w:styleId="103">
    <w:name w:val="bds_more"/>
    <w:basedOn w:val="37"/>
    <w:qFormat/>
    <w:uiPriority w:val="99"/>
  </w:style>
  <w:style w:type="character" w:customStyle="1" w:styleId="104">
    <w:name w:val="bds_more1"/>
    <w:basedOn w:val="37"/>
    <w:qFormat/>
    <w:uiPriority w:val="99"/>
    <w:rPr>
      <w:rFonts w:ascii="宋体" w:hAnsi="宋体" w:eastAsia="宋体" w:cs="宋体"/>
    </w:rPr>
  </w:style>
  <w:style w:type="character" w:customStyle="1" w:styleId="105">
    <w:name w:val="bds_nopic1"/>
    <w:basedOn w:val="37"/>
    <w:qFormat/>
    <w:uiPriority w:val="99"/>
  </w:style>
  <w:style w:type="character" w:customStyle="1" w:styleId="106">
    <w:name w:val="bds_nopic2"/>
    <w:basedOn w:val="37"/>
    <w:qFormat/>
    <w:uiPriority w:val="99"/>
  </w:style>
  <w:style w:type="character" w:customStyle="1" w:styleId="107">
    <w:name w:val="orange6"/>
    <w:basedOn w:val="37"/>
    <w:qFormat/>
    <w:uiPriority w:val="99"/>
    <w:rPr>
      <w:color w:val="auto"/>
    </w:rPr>
  </w:style>
  <w:style w:type="character" w:customStyle="1" w:styleId="108">
    <w:name w:val="font31"/>
    <w:basedOn w:val="37"/>
    <w:qFormat/>
    <w:uiPriority w:val="99"/>
    <w:rPr>
      <w:rFonts w:ascii="font-weight : 400" w:hAnsi="font-weight : 400" w:cs="font-weight : 400"/>
      <w:color w:val="000000"/>
      <w:sz w:val="20"/>
      <w:szCs w:val="20"/>
      <w:u w:val="none"/>
      <w:vertAlign w:val="superscript"/>
    </w:rPr>
  </w:style>
  <w:style w:type="character" w:customStyle="1" w:styleId="109">
    <w:name w:val="font01"/>
    <w:basedOn w:val="37"/>
    <w:qFormat/>
    <w:uiPriority w:val="99"/>
    <w:rPr>
      <w:rFonts w:ascii="宋体" w:hAnsi="宋体" w:eastAsia="宋体" w:cs="宋体"/>
      <w:color w:val="FF0000"/>
      <w:sz w:val="20"/>
      <w:szCs w:val="20"/>
      <w:u w:val="none"/>
    </w:rPr>
  </w:style>
  <w:style w:type="character" w:customStyle="1" w:styleId="110">
    <w:name w:val="font11"/>
    <w:basedOn w:val="37"/>
    <w:qFormat/>
    <w:uiPriority w:val="99"/>
    <w:rPr>
      <w:rFonts w:ascii="宋体" w:hAnsi="宋体" w:eastAsia="宋体" w:cs="宋体"/>
      <w:color w:val="000000"/>
      <w:sz w:val="20"/>
      <w:szCs w:val="20"/>
      <w:u w:val="none"/>
    </w:rPr>
  </w:style>
  <w:style w:type="paragraph" w:customStyle="1" w:styleId="111">
    <w:name w:val="Revision1"/>
    <w:hidden/>
    <w:qFormat/>
    <w:uiPriority w:val="99"/>
    <w:rPr>
      <w:rFonts w:ascii="Times New Roman" w:hAnsi="Times New Roman" w:eastAsia="宋体" w:cs="Times New Roman"/>
      <w:kern w:val="2"/>
      <w:sz w:val="21"/>
      <w:szCs w:val="21"/>
      <w:lang w:val="en-US" w:eastAsia="zh-CN" w:bidi="ar-SA"/>
    </w:rPr>
  </w:style>
  <w:style w:type="paragraph" w:customStyle="1" w:styleId="112">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3">
    <w:name w:val="列出段落2"/>
    <w:basedOn w:val="1"/>
    <w:qFormat/>
    <w:uiPriority w:val="34"/>
    <w:pPr>
      <w:ind w:firstLine="420" w:firstLineChars="200"/>
    </w:pPr>
  </w:style>
  <w:style w:type="paragraph" w:customStyle="1" w:styleId="114">
    <w:name w:val="Char1"/>
    <w:basedOn w:val="1"/>
    <w:qFormat/>
    <w:uiPriority w:val="0"/>
    <w:pPr>
      <w:tabs>
        <w:tab w:val="left" w:pos="360"/>
      </w:tabs>
      <w:ind w:left="360" w:hanging="360" w:hangingChars="200"/>
    </w:pPr>
    <w:rPr>
      <w:sz w:val="24"/>
      <w:szCs w:val="24"/>
    </w:rPr>
  </w:style>
  <w:style w:type="paragraph" w:styleId="115">
    <w:name w:val="List Paragraph"/>
    <w:basedOn w:val="1"/>
    <w:unhideWhenUsed/>
    <w:qFormat/>
    <w:uiPriority w:val="99"/>
    <w:pPr>
      <w:ind w:firstLine="420" w:firstLineChars="200"/>
    </w:pPr>
  </w:style>
  <w:style w:type="paragraph" w:customStyle="1" w:styleId="116">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6196</Words>
  <Characters>35320</Characters>
  <Lines>294</Lines>
  <Paragraphs>82</Paragraphs>
  <TotalTime>59</TotalTime>
  <ScaleCrop>false</ScaleCrop>
  <LinksUpToDate>false</LinksUpToDate>
  <CharactersWithSpaces>41434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2019-07-22T09:28:00Z</dcterms:created>
  <dc:creator>Longwill-4</dc:creator>
  <cp:lastModifiedBy>★memory♂format★</cp:lastModifiedBy>
  <cp:lastPrinted>2019-10-09T03:33:00Z</cp:lastPrinted>
  <dcterms:modified xsi:type="dcterms:W3CDTF">2019-12-16T11:38:17Z</dcterms:modified>
  <dc:title>招标编号:SXLHZB2009-276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