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jc w:val="center"/>
        <w:rPr>
          <w:rFonts w:ascii="方正小标宋简体" w:hAnsi="方正小标宋_GBK" w:eastAsia="方正小标宋简体"/>
          <w:b w:val="0"/>
          <w:bCs w:val="0"/>
        </w:rPr>
      </w:pPr>
      <w:bookmarkStart w:id="0" w:name="_Toc24724715"/>
      <w:r>
        <w:rPr>
          <w:rFonts w:hint="eastAsia" w:ascii="方正小标宋简体" w:hAnsi="方正小标宋_GBK" w:eastAsia="方正小标宋简体"/>
          <w:b w:val="0"/>
          <w:bCs w:val="0"/>
          <w:lang w:eastAsia="zh-CN"/>
        </w:rPr>
        <w:t>瑶曲镇</w:t>
      </w:r>
      <w:r>
        <w:rPr>
          <w:rFonts w:hint="eastAsia" w:ascii="方正小标宋简体" w:hAnsi="方正小标宋_GBK" w:eastAsia="方正小标宋简体"/>
          <w:b w:val="0"/>
          <w:bCs w:val="0"/>
        </w:rPr>
        <w:t>征地补偿领域基层政务公开事项标准目录</w:t>
      </w:r>
      <w:bookmarkEnd w:id="0"/>
    </w:p>
    <w:tbl>
      <w:tblPr>
        <w:tblStyle w:val="3"/>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vAlign w:val="center"/>
          </w:tcPr>
          <w:p>
            <w:pPr>
              <w:widowControl/>
              <w:jc w:val="left"/>
              <w:rPr>
                <w:rFonts w:ascii="黑体" w:hAnsi="宋体" w:eastAsia="黑体" w:cs="宋体"/>
                <w:color w:val="000000"/>
                <w:kern w:val="0"/>
                <w:sz w:val="22"/>
              </w:rPr>
            </w:pPr>
          </w:p>
        </w:tc>
        <w:tc>
          <w:tcPr>
            <w:tcW w:w="1260"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786" w:type="dxa"/>
            <w:vMerge w:val="continue"/>
            <w:vAlign w:val="center"/>
          </w:tcPr>
          <w:p>
            <w:pPr>
              <w:widowControl/>
              <w:jc w:val="left"/>
              <w:rPr>
                <w:rFonts w:ascii="黑体" w:hAnsi="宋体" w:eastAsia="黑体" w:cs="宋体"/>
                <w:kern w:val="0"/>
                <w:sz w:val="22"/>
              </w:rPr>
            </w:pPr>
          </w:p>
        </w:tc>
        <w:tc>
          <w:tcPr>
            <w:tcW w:w="55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镇街（园区）级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36" w:hRule="atLeast"/>
          <w:jc w:val="center"/>
        </w:trPr>
        <w:tc>
          <w:tcPr>
            <w:tcW w:w="540" w:type="dxa"/>
            <w:vMerge w:val="restart"/>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1</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spacing w:line="240" w:lineRule="exact"/>
              <w:rPr>
                <w:rFonts w:ascii="仿宋_GB2312" w:eastAsia="仿宋_GB2312"/>
                <w:color w:val="000000"/>
                <w:sz w:val="18"/>
                <w:szCs w:val="18"/>
              </w:rPr>
            </w:pPr>
          </w:p>
        </w:tc>
        <w:tc>
          <w:tcPr>
            <w:tcW w:w="1620" w:type="dxa"/>
            <w:vMerge w:val="restart"/>
            <w:vAlign w:val="center"/>
          </w:tcPr>
          <w:p>
            <w:pPr>
              <w:widowControl/>
              <w:spacing w:line="240" w:lineRule="exact"/>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瑶曲镇人民政府</w:t>
            </w:r>
          </w:p>
        </w:tc>
        <w:tc>
          <w:tcPr>
            <w:tcW w:w="1786"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spacing w:line="240" w:lineRule="exact"/>
              <w:rPr>
                <w:rFonts w:ascii="仿宋_GB2312" w:eastAsia="仿宋_GB2312"/>
                <w:color w:val="000000"/>
                <w:sz w:val="18"/>
                <w:szCs w:val="18"/>
              </w:rPr>
            </w:pPr>
          </w:p>
        </w:tc>
        <w:tc>
          <w:tcPr>
            <w:tcW w:w="554" w:type="dxa"/>
            <w:shd w:val="clear" w:color="auto" w:fill="auto"/>
            <w:vAlign w:val="center"/>
          </w:tcPr>
          <w:p>
            <w:pPr>
              <w:widowControl/>
              <w:spacing w:line="240" w:lineRule="exact"/>
              <w:jc w:val="center"/>
              <w:rPr>
                <w:rFonts w:ascii="仿宋_GB2312" w:eastAsia="仿宋_GB2312"/>
                <w:color w:val="000000"/>
                <w:sz w:val="18"/>
                <w:szCs w:val="18"/>
              </w:rPr>
            </w:pPr>
          </w:p>
        </w:tc>
        <w:tc>
          <w:tcPr>
            <w:tcW w:w="875"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2714" w:type="dxa"/>
            <w:vMerge w:val="continue"/>
            <w:vAlign w:val="center"/>
          </w:tcPr>
          <w:p>
            <w:pPr>
              <w:widowControl/>
              <w:jc w:val="left"/>
              <w:rPr>
                <w:rFonts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rPr>
                <w:rFonts w:ascii="仿宋_GB2312" w:eastAsia="仿宋_GB2312"/>
                <w:color w:val="000000"/>
                <w:sz w:val="18"/>
                <w:szCs w:val="18"/>
              </w:rPr>
            </w:pPr>
          </w:p>
        </w:tc>
        <w:tc>
          <w:tcPr>
            <w:tcW w:w="1786" w:type="dxa"/>
            <w:vMerge w:val="continue"/>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ascii="仿宋_GB2312" w:eastAsia="仿宋_GB2312"/>
                <w:color w:val="000000"/>
                <w:sz w:val="18"/>
                <w:szCs w:val="18"/>
              </w:rPr>
            </w:pPr>
          </w:p>
        </w:tc>
        <w:tc>
          <w:tcPr>
            <w:tcW w:w="551" w:type="dxa"/>
            <w:vMerge w:val="continue"/>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仿宋_GB2312" w:eastAsia="仿宋_GB2312"/>
                <w:color w:val="000000"/>
                <w:sz w:val="18"/>
                <w:szCs w:val="18"/>
                <w:lang w:val="en-US" w:eastAsia="zh-CN"/>
              </w:rPr>
            </w:pPr>
            <w:r>
              <w:rPr>
                <w:rFonts w:hint="eastAsia" w:ascii="仿宋_GB2312" w:eastAsia="仿宋_GB2312"/>
                <w:color w:val="000000"/>
                <w:sz w:val="18"/>
                <w:szCs w:val="18"/>
                <w:lang w:val="en-US" w:eastAsia="zh-CN"/>
              </w:rPr>
              <w:t>2</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pPr>
              <w:spacing w:line="240" w:lineRule="exact"/>
              <w:rPr>
                <w:rFonts w:ascii="仿宋_GB2312" w:eastAsia="仿宋_GB2312"/>
                <w:color w:val="000000"/>
                <w:sz w:val="18"/>
                <w:szCs w:val="18"/>
              </w:rPr>
            </w:pPr>
            <w:r>
              <w:rPr>
                <w:rFonts w:hint="eastAsia" w:ascii="仿宋_GB2312" w:eastAsia="仿宋_GB2312"/>
                <w:color w:val="000000"/>
                <w:sz w:val="18"/>
                <w:szCs w:val="18"/>
              </w:rPr>
              <w:t>1.征收土地勘测调查表；</w:t>
            </w:r>
          </w:p>
          <w:p>
            <w:pPr>
              <w:spacing w:line="240" w:lineRule="exact"/>
              <w:rPr>
                <w:rFonts w:ascii="仿宋_GB2312" w:eastAsia="仿宋_GB2312"/>
                <w:color w:val="000000"/>
                <w:sz w:val="18"/>
                <w:szCs w:val="18"/>
              </w:rPr>
            </w:pPr>
            <w:r>
              <w:rPr>
                <w:rFonts w:hint="eastAsia" w:ascii="仿宋_GB2312" w:eastAsia="仿宋_GB2312"/>
                <w:color w:val="000000"/>
                <w:sz w:val="18"/>
                <w:szCs w:val="18"/>
              </w:rPr>
              <w:t>2.地上附着物和青苗调查登记表；</w:t>
            </w:r>
          </w:p>
          <w:p>
            <w:pPr>
              <w:spacing w:line="240" w:lineRule="exact"/>
              <w:rPr>
                <w:rFonts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pPr>
              <w:widowControl/>
              <w:rPr>
                <w:rFonts w:ascii="仿宋_GB2312" w:eastAsia="仿宋_GB2312"/>
                <w:color w:val="000000"/>
                <w:sz w:val="18"/>
                <w:szCs w:val="18"/>
              </w:rPr>
            </w:pPr>
          </w:p>
        </w:tc>
        <w:tc>
          <w:tcPr>
            <w:tcW w:w="126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eastAsia="zh-CN"/>
              </w:rPr>
              <w:t>瑶曲镇人民政府</w:t>
            </w:r>
          </w:p>
        </w:tc>
        <w:tc>
          <w:tcPr>
            <w:tcW w:w="1786"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2714" w:type="dxa"/>
            <w:vMerge w:val="continue"/>
            <w:vAlign w:val="center"/>
          </w:tcPr>
          <w:p>
            <w:pPr>
              <w:rPr>
                <w:rFonts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color w:val="000000"/>
                <w:sz w:val="18"/>
                <w:szCs w:val="18"/>
              </w:rPr>
            </w:pPr>
          </w:p>
        </w:tc>
        <w:tc>
          <w:tcPr>
            <w:tcW w:w="1786" w:type="dxa"/>
            <w:vMerge w:val="continue"/>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ascii="仿宋_GB2312" w:eastAsia="仿宋_GB2312"/>
                <w:color w:val="000000"/>
                <w:sz w:val="18"/>
                <w:szCs w:val="18"/>
              </w:rPr>
            </w:pPr>
          </w:p>
        </w:tc>
        <w:tc>
          <w:tcPr>
            <w:tcW w:w="551"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3</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vAlign w:val="center"/>
          </w:tcPr>
          <w:p>
            <w:pPr>
              <w:rPr>
                <w:rFonts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pPr>
              <w:rPr>
                <w:rFonts w:ascii="仿宋_GB2312" w:eastAsia="仿宋_GB2312"/>
                <w:color w:val="000000"/>
                <w:sz w:val="18"/>
                <w:szCs w:val="18"/>
              </w:rPr>
            </w:pPr>
            <w:r>
              <w:rPr>
                <w:rFonts w:hint="eastAsia" w:ascii="仿宋_GB2312" w:eastAsia="仿宋_GB2312"/>
                <w:color w:val="000000"/>
                <w:sz w:val="18"/>
                <w:szCs w:val="18"/>
              </w:rPr>
              <w:t>1.《听证通知书》；</w:t>
            </w:r>
          </w:p>
          <w:p>
            <w:pPr>
              <w:rPr>
                <w:rFonts w:ascii="仿宋_GB2312" w:eastAsia="仿宋_GB2312"/>
                <w:color w:val="000000"/>
                <w:sz w:val="18"/>
                <w:szCs w:val="18"/>
              </w:rPr>
            </w:pPr>
            <w:r>
              <w:rPr>
                <w:rFonts w:hint="eastAsia" w:ascii="仿宋_GB2312" w:eastAsia="仿宋_GB2312"/>
                <w:color w:val="000000"/>
                <w:sz w:val="18"/>
                <w:szCs w:val="18"/>
              </w:rPr>
              <w:t>2.听证处理意见；</w:t>
            </w:r>
          </w:p>
          <w:p>
            <w:pPr>
              <w:rPr>
                <w:rFonts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pPr>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lang w:eastAsia="zh-CN"/>
              </w:rPr>
              <w:t>瑶曲镇人民政府</w:t>
            </w:r>
          </w:p>
        </w:tc>
        <w:tc>
          <w:tcPr>
            <w:tcW w:w="1786"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2714" w:type="dxa"/>
            <w:vMerge w:val="continue"/>
            <w:vAlign w:val="center"/>
          </w:tcPr>
          <w:p>
            <w:pPr>
              <w:widowControl/>
              <w:rPr>
                <w:rFonts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color w:val="000000"/>
                <w:sz w:val="18"/>
                <w:szCs w:val="18"/>
              </w:rPr>
            </w:pPr>
          </w:p>
        </w:tc>
        <w:tc>
          <w:tcPr>
            <w:tcW w:w="1786" w:type="dxa"/>
            <w:vMerge w:val="continue"/>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ascii="仿宋_GB2312" w:eastAsia="仿宋_GB2312"/>
                <w:color w:val="000000"/>
                <w:sz w:val="18"/>
                <w:szCs w:val="18"/>
              </w:rPr>
            </w:pPr>
          </w:p>
        </w:tc>
        <w:tc>
          <w:tcPr>
            <w:tcW w:w="551"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4</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5.救济途径。</w:t>
            </w:r>
          </w:p>
        </w:tc>
        <w:tc>
          <w:tcPr>
            <w:tcW w:w="126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lang w:eastAsia="zh-CN"/>
              </w:rPr>
              <w:t>瑶曲镇人民政府</w:t>
            </w:r>
          </w:p>
        </w:tc>
        <w:tc>
          <w:tcPr>
            <w:tcW w:w="1786"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5</w:t>
            </w:r>
            <w:bookmarkStart w:id="1" w:name="_GoBack"/>
            <w:bookmarkEnd w:id="1"/>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vAlign w:val="center"/>
          </w:tcPr>
          <w:p>
            <w:pPr>
              <w:rPr>
                <w:rFonts w:ascii="仿宋_GB2312" w:eastAsia="仿宋_GB2312"/>
                <w:color w:val="000000"/>
                <w:sz w:val="18"/>
                <w:szCs w:val="18"/>
              </w:rPr>
            </w:pPr>
            <w:r>
              <w:rPr>
                <w:rFonts w:hint="eastAsia" w:ascii="仿宋_GB2312" w:eastAsia="仿宋_GB2312"/>
                <w:color w:val="000000"/>
                <w:sz w:val="18"/>
                <w:szCs w:val="18"/>
              </w:rPr>
              <w:t>征地补偿登记汇总表。</w:t>
            </w:r>
          </w:p>
          <w:p>
            <w:pPr>
              <w:rPr>
                <w:rFonts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8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lang w:eastAsia="zh-CN"/>
              </w:rPr>
              <w:t>瑶曲镇人民政府</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 xml:space="preserve">村公示栏（电子屏）  </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vAlign w:val="center"/>
          </w:tcPr>
          <w:p>
            <w:pPr>
              <w:rPr>
                <w:rFonts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pPr>
              <w:rPr>
                <w:rFonts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pPr>
              <w:rPr>
                <w:rFonts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pPr>
              <w:rPr>
                <w:rFonts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pPr>
              <w:rPr>
                <w:rFonts w:ascii="仿宋_GB2312" w:eastAsia="仿宋_GB2312"/>
                <w:color w:val="000000"/>
                <w:sz w:val="18"/>
                <w:szCs w:val="18"/>
              </w:rPr>
            </w:pPr>
            <w:r>
              <w:rPr>
                <w:rFonts w:hint="eastAsia" w:ascii="仿宋_GB2312" w:eastAsia="仿宋_GB2312"/>
                <w:color w:val="000000"/>
                <w:sz w:val="18"/>
                <w:szCs w:val="18"/>
              </w:rPr>
              <w:t>5.农业人员安置具体途径；</w:t>
            </w:r>
          </w:p>
          <w:p>
            <w:pPr>
              <w:rPr>
                <w:rFonts w:ascii="仿宋_GB2312" w:eastAsia="仿宋_GB2312"/>
                <w:color w:val="000000"/>
                <w:sz w:val="18"/>
                <w:szCs w:val="18"/>
              </w:rPr>
            </w:pPr>
            <w:r>
              <w:rPr>
                <w:rFonts w:hint="eastAsia" w:ascii="仿宋_GB2312" w:eastAsia="仿宋_GB2312"/>
                <w:color w:val="000000"/>
                <w:sz w:val="18"/>
                <w:szCs w:val="18"/>
              </w:rPr>
              <w:t>6.其他有关征地补偿、安置的具体措施；</w:t>
            </w:r>
          </w:p>
          <w:p>
            <w:pPr>
              <w:rPr>
                <w:rFonts w:ascii="仿宋_GB2312" w:eastAsia="仿宋_GB2312"/>
                <w:color w:val="000000"/>
                <w:sz w:val="18"/>
                <w:szCs w:val="18"/>
              </w:rPr>
            </w:pPr>
            <w:r>
              <w:rPr>
                <w:rFonts w:hint="eastAsia" w:ascii="仿宋_GB2312" w:eastAsia="仿宋_GB2312"/>
                <w:color w:val="000000"/>
                <w:sz w:val="18"/>
                <w:szCs w:val="18"/>
              </w:rPr>
              <w:t>7.听证等救济途径；</w:t>
            </w:r>
          </w:p>
          <w:p>
            <w:pPr>
              <w:rPr>
                <w:rFonts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vAlign w:val="center"/>
          </w:tcPr>
          <w:p>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公示结束后，转为依申请公开。</w:t>
            </w:r>
          </w:p>
          <w:p>
            <w:pPr>
              <w:widowControl/>
              <w:spacing w:line="320" w:lineRule="exact"/>
              <w:rPr>
                <w:rFonts w:ascii="仿宋_GB2312" w:eastAsia="仿宋_GB2312"/>
                <w:color w:val="000000"/>
                <w:sz w:val="18"/>
                <w:szCs w:val="18"/>
              </w:rPr>
            </w:pPr>
          </w:p>
        </w:tc>
        <w:tc>
          <w:tcPr>
            <w:tcW w:w="162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区政府、自然资源主管部门和负责农村集体土地征收的有关部门</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vAlign w:val="center"/>
          </w:tcPr>
          <w:p>
            <w:pPr>
              <w:rPr>
                <w:rFonts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pPr>
              <w:rPr>
                <w:rFonts w:ascii="仿宋_GB2312" w:eastAsia="仿宋_GB2312"/>
                <w:color w:val="000000"/>
                <w:sz w:val="18"/>
                <w:szCs w:val="18"/>
              </w:rPr>
            </w:pPr>
            <w:r>
              <w:rPr>
                <w:rFonts w:hint="eastAsia" w:ascii="仿宋_GB2312" w:eastAsia="仿宋_GB2312"/>
                <w:color w:val="000000"/>
                <w:sz w:val="18"/>
                <w:szCs w:val="18"/>
              </w:rPr>
              <w:t>1.《听证通知书》；</w:t>
            </w:r>
          </w:p>
          <w:p>
            <w:pPr>
              <w:rPr>
                <w:rFonts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自然资源主管部门和负责农村集体土地征收的有关部门</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征地补偿费用支付凭证。</w:t>
            </w:r>
          </w:p>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《政府信息公开条例》、《征收土地公告办法》</w:t>
            </w:r>
          </w:p>
          <w:p>
            <w:pPr>
              <w:widowControl/>
              <w:spacing w:line="320" w:lineRule="exact"/>
              <w:rPr>
                <w:rFonts w:ascii="仿宋_GB2312" w:eastAsia="仿宋_GB2312"/>
                <w:color w:val="000000"/>
                <w:sz w:val="18"/>
                <w:szCs w:val="18"/>
              </w:rPr>
            </w:pPr>
          </w:p>
        </w:tc>
        <w:tc>
          <w:tcPr>
            <w:tcW w:w="198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自然资源主管部门和负责农村集体土地征收的有关部门</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pPr>
        <w:jc w:val="left"/>
        <w:rPr>
          <w:rFonts w:ascii="宋体" w:hAnsi="宋体"/>
          <w:sz w:val="18"/>
          <w:szCs w:val="18"/>
        </w:rPr>
      </w:pPr>
      <w:r>
        <w:rPr>
          <w:rFonts w:hint="eastAsia" w:ascii="宋体" w:hAnsi="宋体"/>
          <w:sz w:val="18"/>
          <w:szCs w:val="18"/>
        </w:rPr>
        <w:t>注：1.公开内容中标注为“*”标记的，为可选项，由各地根据实际情况确定。</w:t>
      </w:r>
    </w:p>
    <w:p>
      <w:pPr>
        <w:ind w:firstLine="360" w:firstLineChars="200"/>
        <w:jc w:val="left"/>
        <w:rPr>
          <w:rFonts w:ascii="宋体" w:hAnsi="宋体"/>
          <w:sz w:val="28"/>
          <w:szCs w:val="28"/>
        </w:rPr>
      </w:pPr>
      <w:r>
        <w:rPr>
          <w:rFonts w:hint="eastAsia" w:ascii="宋体" w:hAnsi="宋体"/>
          <w:sz w:val="18"/>
          <w:szCs w:val="18"/>
        </w:rPr>
        <w:t>2.公开渠道中标注为“■”标记的，为征地实施中的公开渠道；标注为“▲”标记的，为征地批准后的公开渠道。</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67F"/>
    <w:rsid w:val="001C088C"/>
    <w:rsid w:val="001C3939"/>
    <w:rsid w:val="004A667F"/>
    <w:rsid w:val="00E11E92"/>
    <w:rsid w:val="0DE25AFF"/>
    <w:rsid w:val="74012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标题 1 字符"/>
    <w:basedOn w:val="4"/>
    <w:link w:val="2"/>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523</Words>
  <Characters>2982</Characters>
  <Lines>24</Lines>
  <Paragraphs>6</Paragraphs>
  <TotalTime>2</TotalTime>
  <ScaleCrop>false</ScaleCrop>
  <LinksUpToDate>false</LinksUpToDate>
  <CharactersWithSpaces>3499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2021-05-11T01:24:00Z</dcterms:created>
  <dc:creator>Administrator</dc:creator>
  <cp:lastModifiedBy>settingsun</cp:lastModifiedBy>
  <dcterms:modified xsi:type="dcterms:W3CDTF">2021-06-17T01:21:33Z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0F8F46EE6728475180EFC961741DA5E6</vt:lpwstr>
  </property>
</Properties>
</file>