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jc w:val="center"/>
        <w:rPr>
          <w:rFonts w:ascii="方正小标宋简体" w:hAnsi="方正小标宋_GBK" w:eastAsia="方正小标宋简体"/>
          <w:b w:val="0"/>
          <w:bCs w:val="0"/>
        </w:rPr>
      </w:pPr>
      <w:bookmarkStart w:id="0" w:name="_Toc24724715"/>
      <w:r>
        <w:rPr>
          <w:rFonts w:hint="eastAsia" w:ascii="方正小标宋简体" w:hAnsi="方正小标宋_GBK" w:eastAsia="方正小标宋简体"/>
          <w:b w:val="0"/>
          <w:bCs w:val="0"/>
        </w:rPr>
        <w:t>耀州区</w:t>
      </w:r>
      <w:r>
        <w:rPr>
          <w:rFonts w:hint="eastAsia" w:ascii="方正小标宋简体" w:hAnsi="方正小标宋_GBK" w:eastAsia="方正小标宋简体"/>
          <w:b w:val="0"/>
          <w:bCs w:val="0"/>
          <w:lang w:eastAsia="zh-CN"/>
        </w:rPr>
        <w:t>永安路街道办事处</w:t>
      </w:r>
      <w:r>
        <w:rPr>
          <w:rFonts w:hint="eastAsia" w:ascii="方正小标宋简体" w:hAnsi="方正小标宋_GBK" w:eastAsia="方正小标宋简体"/>
          <w:b w:val="0"/>
          <w:bCs w:val="0"/>
        </w:rPr>
        <w:t>征地补偿领域基层政务公开事项标准目录</w:t>
      </w:r>
      <w:bookmarkEnd w:id="0"/>
    </w:p>
    <w:tbl>
      <w:tblPr>
        <w:tblStyle w:val="4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714"/>
        <w:gridCol w:w="1260"/>
        <w:gridCol w:w="1980"/>
        <w:gridCol w:w="1620"/>
        <w:gridCol w:w="1786"/>
        <w:gridCol w:w="554"/>
        <w:gridCol w:w="875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街道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拟征收土地告知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拟征收土地前，应明确征收土地有关事项并予以公开。1.拟征收土地用途；2.拟征收土地的位置和范围；3.征地补偿标准及安置途径；4.开展土地现状调查的安排；5.拟征收土地的原用途管控（包括不得抢栽、抢种、抢建等有关规定）；6.听证权利；〔*对土地现状调查结果有异议的救济措施〕。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《国务院关于深化改革严格土地管理的决定》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在实地启动拟征收土地工作时，在村公示栏公开。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永安路街道办事处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街道公示栏</w:t>
            </w:r>
            <w:bookmarkStart w:id="1" w:name="_GoBack"/>
            <w:bookmarkEnd w:id="1"/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√面向拟征收土地所在地的村集体成员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收到征地批准文件之日起10个工作日内，在政府网站、征地信息公开平台公开。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收到征地批准文件之日起10个工作日内，在政府网站、征地信息公开平台公开。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收到征地批准文件之日起10个工作日内，在政府网站、征地信息公开平台公开。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征地批准文件</w:t>
            </w:r>
          </w:p>
        </w:tc>
        <w:tc>
          <w:tcPr>
            <w:tcW w:w="271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有权一级人民政府批准用地的批复文件、地方人民政府转发批复文件应予以公开。 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1.国务院批准用地批复文件（指用地由国务院批准）；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2.省级人民政府批准用地批复文件（指用地由省级人民政府批准）；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3.国务院批准城市用地后省级人民政府审核同意实施方案文件；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4.地方人民政府转发用地批复文件；</w:t>
            </w:r>
          </w:p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5.其他用地批准文件。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《土地管理法》、《政府信息公开条例》</w:t>
            </w:r>
          </w:p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收到征地批准文件之日起10个工作日内公开。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永安路街道办事处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街道公示栏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注：1.公开内容中标注为“*”标记的，为可选项，由各地根据实际情况确定。</w:t>
      </w:r>
    </w:p>
    <w:p>
      <w:pPr>
        <w:ind w:firstLine="3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2.公开渠道中标注为“■”标记的，为征地实施中的公开渠道；标注为“▲”标记的，为征地批准后的公开渠道。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7F"/>
    <w:rsid w:val="001C088C"/>
    <w:rsid w:val="001C3939"/>
    <w:rsid w:val="004A667F"/>
    <w:rsid w:val="00E11E92"/>
    <w:rsid w:val="12E30B99"/>
    <w:rsid w:val="2A0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customStyle="1" w:styleId="6">
    <w:name w:val="标题 1 字符"/>
    <w:basedOn w:val="5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523</Words>
  <Characters>2982</Characters>
  <Lines>24</Lines>
  <Paragraphs>6</Paragraphs>
  <TotalTime>58</TotalTime>
  <ScaleCrop>false</ScaleCrop>
  <LinksUpToDate>false</LinksUpToDate>
  <CharactersWithSpaces>3499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2021-05-11T01:24:00Z</dcterms:created>
  <dc:creator>Administrator</dc:creator>
  <cp:lastModifiedBy>肉肉</cp:lastModifiedBy>
  <dcterms:modified xsi:type="dcterms:W3CDTF">2021-06-16T06:24:09Z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5B02C95B042F4CF49DD46D80734F982C</vt:lpwstr>
  </property>
</Properties>
</file>