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铜川市耀州区照金镇人民政府</w:t>
      </w: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2020年政府信息公开年度工作报告</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32"/>
          <w:szCs w:val="32"/>
          <w:lang w:val="en-US" w:eastAsia="zh-CN"/>
        </w:rPr>
      </w:pPr>
    </w:p>
    <w:p>
      <w:pPr>
        <w:pStyle w:val="3"/>
        <w:pageBreakBefore w:val="0"/>
        <w:kinsoku/>
        <w:wordWrap/>
        <w:overflowPunct/>
        <w:topLinePunct w:val="0"/>
        <w:bidi w:val="0"/>
        <w:adjustRightInd/>
        <w:snapToGrid/>
        <w:spacing w:before="0" w:beforeLines="0" w:after="0" w:afterLines="0" w:line="600" w:lineRule="exact"/>
        <w:ind w:left="0" w:leftChars="0"/>
        <w:rPr>
          <w:rFonts w:hint="eastAsia"/>
          <w:b w:val="0"/>
          <w:bCs/>
          <w:lang w:val="en-US" w:eastAsia="zh-CN"/>
        </w:rPr>
      </w:pPr>
      <w:bookmarkStart w:id="0" w:name="_Toc32663"/>
      <w:bookmarkStart w:id="7" w:name="_GoBack"/>
      <w:r>
        <w:rPr>
          <w:rFonts w:hint="eastAsia"/>
          <w:b w:val="0"/>
          <w:bCs/>
          <w:lang w:val="en-US" w:eastAsia="zh-CN"/>
        </w:rPr>
        <w:t>总体情况</w:t>
      </w:r>
      <w:bookmarkEnd w:id="0"/>
    </w:p>
    <w:p>
      <w:pPr>
        <w:spacing w:line="560" w:lineRule="exact"/>
        <w:ind w:firstLine="632" w:firstLineChars="200"/>
        <w:rPr>
          <w:rFonts w:hint="eastAsia" w:ascii="仿宋_GB2312" w:hAnsi="宋体"/>
          <w:sz w:val="32"/>
          <w:szCs w:val="32"/>
          <w:lang w:eastAsia="zh-CN"/>
        </w:rPr>
      </w:pPr>
      <w:bookmarkStart w:id="1" w:name="_Toc21316"/>
      <w:r>
        <w:rPr>
          <w:rFonts w:hint="eastAsia" w:ascii="仿宋_GB2312" w:hAnsi="宋体"/>
          <w:sz w:val="32"/>
          <w:szCs w:val="32"/>
          <w:lang w:eastAsia="zh-CN"/>
        </w:rPr>
        <w:t>（一）概述</w:t>
      </w:r>
    </w:p>
    <w:p>
      <w:pPr>
        <w:spacing w:line="560" w:lineRule="exact"/>
        <w:ind w:firstLine="632" w:firstLineChars="200"/>
        <w:rPr>
          <w:rFonts w:hint="eastAsia" w:ascii="仿宋_GB2312" w:hAnsi="宋体"/>
          <w:sz w:val="32"/>
          <w:szCs w:val="32"/>
          <w:lang w:eastAsia="zh-CN"/>
        </w:rPr>
      </w:pPr>
      <w:r>
        <w:rPr>
          <w:rFonts w:hint="default" w:ascii="Times New Roman" w:hAnsi="Times New Roman" w:cs="Times New Roman"/>
          <w:sz w:val="32"/>
          <w:szCs w:val="32"/>
          <w:lang w:eastAsia="zh-CN"/>
        </w:rPr>
        <w:t>2020</w:t>
      </w:r>
      <w:r>
        <w:rPr>
          <w:rFonts w:hint="eastAsia" w:ascii="仿宋_GB2312" w:hAnsi="宋体"/>
          <w:sz w:val="32"/>
          <w:szCs w:val="32"/>
          <w:lang w:eastAsia="zh-CN"/>
        </w:rPr>
        <w:t xml:space="preserve">年，照金镇认真贯彻落实《中华人民共和国政府信息公开条例》和《铜川市政府信息公开规定》及有关政府信息公开工作的要求，认真开展政府信息公开工作，在主动公开、依法申请公开、政府信息管理等多方面进行了全面的部署和安排，不断完善政务公开内容，畅通政务公开渠道，确保了镇政府信息全面、及时、准确公开，提高了我镇工作的透明度和公信力。  </w:t>
      </w:r>
    </w:p>
    <w:p>
      <w:pPr>
        <w:spacing w:line="560" w:lineRule="exact"/>
        <w:ind w:firstLine="632" w:firstLineChars="200"/>
        <w:rPr>
          <w:rFonts w:hint="eastAsia" w:ascii="仿宋_GB2312" w:hAnsi="宋体"/>
          <w:sz w:val="32"/>
          <w:szCs w:val="32"/>
          <w:lang w:eastAsia="zh-CN"/>
        </w:rPr>
      </w:pPr>
      <w:r>
        <w:rPr>
          <w:rFonts w:hint="eastAsia" w:ascii="仿宋_GB2312" w:hAnsi="宋体"/>
          <w:sz w:val="32"/>
          <w:szCs w:val="32"/>
          <w:lang w:eastAsia="zh-CN"/>
        </w:rPr>
        <w:t>（二）主动公开信息情况</w:t>
      </w:r>
    </w:p>
    <w:p>
      <w:pPr>
        <w:spacing w:line="560" w:lineRule="exact"/>
        <w:ind w:firstLine="632" w:firstLineChars="200"/>
        <w:rPr>
          <w:rFonts w:hint="eastAsia" w:ascii="仿宋_GB2312" w:hAnsi="宋体"/>
          <w:sz w:val="32"/>
          <w:szCs w:val="32"/>
          <w:lang w:eastAsia="zh-CN"/>
        </w:rPr>
      </w:pPr>
      <w:r>
        <w:rPr>
          <w:rFonts w:hint="eastAsia" w:ascii="Times New Roman" w:hAnsi="Times New Roman" w:cs="Times New Roman"/>
          <w:sz w:val="32"/>
          <w:szCs w:val="32"/>
          <w:lang w:eastAsia="zh-CN"/>
        </w:rPr>
        <w:t>2020年</w:t>
      </w:r>
      <w:r>
        <w:rPr>
          <w:rFonts w:hint="eastAsia" w:ascii="仿宋_GB2312" w:hAnsi="宋体"/>
          <w:sz w:val="32"/>
          <w:szCs w:val="32"/>
          <w:lang w:eastAsia="zh-CN"/>
        </w:rPr>
        <w:t>，利用红色照金微信公众号及时宣传照金镇工作动态、亮点及成效，</w:t>
      </w:r>
      <w:r>
        <w:rPr>
          <w:rFonts w:hint="eastAsia" w:ascii="仿宋_GB2312" w:hAnsi="宋体"/>
          <w:sz w:val="32"/>
          <w:szCs w:val="32"/>
          <w:lang w:val="en-US" w:eastAsia="zh-CN"/>
        </w:rPr>
        <w:t>发</w:t>
      </w:r>
      <w:r>
        <w:rPr>
          <w:rFonts w:hint="eastAsia" w:ascii="Times New Roman" w:hAnsi="Times New Roman" w:cs="Times New Roman"/>
          <w:sz w:val="32"/>
          <w:szCs w:val="32"/>
          <w:lang w:val="en-US" w:eastAsia="zh-CN"/>
        </w:rPr>
        <w:t>布141</w:t>
      </w:r>
      <w:r>
        <w:rPr>
          <w:rFonts w:hint="eastAsia" w:ascii="Times New Roman" w:hAnsi="Times New Roman" w:cs="Times New Roman"/>
          <w:sz w:val="32"/>
          <w:szCs w:val="32"/>
          <w:lang w:eastAsia="zh-CN"/>
        </w:rPr>
        <w:t>篇信息</w:t>
      </w:r>
      <w:r>
        <w:rPr>
          <w:rFonts w:hint="eastAsia" w:ascii="仿宋_GB2312" w:hAnsi="宋体"/>
          <w:sz w:val="32"/>
          <w:szCs w:val="32"/>
          <w:lang w:eastAsia="zh-CN"/>
        </w:rPr>
        <w:t>。</w:t>
      </w:r>
    </w:p>
    <w:p>
      <w:pPr>
        <w:spacing w:line="560" w:lineRule="exact"/>
        <w:ind w:firstLine="632" w:firstLineChars="200"/>
        <w:rPr>
          <w:rFonts w:hint="eastAsia" w:ascii="仿宋_GB2312" w:hAnsi="宋体"/>
          <w:sz w:val="32"/>
          <w:szCs w:val="32"/>
          <w:lang w:eastAsia="zh-CN"/>
        </w:rPr>
      </w:pPr>
      <w:r>
        <w:rPr>
          <w:rFonts w:hint="eastAsia" w:ascii="仿宋_GB2312" w:hAnsi="宋体"/>
          <w:sz w:val="32"/>
          <w:szCs w:val="32"/>
          <w:lang w:eastAsia="zh-CN"/>
        </w:rPr>
        <w:t>（三）依申请公开政府信息情况</w:t>
      </w:r>
    </w:p>
    <w:p>
      <w:pPr>
        <w:spacing w:line="560" w:lineRule="exact"/>
        <w:ind w:firstLine="632" w:firstLineChars="200"/>
        <w:rPr>
          <w:rFonts w:hint="eastAsia" w:ascii="仿宋_GB2312" w:hAnsi="宋体"/>
          <w:sz w:val="32"/>
          <w:szCs w:val="32"/>
          <w:lang w:eastAsia="zh-CN"/>
        </w:rPr>
      </w:pPr>
      <w:r>
        <w:rPr>
          <w:rFonts w:hint="eastAsia" w:ascii="Times New Roman" w:hAnsi="Times New Roman" w:cs="Times New Roman"/>
          <w:sz w:val="32"/>
          <w:szCs w:val="32"/>
          <w:lang w:eastAsia="zh-CN"/>
        </w:rPr>
        <w:t>2020年，照</w:t>
      </w:r>
      <w:r>
        <w:rPr>
          <w:rFonts w:hint="eastAsia" w:ascii="仿宋_GB2312" w:hAnsi="宋体"/>
          <w:sz w:val="32"/>
          <w:szCs w:val="32"/>
          <w:lang w:eastAsia="zh-CN"/>
        </w:rPr>
        <w:t>金镇未受理依申请公开事项。</w:t>
      </w:r>
    </w:p>
    <w:p>
      <w:pPr>
        <w:spacing w:line="560" w:lineRule="exact"/>
        <w:ind w:firstLine="632" w:firstLineChars="200"/>
        <w:rPr>
          <w:rFonts w:hint="eastAsia" w:ascii="仿宋_GB2312" w:hAnsi="宋体"/>
          <w:sz w:val="32"/>
          <w:szCs w:val="32"/>
          <w:lang w:eastAsia="zh-CN"/>
        </w:rPr>
      </w:pPr>
      <w:r>
        <w:rPr>
          <w:rFonts w:hint="eastAsia" w:ascii="仿宋_GB2312" w:hAnsi="宋体"/>
          <w:sz w:val="32"/>
          <w:szCs w:val="32"/>
          <w:lang w:eastAsia="zh-CN"/>
        </w:rPr>
        <w:t>（四）政府信息管理</w:t>
      </w:r>
    </w:p>
    <w:p>
      <w:pPr>
        <w:spacing w:line="560" w:lineRule="exact"/>
        <w:ind w:firstLine="632" w:firstLineChars="200"/>
        <w:rPr>
          <w:rFonts w:hint="eastAsia" w:ascii="Times New Roman" w:hAnsi="Times New Roman" w:cs="Times New Roman"/>
          <w:sz w:val="32"/>
          <w:szCs w:val="32"/>
          <w:lang w:eastAsia="zh-CN"/>
        </w:rPr>
      </w:pPr>
      <w:r>
        <w:rPr>
          <w:rFonts w:hint="eastAsia" w:ascii="仿宋_GB2312" w:hAnsi="宋体"/>
          <w:sz w:val="32"/>
          <w:szCs w:val="32"/>
          <w:lang w:eastAsia="zh-CN"/>
        </w:rPr>
        <w:t>照金镇</w:t>
      </w:r>
      <w:r>
        <w:rPr>
          <w:rFonts w:hint="eastAsia" w:ascii="Times New Roman" w:hAnsi="Times New Roman" w:cs="Times New Roman"/>
          <w:sz w:val="32"/>
          <w:szCs w:val="32"/>
          <w:lang w:eastAsia="zh-CN"/>
        </w:rPr>
        <w:t>2020年政务</w:t>
      </w:r>
      <w:r>
        <w:rPr>
          <w:rFonts w:hint="eastAsia" w:ascii="仿宋_GB2312" w:hAnsi="宋体"/>
          <w:sz w:val="32"/>
          <w:szCs w:val="32"/>
          <w:lang w:eastAsia="zh-CN"/>
        </w:rPr>
        <w:t>信息公开工作，全面落实政府信息公开要求，稳步拓展公开范围。围绕</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1266</w:t>
      </w:r>
      <w:r>
        <w:rPr>
          <w:rFonts w:hint="eastAsia" w:ascii="Times New Roman" w:hAnsi="Times New Roman" w:cs="Times New Roman"/>
          <w:sz w:val="32"/>
          <w:szCs w:val="32"/>
          <w:lang w:eastAsia="zh-CN"/>
        </w:rPr>
        <w:t>”发展思路，完成了既定的各项目标任务。</w:t>
      </w:r>
    </w:p>
    <w:p>
      <w:pPr>
        <w:spacing w:line="560" w:lineRule="exact"/>
        <w:ind w:firstLine="632" w:firstLineChars="200"/>
        <w:rPr>
          <w:rFonts w:hint="eastAsia" w:ascii="仿宋_GB2312" w:hAnsi="宋体"/>
          <w:sz w:val="32"/>
          <w:szCs w:val="32"/>
          <w:lang w:eastAsia="zh-CN"/>
        </w:rPr>
      </w:pPr>
      <w:r>
        <w:rPr>
          <w:rFonts w:hint="eastAsia" w:ascii="仿宋_GB2312" w:hAnsi="宋体"/>
          <w:sz w:val="32"/>
          <w:szCs w:val="32"/>
          <w:lang w:eastAsia="zh-CN"/>
        </w:rPr>
        <w:t>（五）平台建设</w:t>
      </w:r>
    </w:p>
    <w:p>
      <w:pPr>
        <w:spacing w:line="560" w:lineRule="exact"/>
        <w:ind w:firstLine="632" w:firstLineChars="200"/>
        <w:rPr>
          <w:rFonts w:hint="eastAsia" w:ascii="仿宋_GB2312" w:hAnsi="宋体"/>
          <w:sz w:val="32"/>
          <w:szCs w:val="32"/>
          <w:lang w:val="en-US" w:eastAsia="zh-CN"/>
        </w:rPr>
      </w:pPr>
      <w:r>
        <w:rPr>
          <w:rFonts w:hint="eastAsia" w:ascii="仿宋_GB2312" w:hAnsi="宋体"/>
          <w:sz w:val="32"/>
          <w:szCs w:val="32"/>
          <w:lang w:val="en-US" w:eastAsia="zh-CN"/>
        </w:rPr>
        <w:t>落实专人具体负责政务新媒体红色照金微信公众平台内容审核与日常维护等工作，全年刊</w:t>
      </w:r>
      <w:r>
        <w:rPr>
          <w:rFonts w:hint="eastAsia" w:ascii="Times New Roman" w:hAnsi="Times New Roman" w:cs="Times New Roman"/>
          <w:sz w:val="32"/>
          <w:szCs w:val="32"/>
          <w:lang w:val="en-US" w:eastAsia="zh-CN"/>
        </w:rPr>
        <w:t>发141篇</w:t>
      </w:r>
      <w:r>
        <w:rPr>
          <w:rFonts w:hint="eastAsia" w:ascii="仿宋_GB2312" w:hAnsi="宋体"/>
          <w:sz w:val="32"/>
          <w:szCs w:val="32"/>
          <w:lang w:val="en-US" w:eastAsia="zh-CN"/>
        </w:rPr>
        <w:t>信息。</w:t>
      </w:r>
    </w:p>
    <w:p>
      <w:pPr>
        <w:spacing w:line="560" w:lineRule="exact"/>
        <w:ind w:firstLine="632" w:firstLineChars="200"/>
        <w:rPr>
          <w:rFonts w:hint="eastAsia" w:ascii="仿宋_GB2312" w:hAnsi="宋体"/>
          <w:sz w:val="32"/>
          <w:szCs w:val="32"/>
          <w:lang w:eastAsia="zh-CN"/>
        </w:rPr>
      </w:pPr>
      <w:r>
        <w:rPr>
          <w:rFonts w:hint="eastAsia" w:ascii="仿宋_GB2312" w:hAnsi="宋体"/>
          <w:sz w:val="32"/>
          <w:szCs w:val="32"/>
          <w:lang w:eastAsia="zh-CN"/>
        </w:rPr>
        <w:t>（六）人大建议和政协提案办理结果公开情况</w:t>
      </w:r>
    </w:p>
    <w:bookmarkEnd w:id="1"/>
    <w:p>
      <w:pPr>
        <w:spacing w:line="560" w:lineRule="exact"/>
        <w:ind w:firstLine="632" w:firstLineChars="200"/>
        <w:rPr>
          <w:rFonts w:hint="eastAsia" w:ascii="仿宋_GB2312" w:hAnsi="宋体" w:eastAsia="仿宋_GB2312"/>
          <w:sz w:val="32"/>
          <w:szCs w:val="32"/>
        </w:rPr>
      </w:pPr>
      <w:r>
        <w:rPr>
          <w:rFonts w:hint="eastAsia" w:ascii="Times New Roman" w:hAnsi="Times New Roman" w:cs="Times New Roman"/>
          <w:sz w:val="32"/>
          <w:szCs w:val="32"/>
          <w:lang w:eastAsia="zh-CN"/>
        </w:rPr>
        <w:t>2020年</w:t>
      </w:r>
      <w:r>
        <w:rPr>
          <w:rFonts w:hint="eastAsia" w:ascii="仿宋_GB2312" w:hAnsi="宋体"/>
          <w:sz w:val="32"/>
          <w:szCs w:val="32"/>
          <w:lang w:eastAsia="zh-CN"/>
        </w:rPr>
        <w:t>收到需书面回复的人大建议一条，已答复。</w:t>
      </w:r>
    </w:p>
    <w:p>
      <w:pPr>
        <w:pStyle w:val="3"/>
        <w:pageBreakBefore w:val="0"/>
        <w:numPr>
          <w:ilvl w:val="0"/>
          <w:numId w:val="0"/>
        </w:numPr>
        <w:kinsoku/>
        <w:wordWrap/>
        <w:overflowPunct/>
        <w:topLinePunct w:val="0"/>
        <w:bidi w:val="0"/>
        <w:adjustRightInd/>
        <w:snapToGrid/>
        <w:spacing w:before="0" w:beforeLines="0" w:after="0" w:afterLines="0" w:line="600" w:lineRule="exact"/>
        <w:ind w:leftChars="200"/>
        <w:rPr>
          <w:rFonts w:hint="eastAsia"/>
          <w:b w:val="0"/>
          <w:bCs/>
          <w:lang w:val="zh-CN"/>
        </w:rPr>
      </w:pPr>
      <w:bookmarkStart w:id="2" w:name="_Toc24458"/>
      <w:r>
        <w:rPr>
          <w:rFonts w:hint="eastAsia"/>
          <w:b w:val="0"/>
          <w:bCs/>
          <w:lang w:val="zh-CN"/>
        </w:rPr>
        <w:t>二、主动公开政府信息情况</w:t>
      </w:r>
      <w:bookmarkEnd w:id="2"/>
    </w:p>
    <w:tbl>
      <w:tblPr>
        <w:tblStyle w:val="14"/>
        <w:tblW w:w="0" w:type="auto"/>
        <w:jc w:val="center"/>
        <w:tblLayout w:type="fixed"/>
        <w:tblCellMar>
          <w:top w:w="0" w:type="dxa"/>
          <w:left w:w="10" w:type="dxa"/>
          <w:bottom w:w="0" w:type="dxa"/>
          <w:right w:w="10" w:type="dxa"/>
        </w:tblCellMar>
      </w:tblPr>
      <w:tblGrid>
        <w:gridCol w:w="2196"/>
        <w:gridCol w:w="2243"/>
        <w:gridCol w:w="2377"/>
        <w:gridCol w:w="2024"/>
      </w:tblGrid>
      <w:tr>
        <w:tblPrEx>
          <w:tblCellMar>
            <w:top w:w="0" w:type="dxa"/>
            <w:left w:w="10" w:type="dxa"/>
            <w:bottom w:w="0" w:type="dxa"/>
            <w:right w:w="10" w:type="dxa"/>
          </w:tblCellMar>
        </w:tblPrEx>
        <w:trPr>
          <w:trHeight w:val="807" w:hRule="exact"/>
          <w:jc w:val="center"/>
        </w:trPr>
        <w:tc>
          <w:tcPr>
            <w:tcW w:w="8840" w:type="dxa"/>
            <w:gridSpan w:val="4"/>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第二十条第（一）项</w:t>
            </w:r>
          </w:p>
        </w:tc>
      </w:tr>
      <w:tr>
        <w:tblPrEx>
          <w:tblCellMar>
            <w:top w:w="0" w:type="dxa"/>
            <w:left w:w="10" w:type="dxa"/>
            <w:bottom w:w="0" w:type="dxa"/>
            <w:right w:w="10" w:type="dxa"/>
          </w:tblCellMar>
        </w:tblPrEx>
        <w:trPr>
          <w:trHeight w:val="777" w:hRule="exact"/>
          <w:jc w:val="center"/>
        </w:trPr>
        <w:tc>
          <w:tcPr>
            <w:tcW w:w="2196"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信息内容</w:t>
            </w:r>
          </w:p>
        </w:tc>
        <w:tc>
          <w:tcPr>
            <w:tcW w:w="2243"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本年新制作数量</w:t>
            </w:r>
          </w:p>
        </w:tc>
        <w:tc>
          <w:tcPr>
            <w:tcW w:w="2377"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本年新公开数量</w:t>
            </w:r>
          </w:p>
        </w:tc>
        <w:tc>
          <w:tcPr>
            <w:tcW w:w="2024"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对外公开总数量</w:t>
            </w:r>
          </w:p>
        </w:tc>
      </w:tr>
      <w:tr>
        <w:tblPrEx>
          <w:tblCellMar>
            <w:top w:w="0" w:type="dxa"/>
            <w:left w:w="10" w:type="dxa"/>
            <w:bottom w:w="0" w:type="dxa"/>
            <w:right w:w="10" w:type="dxa"/>
          </w:tblCellMar>
        </w:tblPrEx>
        <w:trPr>
          <w:trHeight w:val="616" w:hRule="exact"/>
          <w:jc w:val="center"/>
        </w:trPr>
        <w:tc>
          <w:tcPr>
            <w:tcW w:w="2196"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规章</w:t>
            </w:r>
          </w:p>
        </w:tc>
        <w:tc>
          <w:tcPr>
            <w:tcW w:w="2243"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c>
          <w:tcPr>
            <w:tcW w:w="2377"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2024"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CellMar>
            <w:top w:w="0" w:type="dxa"/>
            <w:left w:w="10" w:type="dxa"/>
            <w:bottom w:w="0" w:type="dxa"/>
            <w:right w:w="10" w:type="dxa"/>
          </w:tblCellMar>
        </w:tblPrEx>
        <w:trPr>
          <w:trHeight w:val="629" w:hRule="exact"/>
          <w:jc w:val="center"/>
        </w:trPr>
        <w:tc>
          <w:tcPr>
            <w:tcW w:w="2196"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规范性文件</w:t>
            </w:r>
          </w:p>
        </w:tc>
        <w:tc>
          <w:tcPr>
            <w:tcW w:w="2243"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2377"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2024"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CellMar>
            <w:top w:w="0" w:type="dxa"/>
            <w:left w:w="10" w:type="dxa"/>
            <w:bottom w:w="0" w:type="dxa"/>
            <w:right w:w="10" w:type="dxa"/>
          </w:tblCellMar>
        </w:tblPrEx>
        <w:trPr>
          <w:trHeight w:val="629" w:hRule="exact"/>
          <w:jc w:val="center"/>
        </w:trPr>
        <w:tc>
          <w:tcPr>
            <w:tcW w:w="8840" w:type="dxa"/>
            <w:gridSpan w:val="4"/>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第二十条第（五）项</w:t>
            </w:r>
          </w:p>
        </w:tc>
      </w:tr>
      <w:tr>
        <w:tblPrEx>
          <w:tblCellMar>
            <w:top w:w="0" w:type="dxa"/>
            <w:left w:w="10" w:type="dxa"/>
            <w:bottom w:w="0" w:type="dxa"/>
            <w:right w:w="10" w:type="dxa"/>
          </w:tblCellMar>
        </w:tblPrEx>
        <w:trPr>
          <w:trHeight w:val="786" w:hRule="exact"/>
          <w:jc w:val="center"/>
        </w:trPr>
        <w:tc>
          <w:tcPr>
            <w:tcW w:w="2196"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信息内容</w:t>
            </w:r>
          </w:p>
        </w:tc>
        <w:tc>
          <w:tcPr>
            <w:tcW w:w="2243"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上一年项目数量</w:t>
            </w:r>
          </w:p>
        </w:tc>
        <w:tc>
          <w:tcPr>
            <w:tcW w:w="2377"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本年增/减</w:t>
            </w:r>
          </w:p>
        </w:tc>
        <w:tc>
          <w:tcPr>
            <w:tcW w:w="2024"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处理决定数量</w:t>
            </w:r>
          </w:p>
        </w:tc>
      </w:tr>
      <w:tr>
        <w:tblPrEx>
          <w:tblCellMar>
            <w:top w:w="0" w:type="dxa"/>
            <w:left w:w="10" w:type="dxa"/>
            <w:bottom w:w="0" w:type="dxa"/>
            <w:right w:w="10" w:type="dxa"/>
          </w:tblCellMar>
        </w:tblPrEx>
        <w:trPr>
          <w:trHeight w:val="629" w:hRule="exact"/>
          <w:jc w:val="center"/>
        </w:trPr>
        <w:tc>
          <w:tcPr>
            <w:tcW w:w="2196"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行政许可</w:t>
            </w:r>
          </w:p>
        </w:tc>
        <w:tc>
          <w:tcPr>
            <w:tcW w:w="2243"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c>
          <w:tcPr>
            <w:tcW w:w="2377"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c>
          <w:tcPr>
            <w:tcW w:w="2024"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r>
      <w:tr>
        <w:tblPrEx>
          <w:tblCellMar>
            <w:top w:w="0" w:type="dxa"/>
            <w:left w:w="10" w:type="dxa"/>
            <w:bottom w:w="0" w:type="dxa"/>
            <w:right w:w="10" w:type="dxa"/>
          </w:tblCellMar>
        </w:tblPrEx>
        <w:trPr>
          <w:trHeight w:val="616" w:hRule="exact"/>
          <w:jc w:val="center"/>
        </w:trPr>
        <w:tc>
          <w:tcPr>
            <w:tcW w:w="2196"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其他对外管理服务事项</w:t>
            </w:r>
          </w:p>
        </w:tc>
        <w:tc>
          <w:tcPr>
            <w:tcW w:w="2243"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c>
          <w:tcPr>
            <w:tcW w:w="2377"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2024"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CellMar>
            <w:top w:w="0" w:type="dxa"/>
            <w:left w:w="10" w:type="dxa"/>
            <w:bottom w:w="0" w:type="dxa"/>
            <w:right w:w="10" w:type="dxa"/>
          </w:tblCellMar>
        </w:tblPrEx>
        <w:trPr>
          <w:trHeight w:val="637" w:hRule="exact"/>
          <w:jc w:val="center"/>
        </w:trPr>
        <w:tc>
          <w:tcPr>
            <w:tcW w:w="8840" w:type="dxa"/>
            <w:gridSpan w:val="4"/>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第二十条第（六）项</w:t>
            </w:r>
          </w:p>
        </w:tc>
      </w:tr>
      <w:tr>
        <w:tblPrEx>
          <w:tblCellMar>
            <w:top w:w="0" w:type="dxa"/>
            <w:left w:w="10" w:type="dxa"/>
            <w:bottom w:w="0" w:type="dxa"/>
            <w:right w:w="10" w:type="dxa"/>
          </w:tblCellMar>
        </w:tblPrEx>
        <w:trPr>
          <w:trHeight w:val="629" w:hRule="exact"/>
          <w:jc w:val="center"/>
        </w:trPr>
        <w:tc>
          <w:tcPr>
            <w:tcW w:w="2196"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信息内容</w:t>
            </w:r>
          </w:p>
        </w:tc>
        <w:tc>
          <w:tcPr>
            <w:tcW w:w="2243"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上一年项目数量</w:t>
            </w:r>
          </w:p>
        </w:tc>
        <w:tc>
          <w:tcPr>
            <w:tcW w:w="2377"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本年增/减</w:t>
            </w:r>
          </w:p>
        </w:tc>
        <w:tc>
          <w:tcPr>
            <w:tcW w:w="2024"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处理决定数量</w:t>
            </w:r>
          </w:p>
        </w:tc>
      </w:tr>
      <w:tr>
        <w:tblPrEx>
          <w:tblCellMar>
            <w:top w:w="0" w:type="dxa"/>
            <w:left w:w="10" w:type="dxa"/>
            <w:bottom w:w="0" w:type="dxa"/>
            <w:right w:w="10" w:type="dxa"/>
          </w:tblCellMar>
        </w:tblPrEx>
        <w:trPr>
          <w:trHeight w:val="616" w:hRule="exact"/>
          <w:jc w:val="center"/>
        </w:trPr>
        <w:tc>
          <w:tcPr>
            <w:tcW w:w="2196"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行政处罚</w:t>
            </w:r>
          </w:p>
        </w:tc>
        <w:tc>
          <w:tcPr>
            <w:tcW w:w="2243"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0</w:t>
            </w:r>
          </w:p>
        </w:tc>
        <w:tc>
          <w:tcPr>
            <w:tcW w:w="2377"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0</w:t>
            </w:r>
          </w:p>
        </w:tc>
        <w:tc>
          <w:tcPr>
            <w:tcW w:w="2024"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0</w:t>
            </w:r>
          </w:p>
        </w:tc>
      </w:tr>
      <w:tr>
        <w:tblPrEx>
          <w:tblCellMar>
            <w:top w:w="0" w:type="dxa"/>
            <w:left w:w="10" w:type="dxa"/>
            <w:bottom w:w="0" w:type="dxa"/>
            <w:right w:w="10" w:type="dxa"/>
          </w:tblCellMar>
        </w:tblPrEx>
        <w:trPr>
          <w:trHeight w:val="637" w:hRule="exact"/>
          <w:jc w:val="center"/>
        </w:trPr>
        <w:tc>
          <w:tcPr>
            <w:tcW w:w="2196"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行政强制</w:t>
            </w:r>
          </w:p>
        </w:tc>
        <w:tc>
          <w:tcPr>
            <w:tcW w:w="2243"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iCs w:val="0"/>
                <w:snapToGrid w:val="0"/>
                <w:kern w:val="32"/>
                <w:sz w:val="21"/>
                <w:szCs w:val="21"/>
                <w:lang w:val="en-US"/>
              </w:rPr>
            </w:pPr>
            <w:r>
              <w:rPr>
                <w:rFonts w:hint="eastAsia" w:ascii="宋体" w:hAnsi="宋体" w:eastAsia="宋体" w:cs="宋体"/>
                <w:iCs w:val="0"/>
                <w:snapToGrid w:val="0"/>
                <w:kern w:val="32"/>
                <w:sz w:val="21"/>
                <w:szCs w:val="21"/>
                <w:lang w:val="zh-CN"/>
              </w:rPr>
              <w:t>0</w:t>
            </w:r>
          </w:p>
        </w:tc>
        <w:tc>
          <w:tcPr>
            <w:tcW w:w="2377"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12" w:firstLineChars="200"/>
              <w:jc w:val="center"/>
              <w:textAlignment w:val="auto"/>
              <w:rPr>
                <w:rFonts w:hint="default" w:ascii="宋体" w:hAnsi="宋体" w:eastAsia="宋体" w:cs="宋体"/>
                <w:iCs w:val="0"/>
                <w:snapToGrid w:val="0"/>
                <w:kern w:val="32"/>
                <w:sz w:val="21"/>
                <w:szCs w:val="21"/>
                <w:lang w:val="en-US"/>
              </w:rPr>
            </w:pPr>
            <w:r>
              <w:rPr>
                <w:rFonts w:hint="eastAsia" w:ascii="宋体" w:hAnsi="宋体" w:eastAsia="宋体" w:cs="宋体"/>
                <w:iCs w:val="0"/>
                <w:snapToGrid w:val="0"/>
                <w:kern w:val="32"/>
                <w:sz w:val="21"/>
                <w:szCs w:val="21"/>
                <w:lang w:val="zh-CN"/>
              </w:rPr>
              <w:t>0</w:t>
            </w:r>
          </w:p>
        </w:tc>
        <w:tc>
          <w:tcPr>
            <w:tcW w:w="2024"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12" w:firstLineChars="200"/>
              <w:jc w:val="center"/>
              <w:textAlignment w:val="auto"/>
              <w:rPr>
                <w:rFonts w:hint="default" w:ascii="宋体" w:hAnsi="宋体" w:eastAsia="宋体" w:cs="宋体"/>
                <w:iCs w:val="0"/>
                <w:snapToGrid w:val="0"/>
                <w:kern w:val="32"/>
                <w:sz w:val="21"/>
                <w:szCs w:val="21"/>
                <w:lang w:val="en-US"/>
              </w:rPr>
            </w:pPr>
            <w:r>
              <w:rPr>
                <w:rFonts w:hint="eastAsia" w:ascii="宋体" w:hAnsi="宋体" w:eastAsia="宋体" w:cs="宋体"/>
                <w:iCs w:val="0"/>
                <w:snapToGrid w:val="0"/>
                <w:kern w:val="32"/>
                <w:sz w:val="21"/>
                <w:szCs w:val="21"/>
                <w:lang w:val="zh-CN"/>
              </w:rPr>
              <w:t>0</w:t>
            </w:r>
          </w:p>
        </w:tc>
      </w:tr>
      <w:tr>
        <w:tblPrEx>
          <w:tblCellMar>
            <w:top w:w="0" w:type="dxa"/>
            <w:left w:w="10" w:type="dxa"/>
            <w:bottom w:w="0" w:type="dxa"/>
            <w:right w:w="10" w:type="dxa"/>
          </w:tblCellMar>
        </w:tblPrEx>
        <w:trPr>
          <w:trHeight w:val="629" w:hRule="exact"/>
          <w:jc w:val="center"/>
        </w:trPr>
        <w:tc>
          <w:tcPr>
            <w:tcW w:w="8840" w:type="dxa"/>
            <w:gridSpan w:val="4"/>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第二十条第（八）项</w:t>
            </w:r>
          </w:p>
        </w:tc>
      </w:tr>
      <w:tr>
        <w:tblPrEx>
          <w:tblCellMar>
            <w:top w:w="0" w:type="dxa"/>
            <w:left w:w="10" w:type="dxa"/>
            <w:bottom w:w="0" w:type="dxa"/>
            <w:right w:w="10" w:type="dxa"/>
          </w:tblCellMar>
        </w:tblPrEx>
        <w:trPr>
          <w:trHeight w:val="629" w:hRule="exact"/>
          <w:jc w:val="center"/>
        </w:trPr>
        <w:tc>
          <w:tcPr>
            <w:tcW w:w="2196"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信息内容</w:t>
            </w:r>
          </w:p>
        </w:tc>
        <w:tc>
          <w:tcPr>
            <w:tcW w:w="2243"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上一年项目数量</w:t>
            </w:r>
          </w:p>
        </w:tc>
        <w:tc>
          <w:tcPr>
            <w:tcW w:w="4401" w:type="dxa"/>
            <w:gridSpan w:val="2"/>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本年增/减</w:t>
            </w:r>
          </w:p>
        </w:tc>
      </w:tr>
      <w:tr>
        <w:tblPrEx>
          <w:tblCellMar>
            <w:top w:w="0" w:type="dxa"/>
            <w:left w:w="10" w:type="dxa"/>
            <w:bottom w:w="0" w:type="dxa"/>
            <w:right w:w="10" w:type="dxa"/>
          </w:tblCellMar>
        </w:tblPrEx>
        <w:trPr>
          <w:trHeight w:val="629" w:hRule="exact"/>
          <w:jc w:val="center"/>
        </w:trPr>
        <w:tc>
          <w:tcPr>
            <w:tcW w:w="2196"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行政事业性收费</w:t>
            </w:r>
          </w:p>
        </w:tc>
        <w:tc>
          <w:tcPr>
            <w:tcW w:w="2243"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0</w:t>
            </w:r>
          </w:p>
        </w:tc>
        <w:tc>
          <w:tcPr>
            <w:tcW w:w="4401" w:type="dxa"/>
            <w:gridSpan w:val="2"/>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0</w:t>
            </w:r>
          </w:p>
        </w:tc>
      </w:tr>
      <w:tr>
        <w:tblPrEx>
          <w:tblCellMar>
            <w:top w:w="0" w:type="dxa"/>
            <w:left w:w="10" w:type="dxa"/>
            <w:bottom w:w="0" w:type="dxa"/>
            <w:right w:w="10" w:type="dxa"/>
          </w:tblCellMar>
        </w:tblPrEx>
        <w:trPr>
          <w:trHeight w:val="629" w:hRule="exact"/>
          <w:jc w:val="center"/>
        </w:trPr>
        <w:tc>
          <w:tcPr>
            <w:tcW w:w="8840" w:type="dxa"/>
            <w:gridSpan w:val="4"/>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第二十条第（九）项</w:t>
            </w:r>
          </w:p>
        </w:tc>
      </w:tr>
      <w:tr>
        <w:tblPrEx>
          <w:tblCellMar>
            <w:top w:w="0" w:type="dxa"/>
            <w:left w:w="10" w:type="dxa"/>
            <w:bottom w:w="0" w:type="dxa"/>
            <w:right w:w="10" w:type="dxa"/>
          </w:tblCellMar>
        </w:tblPrEx>
        <w:trPr>
          <w:trHeight w:val="629" w:hRule="exact"/>
          <w:jc w:val="center"/>
        </w:trPr>
        <w:tc>
          <w:tcPr>
            <w:tcW w:w="2196"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信息内容</w:t>
            </w:r>
          </w:p>
        </w:tc>
        <w:tc>
          <w:tcPr>
            <w:tcW w:w="2243"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采购项目数量</w:t>
            </w:r>
          </w:p>
        </w:tc>
        <w:tc>
          <w:tcPr>
            <w:tcW w:w="4401" w:type="dxa"/>
            <w:gridSpan w:val="2"/>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采购总金额</w:t>
            </w:r>
          </w:p>
        </w:tc>
      </w:tr>
      <w:tr>
        <w:tblPrEx>
          <w:tblCellMar>
            <w:top w:w="0" w:type="dxa"/>
            <w:left w:w="10" w:type="dxa"/>
            <w:bottom w:w="0" w:type="dxa"/>
            <w:right w:w="10" w:type="dxa"/>
          </w:tblCellMar>
        </w:tblPrEx>
        <w:trPr>
          <w:trHeight w:val="703" w:hRule="exact"/>
          <w:jc w:val="center"/>
        </w:trPr>
        <w:tc>
          <w:tcPr>
            <w:tcW w:w="2196"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政府集中釆购</w:t>
            </w:r>
          </w:p>
        </w:tc>
        <w:tc>
          <w:tcPr>
            <w:tcW w:w="2243"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14</w:t>
            </w:r>
          </w:p>
        </w:tc>
        <w:tc>
          <w:tcPr>
            <w:tcW w:w="440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717.9万元</w:t>
            </w:r>
          </w:p>
        </w:tc>
      </w:tr>
    </w:tbl>
    <w:p>
      <w:pPr>
        <w:pStyle w:val="3"/>
        <w:pageBreakBefore w:val="0"/>
        <w:numPr>
          <w:ilvl w:val="0"/>
          <w:numId w:val="0"/>
        </w:numPr>
        <w:kinsoku/>
        <w:wordWrap/>
        <w:overflowPunct/>
        <w:topLinePunct w:val="0"/>
        <w:bidi w:val="0"/>
        <w:adjustRightInd/>
        <w:snapToGrid/>
        <w:spacing w:before="0" w:beforeLines="0" w:after="0" w:afterLines="0" w:line="600" w:lineRule="exact"/>
        <w:ind w:leftChars="200"/>
        <w:rPr>
          <w:rFonts w:hint="eastAsia"/>
          <w:b w:val="0"/>
          <w:bCs/>
          <w:lang w:val="zh-CN"/>
        </w:rPr>
      </w:pPr>
      <w:bookmarkStart w:id="3" w:name="_Toc21128"/>
    </w:p>
    <w:p>
      <w:pPr>
        <w:pStyle w:val="3"/>
        <w:pageBreakBefore w:val="0"/>
        <w:numPr>
          <w:ilvl w:val="0"/>
          <w:numId w:val="0"/>
        </w:numPr>
        <w:kinsoku/>
        <w:wordWrap/>
        <w:overflowPunct/>
        <w:topLinePunct w:val="0"/>
        <w:bidi w:val="0"/>
        <w:adjustRightInd/>
        <w:snapToGrid/>
        <w:spacing w:before="0" w:beforeLines="0" w:after="0" w:afterLines="0" w:line="600" w:lineRule="exact"/>
        <w:ind w:leftChars="200"/>
        <w:rPr>
          <w:rFonts w:hint="eastAsia"/>
          <w:b w:val="0"/>
          <w:bCs/>
          <w:lang w:val="zh-CN"/>
        </w:rPr>
      </w:pPr>
      <w:r>
        <w:rPr>
          <w:rFonts w:hint="eastAsia"/>
          <w:b w:val="0"/>
          <w:bCs/>
          <w:lang w:val="zh-CN"/>
        </w:rPr>
        <w:t>三、收到和处理政府信息公开申请情况</w:t>
      </w:r>
      <w:bookmarkEnd w:id="3"/>
    </w:p>
    <w:tbl>
      <w:tblPr>
        <w:tblStyle w:val="14"/>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92"/>
        <w:gridCol w:w="1468"/>
        <w:gridCol w:w="2913"/>
        <w:gridCol w:w="535"/>
        <w:gridCol w:w="570"/>
        <w:gridCol w:w="570"/>
        <w:gridCol w:w="555"/>
        <w:gridCol w:w="570"/>
        <w:gridCol w:w="526"/>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8" w:hRule="exact"/>
          <w:jc w:val="center"/>
        </w:trPr>
        <w:tc>
          <w:tcPr>
            <w:tcW w:w="4973" w:type="dxa"/>
            <w:gridSpan w:val="3"/>
            <w:vMerge w:val="restar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（本列数据的勾稽关系为：第一项加第二项之和， 等于第三项加第四项之和）</w:t>
            </w:r>
          </w:p>
        </w:tc>
        <w:tc>
          <w:tcPr>
            <w:tcW w:w="3906" w:type="dxa"/>
            <w:gridSpan w:val="7"/>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exact"/>
          <w:jc w:val="center"/>
        </w:trPr>
        <w:tc>
          <w:tcPr>
            <w:tcW w:w="4973" w:type="dxa"/>
            <w:gridSpan w:val="3"/>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535" w:type="dxa"/>
            <w:vMerge w:val="restar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自然人</w:t>
            </w:r>
          </w:p>
        </w:tc>
        <w:tc>
          <w:tcPr>
            <w:tcW w:w="2791" w:type="dxa"/>
            <w:gridSpan w:val="5"/>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法人或其他组织</w:t>
            </w:r>
          </w:p>
        </w:tc>
        <w:tc>
          <w:tcPr>
            <w:tcW w:w="580" w:type="dxa"/>
            <w:vMerge w:val="restar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exact"/>
          <w:jc w:val="center"/>
        </w:trPr>
        <w:tc>
          <w:tcPr>
            <w:tcW w:w="4973" w:type="dxa"/>
            <w:gridSpan w:val="3"/>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535"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商业 企业</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科研 机构</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社会 公益 组织</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法律 服务 机构</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其他</w:t>
            </w:r>
          </w:p>
        </w:tc>
        <w:tc>
          <w:tcPr>
            <w:tcW w:w="580"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4973" w:type="dxa"/>
            <w:gridSpan w:val="3"/>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一、本年新收政府信息公开申请数量</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default"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1" w:hRule="exact"/>
          <w:jc w:val="center"/>
        </w:trPr>
        <w:tc>
          <w:tcPr>
            <w:tcW w:w="4973" w:type="dxa"/>
            <w:gridSpan w:val="3"/>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二、上年结转政府信息公开申请数量</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8" w:hRule="exact"/>
          <w:jc w:val="center"/>
        </w:trPr>
        <w:tc>
          <w:tcPr>
            <w:tcW w:w="592" w:type="dxa"/>
            <w:vMerge w:val="restart"/>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三、本年度办理结果</w:t>
            </w:r>
          </w:p>
        </w:tc>
        <w:tc>
          <w:tcPr>
            <w:tcW w:w="4381" w:type="dxa"/>
            <w:gridSpan w:val="2"/>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9"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4381" w:type="dxa"/>
            <w:gridSpan w:val="2"/>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1468" w:type="dxa"/>
            <w:vMerge w:val="restar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p>
            <w:pPr>
              <w:ind w:firstLine="412" w:firstLineChars="200"/>
              <w:jc w:val="center"/>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p>
            <w:pPr>
              <w:ind w:firstLine="412" w:firstLineChars="200"/>
              <w:jc w:val="center"/>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p>
            <w:pPr>
              <w:ind w:firstLine="412" w:firstLineChars="200"/>
              <w:jc w:val="center"/>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p>
            <w:pPr>
              <w:ind w:firstLine="412" w:firstLineChars="200"/>
              <w:jc w:val="center"/>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p>
            <w:pPr>
              <w:ind w:firstLine="412" w:firstLineChars="200"/>
              <w:jc w:val="center"/>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p>
            <w:pPr>
              <w:ind w:firstLine="412" w:firstLineChars="200"/>
              <w:jc w:val="center"/>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p>
            <w:pPr>
              <w:ind w:firstLine="412" w:firstLineChars="200"/>
              <w:jc w:val="center"/>
              <w:rPr>
                <w:rFonts w:hint="eastAsia"/>
                <w:lang w:val="zh-CN"/>
              </w:rPr>
            </w:pPr>
            <w:r>
              <w:rPr>
                <w:rFonts w:hint="eastAsia" w:ascii="宋体" w:hAnsi="宋体" w:eastAsia="宋体" w:cs="宋体"/>
                <w:iCs w:val="0"/>
                <w:snapToGrid w:val="0"/>
                <w:kern w:val="32"/>
                <w:sz w:val="21"/>
                <w:szCs w:val="21"/>
                <w:lang w:val="en-US" w:eastAsia="zh-CN"/>
              </w:rPr>
              <w:t>0</w:t>
            </w:r>
          </w:p>
        </w:tc>
        <w:tc>
          <w:tcPr>
            <w:tcW w:w="291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291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1"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291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291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291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291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291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291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0"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1468" w:type="dxa"/>
            <w:vMerge w:val="restar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p>
            <w:pPr>
              <w:ind w:firstLine="412" w:firstLineChars="200"/>
              <w:jc w:val="center"/>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p>
            <w:pPr>
              <w:ind w:firstLine="412" w:firstLineChars="200"/>
              <w:jc w:val="center"/>
              <w:rPr>
                <w:rFonts w:hint="eastAsia"/>
                <w:lang w:val="zh-CN"/>
              </w:rPr>
            </w:pPr>
            <w:r>
              <w:rPr>
                <w:rFonts w:hint="eastAsia" w:ascii="宋体" w:hAnsi="宋体" w:eastAsia="宋体" w:cs="宋体"/>
                <w:iCs w:val="0"/>
                <w:snapToGrid w:val="0"/>
                <w:kern w:val="32"/>
                <w:sz w:val="21"/>
                <w:szCs w:val="21"/>
                <w:lang w:val="en-US" w:eastAsia="zh-CN"/>
              </w:rPr>
              <w:t>0</w:t>
            </w:r>
          </w:p>
        </w:tc>
        <w:tc>
          <w:tcPr>
            <w:tcW w:w="291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2"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291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0"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291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7"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1468" w:type="dxa"/>
            <w:vMerge w:val="restar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p>
            <w:pPr>
              <w:ind w:firstLine="412" w:firstLineChars="200"/>
              <w:jc w:val="center"/>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p>
            <w:pPr>
              <w:ind w:firstLine="412" w:firstLineChars="200"/>
              <w:jc w:val="center"/>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p>
            <w:pPr>
              <w:ind w:firstLine="412" w:firstLineChars="200"/>
              <w:jc w:val="center"/>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p>
            <w:pPr>
              <w:ind w:firstLine="412" w:firstLineChars="200"/>
              <w:jc w:val="center"/>
              <w:rPr>
                <w:rFonts w:hint="eastAsia"/>
                <w:lang w:val="zh-CN"/>
              </w:rPr>
            </w:pPr>
            <w:r>
              <w:rPr>
                <w:rFonts w:hint="eastAsia" w:ascii="宋体" w:hAnsi="宋体" w:eastAsia="宋体" w:cs="宋体"/>
                <w:iCs w:val="0"/>
                <w:snapToGrid w:val="0"/>
                <w:kern w:val="32"/>
                <w:sz w:val="21"/>
                <w:szCs w:val="21"/>
                <w:lang w:val="en-US" w:eastAsia="zh-CN"/>
              </w:rPr>
              <w:t>0</w:t>
            </w:r>
          </w:p>
        </w:tc>
        <w:tc>
          <w:tcPr>
            <w:tcW w:w="291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7"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291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7"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291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9"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291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3"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1468"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2913"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2"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4381" w:type="dxa"/>
            <w:gridSpan w:val="2"/>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5" w:hRule="exact"/>
          <w:jc w:val="center"/>
        </w:trPr>
        <w:tc>
          <w:tcPr>
            <w:tcW w:w="592" w:type="dxa"/>
            <w:vMerge w:val="continue"/>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4381" w:type="dxa"/>
            <w:gridSpan w:val="2"/>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412" w:firstLineChars="20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exact"/>
          <w:jc w:val="center"/>
        </w:trPr>
        <w:tc>
          <w:tcPr>
            <w:tcW w:w="4973" w:type="dxa"/>
            <w:gridSpan w:val="3"/>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四、结转下年度继续办理</w:t>
            </w:r>
          </w:p>
        </w:tc>
        <w:tc>
          <w:tcPr>
            <w:tcW w:w="53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55"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7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26"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80"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bl>
    <w:p>
      <w:pPr>
        <w:pStyle w:val="3"/>
        <w:pageBreakBefore w:val="0"/>
        <w:numPr>
          <w:ilvl w:val="0"/>
          <w:numId w:val="0"/>
        </w:numPr>
        <w:kinsoku/>
        <w:wordWrap/>
        <w:overflowPunct/>
        <w:topLinePunct w:val="0"/>
        <w:bidi w:val="0"/>
        <w:adjustRightInd/>
        <w:snapToGrid/>
        <w:spacing w:before="0" w:beforeLines="0" w:after="0" w:afterLines="0" w:line="600" w:lineRule="exact"/>
        <w:ind w:leftChars="200"/>
        <w:rPr>
          <w:rFonts w:hint="eastAsia"/>
          <w:b w:val="0"/>
          <w:bCs/>
          <w:lang w:val="zh-CN"/>
        </w:rPr>
      </w:pPr>
      <w:bookmarkStart w:id="4" w:name="_Toc20177"/>
      <w:r>
        <w:rPr>
          <w:rFonts w:hint="eastAsia"/>
          <w:b w:val="0"/>
          <w:bCs/>
          <w:lang w:val="zh-CN"/>
        </w:rPr>
        <w:t>四、政府信息公开行政复议、行政诉讼情况</w:t>
      </w:r>
      <w:bookmarkEnd w:id="4"/>
    </w:p>
    <w:tbl>
      <w:tblPr>
        <w:tblStyle w:val="14"/>
        <w:tblW w:w="0" w:type="auto"/>
        <w:jc w:val="center"/>
        <w:tblLayout w:type="fixed"/>
        <w:tblCellMar>
          <w:top w:w="0" w:type="dxa"/>
          <w:left w:w="10" w:type="dxa"/>
          <w:bottom w:w="0" w:type="dxa"/>
          <w:right w:w="10" w:type="dxa"/>
        </w:tblCellMar>
      </w:tblPr>
      <w:tblGrid>
        <w:gridCol w:w="590"/>
        <w:gridCol w:w="546"/>
        <w:gridCol w:w="594"/>
        <w:gridCol w:w="515"/>
        <w:gridCol w:w="709"/>
        <w:gridCol w:w="655"/>
        <w:gridCol w:w="610"/>
        <w:gridCol w:w="562"/>
        <w:gridCol w:w="563"/>
        <w:gridCol w:w="536"/>
        <w:gridCol w:w="640"/>
        <w:gridCol w:w="640"/>
        <w:gridCol w:w="656"/>
        <w:gridCol w:w="546"/>
        <w:gridCol w:w="477"/>
      </w:tblGrid>
      <w:tr>
        <w:tblPrEx>
          <w:tblCellMar>
            <w:top w:w="0" w:type="dxa"/>
            <w:left w:w="10" w:type="dxa"/>
            <w:bottom w:w="0" w:type="dxa"/>
            <w:right w:w="10" w:type="dxa"/>
          </w:tblCellMar>
        </w:tblPrEx>
        <w:trPr>
          <w:trHeight w:val="566" w:hRule="exact"/>
          <w:jc w:val="center"/>
        </w:trPr>
        <w:tc>
          <w:tcPr>
            <w:tcW w:w="2954" w:type="dxa"/>
            <w:gridSpan w:val="5"/>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行政复议</w:t>
            </w:r>
          </w:p>
        </w:tc>
        <w:tc>
          <w:tcPr>
            <w:tcW w:w="5885" w:type="dxa"/>
            <w:gridSpan w:val="10"/>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行政诉讼</w:t>
            </w:r>
          </w:p>
        </w:tc>
      </w:tr>
      <w:tr>
        <w:tblPrEx>
          <w:tblCellMar>
            <w:top w:w="0" w:type="dxa"/>
            <w:left w:w="10" w:type="dxa"/>
            <w:bottom w:w="0" w:type="dxa"/>
            <w:right w:w="10" w:type="dxa"/>
          </w:tblCellMar>
        </w:tblPrEx>
        <w:trPr>
          <w:trHeight w:val="566" w:hRule="exact"/>
          <w:jc w:val="center"/>
        </w:trPr>
        <w:tc>
          <w:tcPr>
            <w:tcW w:w="590" w:type="dxa"/>
            <w:vMerge w:val="restart"/>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结果 维持</w:t>
            </w:r>
          </w:p>
        </w:tc>
        <w:tc>
          <w:tcPr>
            <w:tcW w:w="546" w:type="dxa"/>
            <w:vMerge w:val="restart"/>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结果 纠正</w:t>
            </w:r>
          </w:p>
        </w:tc>
        <w:tc>
          <w:tcPr>
            <w:tcW w:w="594" w:type="dxa"/>
            <w:vMerge w:val="restart"/>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其他 结果</w:t>
            </w:r>
          </w:p>
        </w:tc>
        <w:tc>
          <w:tcPr>
            <w:tcW w:w="515" w:type="dxa"/>
            <w:vMerge w:val="restart"/>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尚未 审结</w:t>
            </w:r>
          </w:p>
        </w:tc>
        <w:tc>
          <w:tcPr>
            <w:tcW w:w="709" w:type="dxa"/>
            <w:vMerge w:val="restart"/>
            <w:tcBorders>
              <w:top w:val="single" w:color="auto" w:sz="4" w:space="0"/>
              <w:left w:val="single" w:color="auto" w:sz="4" w:space="0"/>
            </w:tcBorders>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总计</w:t>
            </w:r>
          </w:p>
        </w:tc>
        <w:tc>
          <w:tcPr>
            <w:tcW w:w="2926" w:type="dxa"/>
            <w:gridSpan w:val="5"/>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未经复议直接起诉</w:t>
            </w:r>
          </w:p>
        </w:tc>
        <w:tc>
          <w:tcPr>
            <w:tcW w:w="2959" w:type="dxa"/>
            <w:gridSpan w:val="5"/>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复议后起诉</w:t>
            </w:r>
          </w:p>
        </w:tc>
      </w:tr>
      <w:tr>
        <w:tblPrEx>
          <w:tblCellMar>
            <w:top w:w="0" w:type="dxa"/>
            <w:left w:w="10" w:type="dxa"/>
            <w:bottom w:w="0" w:type="dxa"/>
            <w:right w:w="10" w:type="dxa"/>
          </w:tblCellMar>
        </w:tblPrEx>
        <w:trPr>
          <w:trHeight w:val="1043" w:hRule="exact"/>
          <w:jc w:val="center"/>
        </w:trPr>
        <w:tc>
          <w:tcPr>
            <w:tcW w:w="590"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546"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594"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515"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709" w:type="dxa"/>
            <w:vMerge w:val="continue"/>
            <w:tcBorders>
              <w:left w:val="single" w:color="auto" w:sz="4" w:space="0"/>
            </w:tcBorders>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p>
        </w:tc>
        <w:tc>
          <w:tcPr>
            <w:tcW w:w="655"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结果 维持</w:t>
            </w:r>
          </w:p>
        </w:tc>
        <w:tc>
          <w:tcPr>
            <w:tcW w:w="610"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结果 纠正</w:t>
            </w:r>
          </w:p>
        </w:tc>
        <w:tc>
          <w:tcPr>
            <w:tcW w:w="562"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其他 结果</w:t>
            </w:r>
          </w:p>
        </w:tc>
        <w:tc>
          <w:tcPr>
            <w:tcW w:w="563"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尚未 审结</w:t>
            </w:r>
          </w:p>
        </w:tc>
        <w:tc>
          <w:tcPr>
            <w:tcW w:w="536"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总 计</w:t>
            </w:r>
          </w:p>
        </w:tc>
        <w:tc>
          <w:tcPr>
            <w:tcW w:w="640"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结果 维持</w:t>
            </w:r>
          </w:p>
        </w:tc>
        <w:tc>
          <w:tcPr>
            <w:tcW w:w="640"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结果 纠正</w:t>
            </w:r>
          </w:p>
        </w:tc>
        <w:tc>
          <w:tcPr>
            <w:tcW w:w="656"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其他 结果</w:t>
            </w:r>
          </w:p>
        </w:tc>
        <w:tc>
          <w:tcPr>
            <w:tcW w:w="546"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尚未 审结</w:t>
            </w:r>
          </w:p>
        </w:tc>
        <w:tc>
          <w:tcPr>
            <w:tcW w:w="477" w:type="dxa"/>
            <w:tcBorders>
              <w:top w:val="single" w:color="auto" w:sz="4" w:space="0"/>
              <w:left w:val="single" w:color="auto" w:sz="4" w:space="0"/>
              <w:right w:val="single" w:color="auto" w:sz="4" w:space="0"/>
            </w:tcBorders>
            <w:shd w:val="clear" w:color="auto" w:fill="FFFFFF"/>
            <w:noWrap w:val="0"/>
            <w:textDirection w:val="tbRlV"/>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zh-CN"/>
              </w:rPr>
              <w:t>总计</w:t>
            </w:r>
          </w:p>
        </w:tc>
      </w:tr>
      <w:tr>
        <w:tblPrEx>
          <w:tblCellMar>
            <w:top w:w="0" w:type="dxa"/>
            <w:left w:w="10" w:type="dxa"/>
            <w:bottom w:w="0" w:type="dxa"/>
            <w:right w:w="10" w:type="dxa"/>
          </w:tblCellMar>
        </w:tblPrEx>
        <w:trPr>
          <w:trHeight w:val="666" w:hRule="exact"/>
          <w:jc w:val="center"/>
        </w:trPr>
        <w:tc>
          <w:tcPr>
            <w:tcW w:w="590"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en-US" w:eastAsia="zh-CN"/>
              </w:rPr>
            </w:pPr>
            <w:r>
              <w:rPr>
                <w:rFonts w:hint="eastAsia" w:ascii="宋体" w:hAnsi="宋体" w:eastAsia="宋体" w:cs="宋体"/>
                <w:iCs w:val="0"/>
                <w:snapToGrid w:val="0"/>
                <w:kern w:val="32"/>
                <w:sz w:val="21"/>
                <w:szCs w:val="21"/>
                <w:lang w:val="en-US" w:eastAsia="zh-CN"/>
              </w:rPr>
              <w:t>0</w:t>
            </w:r>
          </w:p>
        </w:tc>
        <w:tc>
          <w:tcPr>
            <w:tcW w:w="546"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94"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1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709"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65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610"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62"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63"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36"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640"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640"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656"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546"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c>
          <w:tcPr>
            <w:tcW w:w="4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iCs w:val="0"/>
                <w:snapToGrid w:val="0"/>
                <w:kern w:val="32"/>
                <w:sz w:val="21"/>
                <w:szCs w:val="21"/>
                <w:lang w:val="zh-CN"/>
              </w:rPr>
            </w:pPr>
            <w:r>
              <w:rPr>
                <w:rFonts w:hint="eastAsia" w:ascii="宋体" w:hAnsi="宋体" w:eastAsia="宋体" w:cs="宋体"/>
                <w:iCs w:val="0"/>
                <w:snapToGrid w:val="0"/>
                <w:kern w:val="32"/>
                <w:sz w:val="21"/>
                <w:szCs w:val="21"/>
                <w:lang w:val="en-US" w:eastAsia="zh-CN"/>
              </w:rPr>
              <w:t>0</w:t>
            </w:r>
          </w:p>
        </w:tc>
      </w:tr>
    </w:tbl>
    <w:p>
      <w:pPr>
        <w:pStyle w:val="3"/>
        <w:pageBreakBefore w:val="0"/>
        <w:numPr>
          <w:ilvl w:val="0"/>
          <w:numId w:val="0"/>
        </w:numPr>
        <w:kinsoku/>
        <w:wordWrap/>
        <w:overflowPunct/>
        <w:topLinePunct w:val="0"/>
        <w:bidi w:val="0"/>
        <w:adjustRightInd/>
        <w:snapToGrid/>
        <w:spacing w:before="0" w:beforeLines="0" w:after="0" w:afterLines="0" w:line="600" w:lineRule="exact"/>
        <w:ind w:leftChars="200"/>
        <w:rPr>
          <w:b w:val="0"/>
          <w:bCs/>
        </w:rPr>
      </w:pPr>
      <w:bookmarkStart w:id="5" w:name="_Toc6430"/>
      <w:r>
        <w:rPr>
          <w:rFonts w:hint="eastAsia"/>
          <w:b w:val="0"/>
          <w:bCs/>
          <w:lang w:val="en-US" w:eastAsia="zh-CN"/>
        </w:rPr>
        <w:t>五、</w:t>
      </w:r>
      <w:r>
        <w:rPr>
          <w:b w:val="0"/>
          <w:bCs/>
          <w:lang w:val="en-US" w:eastAsia="zh-CN"/>
        </w:rPr>
        <w:t>存在的主要问题及改进情况</w:t>
      </w:r>
      <w:bookmarkEnd w:id="5"/>
    </w:p>
    <w:p>
      <w:pPr>
        <w:pStyle w:val="24"/>
        <w:tabs>
          <w:tab w:val="left" w:pos="1210"/>
        </w:tabs>
        <w:spacing w:line="600" w:lineRule="exact"/>
        <w:ind w:firstLine="578"/>
        <w:rPr>
          <w:rFonts w:hint="eastAsia" w:ascii="仿宋_GB2312" w:hAnsi="宋体" w:eastAsia="仿宋_GB2312" w:cs="仿宋_GB2312"/>
          <w:i w:val="0"/>
          <w:caps w:val="0"/>
          <w:color w:val="2B2B2B"/>
          <w:spacing w:val="0"/>
          <w:sz w:val="31"/>
          <w:szCs w:val="31"/>
          <w:lang w:eastAsia="zh-CN"/>
        </w:rPr>
      </w:pPr>
      <w:bookmarkStart w:id="6" w:name="bookmark32"/>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年，我</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政务公开工作取得了一定成效，但还存在一些不足：</w:t>
      </w:r>
      <w:r>
        <w:rPr>
          <w:rFonts w:hint="eastAsia" w:ascii="Times New Roman" w:hAnsi="Times New Roman" w:eastAsia="仿宋_GB2312" w:cs="Times New Roman"/>
          <w:sz w:val="32"/>
          <w:szCs w:val="32"/>
        </w:rPr>
        <w:t>一是政府信息公开的广度深度不够</w:t>
      </w:r>
      <w:r>
        <w:rPr>
          <w:rFonts w:hint="default" w:ascii="Times New Roman" w:hAnsi="Times New Roman" w:eastAsia="仿宋_GB2312" w:cs="Times New Roman"/>
          <w:sz w:val="32"/>
          <w:szCs w:val="32"/>
        </w:rPr>
        <w:t>，对一些政策文件公开不及时、解读不及时。</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是主动信息公开与公众的信息公开需求仍有差距，内容仍需进一步深化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下一步，我</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将结合实际情况，突出工作重点，弥补工作短板，全力推动政务公开工作向纵深发展。</w:t>
      </w:r>
      <w:r>
        <w:rPr>
          <w:rFonts w:hint="eastAsia" w:ascii="Times New Roman" w:hAnsi="Times New Roman" w:eastAsia="仿宋_GB2312" w:cs="Times New Roman"/>
          <w:sz w:val="32"/>
          <w:szCs w:val="32"/>
        </w:rPr>
        <w:t>一是进一步完善工作机制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不断创新工作方式方法，加强信息报送工作力度，使信息公开业务更加有序、便民、高效，确保广大人民群众的知情权、参与权、表达权和监督权。二是进一步拓宽信息公开途径。通过村务公开、微信公众号、宣传资料等多种方式，加大政策宣传力度，细化信息公开工作流程，拓</w:t>
      </w:r>
      <w:r>
        <w:rPr>
          <w:rFonts w:hint="eastAsia" w:ascii="仿宋_GB2312" w:hAnsi="宋体" w:eastAsia="仿宋_GB2312" w:cs="仿宋_GB2312"/>
          <w:i w:val="0"/>
          <w:caps w:val="0"/>
          <w:color w:val="2B2B2B"/>
          <w:spacing w:val="0"/>
          <w:sz w:val="31"/>
          <w:szCs w:val="31"/>
        </w:rPr>
        <w:t>宽公开渠道，建立高效信息反馈机制</w:t>
      </w:r>
      <w:r>
        <w:rPr>
          <w:rFonts w:hint="eastAsia" w:ascii="仿宋_GB2312" w:eastAsia="仿宋_GB2312" w:cs="仿宋_GB2312"/>
          <w:i w:val="0"/>
          <w:caps w:val="0"/>
          <w:color w:val="2B2B2B"/>
          <w:spacing w:val="0"/>
          <w:sz w:val="31"/>
          <w:szCs w:val="31"/>
          <w:lang w:eastAsia="zh-CN"/>
        </w:rPr>
        <w:t>。</w:t>
      </w:r>
    </w:p>
    <w:p>
      <w:pPr>
        <w:pStyle w:val="24"/>
        <w:tabs>
          <w:tab w:val="left" w:pos="1210"/>
        </w:tabs>
        <w:spacing w:line="600" w:lineRule="exact"/>
        <w:ind w:firstLine="578"/>
        <w:rPr>
          <w:rFonts w:ascii="Times New Roman" w:hAnsi="Times New Roman" w:eastAsia="仿宋_GB2312" w:cs="Times New Roman"/>
          <w:snapToGrid w:val="0"/>
          <w:color w:val="000000"/>
          <w:spacing w:val="-23"/>
          <w:sz w:val="32"/>
          <w:szCs w:val="32"/>
        </w:rPr>
      </w:pPr>
      <w:r>
        <w:rPr>
          <w:rFonts w:ascii="Times New Roman" w:hAnsi="Times New Roman" w:eastAsia="黑体" w:cs="Times New Roman"/>
          <w:snapToGrid w:val="0"/>
          <w:color w:val="000000"/>
          <w:kern w:val="32"/>
          <w:sz w:val="32"/>
          <w:szCs w:val="32"/>
          <w:lang w:val="zh-CN" w:eastAsia="zh-CN" w:bidi="ar-SA"/>
        </w:rPr>
        <w:t>六</w:t>
      </w:r>
      <w:bookmarkEnd w:id="6"/>
      <w:r>
        <w:rPr>
          <w:rFonts w:ascii="Times New Roman" w:hAnsi="Times New Roman" w:eastAsia="黑体" w:cs="Times New Roman"/>
          <w:snapToGrid w:val="0"/>
          <w:color w:val="000000"/>
          <w:kern w:val="32"/>
          <w:sz w:val="32"/>
          <w:szCs w:val="32"/>
          <w:lang w:val="zh-CN" w:eastAsia="zh-CN" w:bidi="ar-SA"/>
        </w:rPr>
        <w:t>、</w:t>
      </w:r>
      <w:r>
        <w:rPr>
          <w:rFonts w:ascii="Times New Roman" w:hAnsi="Times New Roman" w:eastAsia="黑体" w:cs="Times New Roman"/>
          <w:snapToGrid w:val="0"/>
          <w:color w:val="000000"/>
          <w:kern w:val="32"/>
          <w:sz w:val="32"/>
          <w:szCs w:val="32"/>
          <w:lang w:val="en-US" w:eastAsia="zh-CN" w:bidi="ar-SA"/>
        </w:rPr>
        <w:t>无</w:t>
      </w:r>
      <w:r>
        <w:rPr>
          <w:rFonts w:ascii="Times New Roman" w:hAnsi="Times New Roman" w:eastAsia="黑体" w:cs="Times New Roman"/>
          <w:snapToGrid w:val="0"/>
          <w:color w:val="000000"/>
          <w:kern w:val="32"/>
          <w:sz w:val="32"/>
          <w:szCs w:val="32"/>
          <w:lang w:val="zh-CN" w:eastAsia="zh-CN" w:bidi="ar-SA"/>
        </w:rPr>
        <w:t>其他需要报告的事项</w:t>
      </w:r>
    </w:p>
    <w:bookmarkEnd w:id="7"/>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照金镇人民政府</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1月20</w:t>
      </w:r>
      <w:r>
        <w:rPr>
          <w:rFonts w:hint="eastAsia" w:ascii="仿宋_GB2312" w:hAnsi="仿宋_GB2312" w:eastAsia="仿宋_GB2312" w:cs="仿宋_GB2312"/>
          <w:sz w:val="32"/>
          <w:szCs w:val="32"/>
          <w:lang w:val="en-US" w:eastAsia="zh-CN"/>
        </w:rPr>
        <w:t>日</w:t>
      </w:r>
    </w:p>
    <w:sectPr>
      <w:footerReference r:id="rId3" w:type="default"/>
      <w:pgSz w:w="11906" w:h="16838"/>
      <w:pgMar w:top="1474" w:right="1474" w:bottom="1304" w:left="1587" w:header="851" w:footer="964"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rebuchet MS">
    <w:panose1 w:val="020B0603020202020204"/>
    <w:charset w:val="00"/>
    <w:family w:val="auto"/>
    <w:pitch w:val="default"/>
    <w:sig w:usb0="00000687" w:usb1="00000000"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rPr>
                              <w:rFonts w:hint="eastAsia" w:eastAsia="仿宋_GB2312"/>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ind w:left="0" w:leftChars="0" w:firstLine="0" w:firstLineChars="0"/>
                      <w:rPr>
                        <w:rFonts w:hint="eastAsia" w:eastAsia="仿宋_GB2312"/>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2235F"/>
    <w:multiLevelType w:val="singleLevel"/>
    <w:tmpl w:val="5A82235F"/>
    <w:lvl w:ilvl="0" w:tentative="0">
      <w:start w:val="1"/>
      <w:numFmt w:val="decimal"/>
      <w:pStyle w:val="5"/>
      <w:lvlText w:val="%1."/>
      <w:lvlJc w:val="left"/>
      <w:pPr>
        <w:tabs>
          <w:tab w:val="left" w:pos="0"/>
        </w:tabs>
        <w:ind w:left="0" w:leftChars="0" w:firstLine="0" w:firstLineChars="0"/>
      </w:pPr>
      <w:rPr>
        <w:rFonts w:hint="default"/>
      </w:rPr>
    </w:lvl>
  </w:abstractNum>
  <w:abstractNum w:abstractNumId="1">
    <w:nsid w:val="61979200"/>
    <w:multiLevelType w:val="singleLevel"/>
    <w:tmpl w:val="61979200"/>
    <w:lvl w:ilvl="0" w:tentative="0">
      <w:start w:val="1"/>
      <w:numFmt w:val="chineseCounting"/>
      <w:pStyle w:val="3"/>
      <w:suff w:val="nothing"/>
      <w:lvlText w:val="%1、"/>
      <w:lvlJc w:val="left"/>
      <w:pPr>
        <w:ind w:left="0" w:firstLine="420"/>
      </w:pPr>
      <w:rPr>
        <w:rFonts w:hint="eastAsia"/>
      </w:rPr>
    </w:lvl>
  </w:abstractNum>
  <w:abstractNum w:abstractNumId="2">
    <w:nsid w:val="7A98FAF2"/>
    <w:multiLevelType w:val="singleLevel"/>
    <w:tmpl w:val="7A98FAF2"/>
    <w:lvl w:ilvl="0" w:tentative="0">
      <w:start w:val="1"/>
      <w:numFmt w:val="decimal"/>
      <w:pStyle w:val="6"/>
      <w:isLgl/>
      <w:suff w:val="nothing"/>
      <w:lvlText w:val="(%1)"/>
      <w:lvlJc w:val="left"/>
      <w:pPr>
        <w:tabs>
          <w:tab w:val="left" w:pos="0"/>
        </w:tabs>
        <w:ind w:left="0" w:leftChars="0" w:firstLine="0" w:firstLineChars="0"/>
      </w:pPr>
      <w:rPr>
        <w:rFonts w:hint="default" w:ascii="宋体" w:hAnsi="宋体" w:eastAsia="宋体" w:cs="宋体"/>
        <w:snapToGrid w:val="0"/>
        <w:sz w:val="32"/>
        <w:szCs w:val="3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A70F26"/>
    <w:rsid w:val="0A27009C"/>
    <w:rsid w:val="1110648E"/>
    <w:rsid w:val="118E3C38"/>
    <w:rsid w:val="17BA267C"/>
    <w:rsid w:val="1EA20F86"/>
    <w:rsid w:val="1F821C16"/>
    <w:rsid w:val="24074672"/>
    <w:rsid w:val="279D4881"/>
    <w:rsid w:val="28D3193A"/>
    <w:rsid w:val="2BD14E53"/>
    <w:rsid w:val="2FBE5B7F"/>
    <w:rsid w:val="31F20A26"/>
    <w:rsid w:val="324A1CD8"/>
    <w:rsid w:val="337E2535"/>
    <w:rsid w:val="344A5BFF"/>
    <w:rsid w:val="348212FB"/>
    <w:rsid w:val="37C96994"/>
    <w:rsid w:val="3E526054"/>
    <w:rsid w:val="3E9D0E97"/>
    <w:rsid w:val="3EC0773D"/>
    <w:rsid w:val="3FDE592C"/>
    <w:rsid w:val="4756664B"/>
    <w:rsid w:val="4B270795"/>
    <w:rsid w:val="4E2907D0"/>
    <w:rsid w:val="4EC72B8F"/>
    <w:rsid w:val="540E64E4"/>
    <w:rsid w:val="56552BD9"/>
    <w:rsid w:val="5A7A5460"/>
    <w:rsid w:val="5A9E6576"/>
    <w:rsid w:val="5AB23645"/>
    <w:rsid w:val="5DA676A4"/>
    <w:rsid w:val="675049A1"/>
    <w:rsid w:val="6B5668E3"/>
    <w:rsid w:val="6EB054E4"/>
    <w:rsid w:val="77BF49A7"/>
    <w:rsid w:val="78C47250"/>
    <w:rsid w:val="79CB24EC"/>
    <w:rsid w:val="7C5231D6"/>
    <w:rsid w:val="7DEE4F38"/>
    <w:rsid w:val="7EDF0E26"/>
    <w:rsid w:val="7FB9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eastAsia="仿宋_GB2312" w:asciiTheme="minorAscii" w:hAnsiTheme="minorAscii" w:cstheme="minorBidi"/>
      <w:kern w:val="2"/>
      <w:sz w:val="32"/>
      <w:szCs w:val="32"/>
      <w:lang w:val="en-US" w:eastAsia="zh-CN" w:bidi="ar-SA"/>
    </w:rPr>
  </w:style>
  <w:style w:type="paragraph" w:styleId="3">
    <w:name w:val="heading 1"/>
    <w:basedOn w:val="4"/>
    <w:next w:val="1"/>
    <w:qFormat/>
    <w:uiPriority w:val="0"/>
    <w:pPr>
      <w:keepNext/>
      <w:keepLines w:val="0"/>
      <w:numPr>
        <w:ilvl w:val="0"/>
        <w:numId w:val="1"/>
      </w:numPr>
      <w:spacing w:beforeLines="0" w:beforeAutospacing="0" w:afterLines="0" w:afterAutospacing="0" w:line="600" w:lineRule="exact"/>
      <w:jc w:val="both"/>
      <w:outlineLvl w:val="0"/>
    </w:pPr>
    <w:rPr>
      <w:rFonts w:ascii="Trebuchet MS" w:hAnsi="Trebuchet MS" w:eastAsia="黑体"/>
      <w:kern w:val="44"/>
    </w:rPr>
  </w:style>
  <w:style w:type="paragraph" w:styleId="5">
    <w:name w:val="heading 2"/>
    <w:basedOn w:val="3"/>
    <w:next w:val="1"/>
    <w:unhideWhenUsed/>
    <w:qFormat/>
    <w:uiPriority w:val="0"/>
    <w:pPr>
      <w:numPr>
        <w:ilvl w:val="0"/>
        <w:numId w:val="2"/>
      </w:numPr>
      <w:spacing w:before="0" w:beforeAutospacing="0" w:after="0" w:afterAutospacing="0" w:line="600" w:lineRule="exact"/>
      <w:ind w:left="0" w:firstLine="880" w:firstLineChars="200"/>
      <w:jc w:val="both"/>
      <w:outlineLvl w:val="1"/>
    </w:pPr>
    <w:rPr>
      <w:rFonts w:hint="eastAsia" w:ascii="宋体" w:hAnsi="宋体" w:eastAsia="楷体_GB2312" w:cs="宋体"/>
      <w:kern w:val="0"/>
      <w:szCs w:val="36"/>
      <w:lang w:bidi="ar"/>
    </w:rPr>
  </w:style>
  <w:style w:type="paragraph" w:styleId="6">
    <w:name w:val="heading 3"/>
    <w:basedOn w:val="1"/>
    <w:next w:val="1"/>
    <w:unhideWhenUsed/>
    <w:qFormat/>
    <w:uiPriority w:val="0"/>
    <w:pPr>
      <w:keepNext/>
      <w:keepLines/>
      <w:numPr>
        <w:ilvl w:val="0"/>
        <w:numId w:val="3"/>
      </w:numPr>
      <w:tabs>
        <w:tab w:val="clear" w:pos="0"/>
      </w:tabs>
      <w:spacing w:beforeLines="0" w:beforeAutospacing="0" w:afterLines="0" w:afterAutospacing="0" w:line="600" w:lineRule="exact"/>
      <w:ind w:firstLine="880" w:firstLineChars="200"/>
      <w:jc w:val="left"/>
      <w:outlineLvl w:val="2"/>
    </w:pPr>
    <w:rPr>
      <w:rFonts w:ascii="Arial" w:hAnsi="Arial"/>
      <w:b/>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line="360" w:lineRule="auto"/>
      <w:ind w:firstLine="420"/>
    </w:pPr>
    <w:rPr>
      <w:rFonts w:ascii="仿宋_GB2312" w:eastAsia="仿宋_GB2312" w:cs="仿宋_GB2312"/>
      <w:kern w:val="0"/>
      <w:sz w:val="30"/>
      <w:szCs w:val="30"/>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Body Text Indent 3"/>
    <w:basedOn w:val="1"/>
    <w:qFormat/>
    <w:uiPriority w:val="0"/>
    <w:pPr>
      <w:spacing w:after="120"/>
      <w:ind w:left="420"/>
    </w:pPr>
    <w:rPr>
      <w:rFonts w:asciiTheme="minorAscii" w:hAnsiTheme="minorAscii"/>
      <w:sz w:val="32"/>
    </w:rPr>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character" w:styleId="17">
    <w:name w:val="FollowedHyperlink"/>
    <w:basedOn w:val="15"/>
    <w:qFormat/>
    <w:uiPriority w:val="0"/>
    <w:rPr>
      <w:color w:val="333333"/>
      <w:u w:val="none"/>
    </w:rPr>
  </w:style>
  <w:style w:type="character" w:styleId="18">
    <w:name w:val="Hyperlink"/>
    <w:basedOn w:val="15"/>
    <w:qFormat/>
    <w:uiPriority w:val="0"/>
    <w:rPr>
      <w:color w:val="0000FF"/>
      <w:u w:val="single"/>
    </w:rPr>
  </w:style>
  <w:style w:type="paragraph" w:customStyle="1" w:styleId="19">
    <w:name w:val="_Style 6"/>
    <w:basedOn w:val="1"/>
    <w:next w:val="1"/>
    <w:qFormat/>
    <w:uiPriority w:val="0"/>
    <w:pPr>
      <w:pBdr>
        <w:bottom w:val="single" w:color="auto" w:sz="6" w:space="1"/>
      </w:pBdr>
      <w:jc w:val="center"/>
    </w:pPr>
    <w:rPr>
      <w:rFonts w:ascii="Arial" w:eastAsia="宋体"/>
      <w:vanish/>
      <w:sz w:val="16"/>
    </w:rPr>
  </w:style>
  <w:style w:type="paragraph" w:customStyle="1" w:styleId="20">
    <w:name w:val="_Style 7"/>
    <w:basedOn w:val="1"/>
    <w:next w:val="1"/>
    <w:qFormat/>
    <w:uiPriority w:val="0"/>
    <w:pPr>
      <w:pBdr>
        <w:top w:val="single" w:color="auto" w:sz="6" w:space="1"/>
      </w:pBdr>
      <w:jc w:val="center"/>
    </w:pPr>
    <w:rPr>
      <w:rFonts w:ascii="Arial" w:eastAsia="宋体"/>
      <w:vanish/>
      <w:sz w:val="16"/>
    </w:rPr>
  </w:style>
  <w:style w:type="character" w:customStyle="1" w:styleId="21">
    <w:name w:val="current"/>
    <w:basedOn w:val="15"/>
    <w:qFormat/>
    <w:uiPriority w:val="0"/>
    <w:rPr>
      <w:color w:val="FFFFFF"/>
      <w:u w:val="none"/>
      <w:bdr w:val="single" w:color="FB6E52" w:sz="6" w:space="0"/>
      <w:shd w:val="clear" w:fill="FB6E52"/>
    </w:rPr>
  </w:style>
  <w:style w:type="character" w:customStyle="1" w:styleId="22">
    <w:name w:val="current1"/>
    <w:basedOn w:val="15"/>
    <w:qFormat/>
    <w:uiPriority w:val="0"/>
    <w:rPr>
      <w:b/>
      <w:color w:val="FFFFFF"/>
      <w:bdr w:val="single" w:color="D80D00" w:sz="6" w:space="0"/>
      <w:shd w:val="clear" w:fill="D80D00"/>
    </w:rPr>
  </w:style>
  <w:style w:type="character" w:customStyle="1" w:styleId="23">
    <w:name w:val="disabled"/>
    <w:basedOn w:val="15"/>
    <w:qFormat/>
    <w:uiPriority w:val="0"/>
    <w:rPr>
      <w:color w:val="CCCCCC"/>
      <w:bdr w:val="single" w:color="F3F3F3" w:sz="6" w:space="0"/>
    </w:rPr>
  </w:style>
  <w:style w:type="paragraph" w:customStyle="1" w:styleId="24">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2020-01-13T08:27:00Z</dcterms:created>
  <dc:creator>Allen</dc:creator>
  <cp:lastModifiedBy>晓风飞扬</cp:lastModifiedBy>
  <cp:lastPrinted>2021-01-20T07:56:00Z</cp:lastPrinted>
  <dcterms:modified xsi:type="dcterms:W3CDTF">2021-01-26T10:09:57Z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