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600" w:lineRule="exact"/>
        <w:jc w:val="center"/>
        <w:rPr>
          <w:rFonts w:hint="eastAsia" w:ascii="Times New Roman" w:hAnsi="Times New Roman" w:eastAsia="方正小标宋简体" w:cs="Times New Roman"/>
          <w:bCs/>
          <w:snapToGrid w:val="0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snapToGrid w:val="0"/>
          <w:color w:val="000000"/>
          <w:sz w:val="44"/>
          <w:szCs w:val="44"/>
          <w:lang w:val="en-US" w:eastAsia="zh-CN"/>
        </w:rPr>
        <w:t>铜川市耀州区锦阳路街道办事处</w:t>
      </w:r>
    </w:p>
    <w:p>
      <w:pPr>
        <w:topLinePunct/>
        <w:spacing w:line="600" w:lineRule="exact"/>
        <w:jc w:val="center"/>
        <w:rPr>
          <w:rFonts w:hint="eastAsia" w:ascii="Times New Roman" w:hAnsi="Times New Roman" w:eastAsia="方正小标宋简体" w:cs="Times New Roman"/>
          <w:bCs/>
          <w:snapToGrid w:val="0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snapToGrid w:val="0"/>
          <w:color w:val="000000"/>
          <w:sz w:val="44"/>
          <w:szCs w:val="44"/>
          <w:lang w:val="en-US" w:eastAsia="zh-CN"/>
        </w:rPr>
        <w:t>20</w:t>
      </w:r>
      <w:r>
        <w:rPr>
          <w:rFonts w:hint="eastAsia" w:eastAsia="方正小标宋简体" w:cs="Times New Roman"/>
          <w:bCs/>
          <w:snapToGrid w:val="0"/>
          <w:color w:val="000000"/>
          <w:sz w:val="44"/>
          <w:szCs w:val="44"/>
          <w:lang w:val="en-US" w:eastAsia="zh-CN"/>
        </w:rPr>
        <w:t>20</w:t>
      </w:r>
      <w:r>
        <w:rPr>
          <w:rFonts w:hint="eastAsia" w:ascii="Times New Roman" w:hAnsi="Times New Roman" w:eastAsia="方正小标宋简体" w:cs="Times New Roman"/>
          <w:bCs/>
          <w:snapToGrid w:val="0"/>
          <w:color w:val="000000"/>
          <w:sz w:val="44"/>
          <w:szCs w:val="44"/>
          <w:lang w:val="en-US" w:eastAsia="zh-CN"/>
        </w:rPr>
        <w:t>年政府信息公开工作年度报告</w:t>
      </w:r>
    </w:p>
    <w:p>
      <w:pPr>
        <w:topLinePunct/>
        <w:spacing w:line="600" w:lineRule="exact"/>
        <w:jc w:val="center"/>
        <w:rPr>
          <w:rFonts w:hint="eastAsia" w:ascii="Times New Roman" w:hAnsi="Times New Roman" w:eastAsia="方正小标宋简体" w:cs="Times New Roman"/>
          <w:bCs/>
          <w:snapToGrid w:val="0"/>
          <w:color w:val="000000"/>
          <w:sz w:val="44"/>
          <w:szCs w:val="44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bookmarkStart w:id="1" w:name="_GoBack"/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（一）概述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推进政府信息公开是贯彻和落实《中华人民共和国政府信息公开条例》的重要举措，是建设“服务政府、责任政府、法治政府”的一项重要工作。锦阳路街道办事处认真贯彻落实《中华人民共和国政府信息公开条例》和市区关于全面推进政务公开工作的系列部署，结合我办工作实际，及时、准确地向社会公开政府信息，保障公民知情权，参与权和监督权，把推进政府信息公开与转变政府职能、规范权力运行、促进依法行政紧密结合起来。</w:t>
      </w:r>
    </w:p>
    <w:p>
      <w:pPr>
        <w:spacing w:line="560" w:lineRule="exact"/>
        <w:ind w:firstLine="643" w:firstLineChars="20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（二）主动公开信息情况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年，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锦阳路街道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办事处通过信息简报、微信公众号、LED显示屏、政府公开栏等形式</w:t>
      </w:r>
      <w:r>
        <w:rPr>
          <w:rFonts w:hint="eastAsia" w:ascii="仿宋_GB2312" w:hAnsi="宋体" w:eastAsia="仿宋_GB2312"/>
          <w:sz w:val="32"/>
          <w:szCs w:val="32"/>
        </w:rPr>
        <w:t>主动公开政务信息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48</w:t>
      </w:r>
      <w:r>
        <w:rPr>
          <w:rFonts w:hint="eastAsia" w:ascii="仿宋_GB2312" w:hAnsi="宋体" w:eastAsia="仿宋_GB2312"/>
          <w:sz w:val="32"/>
          <w:szCs w:val="32"/>
        </w:rPr>
        <w:t>条，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公开内容包括扶贫资金、农业信息、民政救助、项目建设等各类信息，公开的各类信息与群众的生活息息相关，公开信息</w:t>
      </w:r>
      <w:r>
        <w:rPr>
          <w:rFonts w:hint="eastAsia" w:ascii="仿宋_GB2312" w:hAnsi="宋体" w:eastAsia="仿宋_GB2312"/>
          <w:sz w:val="32"/>
          <w:szCs w:val="32"/>
        </w:rPr>
        <w:t>及时宣传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我办的</w:t>
      </w:r>
      <w:r>
        <w:rPr>
          <w:rFonts w:hint="eastAsia" w:ascii="仿宋_GB2312" w:hAnsi="宋体" w:eastAsia="仿宋_GB2312"/>
          <w:sz w:val="32"/>
          <w:szCs w:val="32"/>
        </w:rPr>
        <w:t>发展动态、工作亮点及成效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、也推进了办事处办公公开化、透明化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（三）依申请公开政府信息情况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年，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锦阳路街道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办事处未收到信息公开申请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（四）政府信息管理</w:t>
      </w: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情况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一是完善制度建设，强化审批管理。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锦阳路街道办事处建立健全政府信息公开工作制度，严格落实政府信息公开保密工作程序，健全信息发布保密审查机制，做到“一事一议一审一批”，落实政府信息公开的保密检查及不予公开信息的审查工作。</w:t>
      </w:r>
      <w:r>
        <w:rPr>
          <w:rFonts w:hint="eastAsia" w:ascii="仿宋_GB2312" w:hAnsi="宋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二是明确公开流程，回应社会关切。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全面推行办事公开制度，重大决策广泛听取干部职工意见，经街道党委、办事处研究后及时公开。按照要求进行上墙公开，设立了举报箱、投诉电话。对业务工作内办事的依据、程序、时限和方式、方法及结果予以明确规定，同时，建立来访登记制度，及时、妥善地解答群众咨询，回应社会关切，做到来访件件有着落、事事有结果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监督保障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情况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进一步强化主体责任，落实监督保障机制，规范政务信息公开工作，完善政务公开工作责任考核制度，把政务公开工作的具体任务落实到各科室，作为年终绩效考评的重要依据。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（</w:t>
      </w: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六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）平台建设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锦阳路街道办事处</w:t>
      </w:r>
      <w:r>
        <w:rPr>
          <w:rFonts w:ascii="仿宋_GB2312" w:hAnsi="宋体" w:eastAsia="仿宋_GB2312"/>
          <w:color w:val="auto"/>
          <w:sz w:val="32"/>
          <w:szCs w:val="32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年政府信息公开载体主要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依托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LED显示屏、</w:t>
      </w:r>
      <w:r>
        <w:rPr>
          <w:rFonts w:hint="eastAsia" w:ascii="仿宋_GB2312" w:hAnsi="宋体" w:eastAsia="仿宋_GB2312"/>
          <w:sz w:val="32"/>
          <w:szCs w:val="32"/>
        </w:rPr>
        <w:t>微信公众号、公示栏等方式及时向社会发布最新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我办</w:t>
      </w:r>
      <w:r>
        <w:rPr>
          <w:rFonts w:hint="eastAsia" w:ascii="仿宋_GB2312" w:hAnsi="宋体" w:eastAsia="仿宋_GB2312"/>
          <w:sz w:val="32"/>
          <w:szCs w:val="32"/>
        </w:rPr>
        <w:t>相关信息。努力发展多种公开方式，进一步提升公开效率，努力形成传统媒介、平面媒体、网络传媒三位一体的全方位的公开格局，以多样化的公开手段扩大公开信息辐射面。</w:t>
      </w:r>
    </w:p>
    <w:p>
      <w:pPr>
        <w:spacing w:line="560" w:lineRule="exact"/>
        <w:ind w:left="638" w:leftChars="304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（</w:t>
      </w: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七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）人大建议和政协提案办理结果公开情况</w:t>
      </w:r>
    </w:p>
    <w:p>
      <w:pPr>
        <w:spacing w:line="560" w:lineRule="exact"/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锦阳路街道办事处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未</w:t>
      </w:r>
      <w:r>
        <w:rPr>
          <w:rFonts w:hint="eastAsia" w:ascii="仿宋_GB2312" w:hAnsi="宋体" w:eastAsia="仿宋_GB2312"/>
          <w:sz w:val="32"/>
          <w:szCs w:val="32"/>
        </w:rPr>
        <w:t>收到需书面回复的人大建议及政协提案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二、主动公开政府信息情况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92"/>
        <w:gridCol w:w="2238"/>
        <w:gridCol w:w="2372"/>
        <w:gridCol w:w="201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第二十条第（一）项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本年新制作数量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本年新公开数量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对外公开总数量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规章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规范性文件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第二十条第（五）项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本年增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行政许可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其他对外管理服务事项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第二十条第（六）项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本年增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行政处罚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行政强制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第二十条第（八）项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上一年项目数量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本年增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行政事业性收费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第二十条第（九）项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采购项目数量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采购总金额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政府集中釆购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rPr>
          <w:rFonts w:ascii="宋体"/>
          <w:sz w:val="18"/>
          <w:szCs w:val="18"/>
        </w:rPr>
      </w:pPr>
      <w:r>
        <w:rPr>
          <w:rFonts w:ascii="宋体"/>
          <w:color w:val="auto"/>
          <w:sz w:val="18"/>
          <w:szCs w:val="18"/>
        </w:rPr>
        <w:br w:type="page"/>
      </w:r>
    </w:p>
    <w:p>
      <w:pPr>
        <w:pStyle w:val="2"/>
        <w:ind w:firstLine="31680"/>
      </w:pPr>
    </w:p>
    <w:p>
      <w:pPr>
        <w:pStyle w:val="2"/>
        <w:ind w:firstLine="31680"/>
      </w:pPr>
    </w:p>
    <w:p>
      <w:pPr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三、收到和处理政府信息公开申请情况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2"/>
        <w:gridCol w:w="1468"/>
        <w:gridCol w:w="2741"/>
        <w:gridCol w:w="705"/>
        <w:gridCol w:w="570"/>
        <w:gridCol w:w="570"/>
        <w:gridCol w:w="555"/>
        <w:gridCol w:w="570"/>
        <w:gridCol w:w="525"/>
        <w:gridCol w:w="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atLeast"/>
          <w:jc w:val="center"/>
        </w:trPr>
        <w:tc>
          <w:tcPr>
            <w:tcW w:w="4801" w:type="dxa"/>
            <w:gridSpan w:val="3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（本列数据的勾稽关系为：第一项加第二项之和，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等于第三项加第四项之和）</w:t>
            </w:r>
          </w:p>
        </w:tc>
        <w:tc>
          <w:tcPr>
            <w:tcW w:w="3963" w:type="dxa"/>
            <w:gridSpan w:val="7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atLeast"/>
          <w:jc w:val="center"/>
        </w:trPr>
        <w:tc>
          <w:tcPr>
            <w:tcW w:w="4801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自然人</w:t>
            </w:r>
          </w:p>
        </w:tc>
        <w:tc>
          <w:tcPr>
            <w:tcW w:w="2790" w:type="dxa"/>
            <w:gridSpan w:val="5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法人或其他组织</w:t>
            </w:r>
          </w:p>
        </w:tc>
        <w:tc>
          <w:tcPr>
            <w:tcW w:w="468" w:type="dxa"/>
            <w:vMerge w:val="restart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3" w:hRule="atLeast"/>
          <w:jc w:val="center"/>
        </w:trPr>
        <w:tc>
          <w:tcPr>
            <w:tcW w:w="4801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商业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企业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科研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机构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社会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公益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组织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服务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机构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  <w:tc>
          <w:tcPr>
            <w:tcW w:w="468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一、本年新收政府信息公开申请数量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二、上年结转政府信息公开申请数量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  <w:jc w:val="center"/>
        </w:trPr>
        <w:tc>
          <w:tcPr>
            <w:tcW w:w="592" w:type="dxa"/>
            <w:vMerge w:val="restart"/>
            <w:tcBorders>
              <w:top w:val="nil"/>
            </w:tcBorders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三、本年度办理结果</w:t>
            </w: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（一）予以公开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（三）不予公开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属于国家秘密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其他法律行政法规禁止公开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危及“三安全一稳定”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4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保护第三方合法权益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属于三类内部事务信息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6.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属于四类过程性信息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7.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属于行政执法案卷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8.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属于行政查询事项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（四）无法提供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1.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本机关不掌握相关政府信息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没有现成信息需要另行制作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补正后申请内容仍不明确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（五）不予处理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信访举报投诉类申请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2.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重复申请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要求提供公开出版物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4.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无正当理由大量反复申请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要求行政机关确认或重新出具已获取信息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（六）其他处理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（七）总计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atLeas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四、结转下年度继续办理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</w:tbl>
    <w:p>
      <w:pPr>
        <w:rPr>
          <w:rFonts w:ascii="黑体" w:hAnsi="宋体" w:eastAsia="黑体"/>
          <w:sz w:val="32"/>
          <w:szCs w:val="32"/>
        </w:rPr>
      </w:pPr>
    </w:p>
    <w:p>
      <w:pPr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四、政府信息公开行政复议、行政诉讼情况</w:t>
      </w:r>
    </w:p>
    <w:tbl>
      <w:tblPr>
        <w:tblStyle w:val="4"/>
        <w:tblW w:w="847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6"/>
        <w:gridCol w:w="525"/>
        <w:gridCol w:w="570"/>
        <w:gridCol w:w="495"/>
        <w:gridCol w:w="675"/>
        <w:gridCol w:w="629"/>
        <w:gridCol w:w="585"/>
        <w:gridCol w:w="540"/>
        <w:gridCol w:w="541"/>
        <w:gridCol w:w="510"/>
        <w:gridCol w:w="615"/>
        <w:gridCol w:w="615"/>
        <w:gridCol w:w="630"/>
        <w:gridCol w:w="525"/>
        <w:gridCol w:w="45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2831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行政复议</w:t>
            </w:r>
          </w:p>
        </w:tc>
        <w:tc>
          <w:tcPr>
            <w:tcW w:w="5641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维持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纠正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结果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审结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</w:p>
        </w:tc>
        <w:tc>
          <w:tcPr>
            <w:tcW w:w="280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未经复议直接起诉</w:t>
            </w:r>
          </w:p>
        </w:tc>
        <w:tc>
          <w:tcPr>
            <w:tcW w:w="283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维持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纠正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结果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审结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计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维持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纠正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结果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审结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</w:tbl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pStyle w:val="6"/>
        <w:tabs>
          <w:tab w:val="left" w:pos="1210"/>
        </w:tabs>
        <w:spacing w:line="600" w:lineRule="exact"/>
        <w:ind w:firstLine="578"/>
        <w:rPr>
          <w:rFonts w:hint="eastAsia" w:ascii="仿宋_GB2312" w:hAnsi="宋体" w:eastAsia="仿宋_GB2312" w:cs="仿宋_GB2312"/>
          <w:i w:val="0"/>
          <w:caps w:val="0"/>
          <w:color w:val="2B2B2B"/>
          <w:spacing w:val="0"/>
          <w:sz w:val="31"/>
          <w:szCs w:val="31"/>
          <w:lang w:eastAsia="zh-CN"/>
        </w:rPr>
      </w:pPr>
      <w:bookmarkStart w:id="0" w:name="bookmark32"/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街道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政务公开工作取得了一定成效，但还存在一些不足：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一是政府信息公开的广度深度不够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，对一些政策文件公开不及时、解读不及时。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是主动信息公开与公众的信息公开需求仍有差距，内容仍需进一步深化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街道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将结合实际情况，突出工作重点，弥补工作短板，全力推动政务公开工作向纵深发展。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一是进一步完善工作机制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断创新工作方式方法，加强信息报送工作力度，使信息公开业务更加有序、便民、高效，确保广大人民群众的知情权、参与权、表达权和监督权。二是进一步拓宽信息公开途径。通过村务公开、微信公众号、宣传资料等多种方式，加大政策宣传力度，细化信息公开工作流程，拓</w:t>
      </w:r>
      <w:r>
        <w:rPr>
          <w:rFonts w:hint="eastAsia" w:ascii="仿宋_GB2312" w:hAnsi="宋体" w:eastAsia="仿宋_GB2312" w:cs="仿宋_GB2312"/>
          <w:i w:val="0"/>
          <w:caps w:val="0"/>
          <w:color w:val="2B2B2B"/>
          <w:spacing w:val="0"/>
          <w:sz w:val="31"/>
          <w:szCs w:val="31"/>
        </w:rPr>
        <w:t>宽公开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渠道，建立高效信息反馈机制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6"/>
        <w:tabs>
          <w:tab w:val="left" w:pos="1210"/>
        </w:tabs>
        <w:spacing w:line="600" w:lineRule="exact"/>
        <w:ind w:firstLine="578"/>
        <w:rPr>
          <w:rFonts w:ascii="Times New Roman" w:hAnsi="Times New Roman" w:eastAsia="仿宋_GB2312" w:cs="Times New Roman"/>
          <w:snapToGrid w:val="0"/>
          <w:color w:val="000000"/>
          <w:spacing w:val="-23"/>
          <w:sz w:val="32"/>
          <w:szCs w:val="32"/>
        </w:rPr>
      </w:pPr>
      <w:r>
        <w:rPr>
          <w:rFonts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zh-CN" w:eastAsia="zh-CN" w:bidi="ar-SA"/>
        </w:rPr>
        <w:t>六</w:t>
      </w:r>
      <w:bookmarkEnd w:id="0"/>
      <w:r>
        <w:rPr>
          <w:rFonts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zh-CN" w:eastAsia="zh-CN" w:bidi="ar-SA"/>
        </w:rPr>
        <w:t>、</w:t>
      </w:r>
      <w:r>
        <w:rPr>
          <w:rFonts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en-US" w:eastAsia="zh-CN" w:bidi="ar-SA"/>
        </w:rPr>
        <w:t>无</w:t>
      </w:r>
      <w:r>
        <w:rPr>
          <w:rFonts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zh-CN" w:eastAsia="zh-CN" w:bidi="ar-SA"/>
        </w:rPr>
        <w:t>其他需要报告的事项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C12A7"/>
    <w:rsid w:val="3F9C12A7"/>
    <w:rsid w:val="63F34EAD"/>
    <w:rsid w:val="7D51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2021-01-20T02:50:00Z</dcterms:created>
  <dc:creator>Administrator</dc:creator>
  <cp:lastModifiedBy>晓风飞扬</cp:lastModifiedBy>
  <dcterms:modified xsi:type="dcterms:W3CDTF">2021-01-26T10:00:42Z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