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contextualSpacing/>
        <w:jc w:val="center"/>
        <w:rPr>
          <w:rFonts w:ascii="方正小标宋简体" w:eastAsia="方正小标宋简体"/>
          <w:sz w:val="44"/>
          <w:szCs w:val="44"/>
        </w:rPr>
      </w:pPr>
      <w:r>
        <w:rPr>
          <w:rFonts w:hint="eastAsia" w:ascii="方正小标宋简体" w:eastAsia="方正小标宋简体"/>
          <w:sz w:val="44"/>
          <w:szCs w:val="44"/>
        </w:rPr>
        <w:t>国家税务总局铜川市耀州区税务局</w:t>
      </w:r>
    </w:p>
    <w:p>
      <w:pPr>
        <w:spacing w:line="0" w:lineRule="atLeast"/>
        <w:contextualSpacing/>
        <w:jc w:val="center"/>
        <w:rPr>
          <w:rFonts w:ascii="方正小标宋简体" w:eastAsia="方正小标宋简体"/>
          <w:sz w:val="44"/>
          <w:szCs w:val="44"/>
        </w:rPr>
      </w:pPr>
      <w:r>
        <w:rPr>
          <w:rFonts w:hint="eastAsia" w:ascii="方正小标宋简体" w:eastAsia="方正小标宋简体"/>
          <w:sz w:val="44"/>
          <w:szCs w:val="44"/>
        </w:rPr>
        <w:t>政府信息公开年度报告</w:t>
      </w:r>
    </w:p>
    <w:p>
      <w:pPr>
        <w:spacing w:line="0" w:lineRule="atLeast"/>
        <w:contextualSpacing/>
        <w:jc w:val="center"/>
        <w:rPr>
          <w:rFonts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eastAsia="黑体"/>
          <w:sz w:val="32"/>
          <w:szCs w:val="32"/>
        </w:rPr>
      </w:pPr>
      <w:r>
        <w:rPr>
          <w:rFonts w:hint="eastAsia" w:ascii="黑体" w:eastAsia="黑体"/>
          <w:sz w:val="32"/>
          <w:szCs w:val="32"/>
        </w:rPr>
        <w:t>一、总体情况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atLeast"/>
        <w:ind w:firstLine="640" w:firstLineChars="200"/>
        <w:jc w:val="both"/>
        <w:textAlignment w:val="auto"/>
        <w:rPr>
          <w:rFonts w:ascii="楷体" w:hAnsi="楷体" w:eastAsia="楷体" w:cs="Times New Roman"/>
          <w:sz w:val="32"/>
          <w:szCs w:val="32"/>
          <w:shd w:val="clear" w:color="auto" w:fill="FFFFFF"/>
        </w:rPr>
      </w:pPr>
      <w:r>
        <w:rPr>
          <w:rFonts w:hint="eastAsia" w:ascii="楷体" w:hAnsi="楷体" w:eastAsia="楷体" w:cs="Times New Roman"/>
          <w:sz w:val="32"/>
          <w:szCs w:val="32"/>
          <w:shd w:val="clear" w:color="auto" w:fill="FFFFFF"/>
        </w:rPr>
        <w:t>（一）概述</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atLeast"/>
        <w:ind w:firstLine="640" w:firstLineChars="200"/>
        <w:jc w:val="both"/>
        <w:textAlignment w:val="auto"/>
        <w:rPr>
          <w:rFonts w:ascii="仿宋_GB2312" w:eastAsia="仿宋_GB2312"/>
          <w:sz w:val="32"/>
          <w:szCs w:val="32"/>
          <w:shd w:val="clear" w:color="auto" w:fill="FFFFFF"/>
        </w:rPr>
      </w:pPr>
      <w:r>
        <w:rPr>
          <w:rFonts w:hint="eastAsia" w:ascii="仿宋_GB2312" w:hAnsi="Times New Roman" w:eastAsia="仿宋_GB2312" w:cs="Times New Roman"/>
          <w:sz w:val="32"/>
          <w:szCs w:val="32"/>
          <w:shd w:val="clear" w:color="auto" w:fill="FFFFFF"/>
        </w:rPr>
        <w:t>2020</w:t>
      </w:r>
      <w:r>
        <w:rPr>
          <w:rFonts w:hint="eastAsia" w:ascii="仿宋_GB2312" w:eastAsia="仿宋_GB2312"/>
          <w:sz w:val="32"/>
          <w:szCs w:val="32"/>
          <w:shd w:val="clear" w:color="auto" w:fill="FFFFFF"/>
        </w:rPr>
        <w:t>年，铜川市耀州区税务局坚持以习近平新时代中国特色社会主义思想为指导，认真贯彻党的十九大和十九届三中、四中、五中全会精神，全面落实市税务局、区委区政府关于信息公开工作的决策部署，坚持以公开为常态、不公开为例外，认真做好信息公开工作，及时、准确地公开税务工作信息，保障人民群众知情权、参与权、监督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atLeast"/>
        <w:ind w:firstLine="640" w:firstLineChars="200"/>
        <w:jc w:val="both"/>
        <w:textAlignment w:val="auto"/>
        <w:rPr>
          <w:rFonts w:ascii="楷体" w:hAnsi="楷体" w:eastAsia="楷体"/>
          <w:color w:val="000000"/>
          <w:sz w:val="21"/>
          <w:szCs w:val="21"/>
        </w:rPr>
      </w:pPr>
      <w:r>
        <w:rPr>
          <w:rFonts w:hint="eastAsia" w:ascii="楷体" w:hAnsi="楷体" w:eastAsia="楷体"/>
          <w:color w:val="000000"/>
          <w:sz w:val="32"/>
          <w:szCs w:val="32"/>
        </w:rPr>
        <w:t>（二）主动公开</w:t>
      </w:r>
      <w:r>
        <w:rPr>
          <w:rFonts w:hint="eastAsia" w:ascii="楷体" w:hAnsi="楷体" w:eastAsia="楷体"/>
          <w:color w:val="000000"/>
          <w:sz w:val="32"/>
          <w:szCs w:val="32"/>
          <w:shd w:val="clear" w:color="auto" w:fill="FFFFFF"/>
        </w:rPr>
        <w:t>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Calibri" w:hAnsi="Calibri"/>
          <w:color w:val="000000"/>
          <w:szCs w:val="21"/>
        </w:rPr>
      </w:pPr>
      <w:r>
        <w:rPr>
          <w:rFonts w:hint="eastAsia" w:ascii="仿宋_GB2312" w:hAnsi="Calibri" w:eastAsia="仿宋_GB2312"/>
          <w:color w:val="000000"/>
          <w:sz w:val="32"/>
          <w:szCs w:val="32"/>
        </w:rPr>
        <w:t>2020年，耀州区税务局通过</w:t>
      </w:r>
      <w:r>
        <w:rPr>
          <w:rFonts w:hint="eastAsia" w:ascii="仿宋_GB2312" w:hAnsi="Times New Roman" w:eastAsia="仿宋_GB2312" w:cs="Times New Roman"/>
          <w:color w:val="000000"/>
          <w:sz w:val="32"/>
          <w:szCs w:val="32"/>
        </w:rPr>
        <w:t>省税务局</w:t>
      </w:r>
      <w:r>
        <w:rPr>
          <w:rFonts w:ascii="仿宋_GB2312" w:hAnsi="Times New Roman" w:eastAsia="仿宋_GB2312" w:cs="Times New Roman"/>
          <w:color w:val="000000"/>
          <w:sz w:val="32"/>
          <w:szCs w:val="32"/>
        </w:rPr>
        <w:t>政府网站公开了</w:t>
      </w:r>
      <w:r>
        <w:rPr>
          <w:rFonts w:hint="eastAsia" w:ascii="仿宋_GB2312" w:hAnsi="Calibri" w:eastAsia="仿宋_GB2312"/>
          <w:color w:val="000000"/>
          <w:sz w:val="32"/>
          <w:szCs w:val="32"/>
        </w:rPr>
        <w:t>耀州区税务局</w:t>
      </w:r>
      <w:r>
        <w:rPr>
          <w:rFonts w:ascii="仿宋_GB2312" w:hAnsi="Times New Roman" w:eastAsia="仿宋_GB2312" w:cs="Times New Roman"/>
          <w:color w:val="000000"/>
          <w:sz w:val="32"/>
          <w:szCs w:val="32"/>
        </w:rPr>
        <w:t>机构</w:t>
      </w:r>
      <w:r>
        <w:rPr>
          <w:rFonts w:hint="eastAsia" w:ascii="仿宋_GB2312" w:hAnsi="Times New Roman" w:eastAsia="仿宋_GB2312" w:cs="Times New Roman"/>
          <w:color w:val="000000"/>
          <w:sz w:val="32"/>
          <w:szCs w:val="32"/>
        </w:rPr>
        <w:t>职能</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政策文件</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纳税服务、行政执法</w:t>
      </w:r>
      <w:r>
        <w:rPr>
          <w:rFonts w:ascii="仿宋_GB2312" w:hAnsi="Times New Roman" w:eastAsia="仿宋_GB2312" w:cs="Times New Roman"/>
          <w:color w:val="000000"/>
          <w:sz w:val="32"/>
          <w:szCs w:val="32"/>
        </w:rPr>
        <w:t>等信息。通过</w:t>
      </w:r>
      <w:r>
        <w:rPr>
          <w:rFonts w:hint="eastAsia" w:ascii="仿宋_GB2312" w:hAnsi="Times New Roman" w:eastAsia="仿宋_GB2312" w:cs="Times New Roman"/>
          <w:color w:val="000000"/>
          <w:sz w:val="32"/>
          <w:szCs w:val="32"/>
        </w:rPr>
        <w:t>省税务局</w:t>
      </w:r>
      <w:r>
        <w:rPr>
          <w:rFonts w:ascii="仿宋_GB2312" w:hAnsi="Times New Roman" w:eastAsia="仿宋_GB2312" w:cs="Times New Roman"/>
          <w:color w:val="000000"/>
          <w:sz w:val="32"/>
          <w:szCs w:val="32"/>
        </w:rPr>
        <w:t>政府网站发布</w:t>
      </w:r>
      <w:r>
        <w:rPr>
          <w:rFonts w:hint="eastAsia" w:ascii="仿宋_GB2312" w:hAnsi="Times New Roman" w:eastAsia="仿宋_GB2312" w:cs="Times New Roman"/>
          <w:color w:val="000000"/>
          <w:sz w:val="32"/>
          <w:szCs w:val="32"/>
        </w:rPr>
        <w:t>工作动态</w:t>
      </w:r>
      <w:r>
        <w:rPr>
          <w:rFonts w:ascii="仿宋_GB2312" w:hAnsi="Times New Roman" w:eastAsia="仿宋_GB2312" w:cs="Times New Roman"/>
          <w:color w:val="000000"/>
          <w:sz w:val="32"/>
          <w:szCs w:val="32"/>
        </w:rPr>
        <w:t>信息</w:t>
      </w:r>
      <w:r>
        <w:rPr>
          <w:rFonts w:hint="eastAsia" w:ascii="仿宋_GB2312" w:hAnsi="Calibri" w:eastAsia="仿宋_GB2312"/>
          <w:color w:val="000000"/>
          <w:sz w:val="32"/>
          <w:szCs w:val="32"/>
        </w:rPr>
        <w:t>共计40条。同时通过</w:t>
      </w:r>
      <w:r>
        <w:rPr>
          <w:rFonts w:hint="eastAsia" w:ascii="仿宋_GB2312" w:eastAsia="仿宋_GB2312" w:hAnsiTheme="minorEastAsia"/>
          <w:sz w:val="32"/>
          <w:szCs w:val="32"/>
        </w:rPr>
        <w:t>办税服务厅公示栏对减税降费政策及相关文件、办税流程、稽查公告、欠税公告等进行公示。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left="1720" w:firstLine="640" w:firstLineChars="200"/>
        <w:textAlignment w:val="auto"/>
        <w:rPr>
          <w:rFonts w:ascii="楷体" w:hAnsi="楷体" w:eastAsia="楷体"/>
          <w:color w:val="000000"/>
          <w:sz w:val="32"/>
          <w:szCs w:val="32"/>
        </w:rPr>
      </w:pPr>
      <w:r>
        <w:rPr>
          <w:rFonts w:hint="eastAsia" w:ascii="楷体" w:hAnsi="楷体" w:eastAsia="楷体"/>
          <w:color w:val="000000"/>
          <w:sz w:val="32"/>
          <w:szCs w:val="32"/>
        </w:rPr>
        <w:t>（三）依申请公开</w:t>
      </w:r>
      <w:r>
        <w:rPr>
          <w:rFonts w:hint="eastAsia" w:ascii="楷体" w:hAnsi="楷体" w:eastAsia="楷体"/>
          <w:color w:val="000000"/>
          <w:sz w:val="32"/>
          <w:szCs w:val="32"/>
          <w:shd w:val="clear" w:color="auto" w:fill="FFFFFF"/>
        </w:rPr>
        <w:t>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left="640" w:firstLine="640" w:firstLineChars="200"/>
        <w:textAlignment w:val="auto"/>
        <w:rPr>
          <w:rFonts w:ascii="Calibri" w:hAnsi="Calibri"/>
          <w:color w:val="000000"/>
          <w:sz w:val="21"/>
          <w:szCs w:val="21"/>
        </w:rPr>
      </w:pPr>
      <w:r>
        <w:rPr>
          <w:rFonts w:hint="eastAsia" w:ascii="仿宋_GB2312" w:hAnsi="Calibri" w:eastAsia="仿宋_GB2312"/>
          <w:color w:val="000000"/>
          <w:sz w:val="32"/>
          <w:szCs w:val="32"/>
        </w:rPr>
        <w:t>2020年，耀州区税务局未受理依申请公开事项。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left="1720" w:firstLine="640" w:firstLineChars="200"/>
        <w:textAlignment w:val="auto"/>
        <w:rPr>
          <w:rFonts w:ascii="楷体" w:hAnsi="楷体" w:eastAsia="楷体"/>
          <w:color w:val="000000"/>
          <w:sz w:val="32"/>
          <w:szCs w:val="32"/>
        </w:rPr>
      </w:pPr>
      <w:r>
        <w:rPr>
          <w:rFonts w:hint="eastAsia" w:ascii="楷体" w:hAnsi="楷体" w:eastAsia="楷体"/>
          <w:color w:val="000000"/>
          <w:sz w:val="32"/>
          <w:szCs w:val="32"/>
        </w:rPr>
        <w:t>（四）政府信息管理</w:t>
      </w:r>
      <w:r>
        <w:rPr>
          <w:rFonts w:hint="eastAsia" w:ascii="楷体" w:hAnsi="楷体" w:eastAsia="楷体"/>
          <w:color w:val="000000"/>
          <w:sz w:val="32"/>
          <w:szCs w:val="32"/>
          <w:shd w:val="clear" w:color="auto" w:fill="FFFFFF"/>
        </w:rPr>
        <w:t>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ascii="仿宋_GB2312" w:hAnsi="微软雅黑" w:eastAsia="仿宋_GB2312"/>
          <w:sz w:val="32"/>
          <w:szCs w:val="32"/>
        </w:rPr>
      </w:pPr>
      <w:r>
        <w:rPr>
          <w:rFonts w:hint="eastAsia" w:ascii="仿宋_GB2312" w:hAnsi="Times New Roman" w:eastAsia="仿宋_GB2312" w:cs="Times New Roman"/>
          <w:color w:val="000000"/>
          <w:sz w:val="32"/>
          <w:szCs w:val="32"/>
        </w:rPr>
        <w:t xml:space="preserve"> </w:t>
      </w:r>
      <w:r>
        <w:rPr>
          <w:rFonts w:ascii="仿宋_GB2312" w:hAnsi="Times New Roman" w:eastAsia="仿宋_GB2312" w:cs="Times New Roman"/>
          <w:color w:val="000000"/>
          <w:sz w:val="32"/>
          <w:szCs w:val="32"/>
        </w:rPr>
        <w:t>不断加强政府信息资源的标准化、信息化管理，</w:t>
      </w:r>
      <w:r>
        <w:rPr>
          <w:rFonts w:hint="eastAsia" w:ascii="仿宋_GB2312" w:hAnsi="Times New Roman" w:eastAsia="仿宋_GB2312" w:cs="Times New Roman"/>
          <w:color w:val="000000"/>
          <w:sz w:val="32"/>
          <w:szCs w:val="32"/>
        </w:rPr>
        <w:t>使</w:t>
      </w:r>
      <w:r>
        <w:rPr>
          <w:rFonts w:hint="eastAsia" w:ascii="仿宋_GB2312" w:hAnsi="微软雅黑" w:eastAsia="仿宋_GB2312"/>
          <w:sz w:val="32"/>
          <w:szCs w:val="32"/>
        </w:rPr>
        <w:t>信息公开管理更加规范。根据人事变动情况，及时调整区局政府信息公开工作领导小组，完善</w:t>
      </w:r>
      <w:r>
        <w:rPr>
          <w:rFonts w:hint="eastAsia" w:ascii="仿宋_GB2312" w:hAnsi="仿宋" w:eastAsia="仿宋_GB2312"/>
          <w:sz w:val="32"/>
          <w:szCs w:val="32"/>
        </w:rPr>
        <w:t>细化职责分工，明确政务公开原则、内容、形式，</w:t>
      </w:r>
      <w:r>
        <w:rPr>
          <w:rFonts w:hint="eastAsia" w:ascii="仿宋_GB2312" w:hAnsi="微软雅黑" w:eastAsia="仿宋_GB2312"/>
          <w:sz w:val="32"/>
          <w:szCs w:val="32"/>
        </w:rPr>
        <w:t>落实专人负责政府信息公开栏目日常维护，确保主动、及时、全面、准确地向社会公开有关政策、措施、数据和资料，努力实现信息公开认识到位、管理到位、落实到位。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left="1720" w:firstLine="640" w:firstLineChars="200"/>
        <w:textAlignment w:val="auto"/>
        <w:rPr>
          <w:rFonts w:ascii="楷体" w:hAnsi="楷体" w:eastAsia="楷体"/>
          <w:color w:val="000000"/>
          <w:sz w:val="32"/>
          <w:szCs w:val="32"/>
        </w:rPr>
      </w:pPr>
      <w:r>
        <w:rPr>
          <w:rFonts w:hint="eastAsia" w:ascii="楷体" w:hAnsi="楷体" w:eastAsia="楷体"/>
          <w:color w:val="000000"/>
          <w:sz w:val="32"/>
          <w:szCs w:val="32"/>
        </w:rPr>
        <w:t>（五）平台建设</w:t>
      </w:r>
      <w:r>
        <w:rPr>
          <w:rFonts w:hint="eastAsia" w:ascii="楷体" w:hAnsi="楷体" w:eastAsia="楷体"/>
          <w:color w:val="000000"/>
          <w:sz w:val="32"/>
          <w:szCs w:val="32"/>
          <w:shd w:val="clear" w:color="auto" w:fill="FFFFFF"/>
        </w:rPr>
        <w:t>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atLeast"/>
        <w:ind w:firstLine="640" w:firstLineChars="200"/>
        <w:jc w:val="both"/>
        <w:textAlignment w:val="auto"/>
        <w:rPr>
          <w:rFonts w:ascii="仿宋_GB2312" w:hAnsi="Calibri" w:eastAsia="仿宋_GB2312"/>
          <w:color w:val="000000"/>
          <w:sz w:val="32"/>
          <w:szCs w:val="32"/>
        </w:rPr>
      </w:pPr>
      <w:r>
        <w:rPr>
          <w:rFonts w:hint="eastAsia" w:ascii="仿宋_GB2312" w:hAnsi="Calibri" w:eastAsia="仿宋_GB2312"/>
          <w:color w:val="000000"/>
          <w:sz w:val="32"/>
          <w:szCs w:val="32"/>
        </w:rPr>
        <w:t>提高对执法公示平台建设的思想认识，按照总局总体部署及省局具体工作安排，组织各相关单位对区局执法主体、执法人员、监督救济途径、区局及各分局权利和责任清单等信息进行整理，确保信息准确、完整、全面。同时按照省局工作进度安排对信息进行公示，确保执法公示平台平稳运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atLeast"/>
        <w:ind w:firstLine="640" w:firstLineChars="200"/>
        <w:jc w:val="both"/>
        <w:textAlignment w:val="auto"/>
        <w:rPr>
          <w:rFonts w:ascii="楷体" w:hAnsi="楷体" w:eastAsia="楷体"/>
          <w:color w:val="000000"/>
          <w:sz w:val="32"/>
          <w:szCs w:val="32"/>
        </w:rPr>
      </w:pPr>
      <w:r>
        <w:rPr>
          <w:rFonts w:hint="eastAsia" w:ascii="楷体" w:hAnsi="楷体" w:eastAsia="楷体"/>
          <w:color w:val="000000"/>
          <w:sz w:val="32"/>
          <w:szCs w:val="32"/>
        </w:rPr>
        <w:t>（六）监督保障</w:t>
      </w:r>
      <w:r>
        <w:rPr>
          <w:rFonts w:hint="eastAsia" w:ascii="楷体" w:hAnsi="楷体" w:eastAsia="楷体"/>
          <w:color w:val="000000"/>
          <w:sz w:val="32"/>
          <w:szCs w:val="32"/>
          <w:shd w:val="clear" w:color="auto" w:fill="FFFFFF"/>
        </w:rPr>
        <w:t>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ascii="仿宋_GB2312" w:hAnsi="Times New Roman" w:eastAsia="仿宋_GB2312" w:cs="Times New Roman"/>
          <w:color w:val="000000"/>
          <w:sz w:val="32"/>
          <w:szCs w:val="32"/>
        </w:rPr>
        <w:t>不断规范政府信息公开工作，强化社会监督，严肃责任追究，</w:t>
      </w:r>
      <w:r>
        <w:rPr>
          <w:rFonts w:hint="eastAsia" w:ascii="仿宋_GB2312" w:hAnsi="微软雅黑" w:eastAsia="仿宋_GB2312"/>
          <w:sz w:val="32"/>
          <w:szCs w:val="32"/>
        </w:rPr>
        <w:t>根据“公开信息不涉密、涉密信息不公开”的原则，将信息公开与保密审查工作紧密结合,</w:t>
      </w:r>
      <w:r>
        <w:rPr>
          <w:rFonts w:hint="eastAsia" w:ascii="仿宋_GB2312" w:hAnsi="仿宋" w:eastAsia="仿宋_GB2312"/>
          <w:sz w:val="32"/>
          <w:szCs w:val="32"/>
        </w:rPr>
        <w:t>主动公开的信息由领导小组办公室初审,并进行保密审查,报分管领导批准,重大信息报主要领导审批,同时主动接受政府信息公开工作主管部门和社会的监督检查。</w:t>
      </w:r>
    </w:p>
    <w:p>
      <w:pPr>
        <w:keepNext w:val="0"/>
        <w:keepLines w:val="0"/>
        <w:pageBreakBefore w:val="0"/>
        <w:kinsoku/>
        <w:wordWrap/>
        <w:overflowPunct/>
        <w:topLinePunct w:val="0"/>
        <w:autoSpaceDE/>
        <w:autoSpaceDN/>
        <w:bidi w:val="0"/>
        <w:adjustRightInd/>
        <w:snapToGrid/>
        <w:ind w:firstLine="640" w:firstLineChars="200"/>
        <w:textAlignment w:val="auto"/>
        <w:rPr>
          <w:rFonts w:ascii="楷体" w:hAnsi="楷体" w:eastAsia="楷体"/>
          <w:color w:val="000000"/>
          <w:sz w:val="32"/>
          <w:szCs w:val="32"/>
          <w:shd w:val="clear" w:color="auto" w:fill="FFFFFF"/>
        </w:rPr>
      </w:pPr>
      <w:r>
        <w:rPr>
          <w:rFonts w:hint="eastAsia" w:ascii="楷体" w:hAnsi="楷体" w:eastAsia="楷体"/>
          <w:color w:val="000000"/>
          <w:sz w:val="32"/>
          <w:szCs w:val="32"/>
          <w:shd w:val="clear" w:color="auto" w:fill="FFFFFF"/>
        </w:rPr>
        <w:t>（七）人大代表建议和政协委员提案办理结果公开情况</w:t>
      </w:r>
    </w:p>
    <w:p>
      <w:pPr>
        <w:keepNext w:val="0"/>
        <w:keepLines w:val="0"/>
        <w:pageBreakBefore w:val="0"/>
        <w:kinsoku/>
        <w:wordWrap/>
        <w:overflowPunct/>
        <w:topLinePunct w:val="0"/>
        <w:autoSpaceDE/>
        <w:autoSpaceDN/>
        <w:bidi w:val="0"/>
        <w:adjustRightInd/>
        <w:snapToGrid/>
        <w:ind w:firstLine="640" w:firstLineChars="200"/>
        <w:textAlignment w:val="auto"/>
        <w:rPr>
          <w:rFonts w:ascii="黑体" w:eastAsia="黑体"/>
          <w:sz w:val="32"/>
          <w:szCs w:val="32"/>
        </w:rPr>
      </w:pPr>
      <w:r>
        <w:rPr>
          <w:rFonts w:hint="eastAsia" w:ascii="仿宋_GB2312" w:eastAsia="仿宋_GB2312"/>
          <w:color w:val="000000"/>
          <w:sz w:val="32"/>
          <w:szCs w:val="32"/>
          <w:shd w:val="clear" w:color="auto" w:fill="FFFFFF"/>
        </w:rPr>
        <w:t>2020年，</w:t>
      </w:r>
      <w:r>
        <w:rPr>
          <w:rFonts w:hint="eastAsia" w:ascii="仿宋_GB2312" w:hAnsi="Calibri" w:eastAsia="仿宋_GB2312"/>
          <w:color w:val="000000"/>
          <w:sz w:val="32"/>
          <w:szCs w:val="32"/>
        </w:rPr>
        <w:t>耀州区税务局</w:t>
      </w:r>
      <w:r>
        <w:rPr>
          <w:rFonts w:hint="eastAsia" w:ascii="仿宋_GB2312" w:eastAsia="仿宋_GB2312"/>
          <w:color w:val="000000"/>
          <w:sz w:val="32"/>
          <w:szCs w:val="32"/>
          <w:shd w:val="clear" w:color="auto" w:fill="FFFFFF"/>
        </w:rPr>
        <w:t>未收到政协委员提案和人大代表建议。</w:t>
      </w:r>
    </w:p>
    <w:p>
      <w:pPr>
        <w:keepNext w:val="0"/>
        <w:keepLines w:val="0"/>
        <w:pageBreakBefore w:val="0"/>
        <w:kinsoku/>
        <w:wordWrap/>
        <w:overflowPunct/>
        <w:topLinePunct w:val="0"/>
        <w:autoSpaceDE/>
        <w:autoSpaceDN/>
        <w:bidi w:val="0"/>
        <w:adjustRightInd/>
        <w:snapToGrid/>
        <w:ind w:firstLine="640" w:firstLineChars="200"/>
        <w:textAlignment w:val="auto"/>
        <w:rPr>
          <w:rFonts w:ascii="黑体" w:eastAsia="黑体"/>
          <w:sz w:val="32"/>
          <w:szCs w:val="32"/>
        </w:rPr>
      </w:pPr>
    </w:p>
    <w:p>
      <w:pPr>
        <w:keepNext w:val="0"/>
        <w:keepLines w:val="0"/>
        <w:pageBreakBefore w:val="0"/>
        <w:kinsoku/>
        <w:wordWrap/>
        <w:overflowPunct/>
        <w:topLinePunct w:val="0"/>
        <w:autoSpaceDE/>
        <w:autoSpaceDN/>
        <w:bidi w:val="0"/>
        <w:adjustRightInd/>
        <w:snapToGrid/>
        <w:ind w:firstLine="640" w:firstLineChars="200"/>
        <w:textAlignment w:val="auto"/>
        <w:rPr>
          <w:rFonts w:ascii="黑体" w:eastAsia="黑体"/>
          <w:sz w:val="32"/>
          <w:szCs w:val="32"/>
        </w:rPr>
      </w:pPr>
    </w:p>
    <w:p>
      <w:pPr>
        <w:keepNext w:val="0"/>
        <w:keepLines w:val="0"/>
        <w:pageBreakBefore w:val="0"/>
        <w:kinsoku/>
        <w:wordWrap/>
        <w:overflowPunct/>
        <w:topLinePunct w:val="0"/>
        <w:autoSpaceDE/>
        <w:autoSpaceDN/>
        <w:bidi w:val="0"/>
        <w:adjustRightInd/>
        <w:snapToGrid/>
        <w:ind w:firstLine="640" w:firstLineChars="200"/>
        <w:textAlignment w:val="auto"/>
        <w:rPr>
          <w:rFonts w:ascii="黑体" w:eastAsia="黑体"/>
          <w:sz w:val="32"/>
          <w:szCs w:val="32"/>
        </w:rPr>
      </w:pPr>
    </w:p>
    <w:p>
      <w:pPr>
        <w:keepNext w:val="0"/>
        <w:keepLines w:val="0"/>
        <w:pageBreakBefore w:val="0"/>
        <w:kinsoku/>
        <w:wordWrap/>
        <w:overflowPunct/>
        <w:topLinePunct w:val="0"/>
        <w:autoSpaceDE/>
        <w:autoSpaceDN/>
        <w:bidi w:val="0"/>
        <w:adjustRightInd/>
        <w:snapToGrid/>
        <w:ind w:firstLine="640" w:firstLineChars="200"/>
        <w:textAlignment w:val="auto"/>
        <w:rPr>
          <w:rFonts w:ascii="黑体" w:eastAsia="黑体"/>
          <w:sz w:val="32"/>
          <w:szCs w:val="32"/>
        </w:rPr>
      </w:pPr>
    </w:p>
    <w:p>
      <w:pPr>
        <w:keepNext w:val="0"/>
        <w:keepLines w:val="0"/>
        <w:pageBreakBefore w:val="0"/>
        <w:kinsoku/>
        <w:wordWrap/>
        <w:overflowPunct/>
        <w:topLinePunct w:val="0"/>
        <w:autoSpaceDE/>
        <w:autoSpaceDN/>
        <w:bidi w:val="0"/>
        <w:adjustRightInd/>
        <w:snapToGrid/>
        <w:ind w:firstLine="640" w:firstLineChars="200"/>
        <w:textAlignment w:val="auto"/>
        <w:rPr>
          <w:rFonts w:ascii="黑体" w:eastAsia="黑体"/>
          <w:sz w:val="32"/>
          <w:szCs w:val="32"/>
        </w:rPr>
      </w:pPr>
    </w:p>
    <w:p>
      <w:pPr>
        <w:keepNext w:val="0"/>
        <w:keepLines w:val="0"/>
        <w:pageBreakBefore w:val="0"/>
        <w:kinsoku/>
        <w:wordWrap/>
        <w:overflowPunct/>
        <w:topLinePunct w:val="0"/>
        <w:autoSpaceDE/>
        <w:autoSpaceDN/>
        <w:bidi w:val="0"/>
        <w:adjustRightInd/>
        <w:snapToGrid/>
        <w:ind w:firstLine="640" w:firstLineChars="200"/>
        <w:textAlignment w:val="auto"/>
        <w:rPr>
          <w:rFonts w:ascii="黑体" w:eastAsia="黑体"/>
          <w:sz w:val="32"/>
          <w:szCs w:val="32"/>
        </w:rPr>
      </w:pPr>
      <w:r>
        <w:rPr>
          <w:rFonts w:hint="eastAsia" w:ascii="黑体" w:eastAsia="黑体"/>
          <w:sz w:val="32"/>
          <w:szCs w:val="32"/>
        </w:rPr>
        <w:t>二、主动公开政府信息情况</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65"/>
        <w:gridCol w:w="2265"/>
        <w:gridCol w:w="2265"/>
        <w:gridCol w:w="22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60" w:type="dxa"/>
            <w:gridSpan w:val="4"/>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第二十条第（一）项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信息内容</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本年新制作数量</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本年新公开数量</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对外公开总数量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规章</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0</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0</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规范性文件</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0</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0</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rFonts w:hint="eastAsia" w:eastAsiaTheme="minorEastAsia"/>
                <w:b/>
                <w:sz w:val="28"/>
                <w:szCs w:val="28"/>
                <w:lang w:eastAsia="zh-CN"/>
              </w:rPr>
            </w:pPr>
            <w:r>
              <w:rPr>
                <w:rFonts w:hint="eastAsia"/>
                <w:b/>
                <w:sz w:val="28"/>
                <w:szCs w:val="28"/>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60" w:type="dxa"/>
            <w:gridSpan w:val="4"/>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第二十条第（五）项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信息内容</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上一年项目数量</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本年增/减</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处理决定数量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行政许可</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4</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0</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457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其他对外管理服务事项</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120</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0</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6921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60" w:type="dxa"/>
            <w:gridSpan w:val="4"/>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第二十条第（六）项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信息内容</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上一年项目数量</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本年增/减</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处理决定数量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行政处罚</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40</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0</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行政强制</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5</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0</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60" w:type="dxa"/>
            <w:gridSpan w:val="4"/>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第二十条第（八）项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信息内容</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上一年项目数量</w:t>
            </w:r>
          </w:p>
        </w:tc>
        <w:tc>
          <w:tcPr>
            <w:tcW w:w="4530" w:type="dxa"/>
            <w:gridSpan w:val="2"/>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本年增/减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行政事业性收费</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1</w:t>
            </w:r>
          </w:p>
        </w:tc>
        <w:tc>
          <w:tcPr>
            <w:tcW w:w="4530" w:type="dxa"/>
            <w:gridSpan w:val="2"/>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60" w:type="dxa"/>
            <w:gridSpan w:val="4"/>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第二十条第（九）项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信息内容</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采购项目数量</w:t>
            </w:r>
          </w:p>
        </w:tc>
        <w:tc>
          <w:tcPr>
            <w:tcW w:w="4530" w:type="dxa"/>
            <w:gridSpan w:val="2"/>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采购总金额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政府集中采购</w:t>
            </w:r>
          </w:p>
        </w:tc>
        <w:tc>
          <w:tcPr>
            <w:tcW w:w="2265" w:type="dxa"/>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1</w:t>
            </w:r>
          </w:p>
        </w:tc>
        <w:tc>
          <w:tcPr>
            <w:tcW w:w="4530" w:type="dxa"/>
            <w:gridSpan w:val="2"/>
            <w:vAlign w:val="center"/>
          </w:tcPr>
          <w:p>
            <w:pPr>
              <w:keepNext w:val="0"/>
              <w:keepLines w:val="0"/>
              <w:pageBreakBefore w:val="0"/>
              <w:kinsoku/>
              <w:wordWrap/>
              <w:overflowPunct/>
              <w:topLinePunct w:val="0"/>
              <w:autoSpaceDE/>
              <w:autoSpaceDN/>
              <w:bidi w:val="0"/>
              <w:adjustRightInd/>
              <w:snapToGrid/>
              <w:ind w:firstLine="562" w:firstLineChars="200"/>
              <w:jc w:val="center"/>
              <w:textAlignment w:val="auto"/>
              <w:rPr>
                <w:b/>
                <w:sz w:val="28"/>
                <w:szCs w:val="28"/>
              </w:rPr>
            </w:pPr>
            <w:r>
              <w:rPr>
                <w:rFonts w:hint="eastAsia"/>
                <w:b/>
                <w:sz w:val="28"/>
                <w:szCs w:val="28"/>
              </w:rPr>
              <w:t>71</w:t>
            </w:r>
            <w:r>
              <w:rPr>
                <w:rFonts w:hint="eastAsia"/>
                <w:b/>
                <w:sz w:val="28"/>
                <w:szCs w:val="28"/>
                <w:lang w:val="en-US" w:eastAsia="zh-CN"/>
              </w:rPr>
              <w:t>.85万</w:t>
            </w:r>
            <w:r>
              <w:rPr>
                <w:rFonts w:hint="eastAsia"/>
                <w:b/>
                <w:sz w:val="28"/>
                <w:szCs w:val="28"/>
              </w:rPr>
              <w:t>元</w:t>
            </w:r>
          </w:p>
        </w:tc>
      </w:tr>
    </w:tbl>
    <w:p>
      <w:pPr>
        <w:keepNext w:val="0"/>
        <w:keepLines w:val="0"/>
        <w:pageBreakBefore w:val="0"/>
        <w:kinsoku/>
        <w:wordWrap/>
        <w:overflowPunct/>
        <w:topLinePunct w:val="0"/>
        <w:autoSpaceDE/>
        <w:autoSpaceDN/>
        <w:bidi w:val="0"/>
        <w:adjustRightInd/>
        <w:snapToGrid/>
        <w:ind w:firstLine="640" w:firstLineChars="200"/>
        <w:textAlignment w:val="auto"/>
        <w:rPr>
          <w:rFonts w:ascii="黑体" w:eastAsia="黑体"/>
          <w:sz w:val="32"/>
          <w:szCs w:val="32"/>
        </w:rPr>
      </w:pPr>
    </w:p>
    <w:p>
      <w:pPr>
        <w:keepNext w:val="0"/>
        <w:keepLines w:val="0"/>
        <w:pageBreakBefore w:val="0"/>
        <w:kinsoku/>
        <w:wordWrap/>
        <w:overflowPunct/>
        <w:topLinePunct w:val="0"/>
        <w:autoSpaceDE/>
        <w:autoSpaceDN/>
        <w:bidi w:val="0"/>
        <w:adjustRightInd/>
        <w:snapToGrid/>
        <w:ind w:firstLine="640" w:firstLineChars="200"/>
        <w:textAlignment w:val="auto"/>
        <w:rPr>
          <w:rFonts w:ascii="黑体" w:eastAsia="黑体"/>
          <w:sz w:val="32"/>
          <w:szCs w:val="32"/>
        </w:rPr>
      </w:pPr>
    </w:p>
    <w:p>
      <w:pPr>
        <w:keepNext w:val="0"/>
        <w:keepLines w:val="0"/>
        <w:pageBreakBefore w:val="0"/>
        <w:kinsoku/>
        <w:wordWrap/>
        <w:overflowPunct/>
        <w:topLinePunct w:val="0"/>
        <w:autoSpaceDE/>
        <w:autoSpaceDN/>
        <w:bidi w:val="0"/>
        <w:adjustRightInd/>
        <w:snapToGrid/>
        <w:ind w:firstLine="640" w:firstLineChars="200"/>
        <w:textAlignment w:val="auto"/>
        <w:rPr>
          <w:rFonts w:ascii="黑体" w:hAnsi="楷体" w:eastAsia="黑体" w:cs="楷体"/>
          <w:spacing w:val="7"/>
          <w:sz w:val="32"/>
          <w:szCs w:val="32"/>
          <w:shd w:val="clear" w:color="auto" w:fill="FFFFFF"/>
        </w:rPr>
      </w:pPr>
      <w:r>
        <w:rPr>
          <w:rFonts w:hint="eastAsia" w:ascii="黑体" w:eastAsia="黑体"/>
          <w:sz w:val="32"/>
          <w:szCs w:val="32"/>
        </w:rPr>
        <w:t>三、</w:t>
      </w:r>
      <w:r>
        <w:rPr>
          <w:rFonts w:hint="eastAsia" w:ascii="黑体" w:hAnsi="楷体" w:eastAsia="黑体" w:cs="楷体"/>
          <w:spacing w:val="7"/>
          <w:sz w:val="32"/>
          <w:szCs w:val="32"/>
          <w:shd w:val="clear" w:color="auto" w:fill="FFFFFF"/>
        </w:rPr>
        <w:t>收到和处理政府信息公开申请情况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53"/>
        <w:gridCol w:w="1262"/>
        <w:gridCol w:w="844"/>
        <w:gridCol w:w="843"/>
        <w:gridCol w:w="843"/>
        <w:gridCol w:w="843"/>
        <w:gridCol w:w="843"/>
        <w:gridCol w:w="843"/>
        <w:gridCol w:w="843"/>
        <w:gridCol w:w="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3"/>
            <w:vMerge w:val="restart"/>
            <w:vAlign w:val="center"/>
          </w:tcPr>
          <w:p>
            <w:pPr>
              <w:pStyle w:val="8"/>
              <w:keepNext w:val="0"/>
              <w:keepLines w:val="0"/>
              <w:pageBreakBefore w:val="0"/>
              <w:widowControl/>
              <w:kinsoku/>
              <w:wordWrap/>
              <w:overflowPunct/>
              <w:topLinePunct w:val="0"/>
              <w:autoSpaceDE/>
              <w:autoSpaceDN/>
              <w:bidi w:val="0"/>
              <w:adjustRightInd/>
              <w:snapToGrid/>
              <w:ind w:firstLine="422" w:firstLineChars="200"/>
              <w:jc w:val="center"/>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w:t>
            </w:r>
            <w:r>
              <w:rPr>
                <w:rFonts w:asciiTheme="minorEastAsia" w:hAnsiTheme="minorEastAsia" w:eastAsiaTheme="minorEastAsia"/>
                <w:b/>
                <w:sz w:val="21"/>
                <w:szCs w:val="21"/>
              </w:rPr>
              <w:t>本列数据的勾稽关系为</w:t>
            </w:r>
            <w:r>
              <w:rPr>
                <w:rFonts w:hint="eastAsia" w:asciiTheme="minorEastAsia" w:hAnsiTheme="minorEastAsia" w:eastAsiaTheme="minorEastAsia"/>
                <w:b/>
                <w:sz w:val="21"/>
                <w:szCs w:val="21"/>
              </w:rPr>
              <w:t>：</w:t>
            </w:r>
            <w:r>
              <w:rPr>
                <w:rFonts w:asciiTheme="minorEastAsia" w:hAnsiTheme="minorEastAsia" w:eastAsiaTheme="minorEastAsia"/>
                <w:b/>
                <w:sz w:val="21"/>
                <w:szCs w:val="21"/>
              </w:rPr>
              <w:t>第一项加第二项之和</w:t>
            </w:r>
            <w:r>
              <w:rPr>
                <w:rFonts w:hint="eastAsia" w:asciiTheme="minorEastAsia" w:hAnsiTheme="minorEastAsia" w:eastAsiaTheme="minorEastAsia"/>
                <w:b/>
                <w:sz w:val="21"/>
                <w:szCs w:val="21"/>
              </w:rPr>
              <w:t>，</w:t>
            </w:r>
            <w:r>
              <w:rPr>
                <w:rFonts w:asciiTheme="minorEastAsia" w:hAnsiTheme="minorEastAsia" w:eastAsiaTheme="minorEastAsia"/>
                <w:b/>
                <w:sz w:val="21"/>
                <w:szCs w:val="21"/>
              </w:rPr>
              <w:t>等于第三项加第四项之和</w:t>
            </w:r>
            <w:r>
              <w:rPr>
                <w:rFonts w:hint="eastAsia" w:asciiTheme="minorEastAsia" w:hAnsiTheme="minorEastAsia" w:eastAsiaTheme="minorEastAsia"/>
                <w:b/>
                <w:sz w:val="21"/>
                <w:szCs w:val="21"/>
              </w:rPr>
              <w:t>）</w:t>
            </w:r>
          </w:p>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5266" w:type="dxa"/>
            <w:gridSpan w:val="7"/>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申请人情况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3"/>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709" w:type="dxa"/>
            <w:vMerge w:val="restart"/>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cs="helvetica neue" w:asciiTheme="minorEastAsia" w:hAnsiTheme="minorEastAsia"/>
                <w:b/>
                <w:kern w:val="0"/>
                <w:szCs w:val="21"/>
              </w:rPr>
              <w:t>自然人</w:t>
            </w:r>
          </w:p>
        </w:tc>
        <w:tc>
          <w:tcPr>
            <w:tcW w:w="3827" w:type="dxa"/>
            <w:gridSpan w:val="5"/>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cs="helvetica neue" w:asciiTheme="minorEastAsia" w:hAnsiTheme="minorEastAsia"/>
                <w:b/>
                <w:kern w:val="0"/>
                <w:szCs w:val="21"/>
              </w:rPr>
              <w:t>法人和其他组织</w:t>
            </w:r>
          </w:p>
        </w:tc>
        <w:tc>
          <w:tcPr>
            <w:tcW w:w="730" w:type="dxa"/>
            <w:vMerge w:val="restart"/>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cs="helvetica neue" w:asciiTheme="minorEastAsia" w:hAnsiTheme="minorEastAsia"/>
                <w:b/>
                <w:kern w:val="0"/>
                <w:szCs w:val="21"/>
              </w:rPr>
              <w:t>总计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3"/>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709"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cs="helvetica neue" w:asciiTheme="minorEastAsia" w:hAnsiTheme="minorEastAsia"/>
                <w:b/>
                <w:kern w:val="0"/>
                <w:szCs w:val="21"/>
              </w:rPr>
              <w:t>商业企业</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cs="helvetica neue" w:asciiTheme="minorEastAsia" w:hAnsiTheme="minorEastAsia"/>
                <w:b/>
                <w:kern w:val="0"/>
                <w:szCs w:val="21"/>
              </w:rPr>
              <w:t>科研机构</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cs="helvetica neue" w:asciiTheme="minorEastAsia" w:hAnsiTheme="minorEastAsia"/>
                <w:b/>
                <w:kern w:val="0"/>
                <w:szCs w:val="21"/>
              </w:rPr>
              <w:t>社会公益组织</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cs="helvetica neue" w:asciiTheme="minorEastAsia" w:hAnsiTheme="minorEastAsia"/>
                <w:b/>
                <w:kern w:val="0"/>
                <w:szCs w:val="21"/>
              </w:rPr>
              <w:t>法律服务机构</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cs="helvetica neue" w:asciiTheme="minorEastAsia" w:hAnsiTheme="minorEastAsia"/>
                <w:b/>
                <w:kern w:val="0"/>
                <w:szCs w:val="21"/>
              </w:rPr>
              <w:t>其他</w:t>
            </w:r>
          </w:p>
        </w:tc>
        <w:tc>
          <w:tcPr>
            <w:tcW w:w="730"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3"/>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cs="helvetica neue" w:asciiTheme="minorEastAsia" w:hAnsiTheme="minorEastAsia"/>
                <w:b/>
                <w:kern w:val="0"/>
                <w:szCs w:val="21"/>
              </w:rPr>
              <w:t>一、</w:t>
            </w:r>
            <w:r>
              <w:rPr>
                <w:rFonts w:cs="helvetica neue" w:asciiTheme="minorEastAsia" w:hAnsiTheme="minorEastAsia"/>
                <w:b/>
                <w:kern w:val="0"/>
                <w:szCs w:val="21"/>
              </w:rPr>
              <w:t>本</w:t>
            </w:r>
            <w:r>
              <w:rPr>
                <w:rFonts w:hint="eastAsia" w:cs="helvetica neue" w:asciiTheme="minorEastAsia" w:hAnsiTheme="minorEastAsia"/>
                <w:b/>
                <w:kern w:val="0"/>
                <w:szCs w:val="21"/>
              </w:rPr>
              <w:t>年</w:t>
            </w:r>
            <w:r>
              <w:rPr>
                <w:rFonts w:cs="helvetica neue" w:asciiTheme="minorEastAsia" w:hAnsiTheme="minorEastAsia"/>
                <w:b/>
                <w:kern w:val="0"/>
                <w:szCs w:val="21"/>
              </w:rPr>
              <w:t>新收政府信息公开申请数量</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3"/>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二、</w:t>
            </w:r>
            <w:r>
              <w:rPr>
                <w:rFonts w:cs="helvetica neue" w:asciiTheme="minorEastAsia" w:hAnsiTheme="minorEastAsia"/>
                <w:b/>
                <w:kern w:val="0"/>
                <w:szCs w:val="21"/>
              </w:rPr>
              <w:t>上年结转</w:t>
            </w:r>
            <w:r>
              <w:rPr>
                <w:rFonts w:hint="eastAsia" w:cs="helvetica neue" w:asciiTheme="minorEastAsia" w:hAnsiTheme="minorEastAsia"/>
                <w:b/>
                <w:kern w:val="0"/>
                <w:szCs w:val="21"/>
              </w:rPr>
              <w:t>政府</w:t>
            </w:r>
            <w:r>
              <w:rPr>
                <w:rFonts w:cs="helvetica neue" w:asciiTheme="minorEastAsia" w:hAnsiTheme="minorEastAsia"/>
                <w:b/>
                <w:kern w:val="0"/>
                <w:szCs w:val="21"/>
              </w:rPr>
              <w:t>信息公开申请数量</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restart"/>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三、本年度办理结果</w:t>
            </w:r>
          </w:p>
        </w:tc>
        <w:tc>
          <w:tcPr>
            <w:tcW w:w="3119" w:type="dxa"/>
            <w:gridSpan w:val="2"/>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（一</w:t>
            </w:r>
            <w:r>
              <w:rPr>
                <w:rFonts w:asciiTheme="minorEastAsia" w:hAnsiTheme="minorEastAsia"/>
                <w:b/>
                <w:szCs w:val="21"/>
              </w:rPr>
              <w:t>）</w:t>
            </w:r>
            <w:r>
              <w:rPr>
                <w:rFonts w:hint="eastAsia" w:asciiTheme="minorEastAsia" w:hAnsiTheme="minorEastAsia"/>
                <w:b/>
                <w:szCs w:val="21"/>
              </w:rPr>
              <w:t>予以公开</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3119" w:type="dxa"/>
            <w:gridSpan w:val="2"/>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（二）部分公开</w:t>
            </w:r>
            <w:r>
              <w:rPr>
                <w:rFonts w:hint="eastAsia" w:cs="helvetica neue" w:asciiTheme="minorEastAsia" w:hAnsiTheme="minorEastAsia"/>
                <w:b/>
                <w:kern w:val="0"/>
                <w:szCs w:val="21"/>
              </w:rPr>
              <w:t>（</w:t>
            </w:r>
            <w:r>
              <w:rPr>
                <w:rFonts w:cs="helvetica neue" w:asciiTheme="minorEastAsia" w:hAnsiTheme="minorEastAsia"/>
                <w:b/>
                <w:kern w:val="0"/>
                <w:szCs w:val="21"/>
              </w:rPr>
              <w:t>区分处理的，只</w:t>
            </w:r>
            <w:r>
              <w:rPr>
                <w:rFonts w:hint="eastAsia" w:cs="helvetica neue" w:asciiTheme="minorEastAsia" w:hAnsiTheme="minorEastAsia"/>
                <w:b/>
                <w:kern w:val="0"/>
                <w:szCs w:val="21"/>
              </w:rPr>
              <w:t>计</w:t>
            </w:r>
            <w:r>
              <w:rPr>
                <w:rFonts w:cs="helvetica neue" w:asciiTheme="minorEastAsia" w:hAnsiTheme="minorEastAsia"/>
                <w:b/>
                <w:kern w:val="0"/>
                <w:szCs w:val="21"/>
              </w:rPr>
              <w:t>这一情形，不计其他情形</w:t>
            </w:r>
            <w:r>
              <w:rPr>
                <w:rFonts w:hint="eastAsia" w:cs="helvetica neue" w:asciiTheme="minorEastAsia" w:hAnsiTheme="minorEastAsia"/>
                <w:b/>
                <w:kern w:val="0"/>
                <w:szCs w:val="21"/>
              </w:rPr>
              <w:t>）</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851" w:type="dxa"/>
            <w:vMerge w:val="restart"/>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（三）不予公开</w:t>
            </w:r>
          </w:p>
        </w:tc>
        <w:tc>
          <w:tcPr>
            <w:tcW w:w="2268" w:type="dxa"/>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1.属于国家秘密</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851"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2268" w:type="dxa"/>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2.其他法律行政法规禁止公开</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851"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2268" w:type="dxa"/>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3.危及“三安全一稳定”</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851"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2268" w:type="dxa"/>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4.保护第三方合法权益</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851"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2268" w:type="dxa"/>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5.属于三类内部事务信息</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851"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2268" w:type="dxa"/>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6.属于四类过程性信息</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851"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2268" w:type="dxa"/>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7.属于行政执法案卷</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851"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2268" w:type="dxa"/>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8.属于行政查询事项</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851" w:type="dxa"/>
            <w:vMerge w:val="restart"/>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（四）无法提供</w:t>
            </w:r>
          </w:p>
        </w:tc>
        <w:tc>
          <w:tcPr>
            <w:tcW w:w="2268" w:type="dxa"/>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1.本机关不掌握相关政府信息</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851"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2268" w:type="dxa"/>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2.没有现成信息需要另行制作</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851"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2268" w:type="dxa"/>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3.补正后申请内容仍不明确</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851" w:type="dxa"/>
            <w:vMerge w:val="restart"/>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（五）不予处理</w:t>
            </w:r>
          </w:p>
        </w:tc>
        <w:tc>
          <w:tcPr>
            <w:tcW w:w="2268" w:type="dxa"/>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1.信访举报投诉类申请</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851"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2268" w:type="dxa"/>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2.重复申请</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851"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2268" w:type="dxa"/>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3.要求提供公开出版物</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851"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2268" w:type="dxa"/>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4.无正当理由大量反复申请</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851"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2268" w:type="dxa"/>
            <w:vAlign w:val="center"/>
          </w:tcPr>
          <w:p>
            <w:pPr>
              <w:keepNext w:val="0"/>
              <w:keepLines w:val="0"/>
              <w:pageBreakBefore w:val="0"/>
              <w:kinsoku/>
              <w:wordWrap/>
              <w:overflowPunct/>
              <w:topLinePunct w:val="0"/>
              <w:autoSpaceDE/>
              <w:autoSpaceDN/>
              <w:bidi w:val="0"/>
              <w:adjustRightInd/>
              <w:snapToGrid/>
              <w:ind w:firstLine="422" w:firstLineChars="200"/>
              <w:textAlignment w:val="auto"/>
              <w:rPr>
                <w:rFonts w:asciiTheme="minorEastAsia" w:hAnsiTheme="minorEastAsia"/>
                <w:b/>
                <w:szCs w:val="21"/>
              </w:rPr>
            </w:pPr>
            <w:r>
              <w:rPr>
                <w:rFonts w:hint="eastAsia" w:asciiTheme="minorEastAsia" w:hAnsiTheme="minorEastAsia"/>
                <w:b/>
                <w:szCs w:val="21"/>
              </w:rPr>
              <w:t>5.要求行政机关确认或重新出具已获取信息</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3119" w:type="dxa"/>
            <w:gridSpan w:val="2"/>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（六）其他处理</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p>
        </w:tc>
        <w:tc>
          <w:tcPr>
            <w:tcW w:w="3119" w:type="dxa"/>
            <w:gridSpan w:val="2"/>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（七）总计</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3"/>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四、结转下年度继续办理</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8"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1"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85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09"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c>
          <w:tcPr>
            <w:tcW w:w="730" w:type="dxa"/>
            <w:vAlign w:val="center"/>
          </w:tcPr>
          <w:p>
            <w:pPr>
              <w:keepNext w:val="0"/>
              <w:keepLines w:val="0"/>
              <w:pageBreakBefore w:val="0"/>
              <w:kinsoku/>
              <w:wordWrap/>
              <w:overflowPunct/>
              <w:topLinePunct w:val="0"/>
              <w:autoSpaceDE/>
              <w:autoSpaceDN/>
              <w:bidi w:val="0"/>
              <w:adjustRightInd/>
              <w:snapToGrid/>
              <w:ind w:firstLine="422" w:firstLineChars="200"/>
              <w:jc w:val="center"/>
              <w:textAlignment w:val="auto"/>
              <w:rPr>
                <w:rFonts w:asciiTheme="minorEastAsia" w:hAnsiTheme="minorEastAsia"/>
                <w:b/>
                <w:szCs w:val="21"/>
              </w:rPr>
            </w:pPr>
            <w:r>
              <w:rPr>
                <w:rFonts w:hint="eastAsia" w:asciiTheme="minorEastAsia" w:hAnsiTheme="minorEastAsia"/>
                <w:b/>
                <w:szCs w:val="21"/>
              </w:rPr>
              <w:t>0</w:t>
            </w:r>
          </w:p>
        </w:tc>
      </w:tr>
    </w:tbl>
    <w:p>
      <w:pPr>
        <w:keepNext w:val="0"/>
        <w:keepLines w:val="0"/>
        <w:pageBreakBefore w:val="0"/>
        <w:kinsoku/>
        <w:wordWrap/>
        <w:overflowPunct/>
        <w:topLinePunct w:val="0"/>
        <w:autoSpaceDE/>
        <w:autoSpaceDN/>
        <w:bidi w:val="0"/>
        <w:adjustRightInd/>
        <w:snapToGrid/>
        <w:ind w:firstLine="668" w:firstLineChars="200"/>
        <w:textAlignment w:val="auto"/>
        <w:rPr>
          <w:rFonts w:ascii="黑体" w:hAnsi="楷体" w:eastAsia="黑体" w:cs="楷体"/>
          <w:spacing w:val="7"/>
          <w:sz w:val="32"/>
          <w:szCs w:val="32"/>
          <w:shd w:val="clear" w:color="auto" w:fill="FFFFFF"/>
        </w:rPr>
      </w:pPr>
      <w:r>
        <w:rPr>
          <w:rFonts w:hint="eastAsia" w:ascii="黑体" w:hAnsi="楷体" w:eastAsia="黑体" w:cs="楷体"/>
          <w:spacing w:val="7"/>
          <w:sz w:val="32"/>
          <w:szCs w:val="32"/>
          <w:shd w:val="clear" w:color="auto" w:fill="FFFFFF"/>
        </w:rPr>
        <w:t>四、政府信息公开行政复议、行政诉讼情况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4"/>
        <w:gridCol w:w="604"/>
        <w:gridCol w:w="604"/>
        <w:gridCol w:w="604"/>
        <w:gridCol w:w="604"/>
        <w:gridCol w:w="604"/>
        <w:gridCol w:w="604"/>
        <w:gridCol w:w="604"/>
        <w:gridCol w:w="604"/>
        <w:gridCol w:w="604"/>
        <w:gridCol w:w="604"/>
        <w:gridCol w:w="604"/>
        <w:gridCol w:w="604"/>
        <w:gridCol w:w="604"/>
        <w:gridCol w:w="6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0" w:type="dxa"/>
            <w:gridSpan w:val="5"/>
            <w:vAlign w:val="center"/>
          </w:tcPr>
          <w:p>
            <w:pPr>
              <w:keepNext w:val="0"/>
              <w:keepLines w:val="0"/>
              <w:pageBreakBefore w:val="0"/>
              <w:kinsoku/>
              <w:wordWrap/>
              <w:overflowPunct/>
              <w:topLinePunct w:val="0"/>
              <w:autoSpaceDE/>
              <w:autoSpaceDN/>
              <w:bidi w:val="0"/>
              <w:adjustRightInd/>
              <w:snapToGrid/>
              <w:ind w:firstLine="482" w:firstLineChars="200"/>
              <w:jc w:val="center"/>
              <w:textAlignment w:val="auto"/>
              <w:rPr>
                <w:b/>
                <w:sz w:val="24"/>
                <w:szCs w:val="24"/>
              </w:rPr>
            </w:pPr>
            <w:r>
              <w:rPr>
                <w:rFonts w:hint="eastAsia"/>
                <w:b/>
                <w:sz w:val="24"/>
                <w:szCs w:val="24"/>
              </w:rPr>
              <w:t>行政复议</w:t>
            </w:r>
          </w:p>
        </w:tc>
        <w:tc>
          <w:tcPr>
            <w:tcW w:w="6040" w:type="dxa"/>
            <w:gridSpan w:val="10"/>
            <w:vAlign w:val="center"/>
          </w:tcPr>
          <w:p>
            <w:pPr>
              <w:keepNext w:val="0"/>
              <w:keepLines w:val="0"/>
              <w:pageBreakBefore w:val="0"/>
              <w:kinsoku/>
              <w:wordWrap/>
              <w:overflowPunct/>
              <w:topLinePunct w:val="0"/>
              <w:autoSpaceDE/>
              <w:autoSpaceDN/>
              <w:bidi w:val="0"/>
              <w:adjustRightInd/>
              <w:snapToGrid/>
              <w:ind w:firstLine="482" w:firstLineChars="200"/>
              <w:jc w:val="center"/>
              <w:textAlignment w:val="auto"/>
              <w:rPr>
                <w:b/>
                <w:sz w:val="24"/>
                <w:szCs w:val="24"/>
              </w:rPr>
            </w:pPr>
            <w:r>
              <w:rPr>
                <w:rFonts w:hint="eastAsia"/>
                <w:b/>
                <w:sz w:val="24"/>
                <w:szCs w:val="24"/>
              </w:rPr>
              <w:t>行政诉讼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4" w:type="dxa"/>
            <w:vMerge w:val="restart"/>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结果维持</w:t>
            </w:r>
          </w:p>
        </w:tc>
        <w:tc>
          <w:tcPr>
            <w:tcW w:w="604" w:type="dxa"/>
            <w:vMerge w:val="restart"/>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结果纠正</w:t>
            </w:r>
          </w:p>
        </w:tc>
        <w:tc>
          <w:tcPr>
            <w:tcW w:w="604" w:type="dxa"/>
            <w:vMerge w:val="restart"/>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其他结果</w:t>
            </w:r>
          </w:p>
        </w:tc>
        <w:tc>
          <w:tcPr>
            <w:tcW w:w="604" w:type="dxa"/>
            <w:vMerge w:val="restart"/>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尚未审结</w:t>
            </w:r>
          </w:p>
        </w:tc>
        <w:tc>
          <w:tcPr>
            <w:tcW w:w="604" w:type="dxa"/>
            <w:vMerge w:val="restart"/>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总计</w:t>
            </w:r>
          </w:p>
        </w:tc>
        <w:tc>
          <w:tcPr>
            <w:tcW w:w="3020" w:type="dxa"/>
            <w:gridSpan w:val="5"/>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未经复议直接起诉</w:t>
            </w:r>
          </w:p>
        </w:tc>
        <w:tc>
          <w:tcPr>
            <w:tcW w:w="3020" w:type="dxa"/>
            <w:gridSpan w:val="5"/>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复议后起诉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4" w:type="dxa"/>
            <w:vMerge w:val="continue"/>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p>
        </w:tc>
        <w:tc>
          <w:tcPr>
            <w:tcW w:w="604" w:type="dxa"/>
            <w:vMerge w:val="continue"/>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p>
        </w:tc>
        <w:tc>
          <w:tcPr>
            <w:tcW w:w="604" w:type="dxa"/>
            <w:vMerge w:val="continue"/>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p>
        </w:tc>
        <w:tc>
          <w:tcPr>
            <w:tcW w:w="604" w:type="dxa"/>
            <w:vMerge w:val="continue"/>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p>
        </w:tc>
        <w:tc>
          <w:tcPr>
            <w:tcW w:w="604" w:type="dxa"/>
            <w:vMerge w:val="continue"/>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p>
        </w:tc>
        <w:tc>
          <w:tcPr>
            <w:tcW w:w="604" w:type="dxa"/>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结果维持</w:t>
            </w:r>
          </w:p>
        </w:tc>
        <w:tc>
          <w:tcPr>
            <w:tcW w:w="604" w:type="dxa"/>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结果纠正</w:t>
            </w:r>
          </w:p>
        </w:tc>
        <w:tc>
          <w:tcPr>
            <w:tcW w:w="604" w:type="dxa"/>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其他结果</w:t>
            </w:r>
          </w:p>
        </w:tc>
        <w:tc>
          <w:tcPr>
            <w:tcW w:w="604" w:type="dxa"/>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尚未审结</w:t>
            </w:r>
          </w:p>
        </w:tc>
        <w:tc>
          <w:tcPr>
            <w:tcW w:w="604" w:type="dxa"/>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总计</w:t>
            </w:r>
          </w:p>
        </w:tc>
        <w:tc>
          <w:tcPr>
            <w:tcW w:w="604" w:type="dxa"/>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结果维持</w:t>
            </w:r>
          </w:p>
        </w:tc>
        <w:tc>
          <w:tcPr>
            <w:tcW w:w="604" w:type="dxa"/>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结果纠正</w:t>
            </w:r>
          </w:p>
        </w:tc>
        <w:tc>
          <w:tcPr>
            <w:tcW w:w="604" w:type="dxa"/>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其他结果</w:t>
            </w:r>
          </w:p>
        </w:tc>
        <w:tc>
          <w:tcPr>
            <w:tcW w:w="604" w:type="dxa"/>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尚未审结</w:t>
            </w:r>
          </w:p>
        </w:tc>
        <w:tc>
          <w:tcPr>
            <w:tcW w:w="604" w:type="dxa"/>
            <w:vAlign w:val="center"/>
          </w:tcPr>
          <w:p>
            <w:pPr>
              <w:keepNext w:val="0"/>
              <w:keepLines w:val="0"/>
              <w:pageBreakBefore w:val="0"/>
              <w:kinsoku/>
              <w:wordWrap/>
              <w:overflowPunct/>
              <w:topLinePunct w:val="0"/>
              <w:autoSpaceDE/>
              <w:autoSpaceDN/>
              <w:bidi w:val="0"/>
              <w:adjustRightInd/>
              <w:snapToGrid/>
              <w:ind w:firstLine="480" w:firstLineChars="200"/>
              <w:jc w:val="center"/>
              <w:textAlignment w:val="auto"/>
              <w:rPr>
                <w:sz w:val="24"/>
                <w:szCs w:val="24"/>
              </w:rPr>
            </w:pPr>
            <w:r>
              <w:rPr>
                <w:rFonts w:hint="eastAsia"/>
                <w:sz w:val="24"/>
                <w:szCs w:val="24"/>
              </w:rPr>
              <w:t>总计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4" w:type="dxa"/>
            <w:vAlign w:val="center"/>
          </w:tcPr>
          <w:p>
            <w:pPr>
              <w:keepNext w:val="0"/>
              <w:keepLines w:val="0"/>
              <w:pageBreakBefore w:val="0"/>
              <w:kinsoku/>
              <w:wordWrap/>
              <w:overflowPunct/>
              <w:topLinePunct w:val="0"/>
              <w:autoSpaceDE/>
              <w:autoSpaceDN/>
              <w:bidi w:val="0"/>
              <w:adjustRightInd/>
              <w:snapToGrid/>
              <w:ind w:firstLine="640" w:firstLineChars="200"/>
              <w:jc w:val="center"/>
              <w:textAlignment w:val="auto"/>
              <w:rPr>
                <w:sz w:val="32"/>
                <w:szCs w:val="32"/>
              </w:rPr>
            </w:pPr>
            <w:r>
              <w:rPr>
                <w:rFonts w:hint="eastAsia"/>
                <w:sz w:val="32"/>
                <w:szCs w:val="32"/>
              </w:rPr>
              <w:t>0</w:t>
            </w:r>
          </w:p>
        </w:tc>
        <w:tc>
          <w:tcPr>
            <w:tcW w:w="604" w:type="dxa"/>
            <w:vAlign w:val="center"/>
          </w:tcPr>
          <w:p>
            <w:pPr>
              <w:keepNext w:val="0"/>
              <w:keepLines w:val="0"/>
              <w:pageBreakBefore w:val="0"/>
              <w:kinsoku/>
              <w:wordWrap/>
              <w:overflowPunct/>
              <w:topLinePunct w:val="0"/>
              <w:autoSpaceDE/>
              <w:autoSpaceDN/>
              <w:bidi w:val="0"/>
              <w:adjustRightInd/>
              <w:snapToGrid/>
              <w:ind w:firstLine="640" w:firstLineChars="200"/>
              <w:jc w:val="center"/>
              <w:textAlignment w:val="auto"/>
              <w:rPr>
                <w:sz w:val="32"/>
                <w:szCs w:val="32"/>
              </w:rPr>
            </w:pPr>
            <w:r>
              <w:rPr>
                <w:rFonts w:hint="eastAsia"/>
                <w:sz w:val="32"/>
                <w:szCs w:val="32"/>
              </w:rPr>
              <w:t>0</w:t>
            </w:r>
          </w:p>
        </w:tc>
        <w:tc>
          <w:tcPr>
            <w:tcW w:w="604" w:type="dxa"/>
            <w:vAlign w:val="center"/>
          </w:tcPr>
          <w:p>
            <w:pPr>
              <w:keepNext w:val="0"/>
              <w:keepLines w:val="0"/>
              <w:pageBreakBefore w:val="0"/>
              <w:kinsoku/>
              <w:wordWrap/>
              <w:overflowPunct/>
              <w:topLinePunct w:val="0"/>
              <w:autoSpaceDE/>
              <w:autoSpaceDN/>
              <w:bidi w:val="0"/>
              <w:adjustRightInd/>
              <w:snapToGrid/>
              <w:ind w:firstLine="640" w:firstLineChars="200"/>
              <w:jc w:val="center"/>
              <w:textAlignment w:val="auto"/>
              <w:rPr>
                <w:sz w:val="32"/>
                <w:szCs w:val="32"/>
              </w:rPr>
            </w:pPr>
            <w:r>
              <w:rPr>
                <w:rFonts w:hint="eastAsia"/>
                <w:sz w:val="32"/>
                <w:szCs w:val="32"/>
              </w:rPr>
              <w:t>0</w:t>
            </w:r>
          </w:p>
        </w:tc>
        <w:tc>
          <w:tcPr>
            <w:tcW w:w="604" w:type="dxa"/>
            <w:vAlign w:val="center"/>
          </w:tcPr>
          <w:p>
            <w:pPr>
              <w:keepNext w:val="0"/>
              <w:keepLines w:val="0"/>
              <w:pageBreakBefore w:val="0"/>
              <w:kinsoku/>
              <w:wordWrap/>
              <w:overflowPunct/>
              <w:topLinePunct w:val="0"/>
              <w:autoSpaceDE/>
              <w:autoSpaceDN/>
              <w:bidi w:val="0"/>
              <w:adjustRightInd/>
              <w:snapToGrid/>
              <w:ind w:firstLine="640" w:firstLineChars="200"/>
              <w:jc w:val="center"/>
              <w:textAlignment w:val="auto"/>
              <w:rPr>
                <w:sz w:val="32"/>
                <w:szCs w:val="32"/>
              </w:rPr>
            </w:pPr>
            <w:r>
              <w:rPr>
                <w:rFonts w:hint="eastAsia"/>
                <w:sz w:val="32"/>
                <w:szCs w:val="32"/>
              </w:rPr>
              <w:t>0</w:t>
            </w:r>
          </w:p>
        </w:tc>
        <w:tc>
          <w:tcPr>
            <w:tcW w:w="604" w:type="dxa"/>
            <w:vAlign w:val="center"/>
          </w:tcPr>
          <w:p>
            <w:pPr>
              <w:keepNext w:val="0"/>
              <w:keepLines w:val="0"/>
              <w:pageBreakBefore w:val="0"/>
              <w:kinsoku/>
              <w:wordWrap/>
              <w:overflowPunct/>
              <w:topLinePunct w:val="0"/>
              <w:autoSpaceDE/>
              <w:autoSpaceDN/>
              <w:bidi w:val="0"/>
              <w:adjustRightInd/>
              <w:snapToGrid/>
              <w:ind w:firstLine="640" w:firstLineChars="200"/>
              <w:jc w:val="center"/>
              <w:textAlignment w:val="auto"/>
              <w:rPr>
                <w:sz w:val="32"/>
                <w:szCs w:val="32"/>
              </w:rPr>
            </w:pPr>
            <w:r>
              <w:rPr>
                <w:rFonts w:hint="eastAsia"/>
                <w:sz w:val="32"/>
                <w:szCs w:val="32"/>
              </w:rPr>
              <w:t>0</w:t>
            </w:r>
          </w:p>
        </w:tc>
        <w:tc>
          <w:tcPr>
            <w:tcW w:w="604" w:type="dxa"/>
            <w:vAlign w:val="center"/>
          </w:tcPr>
          <w:p>
            <w:pPr>
              <w:keepNext w:val="0"/>
              <w:keepLines w:val="0"/>
              <w:pageBreakBefore w:val="0"/>
              <w:kinsoku/>
              <w:wordWrap/>
              <w:overflowPunct/>
              <w:topLinePunct w:val="0"/>
              <w:autoSpaceDE/>
              <w:autoSpaceDN/>
              <w:bidi w:val="0"/>
              <w:adjustRightInd/>
              <w:snapToGrid/>
              <w:ind w:firstLine="640" w:firstLineChars="200"/>
              <w:jc w:val="center"/>
              <w:textAlignment w:val="auto"/>
              <w:rPr>
                <w:sz w:val="32"/>
                <w:szCs w:val="32"/>
              </w:rPr>
            </w:pPr>
            <w:r>
              <w:rPr>
                <w:rFonts w:hint="eastAsia"/>
                <w:sz w:val="32"/>
                <w:szCs w:val="32"/>
              </w:rPr>
              <w:t>0</w:t>
            </w:r>
          </w:p>
        </w:tc>
        <w:tc>
          <w:tcPr>
            <w:tcW w:w="604" w:type="dxa"/>
            <w:vAlign w:val="center"/>
          </w:tcPr>
          <w:p>
            <w:pPr>
              <w:keepNext w:val="0"/>
              <w:keepLines w:val="0"/>
              <w:pageBreakBefore w:val="0"/>
              <w:kinsoku/>
              <w:wordWrap/>
              <w:overflowPunct/>
              <w:topLinePunct w:val="0"/>
              <w:autoSpaceDE/>
              <w:autoSpaceDN/>
              <w:bidi w:val="0"/>
              <w:adjustRightInd/>
              <w:snapToGrid/>
              <w:ind w:firstLine="640" w:firstLineChars="200"/>
              <w:jc w:val="center"/>
              <w:textAlignment w:val="auto"/>
              <w:rPr>
                <w:sz w:val="32"/>
                <w:szCs w:val="32"/>
              </w:rPr>
            </w:pPr>
            <w:r>
              <w:rPr>
                <w:rFonts w:hint="eastAsia"/>
                <w:sz w:val="32"/>
                <w:szCs w:val="32"/>
              </w:rPr>
              <w:t>0</w:t>
            </w:r>
          </w:p>
        </w:tc>
        <w:tc>
          <w:tcPr>
            <w:tcW w:w="604" w:type="dxa"/>
            <w:vAlign w:val="center"/>
          </w:tcPr>
          <w:p>
            <w:pPr>
              <w:keepNext w:val="0"/>
              <w:keepLines w:val="0"/>
              <w:pageBreakBefore w:val="0"/>
              <w:kinsoku/>
              <w:wordWrap/>
              <w:overflowPunct/>
              <w:topLinePunct w:val="0"/>
              <w:autoSpaceDE/>
              <w:autoSpaceDN/>
              <w:bidi w:val="0"/>
              <w:adjustRightInd/>
              <w:snapToGrid/>
              <w:ind w:firstLine="640" w:firstLineChars="200"/>
              <w:jc w:val="center"/>
              <w:textAlignment w:val="auto"/>
              <w:rPr>
                <w:sz w:val="32"/>
                <w:szCs w:val="32"/>
              </w:rPr>
            </w:pPr>
            <w:r>
              <w:rPr>
                <w:rFonts w:hint="eastAsia"/>
                <w:sz w:val="32"/>
                <w:szCs w:val="32"/>
              </w:rPr>
              <w:t>0</w:t>
            </w:r>
          </w:p>
        </w:tc>
        <w:tc>
          <w:tcPr>
            <w:tcW w:w="604" w:type="dxa"/>
            <w:vAlign w:val="center"/>
          </w:tcPr>
          <w:p>
            <w:pPr>
              <w:keepNext w:val="0"/>
              <w:keepLines w:val="0"/>
              <w:pageBreakBefore w:val="0"/>
              <w:kinsoku/>
              <w:wordWrap/>
              <w:overflowPunct/>
              <w:topLinePunct w:val="0"/>
              <w:autoSpaceDE/>
              <w:autoSpaceDN/>
              <w:bidi w:val="0"/>
              <w:adjustRightInd/>
              <w:snapToGrid/>
              <w:ind w:firstLine="640" w:firstLineChars="200"/>
              <w:jc w:val="center"/>
              <w:textAlignment w:val="auto"/>
              <w:rPr>
                <w:sz w:val="32"/>
                <w:szCs w:val="32"/>
              </w:rPr>
            </w:pPr>
            <w:r>
              <w:rPr>
                <w:rFonts w:hint="eastAsia"/>
                <w:sz w:val="32"/>
                <w:szCs w:val="32"/>
              </w:rPr>
              <w:t>0</w:t>
            </w:r>
          </w:p>
        </w:tc>
        <w:tc>
          <w:tcPr>
            <w:tcW w:w="604" w:type="dxa"/>
            <w:vAlign w:val="center"/>
          </w:tcPr>
          <w:p>
            <w:pPr>
              <w:keepNext w:val="0"/>
              <w:keepLines w:val="0"/>
              <w:pageBreakBefore w:val="0"/>
              <w:kinsoku/>
              <w:wordWrap/>
              <w:overflowPunct/>
              <w:topLinePunct w:val="0"/>
              <w:autoSpaceDE/>
              <w:autoSpaceDN/>
              <w:bidi w:val="0"/>
              <w:adjustRightInd/>
              <w:snapToGrid/>
              <w:ind w:firstLine="640" w:firstLineChars="200"/>
              <w:jc w:val="center"/>
              <w:textAlignment w:val="auto"/>
              <w:rPr>
                <w:sz w:val="32"/>
                <w:szCs w:val="32"/>
              </w:rPr>
            </w:pPr>
            <w:r>
              <w:rPr>
                <w:rFonts w:hint="eastAsia"/>
                <w:sz w:val="32"/>
                <w:szCs w:val="32"/>
              </w:rPr>
              <w:t>0</w:t>
            </w:r>
          </w:p>
        </w:tc>
        <w:tc>
          <w:tcPr>
            <w:tcW w:w="604" w:type="dxa"/>
            <w:vAlign w:val="center"/>
          </w:tcPr>
          <w:p>
            <w:pPr>
              <w:keepNext w:val="0"/>
              <w:keepLines w:val="0"/>
              <w:pageBreakBefore w:val="0"/>
              <w:kinsoku/>
              <w:wordWrap/>
              <w:overflowPunct/>
              <w:topLinePunct w:val="0"/>
              <w:autoSpaceDE/>
              <w:autoSpaceDN/>
              <w:bidi w:val="0"/>
              <w:adjustRightInd/>
              <w:snapToGrid/>
              <w:ind w:firstLine="640" w:firstLineChars="200"/>
              <w:jc w:val="center"/>
              <w:textAlignment w:val="auto"/>
              <w:rPr>
                <w:sz w:val="32"/>
                <w:szCs w:val="32"/>
              </w:rPr>
            </w:pPr>
            <w:r>
              <w:rPr>
                <w:rFonts w:hint="eastAsia"/>
                <w:sz w:val="32"/>
                <w:szCs w:val="32"/>
              </w:rPr>
              <w:t>0</w:t>
            </w:r>
          </w:p>
        </w:tc>
        <w:tc>
          <w:tcPr>
            <w:tcW w:w="604" w:type="dxa"/>
            <w:vAlign w:val="center"/>
          </w:tcPr>
          <w:p>
            <w:pPr>
              <w:keepNext w:val="0"/>
              <w:keepLines w:val="0"/>
              <w:pageBreakBefore w:val="0"/>
              <w:kinsoku/>
              <w:wordWrap/>
              <w:overflowPunct/>
              <w:topLinePunct w:val="0"/>
              <w:autoSpaceDE/>
              <w:autoSpaceDN/>
              <w:bidi w:val="0"/>
              <w:adjustRightInd/>
              <w:snapToGrid/>
              <w:ind w:firstLine="640" w:firstLineChars="200"/>
              <w:jc w:val="center"/>
              <w:textAlignment w:val="auto"/>
              <w:rPr>
                <w:sz w:val="32"/>
                <w:szCs w:val="32"/>
              </w:rPr>
            </w:pPr>
            <w:r>
              <w:rPr>
                <w:rFonts w:hint="eastAsia"/>
                <w:sz w:val="32"/>
                <w:szCs w:val="32"/>
              </w:rPr>
              <w:t>0</w:t>
            </w:r>
          </w:p>
        </w:tc>
        <w:tc>
          <w:tcPr>
            <w:tcW w:w="604" w:type="dxa"/>
            <w:vAlign w:val="center"/>
          </w:tcPr>
          <w:p>
            <w:pPr>
              <w:keepNext w:val="0"/>
              <w:keepLines w:val="0"/>
              <w:pageBreakBefore w:val="0"/>
              <w:kinsoku/>
              <w:wordWrap/>
              <w:overflowPunct/>
              <w:topLinePunct w:val="0"/>
              <w:autoSpaceDE/>
              <w:autoSpaceDN/>
              <w:bidi w:val="0"/>
              <w:adjustRightInd/>
              <w:snapToGrid/>
              <w:ind w:firstLine="640" w:firstLineChars="200"/>
              <w:jc w:val="center"/>
              <w:textAlignment w:val="auto"/>
              <w:rPr>
                <w:sz w:val="32"/>
                <w:szCs w:val="32"/>
              </w:rPr>
            </w:pPr>
            <w:r>
              <w:rPr>
                <w:rFonts w:hint="eastAsia"/>
                <w:sz w:val="32"/>
                <w:szCs w:val="32"/>
              </w:rPr>
              <w:t>0</w:t>
            </w:r>
          </w:p>
        </w:tc>
        <w:tc>
          <w:tcPr>
            <w:tcW w:w="604" w:type="dxa"/>
            <w:vAlign w:val="center"/>
          </w:tcPr>
          <w:p>
            <w:pPr>
              <w:keepNext w:val="0"/>
              <w:keepLines w:val="0"/>
              <w:pageBreakBefore w:val="0"/>
              <w:kinsoku/>
              <w:wordWrap/>
              <w:overflowPunct/>
              <w:topLinePunct w:val="0"/>
              <w:autoSpaceDE/>
              <w:autoSpaceDN/>
              <w:bidi w:val="0"/>
              <w:adjustRightInd/>
              <w:snapToGrid/>
              <w:ind w:firstLine="640" w:firstLineChars="200"/>
              <w:jc w:val="center"/>
              <w:textAlignment w:val="auto"/>
              <w:rPr>
                <w:sz w:val="32"/>
                <w:szCs w:val="32"/>
              </w:rPr>
            </w:pPr>
            <w:r>
              <w:rPr>
                <w:rFonts w:hint="eastAsia"/>
                <w:sz w:val="32"/>
                <w:szCs w:val="32"/>
              </w:rPr>
              <w:t>0</w:t>
            </w:r>
          </w:p>
        </w:tc>
        <w:tc>
          <w:tcPr>
            <w:tcW w:w="604" w:type="dxa"/>
            <w:vAlign w:val="center"/>
          </w:tcPr>
          <w:p>
            <w:pPr>
              <w:keepNext w:val="0"/>
              <w:keepLines w:val="0"/>
              <w:pageBreakBefore w:val="0"/>
              <w:kinsoku/>
              <w:wordWrap/>
              <w:overflowPunct/>
              <w:topLinePunct w:val="0"/>
              <w:autoSpaceDE/>
              <w:autoSpaceDN/>
              <w:bidi w:val="0"/>
              <w:adjustRightInd/>
              <w:snapToGrid/>
              <w:ind w:firstLine="640" w:firstLineChars="200"/>
              <w:jc w:val="center"/>
              <w:textAlignment w:val="auto"/>
              <w:rPr>
                <w:sz w:val="32"/>
                <w:szCs w:val="32"/>
              </w:rPr>
            </w:pPr>
            <w:r>
              <w:rPr>
                <w:rFonts w:hint="eastAsia"/>
                <w:sz w:val="32"/>
                <w:szCs w:val="32"/>
              </w:rPr>
              <w:t>0</w:t>
            </w:r>
          </w:p>
        </w:tc>
      </w:tr>
    </w:tbl>
    <w:p>
      <w:pPr>
        <w:keepNext w:val="0"/>
        <w:keepLines w:val="0"/>
        <w:pageBreakBefore w:val="0"/>
        <w:kinsoku/>
        <w:wordWrap/>
        <w:overflowPunct/>
        <w:topLinePunct w:val="0"/>
        <w:autoSpaceDE/>
        <w:autoSpaceDN/>
        <w:bidi w:val="0"/>
        <w:adjustRightInd/>
        <w:snapToGrid/>
        <w:ind w:firstLine="640" w:firstLineChars="200"/>
        <w:textAlignment w:val="auto"/>
        <w:rPr>
          <w:rFonts w:ascii="黑体" w:eastAsia="黑体"/>
          <w:sz w:val="32"/>
          <w:szCs w:val="32"/>
        </w:rPr>
      </w:pPr>
      <w:r>
        <w:rPr>
          <w:rFonts w:hint="eastAsia" w:ascii="黑体" w:eastAsia="黑体"/>
          <w:sz w:val="32"/>
          <w:szCs w:val="32"/>
        </w:rPr>
        <w:t>五、存在的主要问题及改进情况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_GB2312" w:hAnsi="宋体" w:eastAsia="仿宋_GB2312" w:cs="宋体"/>
          <w:kern w:val="0"/>
          <w:sz w:val="32"/>
          <w:szCs w:val="32"/>
        </w:rPr>
        <w:t>结合本年工作来看，</w:t>
      </w:r>
      <w:r>
        <w:rPr>
          <w:rFonts w:hint="eastAsia" w:ascii="仿宋_GB2312" w:eastAsia="仿宋_GB2312"/>
          <w:sz w:val="32"/>
          <w:szCs w:val="32"/>
        </w:rPr>
        <w:t>还存在</w:t>
      </w:r>
      <w:r>
        <w:rPr>
          <w:rFonts w:hint="eastAsia" w:ascii="仿宋_GB2312" w:hAnsi="仿宋" w:eastAsia="仿宋_GB2312"/>
          <w:sz w:val="32"/>
          <w:szCs w:val="32"/>
        </w:rPr>
        <w:t>信息公开数量不足</w:t>
      </w:r>
      <w:r>
        <w:rPr>
          <w:rFonts w:hint="eastAsia" w:ascii="仿宋_GB2312" w:hAnsi="宋体" w:eastAsia="仿宋_GB2312" w:cs="宋体"/>
          <w:kern w:val="0"/>
          <w:sz w:val="32"/>
          <w:szCs w:val="32"/>
        </w:rPr>
        <w:t>、</w:t>
      </w:r>
      <w:r>
        <w:rPr>
          <w:rFonts w:hint="eastAsia" w:ascii="仿宋_GB2312" w:hAnsi="仿宋" w:eastAsia="仿宋_GB2312"/>
          <w:sz w:val="32"/>
          <w:szCs w:val="32"/>
        </w:rPr>
        <w:t>针对性不强、宣传力度不够</w:t>
      </w:r>
      <w:r>
        <w:rPr>
          <w:rFonts w:hint="eastAsia" w:ascii="仿宋_GB2312" w:hAnsi="宋体" w:eastAsia="仿宋_GB2312" w:cs="宋体"/>
          <w:kern w:val="0"/>
          <w:sz w:val="32"/>
          <w:szCs w:val="32"/>
        </w:rPr>
        <w:t>等问题</w:t>
      </w:r>
      <w:r>
        <w:rPr>
          <w:rFonts w:hint="eastAsia" w:ascii="仿宋_GB2312" w:hAnsi="仿宋" w:eastAsia="仿宋_GB2312"/>
          <w:sz w:val="32"/>
          <w:szCs w:val="32"/>
          <w:shd w:val="clear" w:color="auto" w:fill="FFFFFF"/>
        </w:rPr>
        <w:t>。2021年，我局将立足税务工作实际，</w:t>
      </w:r>
      <w:r>
        <w:rPr>
          <w:rFonts w:hint="eastAsia" w:ascii="仿宋_GB2312" w:eastAsia="仿宋_GB2312"/>
          <w:sz w:val="32"/>
          <w:szCs w:val="32"/>
          <w:shd w:val="clear" w:color="auto" w:fill="FFFFFF"/>
        </w:rPr>
        <w:t>不断提高税务工作透明度，</w:t>
      </w:r>
      <w:r>
        <w:rPr>
          <w:rFonts w:hint="eastAsia" w:ascii="仿宋_GB2312" w:hAnsi="宋体" w:eastAsia="仿宋_GB2312" w:cs="宋体"/>
          <w:kern w:val="0"/>
          <w:sz w:val="32"/>
          <w:szCs w:val="32"/>
        </w:rPr>
        <w:t>完善政务公开内容。一是完善信息公开目录，</w:t>
      </w:r>
      <w:r>
        <w:rPr>
          <w:rFonts w:hint="eastAsia" w:ascii="仿宋" w:hAnsi="仿宋" w:eastAsia="仿宋"/>
          <w:sz w:val="32"/>
          <w:szCs w:val="32"/>
        </w:rPr>
        <w:t>对于相关税收政策应该及时、准确的公开，确保纳税人对税收政策应知尽知、应享尽享。二是对于公开的政策应该做到因地制宜，根据纳税人的实际情况，公开一些更具有实用性、可操作性的税收政策。三是对于区局的工作动态要及时宣传，税收工作中的特色、亮点工作要加大宣传力度，使纳税人和社会各界对税务工作有充分的了解，</w:t>
      </w:r>
      <w:r>
        <w:rPr>
          <w:rFonts w:hint="eastAsia" w:ascii="仿宋_GB2312" w:hAnsi="宋体" w:eastAsia="仿宋_GB2312" w:cs="宋体"/>
          <w:kern w:val="0"/>
          <w:sz w:val="32"/>
          <w:szCs w:val="32"/>
        </w:rPr>
        <w:t>确保深入、持续、高效地开展政务公开工作。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六、无其他需要报告的事项</w:t>
      </w:r>
    </w:p>
    <w:p>
      <w:pPr>
        <w:rPr>
          <w:sz w:val="28"/>
          <w:szCs w:val="28"/>
        </w:rPr>
      </w:pPr>
    </w:p>
    <w:p>
      <w:pPr>
        <w:rPr>
          <w:sz w:val="28"/>
          <w:szCs w:val="28"/>
        </w:rPr>
      </w:pPr>
    </w:p>
    <w:p>
      <w:pPr>
        <w:ind w:right="320"/>
        <w:jc w:val="right"/>
        <w:rPr>
          <w:rFonts w:ascii="仿宋_GB2312" w:eastAsia="仿宋_GB2312"/>
          <w:sz w:val="32"/>
          <w:szCs w:val="32"/>
        </w:rPr>
      </w:pPr>
      <w:r>
        <w:rPr>
          <w:rFonts w:hint="eastAsia" w:ascii="仿宋_GB2312" w:eastAsia="仿宋_GB2312"/>
          <w:sz w:val="32"/>
          <w:szCs w:val="32"/>
        </w:rPr>
        <w:t>国家税务总局铜川市耀州区税务局</w:t>
      </w:r>
    </w:p>
    <w:p>
      <w:pPr>
        <w:ind w:right="640"/>
        <w:jc w:val="center"/>
        <w:rPr>
          <w:rFonts w:ascii="仿宋_GB2312" w:eastAsia="仿宋_GB2312"/>
          <w:sz w:val="32"/>
          <w:szCs w:val="32"/>
        </w:rPr>
      </w:pPr>
      <w:r>
        <w:rPr>
          <w:rFonts w:hint="eastAsia" w:ascii="仿宋_GB2312" w:eastAsia="仿宋_GB2312"/>
          <w:sz w:val="32"/>
          <w:szCs w:val="32"/>
        </w:rPr>
        <w:t xml:space="preserve">                        2021年1月</w:t>
      </w:r>
      <w:r>
        <w:rPr>
          <w:rFonts w:hint="eastAsia" w:ascii="仿宋_GB2312" w:eastAsia="仿宋_GB2312"/>
          <w:sz w:val="32"/>
          <w:szCs w:val="32"/>
          <w:lang w:val="en-US" w:eastAsia="zh-CN"/>
        </w:rPr>
        <w:t>24</w:t>
      </w:r>
      <w:bookmarkStart w:id="0" w:name="_GoBack"/>
      <w:bookmarkEnd w:id="0"/>
      <w:r>
        <w:rPr>
          <w:rFonts w:hint="eastAsia" w:ascii="仿宋_GB2312" w:eastAsia="仿宋_GB2312"/>
          <w:sz w:val="32"/>
          <w:szCs w:val="32"/>
        </w:rPr>
        <w:t>日</w:t>
      </w:r>
    </w:p>
    <w:sectPr>
      <w:pgSz w:w="11906" w:h="16838"/>
      <w:pgMar w:top="1418" w:right="1474"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37F1"/>
    <w:rsid w:val="0002646D"/>
    <w:rsid w:val="00044694"/>
    <w:rsid w:val="00061DC7"/>
    <w:rsid w:val="00084E7B"/>
    <w:rsid w:val="000963D7"/>
    <w:rsid w:val="000B061B"/>
    <w:rsid w:val="000C1B33"/>
    <w:rsid w:val="000E536D"/>
    <w:rsid w:val="000E7609"/>
    <w:rsid w:val="00120753"/>
    <w:rsid w:val="00134BA5"/>
    <w:rsid w:val="0013522D"/>
    <w:rsid w:val="00135944"/>
    <w:rsid w:val="00141A06"/>
    <w:rsid w:val="00144CE2"/>
    <w:rsid w:val="00146BCF"/>
    <w:rsid w:val="001917FC"/>
    <w:rsid w:val="001A4ADA"/>
    <w:rsid w:val="001D69CB"/>
    <w:rsid w:val="001D6F63"/>
    <w:rsid w:val="001E3DBA"/>
    <w:rsid w:val="00201A64"/>
    <w:rsid w:val="00203392"/>
    <w:rsid w:val="0025054A"/>
    <w:rsid w:val="002678D1"/>
    <w:rsid w:val="002806C5"/>
    <w:rsid w:val="00296119"/>
    <w:rsid w:val="002A5F98"/>
    <w:rsid w:val="002B1A87"/>
    <w:rsid w:val="002C7669"/>
    <w:rsid w:val="002D18EC"/>
    <w:rsid w:val="002E1E32"/>
    <w:rsid w:val="002F18DA"/>
    <w:rsid w:val="00305FB2"/>
    <w:rsid w:val="003375DB"/>
    <w:rsid w:val="0036050A"/>
    <w:rsid w:val="003651EC"/>
    <w:rsid w:val="0038197B"/>
    <w:rsid w:val="003876F2"/>
    <w:rsid w:val="003927A3"/>
    <w:rsid w:val="003C6983"/>
    <w:rsid w:val="003D1E8E"/>
    <w:rsid w:val="00402380"/>
    <w:rsid w:val="00410BDB"/>
    <w:rsid w:val="00421D26"/>
    <w:rsid w:val="00422DB2"/>
    <w:rsid w:val="0044264D"/>
    <w:rsid w:val="004441D1"/>
    <w:rsid w:val="00450BC6"/>
    <w:rsid w:val="004532B4"/>
    <w:rsid w:val="00456C9C"/>
    <w:rsid w:val="00460CE6"/>
    <w:rsid w:val="00497682"/>
    <w:rsid w:val="004F3A8B"/>
    <w:rsid w:val="004F7117"/>
    <w:rsid w:val="005247CA"/>
    <w:rsid w:val="00525839"/>
    <w:rsid w:val="00531807"/>
    <w:rsid w:val="0053647E"/>
    <w:rsid w:val="00542C8D"/>
    <w:rsid w:val="005573CD"/>
    <w:rsid w:val="00560D23"/>
    <w:rsid w:val="005729C0"/>
    <w:rsid w:val="00584FB5"/>
    <w:rsid w:val="00585363"/>
    <w:rsid w:val="005B34B3"/>
    <w:rsid w:val="005C53BC"/>
    <w:rsid w:val="005F37F1"/>
    <w:rsid w:val="0062361C"/>
    <w:rsid w:val="006350A6"/>
    <w:rsid w:val="0063673E"/>
    <w:rsid w:val="00641356"/>
    <w:rsid w:val="0064396C"/>
    <w:rsid w:val="0065357A"/>
    <w:rsid w:val="00670566"/>
    <w:rsid w:val="00677323"/>
    <w:rsid w:val="00684C3C"/>
    <w:rsid w:val="006A6F81"/>
    <w:rsid w:val="006C6C33"/>
    <w:rsid w:val="006D4954"/>
    <w:rsid w:val="006F001E"/>
    <w:rsid w:val="006F3C48"/>
    <w:rsid w:val="00701F66"/>
    <w:rsid w:val="00724F8D"/>
    <w:rsid w:val="00740903"/>
    <w:rsid w:val="00743850"/>
    <w:rsid w:val="0074388B"/>
    <w:rsid w:val="00755AC8"/>
    <w:rsid w:val="00755C02"/>
    <w:rsid w:val="00760B9B"/>
    <w:rsid w:val="00770ED7"/>
    <w:rsid w:val="0078271C"/>
    <w:rsid w:val="00787179"/>
    <w:rsid w:val="007A41B6"/>
    <w:rsid w:val="007C2F12"/>
    <w:rsid w:val="007C3F3D"/>
    <w:rsid w:val="007D6EAD"/>
    <w:rsid w:val="007E2ABE"/>
    <w:rsid w:val="007E7A90"/>
    <w:rsid w:val="007F7B04"/>
    <w:rsid w:val="00804197"/>
    <w:rsid w:val="00811ADF"/>
    <w:rsid w:val="00812BAD"/>
    <w:rsid w:val="008172B9"/>
    <w:rsid w:val="00817C81"/>
    <w:rsid w:val="00833CC6"/>
    <w:rsid w:val="00834B6E"/>
    <w:rsid w:val="008422DF"/>
    <w:rsid w:val="00862AA0"/>
    <w:rsid w:val="00882A78"/>
    <w:rsid w:val="00883674"/>
    <w:rsid w:val="008A15ED"/>
    <w:rsid w:val="008A26BA"/>
    <w:rsid w:val="008E4D41"/>
    <w:rsid w:val="00901440"/>
    <w:rsid w:val="00906925"/>
    <w:rsid w:val="00917C90"/>
    <w:rsid w:val="00921584"/>
    <w:rsid w:val="009255F4"/>
    <w:rsid w:val="00937335"/>
    <w:rsid w:val="009478AE"/>
    <w:rsid w:val="009521C5"/>
    <w:rsid w:val="00964325"/>
    <w:rsid w:val="00986CFE"/>
    <w:rsid w:val="00996B11"/>
    <w:rsid w:val="009C72BB"/>
    <w:rsid w:val="009D7075"/>
    <w:rsid w:val="009F2EAD"/>
    <w:rsid w:val="009F5E46"/>
    <w:rsid w:val="00A32616"/>
    <w:rsid w:val="00A63A25"/>
    <w:rsid w:val="00A64638"/>
    <w:rsid w:val="00A72EB6"/>
    <w:rsid w:val="00A73564"/>
    <w:rsid w:val="00AB6052"/>
    <w:rsid w:val="00AF64BC"/>
    <w:rsid w:val="00BC2C7B"/>
    <w:rsid w:val="00C06315"/>
    <w:rsid w:val="00C1537E"/>
    <w:rsid w:val="00C16EEB"/>
    <w:rsid w:val="00C27431"/>
    <w:rsid w:val="00C369E6"/>
    <w:rsid w:val="00C46A0E"/>
    <w:rsid w:val="00C50438"/>
    <w:rsid w:val="00CA08B1"/>
    <w:rsid w:val="00CA497F"/>
    <w:rsid w:val="00CB49E8"/>
    <w:rsid w:val="00CB6C8D"/>
    <w:rsid w:val="00CC5026"/>
    <w:rsid w:val="00CC67D2"/>
    <w:rsid w:val="00CD38DC"/>
    <w:rsid w:val="00CE036D"/>
    <w:rsid w:val="00CF03A9"/>
    <w:rsid w:val="00CF5BD5"/>
    <w:rsid w:val="00CF6D7F"/>
    <w:rsid w:val="00D03EE0"/>
    <w:rsid w:val="00D112EA"/>
    <w:rsid w:val="00D152CF"/>
    <w:rsid w:val="00D713FA"/>
    <w:rsid w:val="00DB270B"/>
    <w:rsid w:val="00DC25F5"/>
    <w:rsid w:val="00DC44DB"/>
    <w:rsid w:val="00DF0E30"/>
    <w:rsid w:val="00DF3EE5"/>
    <w:rsid w:val="00DF65BD"/>
    <w:rsid w:val="00DF6CBB"/>
    <w:rsid w:val="00E1275A"/>
    <w:rsid w:val="00E453B9"/>
    <w:rsid w:val="00E64832"/>
    <w:rsid w:val="00E72403"/>
    <w:rsid w:val="00E75304"/>
    <w:rsid w:val="00E82B23"/>
    <w:rsid w:val="00E90727"/>
    <w:rsid w:val="00E91370"/>
    <w:rsid w:val="00EB6D9C"/>
    <w:rsid w:val="00EB6F85"/>
    <w:rsid w:val="00EE23DF"/>
    <w:rsid w:val="00EE5013"/>
    <w:rsid w:val="00EF5CC5"/>
    <w:rsid w:val="00F13ED2"/>
    <w:rsid w:val="00F17ABE"/>
    <w:rsid w:val="00F3749F"/>
    <w:rsid w:val="00F62E44"/>
    <w:rsid w:val="00F730E4"/>
    <w:rsid w:val="00F816D3"/>
    <w:rsid w:val="00FA0385"/>
    <w:rsid w:val="00FB3145"/>
    <w:rsid w:val="00FE2373"/>
    <w:rsid w:val="00FE645A"/>
    <w:rsid w:val="00FF2A3B"/>
    <w:rsid w:val="00FF7BD1"/>
    <w:rsid w:val="59F81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p1"/>
    <w:basedOn w:val="1"/>
    <w:uiPriority w:val="0"/>
    <w:pPr>
      <w:spacing w:line="380" w:lineRule="atLeast"/>
      <w:jc w:val="left"/>
    </w:pPr>
    <w:rPr>
      <w:rFonts w:ascii="helvetica neue" w:hAnsi="helvetica neue" w:eastAsia="helvetica neue" w:cs="Times New Roman"/>
      <w:kern w:val="0"/>
      <w:sz w:val="26"/>
      <w:szCs w:val="26"/>
    </w:rPr>
  </w:style>
  <w:style w:type="character" w:customStyle="1" w:styleId="9">
    <w:name w:val="页眉 Char"/>
    <w:basedOn w:val="7"/>
    <w:link w:val="3"/>
    <w:semiHidden/>
    <w:uiPriority w:val="99"/>
    <w:rPr>
      <w:sz w:val="18"/>
      <w:szCs w:val="18"/>
    </w:rPr>
  </w:style>
  <w:style w:type="character" w:customStyle="1" w:styleId="10">
    <w:name w:val="页脚 Char"/>
    <w:basedOn w:val="7"/>
    <w:link w:val="2"/>
    <w:semiHidden/>
    <w:uiPriority w:val="99"/>
    <w:rPr>
      <w:sz w:val="18"/>
      <w:szCs w:val="18"/>
    </w:rPr>
  </w:style>
  <w:style w:type="paragraph" w:styleId="11">
    <w:name w:val="List Paragraph"/>
    <w:basedOn w:val="1"/>
    <w:qFormat/>
    <w:uiPriority w:val="34"/>
    <w:pPr>
      <w:ind w:firstLine="420" w:firstLineChars="200"/>
    </w:pPr>
  </w:style>
  <w:style w:type="paragraph" w:customStyle="1" w:styleId="12">
    <w:name w:val="p0"/>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374</Words>
  <Characters>2137</Characters>
  <Lines>17</Lines>
  <Paragraphs>5</Paragraphs>
  <TotalTime>159</TotalTime>
  <ScaleCrop>false</ScaleCrop>
  <LinksUpToDate>false</LinksUpToDate>
  <CharactersWithSpaces>2506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2021-01-13T06:57:00Z</dcterms:created>
  <dc:creator>张从洲</dc:creator>
  <cp:lastModifiedBy>晓风飞扬</cp:lastModifiedBy>
  <cp:lastPrinted>2021-01-19T07:30:00Z</cp:lastPrinted>
  <dcterms:modified xsi:type="dcterms:W3CDTF">2021-01-26T09:52:08Z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