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80" w:lineRule="exact"/>
        <w:ind w:left="0" w:firstLine="0"/>
        <w:jc w:val="center"/>
        <w:textAlignment w:val="auto"/>
        <w:rPr>
          <w:rFonts w:hint="eastAsia" w:ascii="宋体" w:hAnsi="宋体" w:eastAsia="宋体" w:cs="宋体"/>
          <w:b/>
          <w:bCs w:val="0"/>
          <w:i w:val="0"/>
          <w:caps w:val="0"/>
          <w:color w:val="auto"/>
          <w:spacing w:val="0"/>
          <w:sz w:val="45"/>
          <w:szCs w:val="45"/>
        </w:rPr>
      </w:pPr>
      <w:r>
        <w:rPr>
          <w:rFonts w:hint="eastAsia" w:ascii="宋体" w:hAnsi="宋体" w:eastAsia="宋体" w:cs="宋体"/>
          <w:b/>
          <w:bCs w:val="0"/>
          <w:i w:val="0"/>
          <w:caps w:val="0"/>
          <w:color w:val="auto"/>
          <w:spacing w:val="0"/>
          <w:kern w:val="0"/>
          <w:sz w:val="45"/>
          <w:szCs w:val="45"/>
          <w:lang w:val="en-US" w:eastAsia="zh-CN" w:bidi="ar"/>
        </w:rPr>
        <w:t>铜川市耀州区水务局</w:t>
      </w:r>
      <w:r>
        <w:rPr>
          <w:rFonts w:hint="eastAsia" w:ascii="宋体" w:hAnsi="宋体" w:eastAsia="宋体" w:cs="宋体"/>
          <w:b/>
          <w:bCs w:val="0"/>
          <w:i w:val="0"/>
          <w:caps w:val="0"/>
          <w:color w:val="auto"/>
          <w:spacing w:val="0"/>
          <w:kern w:val="0"/>
          <w:sz w:val="45"/>
          <w:szCs w:val="45"/>
          <w:lang w:val="en-US" w:eastAsia="zh-CN" w:bidi="ar"/>
        </w:rPr>
        <w:br w:type="textWrapping"/>
      </w:r>
      <w:r>
        <w:rPr>
          <w:rFonts w:hint="eastAsia" w:ascii="宋体" w:hAnsi="宋体" w:eastAsia="宋体" w:cs="宋体"/>
          <w:b/>
          <w:bCs w:val="0"/>
          <w:i w:val="0"/>
          <w:caps w:val="0"/>
          <w:color w:val="auto"/>
          <w:spacing w:val="0"/>
          <w:kern w:val="0"/>
          <w:sz w:val="45"/>
          <w:szCs w:val="45"/>
          <w:lang w:val="en-US" w:eastAsia="zh-CN" w:bidi="ar"/>
        </w:rPr>
        <w:t>2020年政府信息公开工作年度报告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jc w:val="both"/>
        <w:textAlignment w:val="auto"/>
        <w:rPr>
          <w:rFonts w:ascii="黑体" w:hAnsi="宋体" w:eastAsia="黑体" w:cs="黑体"/>
          <w:i w:val="0"/>
          <w:caps w:val="0"/>
          <w:color w:val="000000"/>
          <w:spacing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sz w:val="21"/>
          <w:szCs w:val="21"/>
        </w:rPr>
      </w:pPr>
      <w:r>
        <w:rPr>
          <w:rFonts w:ascii="黑体" w:hAnsi="宋体" w:eastAsia="黑体" w:cs="黑体"/>
          <w:i w:val="0"/>
          <w:caps w:val="0"/>
          <w:color w:val="000000"/>
          <w:spacing w:val="0"/>
          <w:sz w:val="32"/>
          <w:szCs w:val="32"/>
        </w:rPr>
        <w:t>一、总体情况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sz w:val="21"/>
          <w:szCs w:val="21"/>
        </w:rPr>
      </w:pPr>
      <w:r>
        <w:rPr>
          <w:rFonts w:ascii="仿宋_GB2312" w:hAnsi="Times New Roman" w:eastAsia="仿宋_GB2312" w:cs="仿宋_GB2312"/>
          <w:i w:val="0"/>
          <w:caps w:val="0"/>
          <w:color w:val="000000"/>
          <w:spacing w:val="0"/>
          <w:sz w:val="32"/>
          <w:szCs w:val="32"/>
        </w:rPr>
        <w:t>（一）概述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sz w:val="21"/>
          <w:szCs w:val="21"/>
        </w:rPr>
      </w:pPr>
      <w:r>
        <w:rPr>
          <w:rFonts w:hint="default" w:ascii="仿宋_GB2312" w:hAnsi="Times New Roman" w:eastAsia="仿宋_GB2312" w:cs="仿宋_GB2312"/>
          <w:i w:val="0"/>
          <w:caps w:val="0"/>
          <w:color w:val="000000"/>
          <w:spacing w:val="0"/>
          <w:sz w:val="32"/>
          <w:szCs w:val="32"/>
        </w:rPr>
        <w:t>20</w:t>
      </w:r>
      <w:r>
        <w:rPr>
          <w:rFonts w:hint="eastAsia" w:ascii="仿宋_GB2312" w:hAnsi="Times New Roman" w:eastAsia="仿宋_GB2312" w:cs="仿宋_GB2312"/>
          <w:i w:val="0"/>
          <w:caps w:val="0"/>
          <w:color w:val="000000"/>
          <w:spacing w:val="0"/>
          <w:sz w:val="32"/>
          <w:szCs w:val="32"/>
          <w:lang w:val="en-US" w:eastAsia="zh-CN"/>
        </w:rPr>
        <w:t>20</w:t>
      </w:r>
      <w:r>
        <w:rPr>
          <w:rFonts w:hint="default" w:ascii="仿宋_GB2312" w:hAnsi="Times New Roman" w:eastAsia="仿宋_GB2312" w:cs="仿宋_GB2312"/>
          <w:i w:val="0"/>
          <w:caps w:val="0"/>
          <w:color w:val="000000"/>
          <w:spacing w:val="0"/>
          <w:sz w:val="32"/>
          <w:szCs w:val="32"/>
        </w:rPr>
        <w:t>年，区</w:t>
      </w:r>
      <w:r>
        <w:rPr>
          <w:rFonts w:hint="eastAsia" w:ascii="仿宋_GB2312" w:hAnsi="Times New Roman" w:eastAsia="仿宋_GB2312" w:cs="仿宋_GB2312"/>
          <w:i w:val="0"/>
          <w:caps w:val="0"/>
          <w:color w:val="000000"/>
          <w:spacing w:val="0"/>
          <w:sz w:val="32"/>
          <w:szCs w:val="32"/>
          <w:lang w:val="en-US" w:eastAsia="zh-CN"/>
        </w:rPr>
        <w:t>水务</w:t>
      </w:r>
      <w:r>
        <w:rPr>
          <w:rFonts w:hint="default" w:ascii="仿宋_GB2312" w:hAnsi="Times New Roman" w:eastAsia="仿宋_GB2312" w:cs="仿宋_GB2312"/>
          <w:i w:val="0"/>
          <w:caps w:val="0"/>
          <w:color w:val="000000"/>
          <w:spacing w:val="0"/>
          <w:sz w:val="32"/>
          <w:szCs w:val="32"/>
        </w:rPr>
        <w:t>局认真贯彻落实《中华人民共和国政府信息公开条例》和《铜川市政府信息公开规定》及有关政府信息公开工作的要求，坚持将政务信息公开作为推动</w:t>
      </w:r>
      <w:r>
        <w:rPr>
          <w:rFonts w:hint="eastAsia" w:ascii="仿宋_GB2312" w:hAnsi="Times New Roman" w:eastAsia="仿宋_GB2312" w:cs="仿宋_GB2312"/>
          <w:i w:val="0"/>
          <w:caps w:val="0"/>
          <w:color w:val="000000"/>
          <w:spacing w:val="0"/>
          <w:sz w:val="32"/>
          <w:szCs w:val="32"/>
          <w:lang w:val="en-US" w:eastAsia="zh-CN"/>
        </w:rPr>
        <w:t>水利</w:t>
      </w:r>
      <w:r>
        <w:rPr>
          <w:rFonts w:hint="default" w:ascii="仿宋_GB2312" w:hAnsi="Times New Roman" w:eastAsia="仿宋_GB2312" w:cs="仿宋_GB2312"/>
          <w:i w:val="0"/>
          <w:caps w:val="0"/>
          <w:color w:val="000000"/>
          <w:spacing w:val="0"/>
          <w:sz w:val="32"/>
          <w:szCs w:val="32"/>
        </w:rPr>
        <w:t>改革发展的重要举措，健全工作机制，强化工作措施，不断完善政务公开内容，畅通政务公开渠道，较好完成了</w:t>
      </w:r>
      <w:r>
        <w:rPr>
          <w:rFonts w:hint="eastAsia" w:ascii="仿宋_GB2312" w:hAnsi="Times New Roman" w:eastAsia="仿宋_GB2312" w:cs="仿宋_GB2312"/>
          <w:i w:val="0"/>
          <w:caps w:val="0"/>
          <w:color w:val="000000"/>
          <w:spacing w:val="0"/>
          <w:sz w:val="32"/>
          <w:szCs w:val="32"/>
          <w:lang w:val="en-US" w:eastAsia="zh-CN"/>
        </w:rPr>
        <w:t>水利</w:t>
      </w:r>
      <w:r>
        <w:rPr>
          <w:rFonts w:hint="default" w:ascii="仿宋_GB2312" w:hAnsi="Times New Roman" w:eastAsia="仿宋_GB2312" w:cs="仿宋_GB2312"/>
          <w:i w:val="0"/>
          <w:caps w:val="0"/>
          <w:color w:val="000000"/>
          <w:spacing w:val="0"/>
          <w:sz w:val="32"/>
          <w:szCs w:val="32"/>
        </w:rPr>
        <w:t>系统信息公开各项工作任务，有效保障了公民对全区</w:t>
      </w:r>
      <w:r>
        <w:rPr>
          <w:rFonts w:hint="eastAsia" w:ascii="仿宋_GB2312" w:hAnsi="Times New Roman" w:eastAsia="仿宋_GB2312" w:cs="仿宋_GB2312"/>
          <w:i w:val="0"/>
          <w:caps w:val="0"/>
          <w:color w:val="000000"/>
          <w:spacing w:val="0"/>
          <w:sz w:val="32"/>
          <w:szCs w:val="32"/>
          <w:lang w:val="en-US" w:eastAsia="zh-CN"/>
        </w:rPr>
        <w:t>水利</w:t>
      </w:r>
      <w:r>
        <w:rPr>
          <w:rFonts w:hint="default" w:ascii="仿宋_GB2312" w:hAnsi="Times New Roman" w:eastAsia="仿宋_GB2312" w:cs="仿宋_GB2312"/>
          <w:i w:val="0"/>
          <w:caps w:val="0"/>
          <w:color w:val="000000"/>
          <w:spacing w:val="0"/>
          <w:sz w:val="32"/>
          <w:szCs w:val="32"/>
        </w:rPr>
        <w:t>工作的知情权、参与权和监督权。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sz w:val="21"/>
          <w:szCs w:val="21"/>
        </w:rPr>
      </w:pPr>
      <w:r>
        <w:rPr>
          <w:rFonts w:hint="default" w:ascii="仿宋_GB2312" w:hAnsi="Times New Roman" w:eastAsia="仿宋_GB2312" w:cs="仿宋_GB2312"/>
          <w:i w:val="0"/>
          <w:caps w:val="0"/>
          <w:color w:val="000000"/>
          <w:spacing w:val="0"/>
          <w:sz w:val="32"/>
          <w:szCs w:val="32"/>
        </w:rPr>
        <w:t>（二）主动公开信息情况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sz w:val="21"/>
          <w:szCs w:val="21"/>
        </w:rPr>
      </w:pPr>
      <w:r>
        <w:rPr>
          <w:rFonts w:hint="default" w:ascii="仿宋_GB2312" w:hAnsi="Times New Roman" w:eastAsia="仿宋_GB2312" w:cs="仿宋_GB2312"/>
          <w:i w:val="0"/>
          <w:caps w:val="0"/>
          <w:color w:val="000000"/>
          <w:spacing w:val="0"/>
          <w:sz w:val="32"/>
          <w:szCs w:val="32"/>
        </w:rPr>
        <w:t>20</w:t>
      </w:r>
      <w:r>
        <w:rPr>
          <w:rFonts w:hint="eastAsia" w:ascii="仿宋_GB2312" w:hAnsi="Times New Roman" w:eastAsia="仿宋_GB2312" w:cs="仿宋_GB2312"/>
          <w:i w:val="0"/>
          <w:caps w:val="0"/>
          <w:color w:val="000000"/>
          <w:spacing w:val="0"/>
          <w:sz w:val="32"/>
          <w:szCs w:val="32"/>
          <w:lang w:val="en-US" w:eastAsia="zh-CN"/>
        </w:rPr>
        <w:t>20</w:t>
      </w:r>
      <w:r>
        <w:rPr>
          <w:rFonts w:hint="default" w:ascii="仿宋_GB2312" w:hAnsi="Times New Roman" w:eastAsia="仿宋_GB2312" w:cs="仿宋_GB2312"/>
          <w:i w:val="0"/>
          <w:caps w:val="0"/>
          <w:color w:val="000000"/>
          <w:spacing w:val="0"/>
          <w:sz w:val="32"/>
          <w:szCs w:val="32"/>
        </w:rPr>
        <w:t>年，区</w:t>
      </w:r>
      <w:r>
        <w:rPr>
          <w:rFonts w:hint="eastAsia" w:ascii="仿宋_GB2312" w:hAnsi="Times New Roman" w:eastAsia="仿宋_GB2312" w:cs="仿宋_GB2312"/>
          <w:i w:val="0"/>
          <w:caps w:val="0"/>
          <w:color w:val="000000"/>
          <w:spacing w:val="0"/>
          <w:sz w:val="32"/>
          <w:szCs w:val="32"/>
          <w:lang w:val="en-US" w:eastAsia="zh-CN"/>
        </w:rPr>
        <w:t>水务</w:t>
      </w:r>
      <w:r>
        <w:rPr>
          <w:rFonts w:hint="default" w:ascii="仿宋_GB2312" w:hAnsi="Times New Roman" w:eastAsia="仿宋_GB2312" w:cs="仿宋_GB2312"/>
          <w:i w:val="0"/>
          <w:caps w:val="0"/>
          <w:color w:val="000000"/>
          <w:spacing w:val="0"/>
          <w:sz w:val="32"/>
          <w:szCs w:val="32"/>
        </w:rPr>
        <w:t>局主动公开政务信息</w:t>
      </w:r>
      <w:r>
        <w:rPr>
          <w:rFonts w:hint="eastAsia" w:ascii="仿宋_GB2312" w:hAnsi="Times New Roman" w:eastAsia="仿宋_GB2312" w:cs="仿宋_GB2312"/>
          <w:i w:val="0"/>
          <w:caps w:val="0"/>
          <w:color w:val="000000"/>
          <w:spacing w:val="0"/>
          <w:sz w:val="32"/>
          <w:szCs w:val="32"/>
          <w:lang w:val="en-US" w:eastAsia="zh-CN"/>
        </w:rPr>
        <w:t>6</w:t>
      </w:r>
      <w:r>
        <w:rPr>
          <w:rFonts w:hint="default" w:ascii="仿宋_GB2312" w:hAnsi="Times New Roman" w:eastAsia="仿宋_GB2312" w:cs="仿宋_GB2312"/>
          <w:i w:val="0"/>
          <w:caps w:val="0"/>
          <w:color w:val="000000"/>
          <w:spacing w:val="0"/>
          <w:sz w:val="32"/>
          <w:szCs w:val="32"/>
        </w:rPr>
        <w:t>条，其中区政府网站公开</w:t>
      </w:r>
      <w:r>
        <w:rPr>
          <w:rFonts w:hint="eastAsia" w:ascii="仿宋_GB2312" w:hAnsi="Times New Roman" w:eastAsia="仿宋_GB2312" w:cs="仿宋_GB2312"/>
          <w:i w:val="0"/>
          <w:caps w:val="0"/>
          <w:color w:val="000000"/>
          <w:spacing w:val="0"/>
          <w:sz w:val="32"/>
          <w:szCs w:val="32"/>
          <w:lang w:val="en-US" w:eastAsia="zh-CN"/>
        </w:rPr>
        <w:t>5</w:t>
      </w:r>
      <w:r>
        <w:rPr>
          <w:rFonts w:hint="default" w:ascii="仿宋_GB2312" w:hAnsi="Times New Roman" w:eastAsia="仿宋_GB2312" w:cs="仿宋_GB2312"/>
          <w:i w:val="0"/>
          <w:caps w:val="0"/>
          <w:color w:val="000000"/>
          <w:spacing w:val="0"/>
          <w:sz w:val="32"/>
          <w:szCs w:val="32"/>
        </w:rPr>
        <w:t>条，包括</w:t>
      </w:r>
      <w:r>
        <w:rPr>
          <w:rFonts w:hint="eastAsia" w:ascii="仿宋_GB2312" w:hAnsi="Times New Roman" w:eastAsia="仿宋_GB2312" w:cs="仿宋_GB2312"/>
          <w:i w:val="0"/>
          <w:caps w:val="0"/>
          <w:color w:val="000000"/>
          <w:spacing w:val="0"/>
          <w:sz w:val="32"/>
          <w:szCs w:val="32"/>
          <w:lang w:val="en-US" w:eastAsia="zh-CN"/>
        </w:rPr>
        <w:t>通知公告</w:t>
      </w:r>
      <w:r>
        <w:rPr>
          <w:rFonts w:hint="default" w:ascii="仿宋_GB2312" w:hAnsi="Times New Roman" w:eastAsia="仿宋_GB2312" w:cs="仿宋_GB2312"/>
          <w:i w:val="0"/>
          <w:caps w:val="0"/>
          <w:color w:val="000000"/>
          <w:spacing w:val="0"/>
          <w:sz w:val="32"/>
          <w:szCs w:val="32"/>
        </w:rPr>
        <w:t>及</w:t>
      </w:r>
      <w:r>
        <w:rPr>
          <w:rFonts w:hint="eastAsia" w:ascii="仿宋_GB2312" w:hAnsi="Times New Roman" w:eastAsia="仿宋_GB2312" w:cs="仿宋_GB2312"/>
          <w:i w:val="0"/>
          <w:caps w:val="0"/>
          <w:color w:val="000000"/>
          <w:spacing w:val="0"/>
          <w:sz w:val="32"/>
          <w:szCs w:val="32"/>
          <w:lang w:val="en-US" w:eastAsia="zh-CN"/>
        </w:rPr>
        <w:t>扶贫资金规划计划</w:t>
      </w:r>
      <w:r>
        <w:rPr>
          <w:rFonts w:hint="default" w:ascii="仿宋_GB2312" w:hAnsi="Times New Roman" w:eastAsia="仿宋_GB2312" w:cs="仿宋_GB2312"/>
          <w:i w:val="0"/>
          <w:caps w:val="0"/>
          <w:color w:val="000000"/>
          <w:spacing w:val="0"/>
          <w:sz w:val="32"/>
          <w:szCs w:val="32"/>
        </w:rPr>
        <w:t>等，微信公众号公开</w:t>
      </w:r>
      <w:r>
        <w:rPr>
          <w:rFonts w:hint="eastAsia" w:ascii="仿宋_GB2312" w:hAnsi="Times New Roman" w:eastAsia="仿宋_GB2312" w:cs="仿宋_GB2312"/>
          <w:i w:val="0"/>
          <w:caps w:val="0"/>
          <w:color w:val="000000"/>
          <w:spacing w:val="0"/>
          <w:sz w:val="32"/>
          <w:szCs w:val="32"/>
          <w:lang w:val="en-US" w:eastAsia="zh-CN"/>
        </w:rPr>
        <w:t>81</w:t>
      </w:r>
      <w:r>
        <w:rPr>
          <w:rFonts w:hint="default" w:ascii="仿宋_GB2312" w:hAnsi="Times New Roman" w:eastAsia="仿宋_GB2312" w:cs="仿宋_GB2312"/>
          <w:i w:val="0"/>
          <w:caps w:val="0"/>
          <w:color w:val="000000"/>
          <w:spacing w:val="0"/>
          <w:sz w:val="32"/>
          <w:szCs w:val="32"/>
        </w:rPr>
        <w:t>条，及时宣传全区</w:t>
      </w:r>
      <w:r>
        <w:rPr>
          <w:rFonts w:hint="eastAsia" w:ascii="仿宋_GB2312" w:hAnsi="Times New Roman" w:eastAsia="仿宋_GB2312" w:cs="仿宋_GB2312"/>
          <w:i w:val="0"/>
          <w:caps w:val="0"/>
          <w:color w:val="000000"/>
          <w:spacing w:val="0"/>
          <w:sz w:val="32"/>
          <w:szCs w:val="32"/>
          <w:lang w:val="en-US" w:eastAsia="zh-CN"/>
        </w:rPr>
        <w:t>水利</w:t>
      </w:r>
      <w:r>
        <w:rPr>
          <w:rFonts w:hint="default" w:ascii="仿宋_GB2312" w:hAnsi="Times New Roman" w:eastAsia="仿宋_GB2312" w:cs="仿宋_GB2312"/>
          <w:i w:val="0"/>
          <w:caps w:val="0"/>
          <w:color w:val="000000"/>
          <w:spacing w:val="0"/>
          <w:sz w:val="32"/>
          <w:szCs w:val="32"/>
        </w:rPr>
        <w:t>行业发展动态、工作亮点及成效。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sz w:val="21"/>
          <w:szCs w:val="21"/>
        </w:rPr>
      </w:pPr>
      <w:r>
        <w:rPr>
          <w:rFonts w:hint="default" w:ascii="仿宋_GB2312" w:hAnsi="Times New Roman" w:eastAsia="仿宋_GB2312" w:cs="仿宋_GB2312"/>
          <w:i w:val="0"/>
          <w:caps w:val="0"/>
          <w:color w:val="000000"/>
          <w:spacing w:val="0"/>
          <w:sz w:val="32"/>
          <w:szCs w:val="32"/>
        </w:rPr>
        <w:t>（三）</w:t>
      </w:r>
      <w:r>
        <w:rPr>
          <w:rFonts w:hint="eastAsia" w:ascii="仿宋_GB2312" w:hAnsi="Times New Roman" w:eastAsia="仿宋_GB2312" w:cs="仿宋_GB2312"/>
          <w:i w:val="0"/>
          <w:caps w:val="0"/>
          <w:color w:val="000000"/>
          <w:spacing w:val="0"/>
          <w:sz w:val="32"/>
          <w:szCs w:val="32"/>
          <w:lang w:eastAsia="zh-CN"/>
        </w:rPr>
        <w:t>依</w:t>
      </w:r>
      <w:r>
        <w:rPr>
          <w:rFonts w:hint="default" w:ascii="仿宋_GB2312" w:hAnsi="Times New Roman" w:eastAsia="仿宋_GB2312" w:cs="仿宋_GB2312"/>
          <w:i w:val="0"/>
          <w:caps w:val="0"/>
          <w:color w:val="000000"/>
          <w:spacing w:val="0"/>
          <w:sz w:val="32"/>
          <w:szCs w:val="32"/>
        </w:rPr>
        <w:t>申请公开政府信息情况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sz w:val="21"/>
          <w:szCs w:val="21"/>
        </w:rPr>
      </w:pPr>
      <w:r>
        <w:rPr>
          <w:rFonts w:hint="default" w:ascii="仿宋_GB2312" w:hAnsi="Times New Roman" w:eastAsia="仿宋_GB2312" w:cs="仿宋_GB2312"/>
          <w:i w:val="0"/>
          <w:caps w:val="0"/>
          <w:color w:val="000000"/>
          <w:spacing w:val="0"/>
          <w:sz w:val="32"/>
          <w:szCs w:val="32"/>
        </w:rPr>
        <w:t>20</w:t>
      </w:r>
      <w:r>
        <w:rPr>
          <w:rFonts w:hint="eastAsia" w:ascii="仿宋_GB2312" w:hAnsi="Times New Roman" w:eastAsia="仿宋_GB2312" w:cs="仿宋_GB2312"/>
          <w:i w:val="0"/>
          <w:caps w:val="0"/>
          <w:color w:val="000000"/>
          <w:spacing w:val="0"/>
          <w:sz w:val="32"/>
          <w:szCs w:val="32"/>
          <w:lang w:val="en-US" w:eastAsia="zh-CN"/>
        </w:rPr>
        <w:t>20</w:t>
      </w:r>
      <w:r>
        <w:rPr>
          <w:rFonts w:hint="default" w:ascii="仿宋_GB2312" w:hAnsi="Times New Roman" w:eastAsia="仿宋_GB2312" w:cs="仿宋_GB2312"/>
          <w:i w:val="0"/>
          <w:caps w:val="0"/>
          <w:color w:val="000000"/>
          <w:spacing w:val="0"/>
          <w:sz w:val="32"/>
          <w:szCs w:val="32"/>
        </w:rPr>
        <w:t>年，区</w:t>
      </w:r>
      <w:r>
        <w:rPr>
          <w:rFonts w:hint="eastAsia" w:ascii="仿宋_GB2312" w:hAnsi="Times New Roman" w:eastAsia="仿宋_GB2312" w:cs="仿宋_GB2312"/>
          <w:i w:val="0"/>
          <w:caps w:val="0"/>
          <w:color w:val="000000"/>
          <w:spacing w:val="0"/>
          <w:sz w:val="32"/>
          <w:szCs w:val="32"/>
          <w:lang w:val="en-US" w:eastAsia="zh-CN"/>
        </w:rPr>
        <w:t>水务</w:t>
      </w:r>
      <w:r>
        <w:rPr>
          <w:rFonts w:hint="default" w:ascii="仿宋_GB2312" w:hAnsi="Times New Roman" w:eastAsia="仿宋_GB2312" w:cs="仿宋_GB2312"/>
          <w:i w:val="0"/>
          <w:caps w:val="0"/>
          <w:color w:val="000000"/>
          <w:spacing w:val="0"/>
          <w:sz w:val="32"/>
          <w:szCs w:val="32"/>
        </w:rPr>
        <w:t>局未受理依申请公开事项。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sz w:val="21"/>
          <w:szCs w:val="21"/>
        </w:rPr>
      </w:pPr>
      <w:r>
        <w:rPr>
          <w:rFonts w:hint="default" w:ascii="仿宋_GB2312" w:hAnsi="Times New Roman" w:eastAsia="仿宋_GB2312" w:cs="仿宋_GB2312"/>
          <w:i w:val="0"/>
          <w:caps w:val="0"/>
          <w:color w:val="000000"/>
          <w:spacing w:val="0"/>
          <w:sz w:val="32"/>
          <w:szCs w:val="32"/>
        </w:rPr>
        <w:t>（四）政府信息管理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cs="Times New Roman"/>
          <w:sz w:val="21"/>
          <w:szCs w:val="21"/>
        </w:rPr>
      </w:pPr>
      <w:r>
        <w:rPr>
          <w:rFonts w:hint="default" w:ascii="仿宋_GB2312" w:hAnsi="Times New Roman" w:eastAsia="仿宋_GB2312" w:cs="仿宋_GB2312"/>
          <w:i w:val="0"/>
          <w:caps w:val="0"/>
          <w:color w:val="000000"/>
          <w:spacing w:val="0"/>
          <w:sz w:val="32"/>
          <w:szCs w:val="32"/>
        </w:rPr>
        <w:t>区</w:t>
      </w:r>
      <w:r>
        <w:rPr>
          <w:rFonts w:hint="eastAsia" w:ascii="仿宋_GB2312" w:hAnsi="Times New Roman" w:eastAsia="仿宋_GB2312" w:cs="仿宋_GB2312"/>
          <w:i w:val="0"/>
          <w:caps w:val="0"/>
          <w:color w:val="000000"/>
          <w:spacing w:val="0"/>
          <w:sz w:val="32"/>
          <w:szCs w:val="32"/>
          <w:lang w:val="en-US" w:eastAsia="zh-CN"/>
        </w:rPr>
        <w:t>水务</w:t>
      </w:r>
      <w:r>
        <w:rPr>
          <w:rFonts w:hint="default" w:ascii="仿宋_GB2312" w:hAnsi="Times New Roman" w:eastAsia="仿宋_GB2312" w:cs="仿宋_GB2312"/>
          <w:i w:val="0"/>
          <w:caps w:val="0"/>
          <w:color w:val="000000"/>
          <w:spacing w:val="0"/>
          <w:sz w:val="32"/>
          <w:szCs w:val="32"/>
        </w:rPr>
        <w:t>局20</w:t>
      </w:r>
      <w:r>
        <w:rPr>
          <w:rFonts w:hint="eastAsia" w:ascii="仿宋_GB2312" w:hAnsi="Times New Roman" w:eastAsia="仿宋_GB2312" w:cs="仿宋_GB2312"/>
          <w:i w:val="0"/>
          <w:caps w:val="0"/>
          <w:color w:val="000000"/>
          <w:spacing w:val="0"/>
          <w:sz w:val="32"/>
          <w:szCs w:val="32"/>
          <w:lang w:val="en-US" w:eastAsia="zh-CN"/>
        </w:rPr>
        <w:t>20</w:t>
      </w:r>
      <w:r>
        <w:rPr>
          <w:rFonts w:hint="default" w:ascii="仿宋_GB2312" w:hAnsi="Times New Roman" w:eastAsia="仿宋_GB2312" w:cs="仿宋_GB2312"/>
          <w:i w:val="0"/>
          <w:caps w:val="0"/>
          <w:color w:val="000000"/>
          <w:spacing w:val="0"/>
          <w:sz w:val="32"/>
          <w:szCs w:val="32"/>
        </w:rPr>
        <w:t>年政务信息公开工作，全面落实政府信息公开要求，稳步拓展公开范围。围绕</w:t>
      </w:r>
      <w:r>
        <w:rPr>
          <w:rFonts w:hint="eastAsia" w:ascii="仿宋_GB2312" w:hAnsi="Times New Roman" w:eastAsia="仿宋_GB2312" w:cs="仿宋_GB2312"/>
          <w:i w:val="0"/>
          <w:caps w:val="0"/>
          <w:color w:val="000000"/>
          <w:spacing w:val="0"/>
          <w:sz w:val="32"/>
          <w:szCs w:val="32"/>
          <w:lang w:val="en-US" w:eastAsia="zh-CN"/>
        </w:rPr>
        <w:t>水务</w:t>
      </w:r>
      <w:r>
        <w:rPr>
          <w:rFonts w:hint="default" w:ascii="仿宋_GB2312" w:hAnsi="Times New Roman" w:eastAsia="仿宋_GB2312" w:cs="仿宋_GB2312"/>
          <w:i w:val="0"/>
          <w:caps w:val="0"/>
          <w:color w:val="000000"/>
          <w:spacing w:val="0"/>
          <w:sz w:val="32"/>
          <w:szCs w:val="32"/>
        </w:rPr>
        <w:t>局20</w:t>
      </w:r>
      <w:r>
        <w:rPr>
          <w:rFonts w:hint="eastAsia" w:ascii="仿宋_GB2312" w:hAnsi="Times New Roman" w:eastAsia="仿宋_GB2312" w:cs="仿宋_GB2312"/>
          <w:i w:val="0"/>
          <w:caps w:val="0"/>
          <w:color w:val="000000"/>
          <w:spacing w:val="0"/>
          <w:sz w:val="32"/>
          <w:szCs w:val="32"/>
          <w:lang w:val="en-US" w:eastAsia="zh-CN"/>
        </w:rPr>
        <w:t>20</w:t>
      </w:r>
      <w:r>
        <w:rPr>
          <w:rFonts w:hint="default" w:ascii="仿宋_GB2312" w:hAnsi="Times New Roman" w:eastAsia="仿宋_GB2312" w:cs="仿宋_GB2312"/>
          <w:i w:val="0"/>
          <w:caps w:val="0"/>
          <w:color w:val="000000"/>
          <w:spacing w:val="0"/>
          <w:sz w:val="32"/>
          <w:szCs w:val="32"/>
        </w:rPr>
        <w:t>年脱贫攻坚目标，</w:t>
      </w:r>
      <w:r>
        <w:rPr>
          <w:rFonts w:hint="eastAsia" w:ascii="仿宋" w:hAnsi="仿宋" w:eastAsia="仿宋" w:cs="仿宋"/>
          <w:sz w:val="32"/>
          <w:szCs w:val="32"/>
        </w:rPr>
        <w:t>完成</w:t>
      </w:r>
      <w:r>
        <w:rPr>
          <w:rFonts w:hint="eastAsia" w:ascii="仿宋" w:hAnsi="仿宋" w:eastAsia="仿宋" w:cs="仿宋"/>
          <w:sz w:val="32"/>
          <w:szCs w:val="32"/>
          <w:lang w:val="en-US" w:eastAsia="zh-CN"/>
        </w:rPr>
        <w:t>扶贫资产管理台账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推进关于桃曲坡灌区水利工程管理与保护范围公告</w:t>
      </w:r>
      <w:r>
        <w:rPr>
          <w:rFonts w:hint="default" w:ascii="仿宋_GB2312" w:hAnsi="Times New Roman" w:eastAsia="仿宋_GB2312" w:cs="仿宋_GB2312"/>
          <w:i w:val="0"/>
          <w:caps w:val="0"/>
          <w:color w:val="000000"/>
          <w:spacing w:val="0"/>
          <w:sz w:val="32"/>
          <w:szCs w:val="32"/>
        </w:rPr>
        <w:t>；围绕</w:t>
      </w:r>
      <w:r>
        <w:rPr>
          <w:rFonts w:hint="eastAsia" w:ascii="仿宋_GB2312" w:hAnsi="Times New Roman" w:eastAsia="仿宋_GB2312" w:cs="仿宋_GB2312"/>
          <w:i w:val="0"/>
          <w:caps w:val="0"/>
          <w:color w:val="000000"/>
          <w:spacing w:val="0"/>
          <w:sz w:val="32"/>
          <w:szCs w:val="32"/>
          <w:lang w:val="en-US" w:eastAsia="zh-CN"/>
        </w:rPr>
        <w:t>水利</w:t>
      </w:r>
      <w:r>
        <w:rPr>
          <w:rFonts w:hint="default" w:ascii="仿宋_GB2312" w:hAnsi="Times New Roman" w:eastAsia="仿宋_GB2312" w:cs="仿宋_GB2312"/>
          <w:i w:val="0"/>
          <w:caps w:val="0"/>
          <w:color w:val="000000"/>
          <w:spacing w:val="0"/>
          <w:sz w:val="32"/>
          <w:szCs w:val="32"/>
        </w:rPr>
        <w:t>固定资产投资目标，</w:t>
      </w:r>
      <w:r>
        <w:rPr>
          <w:rFonts w:hint="eastAsia" w:ascii="仿宋_GB2312" w:hAnsi="Times New Roman" w:eastAsia="仿宋_GB2312" w:cs="仿宋_GB2312"/>
          <w:i w:val="0"/>
          <w:caps w:val="0"/>
          <w:color w:val="000000"/>
          <w:spacing w:val="0"/>
          <w:sz w:val="32"/>
          <w:szCs w:val="32"/>
          <w:lang w:val="en-US" w:eastAsia="zh-CN"/>
        </w:rPr>
        <w:t>统筹整合资金项目资金计划</w:t>
      </w:r>
      <w:r>
        <w:rPr>
          <w:rFonts w:hint="default" w:ascii="仿宋_GB2312" w:hAnsi="Times New Roman" w:eastAsia="仿宋_GB2312" w:cs="仿宋_GB2312"/>
          <w:i w:val="0"/>
          <w:caps w:val="0"/>
          <w:color w:val="000000"/>
          <w:spacing w:val="0"/>
          <w:sz w:val="32"/>
          <w:szCs w:val="32"/>
        </w:rPr>
        <w:t>情况公开；</w:t>
      </w:r>
      <w:r>
        <w:rPr>
          <w:rFonts w:hint="eastAsia" w:ascii="仿宋_GB2312" w:hAnsi="Times New Roman" w:eastAsia="仿宋_GB2312" w:cs="仿宋_GB2312"/>
          <w:i w:val="0"/>
          <w:caps w:val="0"/>
          <w:color w:val="000000"/>
          <w:spacing w:val="0"/>
          <w:sz w:val="32"/>
          <w:szCs w:val="32"/>
          <w:lang w:val="en-US" w:eastAsia="zh-CN"/>
        </w:rPr>
        <w:t>围绕河（湖）长制工作要求</w:t>
      </w:r>
      <w:r>
        <w:rPr>
          <w:rFonts w:hint="default" w:ascii="仿宋_GB2312" w:hAnsi="Times New Roman" w:eastAsia="仿宋_GB2312" w:cs="仿宋_GB2312"/>
          <w:i w:val="0"/>
          <w:caps w:val="0"/>
          <w:color w:val="000000"/>
          <w:spacing w:val="0"/>
          <w:sz w:val="32"/>
          <w:szCs w:val="32"/>
        </w:rPr>
        <w:t>，</w:t>
      </w:r>
      <w:r>
        <w:rPr>
          <w:rFonts w:hint="eastAsia" w:ascii="仿宋_GB2312" w:hAnsi="Times New Roman" w:eastAsia="仿宋_GB2312" w:cs="仿宋_GB2312"/>
          <w:i w:val="0"/>
          <w:caps w:val="0"/>
          <w:color w:val="000000"/>
          <w:spacing w:val="0"/>
          <w:sz w:val="32"/>
          <w:szCs w:val="32"/>
          <w:lang w:val="en-US" w:eastAsia="zh-CN"/>
        </w:rPr>
        <w:t>发布石川河耀州段和清峪河管理与保护范围公告、耀州境内漆水河、赵氏河和浊峪河等河道和水利工程设施管理范围与保护范围的公告公开情况；公布大中型水库移民直补资金情况</w:t>
      </w:r>
      <w:r>
        <w:rPr>
          <w:rFonts w:hint="default" w:ascii="仿宋_GB2312" w:hAnsi="Times New Roman" w:eastAsia="仿宋_GB2312" w:cs="仿宋_GB2312"/>
          <w:i w:val="0"/>
          <w:caps w:val="0"/>
          <w:color w:val="000000"/>
          <w:spacing w:val="0"/>
          <w:sz w:val="32"/>
          <w:szCs w:val="32"/>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sz w:val="21"/>
          <w:szCs w:val="21"/>
        </w:rPr>
      </w:pPr>
      <w:r>
        <w:rPr>
          <w:rFonts w:hint="default" w:ascii="仿宋_GB2312" w:hAnsi="Times New Roman" w:eastAsia="仿宋_GB2312" w:cs="仿宋_GB2312"/>
          <w:i w:val="0"/>
          <w:caps w:val="0"/>
          <w:color w:val="000000"/>
          <w:spacing w:val="0"/>
          <w:sz w:val="32"/>
          <w:szCs w:val="32"/>
        </w:rPr>
        <w:t>（五）平台建设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sz w:val="21"/>
          <w:szCs w:val="21"/>
        </w:rPr>
      </w:pPr>
      <w:r>
        <w:rPr>
          <w:rFonts w:hint="default" w:ascii="仿宋_GB2312" w:hAnsi="Times New Roman" w:eastAsia="仿宋_GB2312" w:cs="仿宋_GB2312"/>
          <w:i w:val="0"/>
          <w:caps w:val="0"/>
          <w:color w:val="000000"/>
          <w:spacing w:val="0"/>
          <w:sz w:val="32"/>
          <w:szCs w:val="32"/>
        </w:rPr>
        <w:t>区</w:t>
      </w:r>
      <w:r>
        <w:rPr>
          <w:rFonts w:hint="eastAsia" w:ascii="仿宋_GB2312" w:hAnsi="Times New Roman" w:eastAsia="仿宋_GB2312" w:cs="仿宋_GB2312"/>
          <w:i w:val="0"/>
          <w:caps w:val="0"/>
          <w:color w:val="000000"/>
          <w:spacing w:val="0"/>
          <w:sz w:val="32"/>
          <w:szCs w:val="32"/>
          <w:lang w:val="en-US" w:eastAsia="zh-CN"/>
        </w:rPr>
        <w:t>水务</w:t>
      </w:r>
      <w:r>
        <w:rPr>
          <w:rFonts w:hint="default" w:ascii="仿宋_GB2312" w:hAnsi="Times New Roman" w:eastAsia="仿宋_GB2312" w:cs="仿宋_GB2312"/>
          <w:i w:val="0"/>
          <w:caps w:val="0"/>
          <w:color w:val="000000"/>
          <w:spacing w:val="0"/>
          <w:sz w:val="32"/>
          <w:szCs w:val="32"/>
        </w:rPr>
        <w:t>局20</w:t>
      </w:r>
      <w:r>
        <w:rPr>
          <w:rFonts w:hint="eastAsia" w:ascii="仿宋_GB2312" w:hAnsi="Times New Roman" w:eastAsia="仿宋_GB2312" w:cs="仿宋_GB2312"/>
          <w:i w:val="0"/>
          <w:caps w:val="0"/>
          <w:color w:val="000000"/>
          <w:spacing w:val="0"/>
          <w:sz w:val="32"/>
          <w:szCs w:val="32"/>
          <w:lang w:val="en-US" w:eastAsia="zh-CN"/>
        </w:rPr>
        <w:t>20</w:t>
      </w:r>
      <w:r>
        <w:rPr>
          <w:rFonts w:hint="default" w:ascii="仿宋_GB2312" w:hAnsi="Times New Roman" w:eastAsia="仿宋_GB2312" w:cs="仿宋_GB2312"/>
          <w:i w:val="0"/>
          <w:caps w:val="0"/>
          <w:color w:val="000000"/>
          <w:spacing w:val="0"/>
          <w:sz w:val="32"/>
          <w:szCs w:val="32"/>
        </w:rPr>
        <w:t>年政府信息公开</w:t>
      </w:r>
      <w:r>
        <w:rPr>
          <w:rFonts w:hint="eastAsia" w:ascii="仿宋_GB2312" w:hAnsi="Times New Roman" w:eastAsia="仿宋_GB2312" w:cs="仿宋_GB2312"/>
          <w:i w:val="0"/>
          <w:caps w:val="0"/>
          <w:color w:val="000000"/>
          <w:spacing w:val="0"/>
          <w:sz w:val="32"/>
          <w:szCs w:val="32"/>
          <w:lang w:eastAsia="zh-CN"/>
        </w:rPr>
        <w:t>主要通过两个</w:t>
      </w:r>
      <w:r>
        <w:rPr>
          <w:rFonts w:hint="default" w:ascii="仿宋_GB2312" w:hAnsi="Times New Roman" w:eastAsia="仿宋_GB2312" w:cs="仿宋_GB2312"/>
          <w:i w:val="0"/>
          <w:caps w:val="0"/>
          <w:color w:val="000000"/>
          <w:spacing w:val="0"/>
          <w:sz w:val="32"/>
          <w:szCs w:val="32"/>
        </w:rPr>
        <w:t>渠道进行公开，一是政府网站。政府网站是区</w:t>
      </w:r>
      <w:r>
        <w:rPr>
          <w:rFonts w:hint="eastAsia" w:ascii="仿宋_GB2312" w:hAnsi="Times New Roman" w:eastAsia="仿宋_GB2312" w:cs="仿宋_GB2312"/>
          <w:i w:val="0"/>
          <w:caps w:val="0"/>
          <w:color w:val="000000"/>
          <w:spacing w:val="0"/>
          <w:sz w:val="32"/>
          <w:szCs w:val="32"/>
          <w:lang w:val="en-US" w:eastAsia="zh-CN"/>
        </w:rPr>
        <w:t>水务</w:t>
      </w:r>
      <w:r>
        <w:rPr>
          <w:rFonts w:hint="default" w:ascii="仿宋_GB2312" w:hAnsi="Times New Roman" w:eastAsia="仿宋_GB2312" w:cs="仿宋_GB2312"/>
          <w:i w:val="0"/>
          <w:caps w:val="0"/>
          <w:color w:val="000000"/>
          <w:spacing w:val="0"/>
          <w:sz w:val="32"/>
          <w:szCs w:val="32"/>
        </w:rPr>
        <w:t>局政府信息公开的第一平台。二是利用微信公众号、公示栏等方式及时向社会发布最新</w:t>
      </w:r>
      <w:r>
        <w:rPr>
          <w:rFonts w:hint="eastAsia" w:ascii="仿宋_GB2312" w:hAnsi="Times New Roman" w:eastAsia="仿宋_GB2312" w:cs="仿宋_GB2312"/>
          <w:i w:val="0"/>
          <w:caps w:val="0"/>
          <w:color w:val="000000"/>
          <w:spacing w:val="0"/>
          <w:sz w:val="32"/>
          <w:szCs w:val="32"/>
          <w:lang w:val="en-US" w:eastAsia="zh-CN"/>
        </w:rPr>
        <w:t>水利</w:t>
      </w:r>
      <w:r>
        <w:rPr>
          <w:rFonts w:hint="default" w:ascii="仿宋_GB2312" w:hAnsi="Times New Roman" w:eastAsia="仿宋_GB2312" w:cs="仿宋_GB2312"/>
          <w:i w:val="0"/>
          <w:caps w:val="0"/>
          <w:color w:val="000000"/>
          <w:spacing w:val="0"/>
          <w:sz w:val="32"/>
          <w:szCs w:val="32"/>
        </w:rPr>
        <w:t>行业相关信息。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638" w:right="0"/>
        <w:jc w:val="both"/>
        <w:textAlignment w:val="auto"/>
        <w:rPr>
          <w:rFonts w:hint="default" w:ascii="Times New Roman" w:hAnsi="Times New Roman" w:cs="Times New Roman"/>
          <w:sz w:val="21"/>
          <w:szCs w:val="21"/>
        </w:rPr>
      </w:pPr>
      <w:r>
        <w:rPr>
          <w:rFonts w:hint="default" w:ascii="仿宋_GB2312" w:hAnsi="Times New Roman" w:eastAsia="仿宋_GB2312" w:cs="仿宋_GB2312"/>
          <w:i w:val="0"/>
          <w:caps w:val="0"/>
          <w:color w:val="000000"/>
          <w:spacing w:val="0"/>
          <w:sz w:val="32"/>
          <w:szCs w:val="32"/>
        </w:rPr>
        <w:t>（六）人大建议和政协提案办理结果公开情况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sz w:val="21"/>
          <w:szCs w:val="21"/>
        </w:rPr>
      </w:pPr>
      <w:r>
        <w:rPr>
          <w:rFonts w:hint="eastAsia" w:ascii="仿宋" w:hAnsi="仿宋" w:eastAsia="仿宋" w:cs="仿宋"/>
          <w:sz w:val="32"/>
          <w:szCs w:val="40"/>
        </w:rPr>
        <w:t>20</w:t>
      </w:r>
      <w:r>
        <w:rPr>
          <w:rFonts w:hint="eastAsia" w:ascii="仿宋" w:hAnsi="仿宋" w:eastAsia="仿宋" w:cs="仿宋"/>
          <w:sz w:val="32"/>
          <w:szCs w:val="40"/>
          <w:lang w:val="en-US" w:eastAsia="zh-CN"/>
        </w:rPr>
        <w:t>20</w:t>
      </w:r>
      <w:r>
        <w:rPr>
          <w:rFonts w:hint="eastAsia" w:ascii="仿宋" w:hAnsi="仿宋" w:eastAsia="仿宋" w:cs="仿宋"/>
          <w:sz w:val="32"/>
          <w:szCs w:val="40"/>
        </w:rPr>
        <w:t>年我局共收到</w:t>
      </w:r>
      <w:r>
        <w:rPr>
          <w:rFonts w:hint="eastAsia" w:ascii="仿宋" w:hAnsi="仿宋" w:eastAsia="仿宋" w:cs="仿宋"/>
          <w:sz w:val="32"/>
          <w:szCs w:val="40"/>
          <w:lang w:eastAsia="zh-CN"/>
        </w:rPr>
        <w:t>区人大建议</w:t>
      </w:r>
      <w:r>
        <w:rPr>
          <w:rFonts w:hint="eastAsia" w:ascii="仿宋" w:hAnsi="仿宋" w:eastAsia="仿宋" w:cs="仿宋"/>
          <w:sz w:val="32"/>
          <w:szCs w:val="40"/>
          <w:lang w:val="en-US" w:eastAsia="zh-CN"/>
        </w:rPr>
        <w:t>3</w:t>
      </w:r>
      <w:r>
        <w:rPr>
          <w:rFonts w:hint="eastAsia" w:ascii="仿宋" w:hAnsi="仿宋" w:eastAsia="仿宋" w:cs="仿宋"/>
          <w:sz w:val="32"/>
          <w:szCs w:val="40"/>
        </w:rPr>
        <w:t>件，</w:t>
      </w:r>
      <w:r>
        <w:rPr>
          <w:rFonts w:hint="eastAsia" w:ascii="仿宋" w:hAnsi="仿宋" w:eastAsia="仿宋" w:cs="仿宋"/>
          <w:sz w:val="32"/>
          <w:szCs w:val="40"/>
          <w:lang w:eastAsia="zh-CN"/>
        </w:rPr>
        <w:t>办结</w:t>
      </w:r>
      <w:r>
        <w:rPr>
          <w:rFonts w:hint="eastAsia" w:ascii="仿宋" w:hAnsi="仿宋" w:eastAsia="仿宋" w:cs="仿宋"/>
          <w:sz w:val="32"/>
          <w:szCs w:val="40"/>
          <w:lang w:val="en-US" w:eastAsia="zh-CN"/>
        </w:rPr>
        <w:t>3件，办结</w:t>
      </w:r>
      <w:r>
        <w:rPr>
          <w:rFonts w:hint="eastAsia" w:ascii="仿宋" w:hAnsi="仿宋" w:eastAsia="仿宋" w:cs="仿宋"/>
          <w:sz w:val="32"/>
          <w:szCs w:val="40"/>
        </w:rPr>
        <w:t>率100%</w:t>
      </w:r>
      <w:r>
        <w:rPr>
          <w:rFonts w:hint="eastAsia" w:ascii="仿宋" w:hAnsi="仿宋" w:eastAsia="仿宋" w:cs="仿宋"/>
          <w:sz w:val="32"/>
          <w:szCs w:val="40"/>
          <w:lang w:eastAsia="zh-CN"/>
        </w:rPr>
        <w:t>。政协提案</w:t>
      </w:r>
      <w:r>
        <w:rPr>
          <w:rFonts w:hint="eastAsia" w:ascii="仿宋" w:hAnsi="仿宋" w:eastAsia="仿宋" w:cs="仿宋"/>
          <w:sz w:val="32"/>
          <w:szCs w:val="40"/>
          <w:lang w:val="en-US" w:eastAsia="zh-CN"/>
        </w:rPr>
        <w:t>1</w:t>
      </w:r>
      <w:r>
        <w:rPr>
          <w:rFonts w:hint="eastAsia" w:ascii="仿宋" w:hAnsi="仿宋" w:eastAsia="仿宋" w:cs="仿宋"/>
          <w:sz w:val="32"/>
          <w:szCs w:val="40"/>
        </w:rPr>
        <w:t>件，</w:t>
      </w:r>
      <w:r>
        <w:rPr>
          <w:rFonts w:hint="eastAsia" w:ascii="仿宋" w:hAnsi="仿宋" w:eastAsia="仿宋" w:cs="仿宋"/>
          <w:sz w:val="32"/>
          <w:szCs w:val="40"/>
          <w:lang w:eastAsia="zh-CN"/>
        </w:rPr>
        <w:t>办结</w:t>
      </w:r>
      <w:r>
        <w:rPr>
          <w:rFonts w:hint="eastAsia" w:ascii="仿宋" w:hAnsi="仿宋" w:eastAsia="仿宋" w:cs="仿宋"/>
          <w:sz w:val="32"/>
          <w:szCs w:val="40"/>
          <w:lang w:val="en-US" w:eastAsia="zh-CN"/>
        </w:rPr>
        <w:t>1件，办结率100%</w:t>
      </w:r>
      <w:r>
        <w:rPr>
          <w:rFonts w:hint="eastAsia" w:ascii="仿宋" w:hAnsi="仿宋" w:eastAsia="仿宋" w:cs="仿宋"/>
          <w:sz w:val="32"/>
          <w:szCs w:val="40"/>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sz w:val="21"/>
          <w:szCs w:val="21"/>
        </w:rPr>
      </w:pPr>
      <w:r>
        <w:rPr>
          <w:rFonts w:hint="eastAsia" w:ascii="黑体" w:hAnsi="宋体" w:eastAsia="黑体" w:cs="黑体"/>
          <w:i w:val="0"/>
          <w:caps w:val="0"/>
          <w:color w:val="000000"/>
          <w:spacing w:val="0"/>
          <w:sz w:val="32"/>
          <w:szCs w:val="32"/>
        </w:rPr>
        <w:t>二、主动公开政府信息情况</w:t>
      </w:r>
    </w:p>
    <w:tbl>
      <w:tblPr>
        <w:tblStyle w:val="6"/>
        <w:tblW w:w="0" w:type="auto"/>
        <w:jc w:val="center"/>
        <w:shd w:val="clear" w:color="auto" w:fill="auto"/>
        <w:tblLayout w:type="autofit"/>
        <w:tblCellMar>
          <w:top w:w="15" w:type="dxa"/>
          <w:left w:w="15" w:type="dxa"/>
          <w:bottom w:w="15" w:type="dxa"/>
          <w:right w:w="15" w:type="dxa"/>
        </w:tblCellMar>
      </w:tblPr>
      <w:tblGrid>
        <w:gridCol w:w="2065"/>
        <w:gridCol w:w="2108"/>
        <w:gridCol w:w="2244"/>
        <w:gridCol w:w="1909"/>
      </w:tblGrid>
      <w:tr>
        <w:tblPrEx>
          <w:shd w:val="clear" w:color="auto" w:fill="auto"/>
          <w:tblCellMar>
            <w:top w:w="15" w:type="dxa"/>
            <w:left w:w="15" w:type="dxa"/>
            <w:bottom w:w="15" w:type="dxa"/>
            <w:right w:w="15" w:type="dxa"/>
          </w:tblCellMar>
        </w:tblPrEx>
        <w:trPr>
          <w:trHeight w:val="441" w:hRule="atLeast"/>
          <w:jc w:val="center"/>
        </w:trPr>
        <w:tc>
          <w:tcPr>
            <w:tcW w:w="8820" w:type="dxa"/>
            <w:gridSpan w:val="4"/>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第二十条第（一）项</w:t>
            </w:r>
          </w:p>
        </w:tc>
      </w:tr>
      <w:tr>
        <w:tblPrEx>
          <w:shd w:val="clear" w:color="auto" w:fill="auto"/>
          <w:tblCellMar>
            <w:top w:w="15" w:type="dxa"/>
            <w:left w:w="15" w:type="dxa"/>
            <w:bottom w:w="15" w:type="dxa"/>
            <w:right w:w="15" w:type="dxa"/>
          </w:tblCellMar>
        </w:tblPrEx>
        <w:trPr>
          <w:trHeight w:val="274" w:hRule="atLeast"/>
          <w:jc w:val="center"/>
        </w:trPr>
        <w:tc>
          <w:tcPr>
            <w:tcW w:w="2192"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信息内容</w:t>
            </w:r>
          </w:p>
        </w:tc>
        <w:tc>
          <w:tcPr>
            <w:tcW w:w="2238"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本年新制作数量</w:t>
            </w:r>
          </w:p>
        </w:tc>
        <w:tc>
          <w:tcPr>
            <w:tcW w:w="2372"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本年新公开数量</w:t>
            </w:r>
          </w:p>
        </w:tc>
        <w:tc>
          <w:tcPr>
            <w:tcW w:w="2018" w:type="dxa"/>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对外公开总数量</w:t>
            </w:r>
          </w:p>
        </w:tc>
      </w:tr>
      <w:tr>
        <w:tblPrEx>
          <w:shd w:val="clear" w:color="auto" w:fill="auto"/>
          <w:tblCellMar>
            <w:top w:w="15" w:type="dxa"/>
            <w:left w:w="15" w:type="dxa"/>
            <w:bottom w:w="15" w:type="dxa"/>
            <w:right w:w="15" w:type="dxa"/>
          </w:tblCellMar>
        </w:tblPrEx>
        <w:trPr>
          <w:trHeight w:val="220" w:hRule="atLeast"/>
          <w:jc w:val="center"/>
        </w:trPr>
        <w:tc>
          <w:tcPr>
            <w:tcW w:w="2192"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规章</w:t>
            </w:r>
          </w:p>
        </w:tc>
        <w:tc>
          <w:tcPr>
            <w:tcW w:w="2238"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2372"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2018" w:type="dxa"/>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r>
      <w:tr>
        <w:tblPrEx>
          <w:shd w:val="clear" w:color="auto" w:fill="auto"/>
          <w:tblCellMar>
            <w:top w:w="15" w:type="dxa"/>
            <w:left w:w="15" w:type="dxa"/>
            <w:bottom w:w="15" w:type="dxa"/>
            <w:right w:w="15" w:type="dxa"/>
          </w:tblCellMar>
        </w:tblPrEx>
        <w:trPr>
          <w:trHeight w:val="493" w:hRule="atLeast"/>
          <w:jc w:val="center"/>
        </w:trPr>
        <w:tc>
          <w:tcPr>
            <w:tcW w:w="2192"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规范性文件</w:t>
            </w:r>
          </w:p>
        </w:tc>
        <w:tc>
          <w:tcPr>
            <w:tcW w:w="2238" w:type="dxa"/>
            <w:tcBorders>
              <w:top w:val="single" w:color="auto" w:sz="8" w:space="0"/>
              <w:left w:val="single" w:color="auto" w:sz="8" w:space="0"/>
              <w:bottom w:val="single" w:color="auto" w:sz="8" w:space="0"/>
              <w:right w:val="nil"/>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2372" w:type="dxa"/>
            <w:tcBorders>
              <w:top w:val="single" w:color="auto" w:sz="8" w:space="0"/>
              <w:left w:val="single" w:color="auto" w:sz="8" w:space="0"/>
              <w:bottom w:val="single" w:color="auto" w:sz="8" w:space="0"/>
              <w:right w:val="nil"/>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2018" w:type="dxa"/>
            <w:tcBorders>
              <w:top w:val="single" w:color="auto" w:sz="8" w:space="0"/>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r>
      <w:tr>
        <w:tblPrEx>
          <w:shd w:val="clear" w:color="auto" w:fill="auto"/>
          <w:tblCellMar>
            <w:top w:w="15" w:type="dxa"/>
            <w:left w:w="15" w:type="dxa"/>
            <w:bottom w:w="15" w:type="dxa"/>
            <w:right w:w="15" w:type="dxa"/>
          </w:tblCellMar>
        </w:tblPrEx>
        <w:trPr>
          <w:trHeight w:val="493" w:hRule="atLeast"/>
          <w:jc w:val="center"/>
        </w:trPr>
        <w:tc>
          <w:tcPr>
            <w:tcW w:w="8820" w:type="dxa"/>
            <w:gridSpan w:val="4"/>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第二十条第（五）项</w:t>
            </w:r>
          </w:p>
        </w:tc>
      </w:tr>
      <w:tr>
        <w:tblPrEx>
          <w:shd w:val="clear" w:color="auto" w:fill="auto"/>
          <w:tblCellMar>
            <w:top w:w="15" w:type="dxa"/>
            <w:left w:w="15" w:type="dxa"/>
            <w:bottom w:w="15" w:type="dxa"/>
            <w:right w:w="15" w:type="dxa"/>
          </w:tblCellMar>
        </w:tblPrEx>
        <w:trPr>
          <w:trHeight w:val="618" w:hRule="atLeast"/>
          <w:jc w:val="center"/>
        </w:trPr>
        <w:tc>
          <w:tcPr>
            <w:tcW w:w="2192"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信息内容</w:t>
            </w:r>
          </w:p>
        </w:tc>
        <w:tc>
          <w:tcPr>
            <w:tcW w:w="2238"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上一年项目数量</w:t>
            </w:r>
          </w:p>
        </w:tc>
        <w:tc>
          <w:tcPr>
            <w:tcW w:w="2372"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本年增/减</w:t>
            </w:r>
          </w:p>
        </w:tc>
        <w:tc>
          <w:tcPr>
            <w:tcW w:w="2018" w:type="dxa"/>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处理决定数量</w:t>
            </w:r>
          </w:p>
        </w:tc>
      </w:tr>
      <w:tr>
        <w:tblPrEx>
          <w:shd w:val="clear" w:color="auto" w:fill="auto"/>
          <w:tblCellMar>
            <w:top w:w="15" w:type="dxa"/>
            <w:left w:w="15" w:type="dxa"/>
            <w:bottom w:w="15" w:type="dxa"/>
            <w:right w:w="15" w:type="dxa"/>
          </w:tblCellMar>
        </w:tblPrEx>
        <w:trPr>
          <w:trHeight w:val="493" w:hRule="atLeast"/>
          <w:jc w:val="center"/>
        </w:trPr>
        <w:tc>
          <w:tcPr>
            <w:tcW w:w="2192"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行政许可</w:t>
            </w:r>
          </w:p>
        </w:tc>
        <w:tc>
          <w:tcPr>
            <w:tcW w:w="2238"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Times New Roman" w:hAnsi="Times New Roman" w:cs="Times New Roman" w:eastAsiaTheme="minorEastAsia"/>
                <w:sz w:val="21"/>
                <w:szCs w:val="21"/>
                <w:lang w:val="en-US" w:eastAsia="zh-CN"/>
              </w:rPr>
            </w:pPr>
            <w:r>
              <w:rPr>
                <w:rFonts w:hint="eastAsia" w:ascii="宋体" w:hAnsi="宋体" w:eastAsia="宋体" w:cs="宋体"/>
                <w:sz w:val="18"/>
                <w:szCs w:val="18"/>
                <w:lang w:val="en-US" w:eastAsia="zh-CN"/>
              </w:rPr>
              <w:t>1</w:t>
            </w:r>
          </w:p>
        </w:tc>
        <w:tc>
          <w:tcPr>
            <w:tcW w:w="2372"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eastAsiaTheme="minorEastAsia"/>
                <w:sz w:val="21"/>
                <w:szCs w:val="21"/>
                <w:lang w:val="en-US" w:eastAsia="zh-CN"/>
              </w:rPr>
            </w:pPr>
            <w:r>
              <w:rPr>
                <w:rFonts w:hint="eastAsia" w:ascii="宋体" w:hAnsi="宋体" w:eastAsia="宋体" w:cs="宋体"/>
                <w:sz w:val="18"/>
                <w:szCs w:val="18"/>
                <w:lang w:val="en-US" w:eastAsia="zh-CN"/>
              </w:rPr>
              <w:t>减1</w:t>
            </w:r>
          </w:p>
        </w:tc>
        <w:tc>
          <w:tcPr>
            <w:tcW w:w="2018" w:type="dxa"/>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eastAsiaTheme="minorEastAsia"/>
                <w:sz w:val="21"/>
                <w:szCs w:val="21"/>
                <w:lang w:val="en-US" w:eastAsia="zh-CN"/>
              </w:rPr>
            </w:pPr>
            <w:r>
              <w:rPr>
                <w:rFonts w:hint="eastAsia" w:ascii="宋体" w:hAnsi="宋体" w:eastAsia="宋体" w:cs="宋体"/>
                <w:sz w:val="18"/>
                <w:szCs w:val="18"/>
                <w:lang w:val="en-US" w:eastAsia="zh-CN"/>
              </w:rPr>
              <w:t>0</w:t>
            </w:r>
          </w:p>
        </w:tc>
      </w:tr>
      <w:tr>
        <w:tblPrEx>
          <w:shd w:val="clear" w:color="auto" w:fill="auto"/>
          <w:tblCellMar>
            <w:top w:w="15" w:type="dxa"/>
            <w:left w:w="15" w:type="dxa"/>
            <w:bottom w:w="15" w:type="dxa"/>
            <w:right w:w="15" w:type="dxa"/>
          </w:tblCellMar>
        </w:tblPrEx>
        <w:trPr>
          <w:trHeight w:val="484" w:hRule="atLeast"/>
          <w:jc w:val="center"/>
        </w:trPr>
        <w:tc>
          <w:tcPr>
            <w:tcW w:w="2192"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其他对外管理服务事项</w:t>
            </w:r>
          </w:p>
        </w:tc>
        <w:tc>
          <w:tcPr>
            <w:tcW w:w="2238" w:type="dxa"/>
            <w:tcBorders>
              <w:top w:val="single" w:color="auto" w:sz="8" w:space="0"/>
              <w:left w:val="single" w:color="auto" w:sz="8" w:space="0"/>
              <w:bottom w:val="single" w:color="auto" w:sz="8" w:space="0"/>
              <w:right w:val="nil"/>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2372" w:type="dxa"/>
            <w:tcBorders>
              <w:top w:val="single" w:color="auto" w:sz="8" w:space="0"/>
              <w:left w:val="single" w:color="auto" w:sz="8" w:space="0"/>
              <w:bottom w:val="single" w:color="auto" w:sz="8" w:space="0"/>
              <w:right w:val="nil"/>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2018" w:type="dxa"/>
            <w:tcBorders>
              <w:top w:val="single" w:color="auto" w:sz="8" w:space="0"/>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r>
      <w:tr>
        <w:tblPrEx>
          <w:shd w:val="clear" w:color="auto" w:fill="auto"/>
          <w:tblCellMar>
            <w:top w:w="15" w:type="dxa"/>
            <w:left w:w="15" w:type="dxa"/>
            <w:bottom w:w="15" w:type="dxa"/>
            <w:right w:w="15" w:type="dxa"/>
          </w:tblCellMar>
        </w:tblPrEx>
        <w:trPr>
          <w:trHeight w:val="501" w:hRule="atLeast"/>
          <w:jc w:val="center"/>
        </w:trPr>
        <w:tc>
          <w:tcPr>
            <w:tcW w:w="8820" w:type="dxa"/>
            <w:gridSpan w:val="4"/>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第二十条第（六）项</w:t>
            </w:r>
          </w:p>
        </w:tc>
      </w:tr>
      <w:tr>
        <w:tblPrEx>
          <w:shd w:val="clear" w:color="auto" w:fill="auto"/>
          <w:tblCellMar>
            <w:top w:w="15" w:type="dxa"/>
            <w:left w:w="15" w:type="dxa"/>
            <w:bottom w:w="15" w:type="dxa"/>
            <w:right w:w="15" w:type="dxa"/>
          </w:tblCellMar>
        </w:tblPrEx>
        <w:trPr>
          <w:trHeight w:val="493" w:hRule="atLeast"/>
          <w:jc w:val="center"/>
        </w:trPr>
        <w:tc>
          <w:tcPr>
            <w:tcW w:w="2192"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信息内容</w:t>
            </w:r>
          </w:p>
        </w:tc>
        <w:tc>
          <w:tcPr>
            <w:tcW w:w="2238"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上一年项目数量</w:t>
            </w:r>
          </w:p>
        </w:tc>
        <w:tc>
          <w:tcPr>
            <w:tcW w:w="2372"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本年增/减</w:t>
            </w:r>
          </w:p>
        </w:tc>
        <w:tc>
          <w:tcPr>
            <w:tcW w:w="2018" w:type="dxa"/>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处理决定数量</w:t>
            </w:r>
          </w:p>
        </w:tc>
      </w:tr>
      <w:tr>
        <w:tblPrEx>
          <w:shd w:val="clear" w:color="auto" w:fill="auto"/>
          <w:tblCellMar>
            <w:top w:w="15" w:type="dxa"/>
            <w:left w:w="15" w:type="dxa"/>
            <w:bottom w:w="15" w:type="dxa"/>
            <w:right w:w="15" w:type="dxa"/>
          </w:tblCellMar>
        </w:tblPrEx>
        <w:trPr>
          <w:trHeight w:val="484" w:hRule="atLeast"/>
          <w:jc w:val="center"/>
        </w:trPr>
        <w:tc>
          <w:tcPr>
            <w:tcW w:w="2192"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行政处罚</w:t>
            </w:r>
          </w:p>
        </w:tc>
        <w:tc>
          <w:tcPr>
            <w:tcW w:w="2238"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Times New Roman" w:hAnsi="Times New Roman" w:cs="Times New Roman" w:eastAsiaTheme="minorEastAsia"/>
                <w:sz w:val="21"/>
                <w:szCs w:val="21"/>
                <w:lang w:eastAsia="zh-CN"/>
              </w:rPr>
            </w:pPr>
            <w:r>
              <w:rPr>
                <w:rFonts w:hint="eastAsia" w:ascii="宋体" w:hAnsi="宋体" w:eastAsia="宋体" w:cs="宋体"/>
                <w:sz w:val="18"/>
                <w:szCs w:val="18"/>
                <w:lang w:val="en-US" w:eastAsia="zh-CN"/>
              </w:rPr>
              <w:t>1</w:t>
            </w:r>
          </w:p>
        </w:tc>
        <w:tc>
          <w:tcPr>
            <w:tcW w:w="2372"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2018" w:type="dxa"/>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eastAsiaTheme="minorEastAsia"/>
                <w:sz w:val="21"/>
                <w:szCs w:val="21"/>
                <w:lang w:val="en-US" w:eastAsia="zh-CN"/>
              </w:rPr>
            </w:pPr>
            <w:r>
              <w:rPr>
                <w:rFonts w:hint="eastAsia" w:ascii="宋体" w:hAnsi="宋体" w:eastAsia="宋体" w:cs="宋体"/>
                <w:sz w:val="18"/>
                <w:szCs w:val="18"/>
                <w:lang w:val="en-US" w:eastAsia="zh-CN"/>
              </w:rPr>
              <w:t>1</w:t>
            </w:r>
          </w:p>
        </w:tc>
      </w:tr>
      <w:tr>
        <w:tblPrEx>
          <w:shd w:val="clear" w:color="auto" w:fill="auto"/>
          <w:tblCellMar>
            <w:top w:w="15" w:type="dxa"/>
            <w:left w:w="15" w:type="dxa"/>
            <w:bottom w:w="15" w:type="dxa"/>
            <w:right w:w="15" w:type="dxa"/>
          </w:tblCellMar>
        </w:tblPrEx>
        <w:trPr>
          <w:trHeight w:val="501" w:hRule="atLeast"/>
          <w:jc w:val="center"/>
        </w:trPr>
        <w:tc>
          <w:tcPr>
            <w:tcW w:w="2192"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行政强制</w:t>
            </w:r>
          </w:p>
        </w:tc>
        <w:tc>
          <w:tcPr>
            <w:tcW w:w="2238" w:type="dxa"/>
            <w:tcBorders>
              <w:top w:val="single" w:color="auto" w:sz="8" w:space="0"/>
              <w:left w:val="single" w:color="auto" w:sz="8" w:space="0"/>
              <w:bottom w:val="single" w:color="auto" w:sz="8" w:space="0"/>
              <w:right w:val="nil"/>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2372" w:type="dxa"/>
            <w:tcBorders>
              <w:top w:val="single" w:color="auto" w:sz="8" w:space="0"/>
              <w:left w:val="single" w:color="auto" w:sz="8" w:space="0"/>
              <w:bottom w:val="single" w:color="auto" w:sz="8" w:space="0"/>
              <w:right w:val="nil"/>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2018" w:type="dxa"/>
            <w:tcBorders>
              <w:top w:val="single" w:color="auto" w:sz="8" w:space="0"/>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r>
      <w:tr>
        <w:tblPrEx>
          <w:shd w:val="clear" w:color="auto" w:fill="auto"/>
          <w:tblCellMar>
            <w:top w:w="15" w:type="dxa"/>
            <w:left w:w="15" w:type="dxa"/>
            <w:bottom w:w="15" w:type="dxa"/>
            <w:right w:w="15" w:type="dxa"/>
          </w:tblCellMar>
        </w:tblPrEx>
        <w:trPr>
          <w:trHeight w:val="493" w:hRule="atLeast"/>
          <w:jc w:val="center"/>
        </w:trPr>
        <w:tc>
          <w:tcPr>
            <w:tcW w:w="8820" w:type="dxa"/>
            <w:gridSpan w:val="4"/>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第二十条第（八）项</w:t>
            </w:r>
          </w:p>
        </w:tc>
      </w:tr>
      <w:tr>
        <w:tblPrEx>
          <w:shd w:val="clear" w:color="auto" w:fill="auto"/>
          <w:tblCellMar>
            <w:top w:w="15" w:type="dxa"/>
            <w:left w:w="15" w:type="dxa"/>
            <w:bottom w:w="15" w:type="dxa"/>
            <w:right w:w="15" w:type="dxa"/>
          </w:tblCellMar>
        </w:tblPrEx>
        <w:trPr>
          <w:trHeight w:val="493" w:hRule="atLeast"/>
          <w:jc w:val="center"/>
        </w:trPr>
        <w:tc>
          <w:tcPr>
            <w:tcW w:w="2192"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信息内容</w:t>
            </w:r>
          </w:p>
        </w:tc>
        <w:tc>
          <w:tcPr>
            <w:tcW w:w="2238"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上一年项目数量</w:t>
            </w:r>
          </w:p>
        </w:tc>
        <w:tc>
          <w:tcPr>
            <w:tcW w:w="4390" w:type="dxa"/>
            <w:gridSpan w:val="2"/>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本年增/减</w:t>
            </w:r>
          </w:p>
        </w:tc>
      </w:tr>
      <w:tr>
        <w:tblPrEx>
          <w:shd w:val="clear" w:color="auto" w:fill="auto"/>
          <w:tblCellMar>
            <w:top w:w="15" w:type="dxa"/>
            <w:left w:w="15" w:type="dxa"/>
            <w:bottom w:w="15" w:type="dxa"/>
            <w:right w:w="15" w:type="dxa"/>
          </w:tblCellMar>
        </w:tblPrEx>
        <w:trPr>
          <w:trHeight w:val="493" w:hRule="atLeast"/>
          <w:jc w:val="center"/>
        </w:trPr>
        <w:tc>
          <w:tcPr>
            <w:tcW w:w="2192"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行政事业性收费</w:t>
            </w:r>
          </w:p>
        </w:tc>
        <w:tc>
          <w:tcPr>
            <w:tcW w:w="2238" w:type="dxa"/>
            <w:tcBorders>
              <w:top w:val="single" w:color="auto" w:sz="8" w:space="0"/>
              <w:left w:val="single" w:color="auto" w:sz="8" w:space="0"/>
              <w:bottom w:val="single" w:color="auto" w:sz="8" w:space="0"/>
              <w:right w:val="nil"/>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Times New Roman" w:hAnsi="Times New Roman" w:eastAsia="宋体" w:cs="Times New Roman"/>
                <w:sz w:val="21"/>
                <w:szCs w:val="21"/>
                <w:lang w:val="en-US" w:eastAsia="zh-CN"/>
              </w:rPr>
            </w:pPr>
            <w:r>
              <w:rPr>
                <w:rFonts w:hint="eastAsia" w:ascii="宋体" w:hAnsi="宋体" w:eastAsia="宋体" w:cs="宋体"/>
                <w:sz w:val="18"/>
                <w:szCs w:val="18"/>
                <w:lang w:val="en-US" w:eastAsia="zh-CN"/>
              </w:rPr>
              <w:t>1</w:t>
            </w:r>
          </w:p>
        </w:tc>
        <w:tc>
          <w:tcPr>
            <w:tcW w:w="4390"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r>
      <w:tr>
        <w:tblPrEx>
          <w:shd w:val="clear" w:color="auto" w:fill="auto"/>
        </w:tblPrEx>
        <w:trPr>
          <w:trHeight w:val="493" w:hRule="atLeast"/>
          <w:jc w:val="center"/>
        </w:trPr>
        <w:tc>
          <w:tcPr>
            <w:tcW w:w="8820" w:type="dxa"/>
            <w:gridSpan w:val="4"/>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第二十条第（九）项</w:t>
            </w:r>
          </w:p>
        </w:tc>
      </w:tr>
      <w:tr>
        <w:tblPrEx>
          <w:shd w:val="clear" w:color="auto" w:fill="auto"/>
          <w:tblCellMar>
            <w:top w:w="15" w:type="dxa"/>
            <w:left w:w="15" w:type="dxa"/>
            <w:bottom w:w="15" w:type="dxa"/>
            <w:right w:w="15" w:type="dxa"/>
          </w:tblCellMar>
        </w:tblPrEx>
        <w:trPr>
          <w:trHeight w:val="493" w:hRule="atLeast"/>
          <w:jc w:val="center"/>
        </w:trPr>
        <w:tc>
          <w:tcPr>
            <w:tcW w:w="2192"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信息内容</w:t>
            </w:r>
          </w:p>
        </w:tc>
        <w:tc>
          <w:tcPr>
            <w:tcW w:w="2238"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采购项目数量</w:t>
            </w:r>
          </w:p>
        </w:tc>
        <w:tc>
          <w:tcPr>
            <w:tcW w:w="4390" w:type="dxa"/>
            <w:gridSpan w:val="2"/>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采购总金额</w:t>
            </w:r>
          </w:p>
        </w:tc>
      </w:tr>
      <w:tr>
        <w:tblPrEx>
          <w:shd w:val="clear" w:color="auto" w:fill="auto"/>
          <w:tblCellMar>
            <w:top w:w="15" w:type="dxa"/>
            <w:left w:w="15" w:type="dxa"/>
            <w:bottom w:w="15" w:type="dxa"/>
            <w:right w:w="15" w:type="dxa"/>
          </w:tblCellMar>
        </w:tblPrEx>
        <w:trPr>
          <w:trHeight w:val="508" w:hRule="atLeast"/>
          <w:jc w:val="center"/>
        </w:trPr>
        <w:tc>
          <w:tcPr>
            <w:tcW w:w="2192" w:type="dxa"/>
            <w:tcBorders>
              <w:top w:val="single" w:color="auto" w:sz="8" w:space="0"/>
              <w:left w:val="single" w:color="auto" w:sz="8" w:space="0"/>
              <w:bottom w:val="single" w:color="auto" w:sz="8" w:space="0"/>
              <w:right w:val="nil"/>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政府集中釆购</w:t>
            </w:r>
          </w:p>
        </w:tc>
        <w:tc>
          <w:tcPr>
            <w:tcW w:w="2238" w:type="dxa"/>
            <w:tcBorders>
              <w:top w:val="single" w:color="auto" w:sz="8" w:space="0"/>
              <w:left w:val="single" w:color="auto" w:sz="8" w:space="0"/>
              <w:bottom w:val="single" w:color="auto" w:sz="8" w:space="0"/>
              <w:right w:val="nil"/>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Times New Roman" w:hAnsi="Times New Roman" w:cs="Times New Roman" w:eastAsiaTheme="minorEastAsia"/>
                <w:sz w:val="21"/>
                <w:szCs w:val="21"/>
                <w:lang w:eastAsia="zh-CN"/>
              </w:rPr>
            </w:pPr>
            <w:r>
              <w:rPr>
                <w:rFonts w:hint="eastAsia" w:ascii="宋体" w:hAnsi="宋体" w:eastAsia="宋体" w:cs="宋体"/>
                <w:sz w:val="18"/>
                <w:szCs w:val="18"/>
                <w:lang w:val="en-US" w:eastAsia="zh-CN"/>
              </w:rPr>
              <w:t>3</w:t>
            </w:r>
          </w:p>
        </w:tc>
        <w:tc>
          <w:tcPr>
            <w:tcW w:w="4390"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宋体" w:hAnsi="宋体" w:eastAsia="宋体" w:cs="宋体"/>
                <w:sz w:val="18"/>
                <w:szCs w:val="18"/>
                <w:lang w:val="en-US" w:eastAsia="zh-CN"/>
              </w:rPr>
              <w:t>143</w:t>
            </w:r>
            <w:r>
              <w:rPr>
                <w:rFonts w:hint="eastAsia" w:ascii="宋体" w:hAnsi="宋体" w:eastAsia="宋体" w:cs="宋体"/>
                <w:sz w:val="18"/>
                <w:szCs w:val="18"/>
              </w:rPr>
              <w:t>0</w:t>
            </w:r>
            <w:r>
              <w:rPr>
                <w:rFonts w:hint="eastAsia" w:ascii="宋体" w:hAnsi="宋体" w:eastAsia="宋体" w:cs="宋体"/>
                <w:sz w:val="18"/>
                <w:szCs w:val="18"/>
                <w:lang w:val="en-US" w:eastAsia="zh-CN"/>
              </w:rPr>
              <w:t>.48万元</w:t>
            </w:r>
            <w:bookmarkStart w:id="0" w:name="_GoBack"/>
            <w:bookmarkEnd w:id="0"/>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default" w:ascii="Times New Roman" w:hAnsi="Times New Roman" w:cs="Times New Roman"/>
          <w:sz w:val="21"/>
          <w:szCs w:val="21"/>
        </w:rPr>
      </w:pPr>
      <w:r>
        <w:rPr>
          <w:rFonts w:hint="eastAsia" w:ascii="黑体" w:hAnsi="宋体" w:eastAsia="黑体" w:cs="黑体"/>
          <w:i w:val="0"/>
          <w:caps w:val="0"/>
          <w:color w:val="000000"/>
          <w:spacing w:val="0"/>
          <w:sz w:val="32"/>
          <w:szCs w:val="32"/>
        </w:rPr>
        <w:t>    三、收到和处理政府信息公开申请情况</w:t>
      </w:r>
    </w:p>
    <w:tbl>
      <w:tblPr>
        <w:tblStyle w:val="6"/>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81"/>
        <w:gridCol w:w="1407"/>
        <w:gridCol w:w="2568"/>
        <w:gridCol w:w="667"/>
        <w:gridCol w:w="542"/>
        <w:gridCol w:w="542"/>
        <w:gridCol w:w="528"/>
        <w:gridCol w:w="542"/>
        <w:gridCol w:w="501"/>
        <w:gridCol w:w="44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43" w:hRule="atLeast"/>
          <w:jc w:val="center"/>
        </w:trPr>
        <w:tc>
          <w:tcPr>
            <w:tcW w:w="4801" w:type="dxa"/>
            <w:gridSpan w:val="3"/>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（本列数据的勾稽关系为：第一项加第二项之和， 等于第三项加第四项之和）</w:t>
            </w:r>
          </w:p>
        </w:tc>
        <w:tc>
          <w:tcPr>
            <w:tcW w:w="3963" w:type="dxa"/>
            <w:gridSpan w:val="7"/>
            <w:tcBorders>
              <w:top w:val="single" w:color="auto" w:sz="8" w:space="0"/>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6" w:hRule="atLeast"/>
          <w:jc w:val="center"/>
        </w:trPr>
        <w:tc>
          <w:tcPr>
            <w:tcW w:w="4801" w:type="dxa"/>
            <w:gridSpan w:val="3"/>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cs="Times New Roman"/>
                <w:sz w:val="20"/>
                <w:szCs w:val="20"/>
              </w:rPr>
            </w:pPr>
          </w:p>
        </w:tc>
        <w:tc>
          <w:tcPr>
            <w:tcW w:w="705" w:type="dxa"/>
            <w:vMerge w:val="restart"/>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自然人</w:t>
            </w:r>
          </w:p>
        </w:tc>
        <w:tc>
          <w:tcPr>
            <w:tcW w:w="2790" w:type="dxa"/>
            <w:gridSpan w:val="5"/>
            <w:tcBorders>
              <w:top w:val="single" w:color="auto" w:sz="8" w:space="0"/>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法人或其他组织</w:t>
            </w:r>
          </w:p>
        </w:tc>
        <w:tc>
          <w:tcPr>
            <w:tcW w:w="468" w:type="dxa"/>
            <w:vMerge w:val="restart"/>
            <w:tcBorders>
              <w:top w:val="single" w:color="auto" w:sz="8" w:space="0"/>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003" w:hRule="atLeast"/>
          <w:jc w:val="center"/>
        </w:trPr>
        <w:tc>
          <w:tcPr>
            <w:tcW w:w="4801" w:type="dxa"/>
            <w:gridSpan w:val="3"/>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cs="Times New Roman"/>
                <w:sz w:val="20"/>
                <w:szCs w:val="20"/>
              </w:rPr>
            </w:pPr>
          </w:p>
        </w:tc>
        <w:tc>
          <w:tcPr>
            <w:tcW w:w="705" w:type="dxa"/>
            <w:vMerge w:val="continue"/>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cs="Times New Roman"/>
                <w:sz w:val="20"/>
                <w:szCs w:val="20"/>
              </w:rPr>
            </w:pPr>
          </w:p>
        </w:tc>
        <w:tc>
          <w:tcPr>
            <w:tcW w:w="570"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商业企业</w:t>
            </w:r>
          </w:p>
        </w:tc>
        <w:tc>
          <w:tcPr>
            <w:tcW w:w="570"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科研机构</w:t>
            </w:r>
          </w:p>
        </w:tc>
        <w:tc>
          <w:tcPr>
            <w:tcW w:w="555" w:type="dxa"/>
            <w:tcBorders>
              <w:top w:val="single" w:color="auto" w:sz="8" w:space="0"/>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社会公益组织</w:t>
            </w:r>
          </w:p>
        </w:tc>
        <w:tc>
          <w:tcPr>
            <w:tcW w:w="570" w:type="dxa"/>
            <w:tcBorders>
              <w:top w:val="single" w:color="auto" w:sz="8" w:space="0"/>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法律服务机构</w:t>
            </w:r>
          </w:p>
        </w:tc>
        <w:tc>
          <w:tcPr>
            <w:tcW w:w="525" w:type="dxa"/>
            <w:tcBorders>
              <w:top w:val="single" w:color="auto" w:sz="8" w:space="0"/>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其他</w:t>
            </w:r>
          </w:p>
        </w:tc>
        <w:tc>
          <w:tcPr>
            <w:tcW w:w="468" w:type="dxa"/>
            <w:vMerge w:val="continue"/>
            <w:tcBorders>
              <w:top w:val="single" w:color="auto" w:sz="8" w:space="0"/>
              <w:left w:val="nil"/>
              <w:bottom w:val="single" w:color="auto" w:sz="8" w:space="0"/>
              <w:right w:val="single" w:color="auto" w:sz="8" w:space="0"/>
            </w:tcBorders>
            <w:shd w:val="clear" w:color="auto" w:fill="FFFFFF"/>
            <w:tcMar>
              <w:top w:w="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4801" w:type="dxa"/>
            <w:gridSpan w:val="3"/>
            <w:tcBorders>
              <w:top w:val="nil"/>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cs="Times New Roman"/>
                <w:sz w:val="21"/>
                <w:szCs w:val="21"/>
              </w:rPr>
            </w:pPr>
            <w:r>
              <w:rPr>
                <w:rFonts w:hint="eastAsia" w:ascii="宋体" w:hAnsi="宋体" w:eastAsia="宋体" w:cs="宋体"/>
                <w:sz w:val="21"/>
                <w:szCs w:val="21"/>
              </w:rPr>
              <w:t>一、本年新收政府信息公开申请数量</w:t>
            </w:r>
          </w:p>
        </w:tc>
        <w:tc>
          <w:tcPr>
            <w:tcW w:w="705"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70"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70"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55"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70"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25"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468"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46" w:hRule="atLeast"/>
          <w:jc w:val="center"/>
        </w:trPr>
        <w:tc>
          <w:tcPr>
            <w:tcW w:w="4801" w:type="dxa"/>
            <w:gridSpan w:val="3"/>
            <w:tcBorders>
              <w:top w:val="nil"/>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cs="Times New Roman"/>
                <w:sz w:val="21"/>
                <w:szCs w:val="21"/>
              </w:rPr>
            </w:pPr>
            <w:r>
              <w:rPr>
                <w:rFonts w:hint="eastAsia" w:ascii="宋体" w:hAnsi="宋体" w:eastAsia="宋体" w:cs="宋体"/>
                <w:sz w:val="21"/>
                <w:szCs w:val="21"/>
              </w:rPr>
              <w:t>二、上年结转政府信息公开申请数量</w:t>
            </w:r>
          </w:p>
        </w:tc>
        <w:tc>
          <w:tcPr>
            <w:tcW w:w="705"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70"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70"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55"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70"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25"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468"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68" w:hRule="atLeast"/>
          <w:jc w:val="center"/>
        </w:trPr>
        <w:tc>
          <w:tcPr>
            <w:tcW w:w="592" w:type="dxa"/>
            <w:vMerge w:val="restart"/>
            <w:tcBorders>
              <w:top w:val="nil"/>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21"/>
                <w:szCs w:val="21"/>
              </w:rPr>
              <w:t>三、本年度办理结果</w:t>
            </w:r>
          </w:p>
        </w:tc>
        <w:tc>
          <w:tcPr>
            <w:tcW w:w="4209" w:type="dxa"/>
            <w:gridSpan w:val="2"/>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cs="Times New Roman"/>
                <w:sz w:val="21"/>
                <w:szCs w:val="21"/>
              </w:rPr>
            </w:pPr>
            <w:r>
              <w:rPr>
                <w:rFonts w:hint="eastAsia" w:ascii="宋体" w:hAnsi="宋体" w:eastAsia="宋体" w:cs="宋体"/>
                <w:sz w:val="21"/>
                <w:szCs w:val="21"/>
              </w:rPr>
              <w:t>（一）予以公开</w:t>
            </w:r>
          </w:p>
        </w:tc>
        <w:tc>
          <w:tcPr>
            <w:tcW w:w="705"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70"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70"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55"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70"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25"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468" w:type="dxa"/>
            <w:tcBorders>
              <w:top w:val="single" w:color="auto" w:sz="8" w:space="0"/>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24" w:hRule="atLeast"/>
          <w:jc w:val="center"/>
        </w:trPr>
        <w:tc>
          <w:tcPr>
            <w:tcW w:w="592" w:type="dxa"/>
            <w:vMerge w:val="continue"/>
            <w:tcBorders>
              <w:top w:val="nil"/>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cs="Times New Roman"/>
                <w:sz w:val="20"/>
                <w:szCs w:val="20"/>
              </w:rPr>
            </w:pPr>
          </w:p>
        </w:tc>
        <w:tc>
          <w:tcPr>
            <w:tcW w:w="4209" w:type="dxa"/>
            <w:gridSpan w:val="2"/>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cs="Times New Roman"/>
                <w:sz w:val="21"/>
                <w:szCs w:val="21"/>
              </w:rPr>
            </w:pPr>
            <w:r>
              <w:rPr>
                <w:rFonts w:hint="eastAsia" w:ascii="宋体" w:hAnsi="宋体" w:eastAsia="宋体" w:cs="宋体"/>
                <w:sz w:val="21"/>
                <w:szCs w:val="21"/>
              </w:rPr>
              <w:t>（二）部分公开（区分处理的，只计这一情形，不计其他情形）</w:t>
            </w:r>
          </w:p>
        </w:tc>
        <w:tc>
          <w:tcPr>
            <w:tcW w:w="705"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70"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70"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55"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70"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25"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468"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6" w:hRule="atLeast"/>
          <w:jc w:val="center"/>
        </w:trPr>
        <w:tc>
          <w:tcPr>
            <w:tcW w:w="592" w:type="dxa"/>
            <w:vMerge w:val="continue"/>
            <w:tcBorders>
              <w:top w:val="nil"/>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cs="Times New Roman"/>
                <w:sz w:val="20"/>
                <w:szCs w:val="20"/>
              </w:rPr>
            </w:pPr>
          </w:p>
        </w:tc>
        <w:tc>
          <w:tcPr>
            <w:tcW w:w="1468" w:type="dxa"/>
            <w:vMerge w:val="restart"/>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cs="Times New Roman"/>
                <w:sz w:val="21"/>
                <w:szCs w:val="21"/>
              </w:rPr>
            </w:pPr>
            <w:r>
              <w:rPr>
                <w:rFonts w:hint="eastAsia" w:ascii="宋体" w:hAnsi="宋体" w:eastAsia="宋体" w:cs="宋体"/>
                <w:sz w:val="21"/>
                <w:szCs w:val="21"/>
              </w:rPr>
              <w:t>（三）不予公开</w:t>
            </w:r>
          </w:p>
        </w:tc>
        <w:tc>
          <w:tcPr>
            <w:tcW w:w="2741"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cs="Times New Roman"/>
                <w:sz w:val="21"/>
                <w:szCs w:val="21"/>
              </w:rPr>
            </w:pPr>
            <w:r>
              <w:rPr>
                <w:rFonts w:hint="eastAsia" w:ascii="宋体" w:hAnsi="宋体" w:eastAsia="宋体" w:cs="宋体"/>
                <w:sz w:val="21"/>
                <w:szCs w:val="21"/>
              </w:rPr>
              <w:t>1.属于国家秘密</w:t>
            </w:r>
          </w:p>
        </w:tc>
        <w:tc>
          <w:tcPr>
            <w:tcW w:w="705"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70"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70"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55"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70"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25"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468" w:type="dxa"/>
            <w:tcBorders>
              <w:top w:val="single" w:color="auto" w:sz="8" w:space="0"/>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11" w:hRule="atLeast"/>
          <w:jc w:val="center"/>
        </w:trPr>
        <w:tc>
          <w:tcPr>
            <w:tcW w:w="592" w:type="dxa"/>
            <w:vMerge w:val="continue"/>
            <w:tcBorders>
              <w:top w:val="nil"/>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cs="Times New Roman"/>
                <w:sz w:val="20"/>
                <w:szCs w:val="20"/>
              </w:rPr>
            </w:pPr>
          </w:p>
        </w:tc>
        <w:tc>
          <w:tcPr>
            <w:tcW w:w="1468" w:type="dxa"/>
            <w:vMerge w:val="continue"/>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cs="Times New Roman"/>
                <w:sz w:val="20"/>
                <w:szCs w:val="20"/>
              </w:rPr>
            </w:pPr>
          </w:p>
        </w:tc>
        <w:tc>
          <w:tcPr>
            <w:tcW w:w="2741"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cs="Times New Roman"/>
                <w:sz w:val="21"/>
                <w:szCs w:val="21"/>
              </w:rPr>
            </w:pPr>
            <w:r>
              <w:rPr>
                <w:rFonts w:hint="eastAsia" w:ascii="宋体" w:hAnsi="宋体" w:eastAsia="宋体" w:cs="宋体"/>
                <w:spacing w:val="-6"/>
                <w:sz w:val="21"/>
                <w:szCs w:val="21"/>
              </w:rPr>
              <w:t>2.其他法律行政法规禁止公开</w:t>
            </w:r>
          </w:p>
        </w:tc>
        <w:tc>
          <w:tcPr>
            <w:tcW w:w="705"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70"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70"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55"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70"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25"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468"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89" w:hRule="atLeast"/>
          <w:jc w:val="center"/>
        </w:trPr>
        <w:tc>
          <w:tcPr>
            <w:tcW w:w="592" w:type="dxa"/>
            <w:vMerge w:val="continue"/>
            <w:tcBorders>
              <w:top w:val="nil"/>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cs="Times New Roman"/>
                <w:sz w:val="20"/>
                <w:szCs w:val="20"/>
              </w:rPr>
            </w:pPr>
          </w:p>
        </w:tc>
        <w:tc>
          <w:tcPr>
            <w:tcW w:w="1468" w:type="dxa"/>
            <w:vMerge w:val="continue"/>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cs="Times New Roman"/>
                <w:sz w:val="20"/>
                <w:szCs w:val="20"/>
              </w:rPr>
            </w:pPr>
          </w:p>
        </w:tc>
        <w:tc>
          <w:tcPr>
            <w:tcW w:w="2741"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cs="Times New Roman"/>
                <w:sz w:val="21"/>
                <w:szCs w:val="21"/>
              </w:rPr>
            </w:pPr>
            <w:r>
              <w:rPr>
                <w:rFonts w:hint="eastAsia" w:ascii="宋体" w:hAnsi="宋体" w:eastAsia="宋体" w:cs="宋体"/>
                <w:sz w:val="21"/>
                <w:szCs w:val="21"/>
              </w:rPr>
              <w:t>3.危及“三安全一稳定”</w:t>
            </w:r>
          </w:p>
        </w:tc>
        <w:tc>
          <w:tcPr>
            <w:tcW w:w="705"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70"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70"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55"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70"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25"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468"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6" w:hRule="atLeast"/>
          <w:jc w:val="center"/>
        </w:trPr>
        <w:tc>
          <w:tcPr>
            <w:tcW w:w="592" w:type="dxa"/>
            <w:vMerge w:val="continue"/>
            <w:tcBorders>
              <w:top w:val="nil"/>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cs="Times New Roman"/>
                <w:sz w:val="20"/>
                <w:szCs w:val="20"/>
              </w:rPr>
            </w:pPr>
          </w:p>
        </w:tc>
        <w:tc>
          <w:tcPr>
            <w:tcW w:w="1468" w:type="dxa"/>
            <w:vMerge w:val="continue"/>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cs="Times New Roman"/>
                <w:sz w:val="20"/>
                <w:szCs w:val="20"/>
              </w:rPr>
            </w:pPr>
          </w:p>
        </w:tc>
        <w:tc>
          <w:tcPr>
            <w:tcW w:w="2741"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cs="Times New Roman"/>
                <w:sz w:val="21"/>
                <w:szCs w:val="21"/>
              </w:rPr>
            </w:pPr>
            <w:r>
              <w:rPr>
                <w:rFonts w:hint="eastAsia" w:ascii="宋体" w:hAnsi="宋体" w:eastAsia="宋体" w:cs="宋体"/>
                <w:sz w:val="21"/>
                <w:szCs w:val="21"/>
              </w:rPr>
              <w:t>4.保护第三方合法权益</w:t>
            </w:r>
          </w:p>
        </w:tc>
        <w:tc>
          <w:tcPr>
            <w:tcW w:w="705"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70"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70"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55"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70"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25"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468"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6" w:hRule="atLeast"/>
          <w:jc w:val="center"/>
        </w:trPr>
        <w:tc>
          <w:tcPr>
            <w:tcW w:w="592" w:type="dxa"/>
            <w:vMerge w:val="continue"/>
            <w:tcBorders>
              <w:top w:val="nil"/>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cs="Times New Roman"/>
                <w:sz w:val="20"/>
                <w:szCs w:val="20"/>
              </w:rPr>
            </w:pPr>
          </w:p>
        </w:tc>
        <w:tc>
          <w:tcPr>
            <w:tcW w:w="1468" w:type="dxa"/>
            <w:vMerge w:val="continue"/>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cs="Times New Roman"/>
                <w:sz w:val="20"/>
                <w:szCs w:val="20"/>
              </w:rPr>
            </w:pPr>
          </w:p>
        </w:tc>
        <w:tc>
          <w:tcPr>
            <w:tcW w:w="2741"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cs="Times New Roman"/>
                <w:sz w:val="21"/>
                <w:szCs w:val="21"/>
              </w:rPr>
            </w:pPr>
            <w:r>
              <w:rPr>
                <w:rFonts w:hint="eastAsia" w:ascii="宋体" w:hAnsi="宋体" w:eastAsia="宋体" w:cs="宋体"/>
                <w:sz w:val="21"/>
                <w:szCs w:val="21"/>
              </w:rPr>
              <w:t>5.属于三类内部事务信息</w:t>
            </w:r>
          </w:p>
        </w:tc>
        <w:tc>
          <w:tcPr>
            <w:tcW w:w="705"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70"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70"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55"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70"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25"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468"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6" w:hRule="atLeast"/>
          <w:jc w:val="center"/>
        </w:trPr>
        <w:tc>
          <w:tcPr>
            <w:tcW w:w="592" w:type="dxa"/>
            <w:vMerge w:val="continue"/>
            <w:tcBorders>
              <w:top w:val="nil"/>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cs="Times New Roman"/>
                <w:sz w:val="20"/>
                <w:szCs w:val="20"/>
              </w:rPr>
            </w:pPr>
          </w:p>
        </w:tc>
        <w:tc>
          <w:tcPr>
            <w:tcW w:w="1468" w:type="dxa"/>
            <w:vMerge w:val="continue"/>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cs="Times New Roman"/>
                <w:sz w:val="20"/>
                <w:szCs w:val="20"/>
              </w:rPr>
            </w:pPr>
          </w:p>
        </w:tc>
        <w:tc>
          <w:tcPr>
            <w:tcW w:w="2741"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cs="Times New Roman"/>
                <w:sz w:val="21"/>
                <w:szCs w:val="21"/>
              </w:rPr>
            </w:pPr>
            <w:r>
              <w:rPr>
                <w:rFonts w:hint="eastAsia" w:ascii="宋体" w:hAnsi="宋体" w:eastAsia="宋体" w:cs="宋体"/>
                <w:sz w:val="21"/>
                <w:szCs w:val="21"/>
              </w:rPr>
              <w:t>6.属于四类过程性信息</w:t>
            </w:r>
          </w:p>
        </w:tc>
        <w:tc>
          <w:tcPr>
            <w:tcW w:w="705"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70"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70"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55"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70"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25"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468"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6" w:hRule="atLeast"/>
          <w:jc w:val="center"/>
        </w:trPr>
        <w:tc>
          <w:tcPr>
            <w:tcW w:w="592" w:type="dxa"/>
            <w:vMerge w:val="continue"/>
            <w:tcBorders>
              <w:top w:val="nil"/>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cs="Times New Roman"/>
                <w:sz w:val="20"/>
                <w:szCs w:val="20"/>
              </w:rPr>
            </w:pPr>
          </w:p>
        </w:tc>
        <w:tc>
          <w:tcPr>
            <w:tcW w:w="1468" w:type="dxa"/>
            <w:vMerge w:val="continue"/>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cs="Times New Roman"/>
                <w:sz w:val="20"/>
                <w:szCs w:val="20"/>
              </w:rPr>
            </w:pPr>
          </w:p>
        </w:tc>
        <w:tc>
          <w:tcPr>
            <w:tcW w:w="2741"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cs="Times New Roman"/>
                <w:sz w:val="21"/>
                <w:szCs w:val="21"/>
              </w:rPr>
            </w:pPr>
            <w:r>
              <w:rPr>
                <w:rFonts w:hint="eastAsia" w:ascii="宋体" w:hAnsi="宋体" w:eastAsia="宋体" w:cs="宋体"/>
                <w:sz w:val="21"/>
                <w:szCs w:val="21"/>
              </w:rPr>
              <w:t>7.属于行政执法案卷</w:t>
            </w:r>
          </w:p>
        </w:tc>
        <w:tc>
          <w:tcPr>
            <w:tcW w:w="705"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70"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70"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55"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70"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25"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468"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6" w:hRule="atLeast"/>
          <w:jc w:val="center"/>
        </w:trPr>
        <w:tc>
          <w:tcPr>
            <w:tcW w:w="592" w:type="dxa"/>
            <w:vMerge w:val="continue"/>
            <w:tcBorders>
              <w:top w:val="nil"/>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cs="Times New Roman"/>
                <w:sz w:val="20"/>
                <w:szCs w:val="20"/>
              </w:rPr>
            </w:pPr>
          </w:p>
        </w:tc>
        <w:tc>
          <w:tcPr>
            <w:tcW w:w="1468" w:type="dxa"/>
            <w:vMerge w:val="continue"/>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cs="Times New Roman"/>
                <w:sz w:val="20"/>
                <w:szCs w:val="20"/>
              </w:rPr>
            </w:pPr>
          </w:p>
        </w:tc>
        <w:tc>
          <w:tcPr>
            <w:tcW w:w="2741"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cs="Times New Roman"/>
                <w:sz w:val="21"/>
                <w:szCs w:val="21"/>
              </w:rPr>
            </w:pPr>
            <w:r>
              <w:rPr>
                <w:rFonts w:hint="eastAsia" w:ascii="宋体" w:hAnsi="宋体" w:eastAsia="宋体" w:cs="宋体"/>
                <w:sz w:val="21"/>
                <w:szCs w:val="21"/>
              </w:rPr>
              <w:t>8.属于行政查询事项</w:t>
            </w:r>
          </w:p>
        </w:tc>
        <w:tc>
          <w:tcPr>
            <w:tcW w:w="705"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70"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70"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55"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70"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25"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468"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26" w:hRule="atLeast"/>
          <w:jc w:val="center"/>
        </w:trPr>
        <w:tc>
          <w:tcPr>
            <w:tcW w:w="592" w:type="dxa"/>
            <w:vMerge w:val="continue"/>
            <w:tcBorders>
              <w:top w:val="nil"/>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cs="Times New Roman"/>
                <w:sz w:val="20"/>
                <w:szCs w:val="20"/>
              </w:rPr>
            </w:pPr>
          </w:p>
        </w:tc>
        <w:tc>
          <w:tcPr>
            <w:tcW w:w="1468" w:type="dxa"/>
            <w:vMerge w:val="restart"/>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cs="Times New Roman"/>
                <w:sz w:val="21"/>
                <w:szCs w:val="21"/>
              </w:rPr>
            </w:pPr>
            <w:r>
              <w:rPr>
                <w:rFonts w:hint="eastAsia" w:ascii="宋体" w:hAnsi="宋体" w:eastAsia="宋体" w:cs="宋体"/>
                <w:sz w:val="21"/>
                <w:szCs w:val="21"/>
              </w:rPr>
              <w:t>（四）无法提供</w:t>
            </w:r>
          </w:p>
        </w:tc>
        <w:tc>
          <w:tcPr>
            <w:tcW w:w="2741"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cs="Times New Roman"/>
                <w:sz w:val="21"/>
                <w:szCs w:val="21"/>
              </w:rPr>
            </w:pPr>
            <w:r>
              <w:rPr>
                <w:rFonts w:hint="eastAsia" w:ascii="宋体" w:hAnsi="宋体" w:eastAsia="宋体" w:cs="宋体"/>
                <w:spacing w:val="-6"/>
                <w:sz w:val="21"/>
                <w:szCs w:val="21"/>
              </w:rPr>
              <w:t>1.本机关不掌握相关政府信息</w:t>
            </w:r>
          </w:p>
        </w:tc>
        <w:tc>
          <w:tcPr>
            <w:tcW w:w="705"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70"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70"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55"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70"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25"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468"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81" w:hRule="atLeast"/>
          <w:jc w:val="center"/>
        </w:trPr>
        <w:tc>
          <w:tcPr>
            <w:tcW w:w="592" w:type="dxa"/>
            <w:vMerge w:val="continue"/>
            <w:tcBorders>
              <w:top w:val="nil"/>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cs="Times New Roman"/>
                <w:sz w:val="20"/>
                <w:szCs w:val="20"/>
              </w:rPr>
            </w:pPr>
          </w:p>
        </w:tc>
        <w:tc>
          <w:tcPr>
            <w:tcW w:w="1468" w:type="dxa"/>
            <w:vMerge w:val="continue"/>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cs="Times New Roman"/>
                <w:sz w:val="20"/>
                <w:szCs w:val="20"/>
              </w:rPr>
            </w:pPr>
          </w:p>
        </w:tc>
        <w:tc>
          <w:tcPr>
            <w:tcW w:w="2741"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cs="Times New Roman"/>
                <w:sz w:val="21"/>
                <w:szCs w:val="21"/>
              </w:rPr>
            </w:pPr>
            <w:r>
              <w:rPr>
                <w:rFonts w:hint="eastAsia" w:ascii="宋体" w:hAnsi="宋体" w:eastAsia="宋体" w:cs="宋体"/>
                <w:spacing w:val="-6"/>
                <w:sz w:val="21"/>
                <w:szCs w:val="21"/>
              </w:rPr>
              <w:t>2.没有现成信息需要另行制作</w:t>
            </w:r>
          </w:p>
        </w:tc>
        <w:tc>
          <w:tcPr>
            <w:tcW w:w="705"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70"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70"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55"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70"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25"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468"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88" w:hRule="atLeast"/>
          <w:jc w:val="center"/>
        </w:trPr>
        <w:tc>
          <w:tcPr>
            <w:tcW w:w="592" w:type="dxa"/>
            <w:vMerge w:val="continue"/>
            <w:tcBorders>
              <w:top w:val="nil"/>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cs="Times New Roman"/>
                <w:sz w:val="20"/>
                <w:szCs w:val="20"/>
              </w:rPr>
            </w:pPr>
          </w:p>
        </w:tc>
        <w:tc>
          <w:tcPr>
            <w:tcW w:w="1468" w:type="dxa"/>
            <w:vMerge w:val="continue"/>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cs="Times New Roman"/>
                <w:sz w:val="20"/>
                <w:szCs w:val="20"/>
              </w:rPr>
            </w:pPr>
          </w:p>
        </w:tc>
        <w:tc>
          <w:tcPr>
            <w:tcW w:w="2741"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cs="Times New Roman"/>
                <w:sz w:val="21"/>
                <w:szCs w:val="21"/>
              </w:rPr>
            </w:pPr>
            <w:r>
              <w:rPr>
                <w:rFonts w:hint="eastAsia" w:ascii="宋体" w:hAnsi="宋体" w:eastAsia="宋体" w:cs="宋体"/>
                <w:sz w:val="21"/>
                <w:szCs w:val="21"/>
              </w:rPr>
              <w:t>3.补正后申请内容仍不明确</w:t>
            </w:r>
          </w:p>
        </w:tc>
        <w:tc>
          <w:tcPr>
            <w:tcW w:w="705"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70"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70"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55"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70"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25"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468"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38" w:hRule="atLeast"/>
          <w:jc w:val="center"/>
        </w:trPr>
        <w:tc>
          <w:tcPr>
            <w:tcW w:w="592" w:type="dxa"/>
            <w:vMerge w:val="continue"/>
            <w:tcBorders>
              <w:top w:val="nil"/>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cs="Times New Roman"/>
                <w:sz w:val="20"/>
                <w:szCs w:val="20"/>
              </w:rPr>
            </w:pPr>
          </w:p>
        </w:tc>
        <w:tc>
          <w:tcPr>
            <w:tcW w:w="1468" w:type="dxa"/>
            <w:vMerge w:val="restart"/>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cs="Times New Roman"/>
                <w:sz w:val="21"/>
                <w:szCs w:val="21"/>
              </w:rPr>
            </w:pPr>
            <w:r>
              <w:rPr>
                <w:rFonts w:hint="eastAsia" w:ascii="宋体" w:hAnsi="宋体" w:eastAsia="宋体" w:cs="宋体"/>
                <w:sz w:val="21"/>
                <w:szCs w:val="21"/>
              </w:rPr>
              <w:t>（五）不予处理</w:t>
            </w:r>
          </w:p>
        </w:tc>
        <w:tc>
          <w:tcPr>
            <w:tcW w:w="2741"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cs="Times New Roman"/>
                <w:sz w:val="21"/>
                <w:szCs w:val="21"/>
              </w:rPr>
            </w:pPr>
            <w:r>
              <w:rPr>
                <w:rFonts w:hint="eastAsia" w:ascii="宋体" w:hAnsi="宋体" w:eastAsia="宋体" w:cs="宋体"/>
                <w:sz w:val="21"/>
                <w:szCs w:val="21"/>
              </w:rPr>
              <w:t>1.信访举报投诉类申请</w:t>
            </w:r>
          </w:p>
        </w:tc>
        <w:tc>
          <w:tcPr>
            <w:tcW w:w="705"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70"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70"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55"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70"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25"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468"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38" w:hRule="atLeast"/>
          <w:jc w:val="center"/>
        </w:trPr>
        <w:tc>
          <w:tcPr>
            <w:tcW w:w="592" w:type="dxa"/>
            <w:vMerge w:val="continue"/>
            <w:tcBorders>
              <w:top w:val="nil"/>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cs="Times New Roman"/>
                <w:sz w:val="20"/>
                <w:szCs w:val="20"/>
              </w:rPr>
            </w:pPr>
          </w:p>
        </w:tc>
        <w:tc>
          <w:tcPr>
            <w:tcW w:w="1468" w:type="dxa"/>
            <w:vMerge w:val="continue"/>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cs="Times New Roman"/>
                <w:sz w:val="20"/>
                <w:szCs w:val="20"/>
              </w:rPr>
            </w:pPr>
          </w:p>
        </w:tc>
        <w:tc>
          <w:tcPr>
            <w:tcW w:w="2741"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cs="Times New Roman"/>
                <w:sz w:val="21"/>
                <w:szCs w:val="21"/>
              </w:rPr>
            </w:pPr>
            <w:r>
              <w:rPr>
                <w:rFonts w:hint="eastAsia" w:ascii="宋体" w:hAnsi="宋体" w:eastAsia="宋体" w:cs="宋体"/>
                <w:sz w:val="21"/>
                <w:szCs w:val="21"/>
              </w:rPr>
              <w:t>2.重复申请</w:t>
            </w:r>
          </w:p>
        </w:tc>
        <w:tc>
          <w:tcPr>
            <w:tcW w:w="705"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70"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70"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55"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70"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25"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468"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38" w:hRule="atLeast"/>
          <w:jc w:val="center"/>
        </w:trPr>
        <w:tc>
          <w:tcPr>
            <w:tcW w:w="592" w:type="dxa"/>
            <w:vMerge w:val="continue"/>
            <w:tcBorders>
              <w:top w:val="nil"/>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cs="Times New Roman"/>
                <w:sz w:val="20"/>
                <w:szCs w:val="20"/>
              </w:rPr>
            </w:pPr>
          </w:p>
        </w:tc>
        <w:tc>
          <w:tcPr>
            <w:tcW w:w="1468" w:type="dxa"/>
            <w:vMerge w:val="continue"/>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cs="Times New Roman"/>
                <w:sz w:val="20"/>
                <w:szCs w:val="20"/>
              </w:rPr>
            </w:pPr>
          </w:p>
        </w:tc>
        <w:tc>
          <w:tcPr>
            <w:tcW w:w="2741"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cs="Times New Roman"/>
                <w:sz w:val="21"/>
                <w:szCs w:val="21"/>
              </w:rPr>
            </w:pPr>
            <w:r>
              <w:rPr>
                <w:rFonts w:hint="eastAsia" w:ascii="宋体" w:hAnsi="宋体" w:eastAsia="宋体" w:cs="宋体"/>
                <w:sz w:val="21"/>
                <w:szCs w:val="21"/>
              </w:rPr>
              <w:t>3.要求提供公开出版物</w:t>
            </w:r>
          </w:p>
        </w:tc>
        <w:tc>
          <w:tcPr>
            <w:tcW w:w="705"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70"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70"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55"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70"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25"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468"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59" w:hRule="atLeast"/>
          <w:jc w:val="center"/>
        </w:trPr>
        <w:tc>
          <w:tcPr>
            <w:tcW w:w="592" w:type="dxa"/>
            <w:vMerge w:val="continue"/>
            <w:tcBorders>
              <w:top w:val="nil"/>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cs="Times New Roman"/>
                <w:sz w:val="20"/>
                <w:szCs w:val="20"/>
              </w:rPr>
            </w:pPr>
          </w:p>
        </w:tc>
        <w:tc>
          <w:tcPr>
            <w:tcW w:w="1468" w:type="dxa"/>
            <w:vMerge w:val="continue"/>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cs="Times New Roman"/>
                <w:sz w:val="20"/>
                <w:szCs w:val="20"/>
              </w:rPr>
            </w:pPr>
          </w:p>
        </w:tc>
        <w:tc>
          <w:tcPr>
            <w:tcW w:w="2741"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cs="Times New Roman"/>
                <w:sz w:val="21"/>
                <w:szCs w:val="21"/>
              </w:rPr>
            </w:pPr>
            <w:r>
              <w:rPr>
                <w:rFonts w:hint="eastAsia" w:ascii="宋体" w:hAnsi="宋体" w:eastAsia="宋体" w:cs="宋体"/>
                <w:sz w:val="21"/>
                <w:szCs w:val="21"/>
              </w:rPr>
              <w:t>4.无正当理由大量反复申请</w:t>
            </w:r>
          </w:p>
        </w:tc>
        <w:tc>
          <w:tcPr>
            <w:tcW w:w="705"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70"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70"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55"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70"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25"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468"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99" w:hRule="atLeast"/>
          <w:jc w:val="center"/>
        </w:trPr>
        <w:tc>
          <w:tcPr>
            <w:tcW w:w="592" w:type="dxa"/>
            <w:vMerge w:val="continue"/>
            <w:tcBorders>
              <w:top w:val="nil"/>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cs="Times New Roman"/>
                <w:sz w:val="20"/>
                <w:szCs w:val="20"/>
              </w:rPr>
            </w:pPr>
          </w:p>
        </w:tc>
        <w:tc>
          <w:tcPr>
            <w:tcW w:w="1468" w:type="dxa"/>
            <w:vMerge w:val="continue"/>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cs="Times New Roman"/>
                <w:sz w:val="20"/>
                <w:szCs w:val="20"/>
              </w:rPr>
            </w:pPr>
          </w:p>
        </w:tc>
        <w:tc>
          <w:tcPr>
            <w:tcW w:w="2741"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cs="Times New Roman"/>
                <w:sz w:val="21"/>
                <w:szCs w:val="21"/>
              </w:rPr>
            </w:pPr>
            <w:r>
              <w:rPr>
                <w:rFonts w:hint="eastAsia" w:ascii="宋体" w:hAnsi="宋体" w:eastAsia="宋体" w:cs="宋体"/>
                <w:sz w:val="21"/>
                <w:szCs w:val="21"/>
              </w:rPr>
              <w:t>5.要求行政机关确认或重新出具已获取信息</w:t>
            </w:r>
          </w:p>
        </w:tc>
        <w:tc>
          <w:tcPr>
            <w:tcW w:w="705"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70"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70"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55"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70"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25"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468"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94" w:hRule="atLeast"/>
          <w:jc w:val="center"/>
        </w:trPr>
        <w:tc>
          <w:tcPr>
            <w:tcW w:w="592" w:type="dxa"/>
            <w:vMerge w:val="continue"/>
            <w:tcBorders>
              <w:top w:val="nil"/>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cs="Times New Roman"/>
                <w:sz w:val="20"/>
                <w:szCs w:val="20"/>
              </w:rPr>
            </w:pPr>
          </w:p>
        </w:tc>
        <w:tc>
          <w:tcPr>
            <w:tcW w:w="4209" w:type="dxa"/>
            <w:gridSpan w:val="2"/>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cs="Times New Roman"/>
                <w:sz w:val="21"/>
                <w:szCs w:val="21"/>
              </w:rPr>
            </w:pPr>
            <w:r>
              <w:rPr>
                <w:rFonts w:hint="eastAsia" w:ascii="宋体" w:hAnsi="宋体" w:eastAsia="宋体" w:cs="宋体"/>
                <w:sz w:val="21"/>
                <w:szCs w:val="21"/>
              </w:rPr>
              <w:t>（六）其他处理</w:t>
            </w:r>
          </w:p>
        </w:tc>
        <w:tc>
          <w:tcPr>
            <w:tcW w:w="705"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70"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70"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55"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70"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25"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468"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78" w:hRule="atLeast"/>
          <w:jc w:val="center"/>
        </w:trPr>
        <w:tc>
          <w:tcPr>
            <w:tcW w:w="592" w:type="dxa"/>
            <w:vMerge w:val="continue"/>
            <w:tcBorders>
              <w:top w:val="nil"/>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cs="Times New Roman"/>
                <w:sz w:val="20"/>
                <w:szCs w:val="20"/>
              </w:rPr>
            </w:pPr>
          </w:p>
        </w:tc>
        <w:tc>
          <w:tcPr>
            <w:tcW w:w="4209" w:type="dxa"/>
            <w:gridSpan w:val="2"/>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cs="Times New Roman"/>
                <w:sz w:val="21"/>
                <w:szCs w:val="21"/>
              </w:rPr>
            </w:pPr>
            <w:r>
              <w:rPr>
                <w:rFonts w:hint="eastAsia" w:ascii="宋体" w:hAnsi="宋体" w:eastAsia="宋体" w:cs="宋体"/>
                <w:sz w:val="21"/>
                <w:szCs w:val="21"/>
              </w:rPr>
              <w:t>（七）总计</w:t>
            </w:r>
          </w:p>
        </w:tc>
        <w:tc>
          <w:tcPr>
            <w:tcW w:w="705"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70"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70"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55"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70"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25"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468"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18" w:hRule="atLeast"/>
          <w:jc w:val="center"/>
        </w:trPr>
        <w:tc>
          <w:tcPr>
            <w:tcW w:w="4801" w:type="dxa"/>
            <w:gridSpan w:val="3"/>
            <w:tcBorders>
              <w:top w:val="nil"/>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ascii="Times New Roman" w:hAnsi="Times New Roman" w:cs="Times New Roman"/>
                <w:sz w:val="21"/>
                <w:szCs w:val="21"/>
              </w:rPr>
            </w:pPr>
            <w:r>
              <w:rPr>
                <w:rFonts w:hint="eastAsia" w:ascii="宋体" w:hAnsi="宋体" w:eastAsia="宋体" w:cs="宋体"/>
                <w:sz w:val="21"/>
                <w:szCs w:val="21"/>
              </w:rPr>
              <w:t>四、结转下年度继续办理</w:t>
            </w:r>
          </w:p>
        </w:tc>
        <w:tc>
          <w:tcPr>
            <w:tcW w:w="705"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70"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70"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55"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70"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25"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468" w:type="dxa"/>
            <w:tcBorders>
              <w:top w:val="nil"/>
              <w:left w:val="nil"/>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default" w:ascii="Times New Roman" w:hAnsi="Times New Roman" w:cs="Times New Roman"/>
          <w:sz w:val="21"/>
          <w:szCs w:val="21"/>
        </w:rPr>
      </w:pPr>
      <w:r>
        <w:rPr>
          <w:rFonts w:hint="default" w:ascii="Times New Roman" w:hAnsi="Times New Roman" w:eastAsia="微软雅黑" w:cs="Times New Roman"/>
          <w:i w:val="0"/>
          <w:caps w:val="0"/>
          <w:color w:val="000000"/>
          <w:spacing w:val="0"/>
          <w:sz w:val="21"/>
          <w:szCs w:val="21"/>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sz w:val="21"/>
          <w:szCs w:val="21"/>
        </w:rPr>
      </w:pPr>
      <w:r>
        <w:rPr>
          <w:rFonts w:hint="eastAsia" w:ascii="黑体" w:hAnsi="宋体" w:eastAsia="黑体" w:cs="黑体"/>
          <w:i w:val="0"/>
          <w:caps w:val="0"/>
          <w:color w:val="000000"/>
          <w:spacing w:val="0"/>
          <w:sz w:val="32"/>
          <w:szCs w:val="32"/>
        </w:rPr>
        <w:t>四、政府信息公开行政复议、行政诉讼情况</w:t>
      </w:r>
    </w:p>
    <w:tbl>
      <w:tblPr>
        <w:tblStyle w:val="6"/>
        <w:tblW w:w="8472" w:type="dxa"/>
        <w:jc w:val="center"/>
        <w:shd w:val="clear" w:color="auto" w:fill="auto"/>
        <w:tblLayout w:type="autofit"/>
        <w:tblCellMar>
          <w:top w:w="15" w:type="dxa"/>
          <w:left w:w="15" w:type="dxa"/>
          <w:bottom w:w="15" w:type="dxa"/>
          <w:right w:w="15" w:type="dxa"/>
        </w:tblCellMar>
      </w:tblPr>
      <w:tblGrid>
        <w:gridCol w:w="566"/>
        <w:gridCol w:w="525"/>
        <w:gridCol w:w="570"/>
        <w:gridCol w:w="495"/>
        <w:gridCol w:w="675"/>
        <w:gridCol w:w="629"/>
        <w:gridCol w:w="585"/>
        <w:gridCol w:w="540"/>
        <w:gridCol w:w="541"/>
        <w:gridCol w:w="510"/>
        <w:gridCol w:w="615"/>
        <w:gridCol w:w="615"/>
        <w:gridCol w:w="630"/>
        <w:gridCol w:w="525"/>
        <w:gridCol w:w="451"/>
      </w:tblGrid>
      <w:tr>
        <w:trPr>
          <w:trHeight w:val="461" w:hRule="atLeast"/>
          <w:jc w:val="center"/>
        </w:trPr>
        <w:tc>
          <w:tcPr>
            <w:tcW w:w="2831" w:type="dxa"/>
            <w:gridSpan w:val="5"/>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行政复议</w:t>
            </w:r>
          </w:p>
        </w:tc>
        <w:tc>
          <w:tcPr>
            <w:tcW w:w="5641" w:type="dxa"/>
            <w:gridSpan w:val="10"/>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行政诉讼</w:t>
            </w:r>
          </w:p>
        </w:tc>
      </w:tr>
      <w:tr>
        <w:tblPrEx>
          <w:shd w:val="clear" w:color="auto" w:fill="auto"/>
          <w:tblCellMar>
            <w:top w:w="15" w:type="dxa"/>
            <w:left w:w="15" w:type="dxa"/>
            <w:bottom w:w="15" w:type="dxa"/>
            <w:right w:w="15" w:type="dxa"/>
          </w:tblCellMar>
        </w:tblPrEx>
        <w:trPr>
          <w:trHeight w:val="461" w:hRule="atLeast"/>
          <w:jc w:val="center"/>
        </w:trPr>
        <w:tc>
          <w:tcPr>
            <w:tcW w:w="566" w:type="dxa"/>
            <w:vMerge w:val="restart"/>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结果维持</w:t>
            </w:r>
          </w:p>
        </w:tc>
        <w:tc>
          <w:tcPr>
            <w:tcW w:w="525" w:type="dxa"/>
            <w:vMerge w:val="restart"/>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结果纠正</w:t>
            </w:r>
          </w:p>
        </w:tc>
        <w:tc>
          <w:tcPr>
            <w:tcW w:w="570" w:type="dxa"/>
            <w:vMerge w:val="restart"/>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其他结果</w:t>
            </w:r>
          </w:p>
        </w:tc>
        <w:tc>
          <w:tcPr>
            <w:tcW w:w="495" w:type="dxa"/>
            <w:vMerge w:val="restart"/>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尚未审结</w:t>
            </w:r>
          </w:p>
        </w:tc>
        <w:tc>
          <w:tcPr>
            <w:tcW w:w="675" w:type="dxa"/>
            <w:vMerge w:val="restart"/>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总计</w:t>
            </w:r>
          </w:p>
        </w:tc>
        <w:tc>
          <w:tcPr>
            <w:tcW w:w="2805" w:type="dxa"/>
            <w:gridSpan w:val="5"/>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未经复议直接起诉</w:t>
            </w:r>
          </w:p>
        </w:tc>
        <w:tc>
          <w:tcPr>
            <w:tcW w:w="2836" w:type="dxa"/>
            <w:gridSpan w:val="5"/>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复议后起诉</w:t>
            </w:r>
          </w:p>
        </w:tc>
      </w:tr>
      <w:tr>
        <w:trPr>
          <w:trHeight w:val="850" w:hRule="atLeast"/>
          <w:jc w:val="center"/>
        </w:trPr>
        <w:tc>
          <w:tcPr>
            <w:tcW w:w="566" w:type="dxa"/>
            <w:vMerge w:val="continue"/>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cs="Times New Roman"/>
                <w:sz w:val="20"/>
                <w:szCs w:val="20"/>
              </w:rPr>
            </w:pPr>
          </w:p>
        </w:tc>
        <w:tc>
          <w:tcPr>
            <w:tcW w:w="525" w:type="dxa"/>
            <w:vMerge w:val="continue"/>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cs="Times New Roman"/>
                <w:sz w:val="20"/>
                <w:szCs w:val="20"/>
              </w:rPr>
            </w:pPr>
          </w:p>
        </w:tc>
        <w:tc>
          <w:tcPr>
            <w:tcW w:w="570" w:type="dxa"/>
            <w:vMerge w:val="continue"/>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cs="Times New Roman"/>
                <w:sz w:val="20"/>
                <w:szCs w:val="20"/>
              </w:rPr>
            </w:pPr>
          </w:p>
        </w:tc>
        <w:tc>
          <w:tcPr>
            <w:tcW w:w="495" w:type="dxa"/>
            <w:vMerge w:val="continue"/>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cs="Times New Roman"/>
                <w:sz w:val="20"/>
                <w:szCs w:val="20"/>
              </w:rPr>
            </w:pPr>
          </w:p>
        </w:tc>
        <w:tc>
          <w:tcPr>
            <w:tcW w:w="675" w:type="dxa"/>
            <w:vMerge w:val="continue"/>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cs="Times New Roman"/>
                <w:sz w:val="20"/>
                <w:szCs w:val="20"/>
              </w:rPr>
            </w:pPr>
          </w:p>
        </w:tc>
        <w:tc>
          <w:tcPr>
            <w:tcW w:w="629"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结果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维持</w:t>
            </w:r>
          </w:p>
        </w:tc>
        <w:tc>
          <w:tcPr>
            <w:tcW w:w="585"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结果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纠正</w:t>
            </w:r>
          </w:p>
        </w:tc>
        <w:tc>
          <w:tcPr>
            <w:tcW w:w="540"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其他结果</w:t>
            </w:r>
          </w:p>
        </w:tc>
        <w:tc>
          <w:tcPr>
            <w:tcW w:w="541"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尚未审结</w:t>
            </w:r>
          </w:p>
        </w:tc>
        <w:tc>
          <w:tcPr>
            <w:tcW w:w="510"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总计</w:t>
            </w:r>
          </w:p>
        </w:tc>
        <w:tc>
          <w:tcPr>
            <w:tcW w:w="615"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结果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维持</w:t>
            </w:r>
          </w:p>
        </w:tc>
        <w:tc>
          <w:tcPr>
            <w:tcW w:w="615"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结果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纠正</w:t>
            </w:r>
          </w:p>
        </w:tc>
        <w:tc>
          <w:tcPr>
            <w:tcW w:w="630"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其他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结果</w:t>
            </w:r>
          </w:p>
        </w:tc>
        <w:tc>
          <w:tcPr>
            <w:tcW w:w="525"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尚未审结</w:t>
            </w:r>
          </w:p>
        </w:tc>
        <w:tc>
          <w:tcPr>
            <w:tcW w:w="451" w:type="dxa"/>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总计</w:t>
            </w:r>
          </w:p>
        </w:tc>
      </w:tr>
      <w:tr>
        <w:tblPrEx>
          <w:shd w:val="clear" w:color="auto" w:fill="auto"/>
          <w:tblCellMar>
            <w:top w:w="15" w:type="dxa"/>
            <w:left w:w="15" w:type="dxa"/>
            <w:bottom w:w="15" w:type="dxa"/>
            <w:right w:w="15" w:type="dxa"/>
          </w:tblCellMar>
        </w:tblPrEx>
        <w:trPr>
          <w:trHeight w:val="516" w:hRule="atLeast"/>
          <w:jc w:val="center"/>
        </w:trPr>
        <w:tc>
          <w:tcPr>
            <w:tcW w:w="566" w:type="dxa"/>
            <w:tcBorders>
              <w:top w:val="single" w:color="auto" w:sz="8" w:space="0"/>
              <w:left w:val="single" w:color="auto" w:sz="8" w:space="0"/>
              <w:bottom w:val="single" w:color="auto" w:sz="8" w:space="0"/>
              <w:right w:val="nil"/>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25" w:type="dxa"/>
            <w:tcBorders>
              <w:top w:val="single" w:color="auto" w:sz="8" w:space="0"/>
              <w:left w:val="single" w:color="auto" w:sz="8" w:space="0"/>
              <w:bottom w:val="single" w:color="auto" w:sz="8" w:space="0"/>
              <w:right w:val="nil"/>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70" w:type="dxa"/>
            <w:tcBorders>
              <w:top w:val="single" w:color="auto" w:sz="8" w:space="0"/>
              <w:left w:val="single" w:color="auto" w:sz="8" w:space="0"/>
              <w:bottom w:val="single" w:color="auto" w:sz="8" w:space="0"/>
              <w:right w:val="nil"/>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495" w:type="dxa"/>
            <w:tcBorders>
              <w:top w:val="single" w:color="auto" w:sz="8" w:space="0"/>
              <w:left w:val="single" w:color="auto" w:sz="8" w:space="0"/>
              <w:bottom w:val="single" w:color="auto" w:sz="8" w:space="0"/>
              <w:right w:val="nil"/>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675" w:type="dxa"/>
            <w:tcBorders>
              <w:top w:val="single" w:color="auto" w:sz="8" w:space="0"/>
              <w:left w:val="single" w:color="auto" w:sz="8" w:space="0"/>
              <w:bottom w:val="single" w:color="auto" w:sz="8" w:space="0"/>
              <w:right w:val="nil"/>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629" w:type="dxa"/>
            <w:tcBorders>
              <w:top w:val="single" w:color="auto" w:sz="8" w:space="0"/>
              <w:left w:val="single" w:color="auto" w:sz="8" w:space="0"/>
              <w:bottom w:val="single" w:color="auto" w:sz="8" w:space="0"/>
              <w:right w:val="nil"/>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85" w:type="dxa"/>
            <w:tcBorders>
              <w:top w:val="single" w:color="auto" w:sz="8" w:space="0"/>
              <w:left w:val="single" w:color="auto" w:sz="8" w:space="0"/>
              <w:bottom w:val="single" w:color="auto" w:sz="8" w:space="0"/>
              <w:right w:val="nil"/>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40" w:type="dxa"/>
            <w:tcBorders>
              <w:top w:val="single" w:color="auto" w:sz="8" w:space="0"/>
              <w:left w:val="single" w:color="auto" w:sz="8" w:space="0"/>
              <w:bottom w:val="single" w:color="auto" w:sz="8" w:space="0"/>
              <w:right w:val="nil"/>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41" w:type="dxa"/>
            <w:tcBorders>
              <w:top w:val="single" w:color="auto" w:sz="8" w:space="0"/>
              <w:left w:val="single" w:color="auto" w:sz="8" w:space="0"/>
              <w:bottom w:val="single" w:color="auto" w:sz="8" w:space="0"/>
              <w:right w:val="nil"/>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10" w:type="dxa"/>
            <w:tcBorders>
              <w:top w:val="single" w:color="auto" w:sz="8" w:space="0"/>
              <w:left w:val="single" w:color="auto" w:sz="8" w:space="0"/>
              <w:bottom w:val="single" w:color="auto" w:sz="8" w:space="0"/>
              <w:right w:val="nil"/>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615" w:type="dxa"/>
            <w:tcBorders>
              <w:top w:val="single" w:color="auto" w:sz="8" w:space="0"/>
              <w:left w:val="single" w:color="auto" w:sz="8" w:space="0"/>
              <w:bottom w:val="single" w:color="auto" w:sz="8" w:space="0"/>
              <w:right w:val="nil"/>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615" w:type="dxa"/>
            <w:tcBorders>
              <w:top w:val="single" w:color="auto" w:sz="8" w:space="0"/>
              <w:left w:val="single" w:color="auto" w:sz="8" w:space="0"/>
              <w:bottom w:val="single" w:color="auto" w:sz="8" w:space="0"/>
              <w:right w:val="nil"/>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630" w:type="dxa"/>
            <w:tcBorders>
              <w:top w:val="single" w:color="auto" w:sz="8" w:space="0"/>
              <w:left w:val="single" w:color="auto" w:sz="8" w:space="0"/>
              <w:bottom w:val="single" w:color="auto" w:sz="8" w:space="0"/>
              <w:right w:val="nil"/>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525" w:type="dxa"/>
            <w:tcBorders>
              <w:top w:val="single" w:color="auto" w:sz="8" w:space="0"/>
              <w:left w:val="single" w:color="auto" w:sz="8" w:space="0"/>
              <w:bottom w:val="single" w:color="auto" w:sz="8" w:space="0"/>
              <w:right w:val="nil"/>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c>
          <w:tcPr>
            <w:tcW w:w="451" w:type="dxa"/>
            <w:tcBorders>
              <w:top w:val="single" w:color="auto" w:sz="8" w:space="0"/>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cs="Times New Roman"/>
                <w:sz w:val="21"/>
                <w:szCs w:val="21"/>
              </w:rPr>
            </w:pPr>
            <w:r>
              <w:rPr>
                <w:rFonts w:hint="eastAsia" w:ascii="宋体" w:hAnsi="宋体" w:eastAsia="宋体" w:cs="宋体"/>
                <w:sz w:val="18"/>
                <w:szCs w:val="18"/>
              </w:rPr>
              <w:t>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default" w:ascii="Times New Roman" w:hAnsi="Times New Roman" w:cs="Times New Roman"/>
          <w:sz w:val="21"/>
          <w:szCs w:val="21"/>
        </w:rPr>
      </w:pPr>
      <w:r>
        <w:rPr>
          <w:rFonts w:hint="eastAsia" w:ascii="宋体" w:hAnsi="宋体" w:eastAsia="宋体" w:cs="宋体"/>
          <w:i w:val="0"/>
          <w:caps w:val="0"/>
          <w:color w:val="000000"/>
          <w:spacing w:val="0"/>
          <w:sz w:val="18"/>
          <w:szCs w:val="18"/>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Times New Roman" w:hAnsi="Times New Roman" w:cs="Times New Roman"/>
          <w:sz w:val="21"/>
          <w:szCs w:val="21"/>
        </w:rPr>
      </w:pPr>
      <w:r>
        <w:rPr>
          <w:rFonts w:hint="eastAsia" w:ascii="黑体" w:hAnsi="宋体" w:eastAsia="黑体" w:cs="黑体"/>
          <w:i w:val="0"/>
          <w:caps w:val="0"/>
          <w:color w:val="000000"/>
          <w:spacing w:val="0"/>
          <w:sz w:val="32"/>
          <w:szCs w:val="32"/>
        </w:rPr>
        <w:t>五、存在的主要问题及改进情况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eastAsia" w:ascii="宋体" w:hAnsi="宋体" w:eastAsia="宋体" w:cs="宋体"/>
          <w:sz w:val="28"/>
          <w:szCs w:val="28"/>
        </w:rPr>
      </w:pPr>
      <w:r>
        <w:rPr>
          <w:rFonts w:hint="default" w:ascii="仿宋_GB2312" w:hAnsi="Times New Roman" w:eastAsia="仿宋_GB2312" w:cs="仿宋_GB2312"/>
          <w:i w:val="0"/>
          <w:caps w:val="0"/>
          <w:color w:val="000000"/>
          <w:spacing w:val="0"/>
          <w:sz w:val="32"/>
          <w:szCs w:val="32"/>
        </w:rPr>
        <w:t>20</w:t>
      </w:r>
      <w:r>
        <w:rPr>
          <w:rFonts w:hint="eastAsia" w:ascii="仿宋_GB2312" w:hAnsi="Times New Roman" w:eastAsia="仿宋_GB2312" w:cs="仿宋_GB2312"/>
          <w:i w:val="0"/>
          <w:caps w:val="0"/>
          <w:color w:val="000000"/>
          <w:spacing w:val="0"/>
          <w:sz w:val="32"/>
          <w:szCs w:val="32"/>
          <w:lang w:val="en-US" w:eastAsia="zh-CN"/>
        </w:rPr>
        <w:t>20</w:t>
      </w:r>
      <w:r>
        <w:rPr>
          <w:rFonts w:hint="default" w:ascii="仿宋_GB2312" w:hAnsi="Times New Roman" w:eastAsia="仿宋_GB2312" w:cs="仿宋_GB2312"/>
          <w:i w:val="0"/>
          <w:caps w:val="0"/>
          <w:color w:val="000000"/>
          <w:spacing w:val="0"/>
          <w:sz w:val="32"/>
          <w:szCs w:val="32"/>
        </w:rPr>
        <w:t>年，我局在部门信息公开工作取得了一定成效，</w:t>
      </w:r>
      <w:r>
        <w:rPr>
          <w:rFonts w:hint="eastAsia" w:ascii="仿宋_GB2312" w:hAnsi="Times New Roman" w:eastAsia="仿宋_GB2312" w:cs="仿宋_GB2312"/>
          <w:i w:val="0"/>
          <w:caps w:val="0"/>
          <w:color w:val="000000"/>
          <w:spacing w:val="0"/>
          <w:sz w:val="32"/>
          <w:szCs w:val="32"/>
          <w:lang w:eastAsia="zh-CN"/>
        </w:rPr>
        <w:t>但我局</w:t>
      </w:r>
      <w:r>
        <w:rPr>
          <w:rFonts w:ascii="仿宋_GB2312" w:hAnsi="宋体" w:eastAsia="仿宋_GB2312" w:cs="仿宋_GB2312"/>
          <w:i w:val="0"/>
          <w:caps w:val="0"/>
          <w:color w:val="000000"/>
          <w:spacing w:val="0"/>
          <w:sz w:val="32"/>
          <w:szCs w:val="32"/>
          <w:shd w:val="clear" w:fill="FFFFFF"/>
        </w:rPr>
        <w:t>政府信息公开在公开的形式</w:t>
      </w:r>
      <w:r>
        <w:rPr>
          <w:rFonts w:hint="eastAsia" w:ascii="仿宋_GB2312" w:hAnsi="宋体" w:eastAsia="仿宋_GB2312" w:cs="仿宋_GB2312"/>
          <w:i w:val="0"/>
          <w:caps w:val="0"/>
          <w:color w:val="000000"/>
          <w:spacing w:val="0"/>
          <w:sz w:val="32"/>
          <w:szCs w:val="32"/>
          <w:shd w:val="clear" w:fill="FFFFFF"/>
          <w:lang w:val="en-US" w:eastAsia="zh-CN"/>
        </w:rPr>
        <w:t>较单一，</w:t>
      </w:r>
      <w:r>
        <w:rPr>
          <w:rFonts w:ascii="仿宋_GB2312" w:hAnsi="宋体" w:eastAsia="仿宋_GB2312" w:cs="仿宋_GB2312"/>
          <w:i w:val="0"/>
          <w:caps w:val="0"/>
          <w:color w:val="000000"/>
          <w:spacing w:val="0"/>
          <w:sz w:val="32"/>
          <w:szCs w:val="32"/>
          <w:shd w:val="clear" w:fill="FFFFFF"/>
        </w:rPr>
        <w:t>范围还有待加强。</w:t>
      </w:r>
      <w:r>
        <w:rPr>
          <w:rFonts w:hint="eastAsia" w:ascii="仿宋_GB2312" w:hAnsi="宋体" w:eastAsia="仿宋_GB2312" w:cs="仿宋_GB2312"/>
          <w:i w:val="0"/>
          <w:caps w:val="0"/>
          <w:color w:val="000000"/>
          <w:spacing w:val="0"/>
          <w:sz w:val="32"/>
          <w:szCs w:val="32"/>
          <w:shd w:val="clear" w:fill="FFFFFF"/>
          <w:lang w:val="en-US" w:eastAsia="zh-CN"/>
        </w:rPr>
        <w:t>具体表现为两方面：一是仅通过政府网站和微信公众号公开，未建立更多链接到群众身边的渠道</w:t>
      </w:r>
      <w:r>
        <w:rPr>
          <w:rFonts w:hint="eastAsia" w:ascii="仿宋_GB2312" w:hAnsi="宋体" w:eastAsia="仿宋_GB2312" w:cs="仿宋_GB2312"/>
          <w:i w:val="0"/>
          <w:caps w:val="0"/>
          <w:color w:val="000000"/>
          <w:spacing w:val="0"/>
          <w:sz w:val="32"/>
          <w:szCs w:val="32"/>
          <w:shd w:val="clear" w:fill="FFFFFF"/>
          <w:lang w:eastAsia="zh-CN"/>
        </w:rPr>
        <w:t>；</w:t>
      </w:r>
      <w:r>
        <w:rPr>
          <w:rFonts w:hint="eastAsia" w:ascii="仿宋_GB2312" w:hAnsi="宋体" w:eastAsia="仿宋_GB2312" w:cs="仿宋_GB2312"/>
          <w:i w:val="0"/>
          <w:caps w:val="0"/>
          <w:color w:val="000000"/>
          <w:spacing w:val="0"/>
          <w:sz w:val="32"/>
          <w:szCs w:val="32"/>
          <w:shd w:val="clear" w:fill="FFFFFF"/>
          <w:lang w:val="en-US" w:eastAsia="zh-CN"/>
        </w:rPr>
        <w:t>二是有关水利系统的政策解读性文件未及时予以宣传。2021年，</w:t>
      </w:r>
      <w:r>
        <w:rPr>
          <w:rFonts w:ascii="仿宋_GB2312" w:hAnsi="宋体" w:eastAsia="仿宋_GB2312" w:cs="仿宋_GB2312"/>
          <w:i w:val="0"/>
          <w:caps w:val="0"/>
          <w:color w:val="000000"/>
          <w:spacing w:val="0"/>
          <w:sz w:val="32"/>
          <w:szCs w:val="32"/>
          <w:shd w:val="clear" w:fill="FFFFFF"/>
        </w:rPr>
        <w:t>我</w:t>
      </w:r>
      <w:r>
        <w:rPr>
          <w:rFonts w:hint="eastAsia" w:ascii="仿宋_GB2312" w:hAnsi="宋体" w:eastAsia="仿宋_GB2312" w:cs="仿宋_GB2312"/>
          <w:i w:val="0"/>
          <w:caps w:val="0"/>
          <w:color w:val="000000"/>
          <w:spacing w:val="0"/>
          <w:sz w:val="32"/>
          <w:szCs w:val="32"/>
          <w:shd w:val="clear" w:fill="FFFFFF"/>
          <w:lang w:eastAsia="zh-CN"/>
        </w:rPr>
        <w:t>局</w:t>
      </w:r>
      <w:r>
        <w:rPr>
          <w:rFonts w:ascii="仿宋_GB2312" w:hAnsi="宋体" w:eastAsia="仿宋_GB2312" w:cs="仿宋_GB2312"/>
          <w:i w:val="0"/>
          <w:caps w:val="0"/>
          <w:color w:val="000000"/>
          <w:spacing w:val="0"/>
          <w:sz w:val="32"/>
          <w:szCs w:val="32"/>
          <w:shd w:val="clear" w:fill="FFFFFF"/>
        </w:rPr>
        <w:t>将继续加大政务信息公开工作力度，及时发布和更新信息，充实信息公开内容，突出重点、热点和难点问题，</w:t>
      </w:r>
      <w:r>
        <w:rPr>
          <w:rFonts w:hint="default" w:ascii="仿宋_GB2312" w:hAnsi="宋体" w:eastAsia="仿宋_GB2312" w:cs="仿宋_GB2312"/>
          <w:i w:val="0"/>
          <w:caps w:val="0"/>
          <w:color w:val="000000"/>
          <w:spacing w:val="0"/>
          <w:sz w:val="32"/>
          <w:szCs w:val="32"/>
        </w:rPr>
        <w:t>不断提升工作服务水平和效率。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78"/>
        <w:jc w:val="both"/>
        <w:textAlignment w:val="auto"/>
        <w:rPr>
          <w:rFonts w:hint="eastAsia" w:ascii="宋体" w:hAnsi="宋体" w:eastAsia="宋体" w:cs="宋体"/>
          <w:sz w:val="28"/>
          <w:szCs w:val="28"/>
        </w:rPr>
      </w:pPr>
      <w:r>
        <w:rPr>
          <w:rFonts w:hint="eastAsia" w:ascii="黑体" w:hAnsi="宋体" w:eastAsia="黑体" w:cs="黑体"/>
          <w:i w:val="0"/>
          <w:caps w:val="0"/>
          <w:color w:val="000000"/>
          <w:spacing w:val="0"/>
          <w:sz w:val="32"/>
          <w:szCs w:val="32"/>
        </w:rPr>
        <w:t>六、无其他需要报告的事项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eastAsia" w:ascii="宋体" w:hAnsi="宋体" w:eastAsia="宋体" w:cs="宋体"/>
          <w:i w:val="0"/>
          <w:caps w:val="0"/>
          <w:color w:val="333333"/>
          <w:spacing w:val="0"/>
          <w:sz w:val="27"/>
          <w:szCs w:val="27"/>
          <w:shd w:val="clear"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eastAsia" w:ascii="宋体" w:hAnsi="宋体" w:eastAsia="宋体" w:cs="宋体"/>
          <w:i w:val="0"/>
          <w:caps w:val="0"/>
          <w:color w:val="333333"/>
          <w:spacing w:val="0"/>
          <w:sz w:val="27"/>
          <w:szCs w:val="27"/>
          <w:shd w:val="clear"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78"/>
        <w:jc w:val="both"/>
        <w:textAlignment w:val="auto"/>
        <w:rPr>
          <w:rFonts w:hint="default" w:ascii="仿宋_GB2312" w:hAnsi="宋体" w:eastAsia="仿宋_GB2312" w:cs="仿宋_GB2312"/>
          <w:i w:val="0"/>
          <w:caps w:val="0"/>
          <w:color w:val="000000"/>
          <w:spacing w:val="0"/>
          <w:sz w:val="32"/>
          <w:szCs w:val="32"/>
          <w:lang w:val="en-US" w:eastAsia="zh-CN"/>
        </w:rPr>
      </w:pPr>
      <w:r>
        <w:rPr>
          <w:rFonts w:hint="eastAsia" w:ascii="宋体" w:hAnsi="宋体" w:eastAsia="宋体" w:cs="宋体"/>
          <w:i w:val="0"/>
          <w:caps w:val="0"/>
          <w:color w:val="333333"/>
          <w:spacing w:val="0"/>
          <w:sz w:val="27"/>
          <w:szCs w:val="27"/>
          <w:shd w:val="clear" w:fill="FFFFFF"/>
          <w:lang w:val="en-US" w:eastAsia="zh-CN"/>
        </w:rPr>
        <w:t xml:space="preserve">                                </w:t>
      </w:r>
      <w:r>
        <w:rPr>
          <w:rFonts w:hint="eastAsia" w:ascii="仿宋_GB2312" w:hAnsi="宋体" w:eastAsia="仿宋_GB2312" w:cs="仿宋_GB2312"/>
          <w:i w:val="0"/>
          <w:caps w:val="0"/>
          <w:color w:val="000000"/>
          <w:spacing w:val="0"/>
          <w:sz w:val="32"/>
          <w:szCs w:val="32"/>
          <w:lang w:val="en-US" w:eastAsia="zh-CN"/>
        </w:rPr>
        <w:t>铜川市耀州区水务局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78"/>
        <w:jc w:val="both"/>
        <w:textAlignment w:val="auto"/>
        <w:rPr>
          <w:rFonts w:hint="default" w:ascii="仿宋_GB2312" w:hAnsi="宋体" w:eastAsia="仿宋_GB2312" w:cs="仿宋_GB2312"/>
          <w:i w:val="0"/>
          <w:caps w:val="0"/>
          <w:color w:val="000000"/>
          <w:spacing w:val="0"/>
          <w:sz w:val="32"/>
          <w:szCs w:val="32"/>
          <w:lang w:val="en-US" w:eastAsia="zh-CN"/>
        </w:rPr>
      </w:pPr>
      <w:r>
        <w:rPr>
          <w:rFonts w:hint="eastAsia" w:ascii="仿宋_GB2312" w:hAnsi="宋体" w:eastAsia="仿宋_GB2312" w:cs="仿宋_GB2312"/>
          <w:i w:val="0"/>
          <w:caps w:val="0"/>
          <w:color w:val="000000"/>
          <w:spacing w:val="0"/>
          <w:sz w:val="32"/>
          <w:szCs w:val="32"/>
          <w:lang w:val="en-US" w:eastAsia="zh-CN"/>
        </w:rPr>
        <w:t xml:space="preserve">                             2021年1月20日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长城小标宋体">
    <w:altName w:val="微软雅黑"/>
    <w:panose1 w:val="02010609010101010101"/>
    <w:charset w:val="86"/>
    <w:family w:val="modern"/>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03012A"/>
    <w:rsid w:val="01035E02"/>
    <w:rsid w:val="04B400A6"/>
    <w:rsid w:val="0BF9768B"/>
    <w:rsid w:val="178B3D6E"/>
    <w:rsid w:val="17A441F4"/>
    <w:rsid w:val="1F281FB6"/>
    <w:rsid w:val="2AC62C21"/>
    <w:rsid w:val="3303012A"/>
    <w:rsid w:val="39FF73F4"/>
    <w:rsid w:val="41E053F2"/>
    <w:rsid w:val="42A07FD8"/>
    <w:rsid w:val="497B0FC6"/>
    <w:rsid w:val="516B3EAC"/>
    <w:rsid w:val="520F5B96"/>
    <w:rsid w:val="537620F2"/>
    <w:rsid w:val="53DD1146"/>
    <w:rsid w:val="54133873"/>
    <w:rsid w:val="573F1DC9"/>
    <w:rsid w:val="60D17672"/>
    <w:rsid w:val="78D81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624" w:afterLines="200" w:line="760" w:lineRule="exact"/>
      <w:jc w:val="center"/>
    </w:pPr>
    <w:rPr>
      <w:rFonts w:ascii="长城小标宋体" w:eastAsia="长城小标宋体"/>
      <w:sz w:val="4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2021-01-19T08:18:00Z</dcterms:created>
  <dc:creator>奚</dc:creator>
  <cp:lastModifiedBy>晓风飞扬</cp:lastModifiedBy>
  <cp:lastPrinted>2021-01-25T03:57:00Z</cp:lastPrinted>
  <dcterms:modified xsi:type="dcterms:W3CDTF">2021-01-26T09:50:03Z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