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铜川市耀州区审计局</w:t>
      </w:r>
    </w:p>
    <w:p>
      <w:pPr>
        <w:keepNext w:val="0"/>
        <w:keepLines w:val="0"/>
        <w:pageBreakBefore w:val="0"/>
        <w:widowControl w:val="0"/>
        <w:kinsoku/>
        <w:wordWrap/>
        <w:overflowPunct/>
        <w:topLinePunct w:val="0"/>
        <w:autoSpaceDE/>
        <w:autoSpaceDN/>
        <w:bidi w:val="0"/>
        <w:adjustRightInd/>
        <w:snapToGrid/>
        <w:spacing w:after="160" w:afterLines="50" w:line="640" w:lineRule="exact"/>
        <w:jc w:val="center"/>
        <w:textAlignment w:val="auto"/>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2020年</w:t>
      </w:r>
      <w:r>
        <w:rPr>
          <w:rFonts w:hint="default" w:ascii="Times New Roman" w:hAnsi="Times New Roman" w:eastAsia="方正小标宋简体" w:cs="Times New Roman"/>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根据《中华人民共和国政府信息公开条例》（以下简称《条例》）规定，现公布《铜川市耀州区审计局20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eastAsia="zh-CN"/>
        </w:rPr>
        <w:t>年政府信息公开工作报告》。本报告中所列数据的统计期限自20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eastAsia="zh-CN"/>
        </w:rPr>
        <w:t>年1月1日起，至20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eastAsia="zh-CN"/>
        </w:rPr>
        <w:t>年12月31日止。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bookmarkStart w:id="0" w:name="bookmark28"/>
      <w:r>
        <w:rPr>
          <w:rFonts w:hint="eastAsia" w:ascii="楷体_GB2312" w:hAnsi="楷体_GB2312" w:eastAsia="楷体_GB2312" w:cs="楷体_GB2312"/>
          <w:sz w:val="32"/>
          <w:szCs w:val="32"/>
          <w:lang w:val="en-US" w:eastAsia="zh-CN"/>
        </w:rPr>
        <w:t>（一）概述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val="zh-CN" w:eastAsia="zh-CN"/>
        </w:rPr>
        <w:t>年，耀州区审计局紧紧围绕区委和区政府中心工作，严格按照省市政务公开工作的要求，深入贯彻中共中央办公厅、国务院办公厅《关于全面推进政务公开工作的意见》及《条例》，认真开展政府信息公开工作，对社会关注、群众关心的重点热点内容进行公开</w:t>
      </w:r>
      <w:r>
        <w:rPr>
          <w:rFonts w:hint="eastAsia" w:eastAsia="仿宋_GB2312" w:cs="Times New Roman"/>
          <w:sz w:val="32"/>
          <w:szCs w:val="32"/>
          <w:lang w:val="zh-CN" w:eastAsia="zh-CN"/>
        </w:rPr>
        <w:t>，</w:t>
      </w:r>
      <w:r>
        <w:rPr>
          <w:rFonts w:hint="eastAsia" w:ascii="Times New Roman" w:hAnsi="Times New Roman" w:eastAsia="仿宋_GB2312" w:cs="Times New Roman"/>
          <w:sz w:val="32"/>
          <w:szCs w:val="32"/>
          <w:lang w:val="zh-CN" w:eastAsia="zh-CN"/>
        </w:rPr>
        <w:t>加强整体统筹和细节把握，进一步完善信息工作发布机制，扎实推进政府信息公开工作。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（二）主动公开信息情况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val="zh-CN" w:eastAsia="zh-CN"/>
        </w:rPr>
        <w:t>年，区</w:t>
      </w:r>
      <w:r>
        <w:rPr>
          <w:rFonts w:hint="eastAsia" w:eastAsia="仿宋_GB2312" w:cs="Times New Roman"/>
          <w:sz w:val="32"/>
          <w:szCs w:val="32"/>
          <w:lang w:val="zh-CN" w:eastAsia="zh-CN"/>
        </w:rPr>
        <w:t>审计局</w:t>
      </w:r>
      <w:r>
        <w:rPr>
          <w:rFonts w:hint="default" w:ascii="Times New Roman" w:hAnsi="Times New Roman" w:eastAsia="仿宋_GB2312" w:cs="Times New Roman"/>
          <w:sz w:val="32"/>
          <w:szCs w:val="32"/>
          <w:lang w:val="zh-CN" w:eastAsia="zh-CN"/>
        </w:rPr>
        <w:t>主动公开政务信息</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zh-CN" w:eastAsia="zh-CN"/>
        </w:rPr>
        <w:t>条，其中区政府网站公开</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zh-CN" w:eastAsia="zh-CN"/>
        </w:rPr>
        <w:t>条，包括铜川市</w:t>
      </w:r>
      <w:r>
        <w:rPr>
          <w:rFonts w:hint="eastAsia" w:eastAsia="仿宋_GB2312" w:cs="Times New Roman"/>
          <w:sz w:val="32"/>
          <w:szCs w:val="32"/>
          <w:lang w:val="zh-CN" w:eastAsia="zh-CN"/>
        </w:rPr>
        <w:t>耀州区</w:t>
      </w:r>
      <w:r>
        <w:rPr>
          <w:rFonts w:hint="default" w:ascii="Times New Roman" w:hAnsi="Times New Roman" w:eastAsia="仿宋_GB2312" w:cs="Times New Roman"/>
          <w:sz w:val="32"/>
          <w:szCs w:val="32"/>
          <w:lang w:val="zh-CN" w:eastAsia="zh-CN"/>
        </w:rPr>
        <w:t>审计局20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val="zh-CN" w:eastAsia="zh-CN"/>
        </w:rPr>
        <w:t>年审计项目计划</w:t>
      </w:r>
      <w:r>
        <w:rPr>
          <w:rFonts w:hint="eastAsia" w:eastAsia="仿宋_GB2312" w:cs="Times New Roman"/>
          <w:sz w:val="32"/>
          <w:szCs w:val="32"/>
          <w:lang w:val="en-US" w:eastAsia="zh-CN"/>
        </w:rPr>
        <w:t>1条、审计结果公告7条。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（三）依申请公开政府信息情况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20</w:t>
      </w:r>
      <w:r>
        <w:rPr>
          <w:rFonts w:hint="eastAsia" w:eastAsia="仿宋_GB2312" w:cs="Times New Roman"/>
          <w:sz w:val="32"/>
          <w:szCs w:val="32"/>
          <w:lang w:val="en-US" w:eastAsia="zh-CN"/>
        </w:rPr>
        <w:t>20</w:t>
      </w:r>
      <w:r>
        <w:rPr>
          <w:rFonts w:hint="default" w:eastAsia="仿宋_GB2312" w:cs="Times New Roman"/>
          <w:sz w:val="32"/>
          <w:szCs w:val="32"/>
          <w:lang w:val="en-US" w:eastAsia="zh-CN"/>
        </w:rPr>
        <w:t>年，区</w:t>
      </w:r>
      <w:r>
        <w:rPr>
          <w:rFonts w:hint="eastAsia" w:eastAsia="仿宋_GB2312" w:cs="Times New Roman"/>
          <w:sz w:val="32"/>
          <w:szCs w:val="32"/>
          <w:lang w:val="en-US" w:eastAsia="zh-CN"/>
        </w:rPr>
        <w:t>审计</w:t>
      </w:r>
      <w:r>
        <w:rPr>
          <w:rFonts w:hint="default" w:eastAsia="仿宋_GB2312" w:cs="Times New Roman"/>
          <w:sz w:val="32"/>
          <w:szCs w:val="32"/>
          <w:lang w:val="en-US" w:eastAsia="zh-CN"/>
        </w:rPr>
        <w:t>局未受理依申请公开事项。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（四）政府信息管理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区</w:t>
      </w:r>
      <w:r>
        <w:rPr>
          <w:rFonts w:hint="eastAsia" w:eastAsia="仿宋_GB2312" w:cs="Times New Roman"/>
          <w:sz w:val="32"/>
          <w:szCs w:val="32"/>
          <w:lang w:val="en-US" w:eastAsia="zh-CN"/>
        </w:rPr>
        <w:t>审计</w:t>
      </w:r>
      <w:r>
        <w:rPr>
          <w:rFonts w:hint="default" w:eastAsia="仿宋_GB2312" w:cs="Times New Roman"/>
          <w:sz w:val="32"/>
          <w:szCs w:val="32"/>
          <w:lang w:val="en-US" w:eastAsia="zh-CN"/>
        </w:rPr>
        <w:t>局</w:t>
      </w:r>
      <w:r>
        <w:rPr>
          <w:rFonts w:hint="eastAsia" w:eastAsia="仿宋_GB2312" w:cs="Times New Roman"/>
          <w:sz w:val="32"/>
          <w:szCs w:val="32"/>
          <w:lang w:val="en-US" w:eastAsia="zh-CN"/>
        </w:rPr>
        <w:t>高度重视政府信息公开工作</w:t>
      </w:r>
      <w:r>
        <w:rPr>
          <w:rFonts w:hint="default" w:eastAsia="仿宋_GB2312" w:cs="Times New Roman"/>
          <w:sz w:val="32"/>
          <w:szCs w:val="32"/>
          <w:lang w:val="en-US" w:eastAsia="zh-CN"/>
        </w:rPr>
        <w:t>，全面落实政府信息公开要求，</w:t>
      </w:r>
      <w:r>
        <w:rPr>
          <w:rFonts w:hint="eastAsia" w:eastAsia="仿宋_GB2312" w:cs="Times New Roman"/>
          <w:sz w:val="32"/>
          <w:szCs w:val="32"/>
          <w:lang w:val="en-US" w:eastAsia="zh-CN"/>
        </w:rPr>
        <w:t>制定专人处理，专人负责。全</w:t>
      </w:r>
      <w:r>
        <w:rPr>
          <w:rFonts w:hint="default" w:eastAsia="仿宋_GB2312" w:cs="Times New Roman"/>
          <w:sz w:val="32"/>
          <w:szCs w:val="32"/>
          <w:lang w:val="en-US" w:eastAsia="zh-CN"/>
        </w:rPr>
        <w:t>面推进决策、执行、管理、服务、结果公开工作，着力提升审计的透明度和审计监督的威慑力。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（五）平台建设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区审计局2020年政府信息公开载体主要依托二个渠道进行公开，</w:t>
      </w:r>
      <w:r>
        <w:rPr>
          <w:rFonts w:hint="eastAsia" w:eastAsia="仿宋_GB2312" w:cs="Times New Roman"/>
          <w:b/>
          <w:bCs/>
          <w:sz w:val="32"/>
          <w:szCs w:val="32"/>
          <w:lang w:val="en-US" w:eastAsia="zh-CN"/>
        </w:rPr>
        <w:t>一是</w:t>
      </w:r>
      <w:r>
        <w:rPr>
          <w:rFonts w:hint="eastAsia" w:eastAsia="仿宋_GB2312" w:cs="Times New Roman"/>
          <w:sz w:val="32"/>
          <w:szCs w:val="32"/>
          <w:lang w:val="en-US" w:eastAsia="zh-CN"/>
        </w:rPr>
        <w:t>政府网站。政府网站是区审计局政府信息公开的第一平台。</w:t>
      </w:r>
      <w:r>
        <w:rPr>
          <w:rFonts w:hint="eastAsia" w:eastAsia="仿宋_GB2312" w:cs="Times New Roman"/>
          <w:b/>
          <w:bCs/>
          <w:sz w:val="32"/>
          <w:szCs w:val="32"/>
          <w:lang w:val="en-US" w:eastAsia="zh-CN"/>
        </w:rPr>
        <w:t>二是</w:t>
      </w:r>
      <w:r>
        <w:rPr>
          <w:rFonts w:hint="eastAsia" w:eastAsia="仿宋_GB2312" w:cs="Times New Roman"/>
          <w:sz w:val="32"/>
          <w:szCs w:val="32"/>
          <w:lang w:val="en-US" w:eastAsia="zh-CN"/>
        </w:rPr>
        <w:t>利用公示栏等方式及时向发布局内相关信息。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（六）人大建议和政协提案办理结果公开情况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20</w:t>
      </w:r>
      <w:r>
        <w:rPr>
          <w:rFonts w:hint="eastAsia" w:eastAsia="仿宋_GB2312" w:cs="Times New Roman"/>
          <w:sz w:val="32"/>
          <w:szCs w:val="32"/>
          <w:lang w:val="en-US" w:eastAsia="zh-CN"/>
        </w:rPr>
        <w:t>20年区审计局未收到需书面回复的人大建议及政协提案。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zh-CN" w:eastAsia="zh-CN"/>
        </w:rPr>
      </w:pPr>
      <w:r>
        <w:rPr>
          <w:rFonts w:hint="default" w:ascii="黑体" w:hAnsi="黑体" w:eastAsia="黑体" w:cs="黑体"/>
          <w:sz w:val="32"/>
          <w:szCs w:val="32"/>
          <w:lang w:val="zh-CN" w:eastAsia="zh-CN"/>
        </w:rPr>
        <w:t>二</w:t>
      </w:r>
      <w:bookmarkEnd w:id="0"/>
      <w:r>
        <w:rPr>
          <w:rFonts w:hint="default" w:ascii="黑体" w:hAnsi="黑体" w:eastAsia="黑体" w:cs="黑体"/>
          <w:sz w:val="32"/>
          <w:szCs w:val="32"/>
          <w:lang w:val="zh-CN" w:eastAsia="zh-CN"/>
        </w:rPr>
        <w:t>、主动公开政府信息情况</w:t>
      </w:r>
    </w:p>
    <w:tbl>
      <w:tblPr>
        <w:tblStyle w:val="5"/>
        <w:tblW w:w="0" w:type="auto"/>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exact"/>
          <w:jc w:val="center"/>
        </w:trPr>
        <w:tc>
          <w:tcPr>
            <w:tcW w:w="882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第二十条第（一）项</w:t>
            </w:r>
          </w:p>
        </w:tc>
      </w:tr>
      <w:tr>
        <w:tblPrEx>
          <w:tblCellMar>
            <w:top w:w="0" w:type="dxa"/>
            <w:left w:w="10" w:type="dxa"/>
            <w:bottom w:w="0" w:type="dxa"/>
            <w:right w:w="10" w:type="dxa"/>
          </w:tblCellMar>
        </w:tblPrEx>
        <w:trPr>
          <w:trHeight w:val="610"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信息内容</w:t>
            </w:r>
          </w:p>
        </w:tc>
        <w:tc>
          <w:tcPr>
            <w:tcW w:w="22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本年新制作数量</w:t>
            </w:r>
          </w:p>
        </w:tc>
        <w:tc>
          <w:tcPr>
            <w:tcW w:w="23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本年新公开数量</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对外公开总数量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规章</w:t>
            </w:r>
          </w:p>
        </w:tc>
        <w:tc>
          <w:tcPr>
            <w:tcW w:w="22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3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规范性文件</w:t>
            </w:r>
          </w:p>
        </w:tc>
        <w:tc>
          <w:tcPr>
            <w:tcW w:w="22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3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第二十条第（五）项</w:t>
            </w:r>
          </w:p>
        </w:tc>
      </w:tr>
      <w:tr>
        <w:tblPrEx>
          <w:tblCellMar>
            <w:top w:w="0" w:type="dxa"/>
            <w:left w:w="10" w:type="dxa"/>
            <w:bottom w:w="0" w:type="dxa"/>
            <w:right w:w="10" w:type="dxa"/>
          </w:tblCellMar>
        </w:tblPrEx>
        <w:trPr>
          <w:trHeight w:val="618"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信息内容</w:t>
            </w:r>
          </w:p>
        </w:tc>
        <w:tc>
          <w:tcPr>
            <w:tcW w:w="22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上一年项目数量</w:t>
            </w:r>
          </w:p>
        </w:tc>
        <w:tc>
          <w:tcPr>
            <w:tcW w:w="23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本年增/减</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处理决定数量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行政许可</w:t>
            </w:r>
          </w:p>
        </w:tc>
        <w:tc>
          <w:tcPr>
            <w:tcW w:w="22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3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其他对外管理服务事项</w:t>
            </w:r>
          </w:p>
        </w:tc>
        <w:tc>
          <w:tcPr>
            <w:tcW w:w="22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3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r>
      <w:tr>
        <w:tblPrEx>
          <w:tblCellMar>
            <w:top w:w="0" w:type="dxa"/>
            <w:left w:w="10" w:type="dxa"/>
            <w:bottom w:w="0" w:type="dxa"/>
            <w:right w:w="10" w:type="dxa"/>
          </w:tblCellMar>
        </w:tblPrEx>
        <w:trPr>
          <w:trHeight w:val="501" w:hRule="exact"/>
          <w:jc w:val="center"/>
        </w:trPr>
        <w:tc>
          <w:tcPr>
            <w:tcW w:w="882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第二十条第（六）项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信息内容</w:t>
            </w:r>
          </w:p>
        </w:tc>
        <w:tc>
          <w:tcPr>
            <w:tcW w:w="22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上一年项目数量</w:t>
            </w:r>
          </w:p>
        </w:tc>
        <w:tc>
          <w:tcPr>
            <w:tcW w:w="23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本年增/减</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处理决定数量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行政处罚</w:t>
            </w:r>
          </w:p>
        </w:tc>
        <w:tc>
          <w:tcPr>
            <w:tcW w:w="22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23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19</w:t>
            </w:r>
          </w:p>
        </w:tc>
      </w:tr>
      <w:tr>
        <w:tblPrEx>
          <w:tblCellMar>
            <w:top w:w="0" w:type="dxa"/>
            <w:left w:w="10" w:type="dxa"/>
            <w:bottom w:w="0" w:type="dxa"/>
            <w:right w:w="10" w:type="dxa"/>
          </w:tblCellMar>
        </w:tblPrEx>
        <w:trPr>
          <w:trHeight w:val="501" w:hRule="exact"/>
          <w:jc w:val="center"/>
        </w:trPr>
        <w:tc>
          <w:tcPr>
            <w:tcW w:w="21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行政强制</w:t>
            </w:r>
          </w:p>
        </w:tc>
        <w:tc>
          <w:tcPr>
            <w:tcW w:w="22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3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第二十条第（八）项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信息内容</w:t>
            </w:r>
          </w:p>
        </w:tc>
        <w:tc>
          <w:tcPr>
            <w:tcW w:w="2238" w:type="dxa"/>
            <w:tcBorders>
              <w:top w:val="single" w:color="auto" w:sz="4" w:space="0"/>
              <w:lef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上一年项目数量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本年增/减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行政事业性收费</w:t>
            </w:r>
          </w:p>
        </w:tc>
        <w:tc>
          <w:tcPr>
            <w:tcW w:w="2238" w:type="dxa"/>
            <w:tcBorders>
              <w:top w:val="single" w:color="auto" w:sz="4" w:space="0"/>
              <w:lef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4390"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第二十条第（九）项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信息内容</w:t>
            </w:r>
          </w:p>
        </w:tc>
        <w:tc>
          <w:tcPr>
            <w:tcW w:w="2238" w:type="dxa"/>
            <w:tcBorders>
              <w:top w:val="single" w:color="auto" w:sz="4" w:space="0"/>
              <w:lef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采购项目数量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采购总金额</w:t>
            </w:r>
          </w:p>
        </w:tc>
      </w:tr>
      <w:tr>
        <w:tblPrEx>
          <w:tblCellMar>
            <w:top w:w="0" w:type="dxa"/>
            <w:left w:w="10" w:type="dxa"/>
            <w:bottom w:w="0" w:type="dxa"/>
            <w:right w:w="10" w:type="dxa"/>
          </w:tblCellMar>
        </w:tblPrEx>
        <w:trPr>
          <w:trHeight w:val="508" w:hRule="exact"/>
          <w:jc w:val="center"/>
        </w:trPr>
        <w:tc>
          <w:tcPr>
            <w:tcW w:w="2192"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政府集中釆购</w:t>
            </w:r>
          </w:p>
        </w:tc>
        <w:tc>
          <w:tcPr>
            <w:tcW w:w="2238"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zh-CN" w:eastAsia="zh-CN"/>
        </w:rPr>
      </w:pPr>
      <w:bookmarkStart w:id="1" w:name="bookmark29"/>
      <w:r>
        <w:rPr>
          <w:rFonts w:hint="eastAsia" w:ascii="黑体" w:hAnsi="黑体" w:eastAsia="黑体" w:cs="黑体"/>
          <w:sz w:val="32"/>
          <w:szCs w:val="32"/>
          <w:lang w:val="zh-CN" w:eastAsia="zh-CN"/>
        </w:rPr>
        <w:t>三</w:t>
      </w:r>
      <w:bookmarkEnd w:id="1"/>
      <w:r>
        <w:rPr>
          <w:rFonts w:hint="eastAsia" w:ascii="黑体" w:hAnsi="黑体" w:eastAsia="黑体" w:cs="黑体"/>
          <w:sz w:val="32"/>
          <w:szCs w:val="32"/>
          <w:lang w:val="zh-CN" w:eastAsia="zh-CN"/>
        </w:rPr>
        <w:t>、收到和处理政府信息公开申请情况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4801" w:type="dxa"/>
            <w:gridSpan w:val="3"/>
            <w:vMerge w:val="restart"/>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（本列数据的勾稽关系为：第一项加第二项之和， 等于第三项加第四项之和）</w:t>
            </w:r>
          </w:p>
        </w:tc>
        <w:tc>
          <w:tcPr>
            <w:tcW w:w="3963" w:type="dxa"/>
            <w:gridSpan w:val="7"/>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4801" w:type="dxa"/>
            <w:gridSpan w:val="3"/>
            <w:vMerge w:val="continue"/>
            <w:shd w:val="clear" w:color="auto" w:fill="FFFFFF"/>
            <w:noWrap w:val="0"/>
            <w:vAlign w:val="center"/>
          </w:tcPr>
          <w:p>
            <w:pPr>
              <w:jc w:val="center"/>
              <w:rPr>
                <w:rFonts w:hint="eastAsia"/>
                <w:sz w:val="18"/>
                <w:szCs w:val="18"/>
                <w:lang w:val="zh-CN" w:eastAsia="zh-CN"/>
              </w:rPr>
            </w:pPr>
          </w:p>
        </w:tc>
        <w:tc>
          <w:tcPr>
            <w:tcW w:w="705" w:type="dxa"/>
            <w:vMerge w:val="restart"/>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自然人</w:t>
            </w:r>
          </w:p>
        </w:tc>
        <w:tc>
          <w:tcPr>
            <w:tcW w:w="2790" w:type="dxa"/>
            <w:gridSpan w:val="5"/>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法人或其他组织</w:t>
            </w:r>
          </w:p>
        </w:tc>
        <w:tc>
          <w:tcPr>
            <w:tcW w:w="468" w:type="dxa"/>
            <w:vMerge w:val="restart"/>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jc w:val="center"/>
        </w:trPr>
        <w:tc>
          <w:tcPr>
            <w:tcW w:w="4801" w:type="dxa"/>
            <w:gridSpan w:val="3"/>
            <w:vMerge w:val="continue"/>
            <w:shd w:val="clear" w:color="auto" w:fill="FFFFFF"/>
            <w:noWrap w:val="0"/>
            <w:vAlign w:val="center"/>
          </w:tcPr>
          <w:p>
            <w:pPr>
              <w:jc w:val="center"/>
              <w:rPr>
                <w:rFonts w:hint="eastAsia"/>
                <w:lang w:val="zh-CN" w:eastAsia="zh-CN"/>
              </w:rPr>
            </w:pPr>
          </w:p>
        </w:tc>
        <w:tc>
          <w:tcPr>
            <w:tcW w:w="705" w:type="dxa"/>
            <w:vMerge w:val="continue"/>
            <w:shd w:val="clear" w:color="auto" w:fill="FFFFFF"/>
            <w:noWrap w:val="0"/>
            <w:vAlign w:val="center"/>
          </w:tcPr>
          <w:p>
            <w:pPr>
              <w:jc w:val="center"/>
              <w:rPr>
                <w:rFonts w:hint="eastAsia"/>
                <w:lang w:val="zh-CN" w:eastAsia="zh-CN"/>
              </w:rPr>
            </w:pPr>
          </w:p>
        </w:tc>
        <w:tc>
          <w:tcPr>
            <w:tcW w:w="570" w:type="dxa"/>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商业 企业</w:t>
            </w:r>
          </w:p>
        </w:tc>
        <w:tc>
          <w:tcPr>
            <w:tcW w:w="570" w:type="dxa"/>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科研 机构</w:t>
            </w:r>
          </w:p>
        </w:tc>
        <w:tc>
          <w:tcPr>
            <w:tcW w:w="555" w:type="dxa"/>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社会 公益 组织</w:t>
            </w:r>
          </w:p>
        </w:tc>
        <w:tc>
          <w:tcPr>
            <w:tcW w:w="570" w:type="dxa"/>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法律 服务 机构</w:t>
            </w:r>
          </w:p>
        </w:tc>
        <w:tc>
          <w:tcPr>
            <w:tcW w:w="525" w:type="dxa"/>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其他</w:t>
            </w:r>
          </w:p>
        </w:tc>
        <w:tc>
          <w:tcPr>
            <w:tcW w:w="468" w:type="dxa"/>
            <w:vMerge w:val="continue"/>
            <w:shd w:val="clear" w:color="auto" w:fill="FFFFFF"/>
            <w:noWrap w:val="0"/>
            <w:vAlign w:val="center"/>
          </w:tcPr>
          <w:p>
            <w:pPr>
              <w:jc w:val="center"/>
              <w:rPr>
                <w:rFonts w:hint="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801" w:type="dxa"/>
            <w:gridSpan w:val="3"/>
            <w:shd w:val="clear" w:color="auto" w:fill="FFFFFF"/>
            <w:noWrap w:val="0"/>
            <w:vAlign w:val="center"/>
          </w:tcPr>
          <w:p>
            <w:pPr>
              <w:jc w:val="both"/>
              <w:rPr>
                <w:rFonts w:hint="eastAsia"/>
                <w:lang w:val="zh-CN" w:eastAsia="zh-CN"/>
              </w:rPr>
            </w:pPr>
            <w:r>
              <w:rPr>
                <w:rFonts w:hint="eastAsia"/>
                <w:lang w:val="zh-CN" w:eastAsia="zh-CN"/>
              </w:rPr>
              <w:t>一、本年新收政府信息公开申请数量</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4801" w:type="dxa"/>
            <w:gridSpan w:val="3"/>
            <w:shd w:val="clear" w:color="auto" w:fill="FFFFFF"/>
            <w:noWrap w:val="0"/>
            <w:vAlign w:val="center"/>
          </w:tcPr>
          <w:p>
            <w:pPr>
              <w:jc w:val="both"/>
              <w:rPr>
                <w:rFonts w:hint="eastAsia"/>
                <w:lang w:val="zh-CN" w:eastAsia="zh-CN"/>
              </w:rPr>
            </w:pPr>
            <w:r>
              <w:rPr>
                <w:rFonts w:hint="eastAsia"/>
                <w:lang w:val="zh-CN" w:eastAsia="zh-CN"/>
              </w:rPr>
              <w:t>二、上年结转政府信息公开申请数量</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592" w:type="dxa"/>
            <w:vMerge w:val="restart"/>
            <w:shd w:val="clear" w:color="auto" w:fill="FFFFFF"/>
            <w:noWrap w:val="0"/>
            <w:textDirection w:val="tbRlV"/>
            <w:vAlign w:val="center"/>
          </w:tcPr>
          <w:p>
            <w:pPr>
              <w:jc w:val="center"/>
              <w:rPr>
                <w:rFonts w:hint="eastAsia"/>
                <w:lang w:val="zh-CN" w:eastAsia="zh-CN"/>
              </w:rPr>
            </w:pPr>
            <w:r>
              <w:rPr>
                <w:rFonts w:hint="eastAsia"/>
                <w:lang w:val="zh-CN" w:eastAsia="zh-CN"/>
              </w:rPr>
              <w:t>三、本年度办理结果</w:t>
            </w:r>
          </w:p>
        </w:tc>
        <w:tc>
          <w:tcPr>
            <w:tcW w:w="4209" w:type="dxa"/>
            <w:gridSpan w:val="2"/>
            <w:shd w:val="clear" w:color="auto" w:fill="FFFFFF"/>
            <w:noWrap w:val="0"/>
            <w:vAlign w:val="center"/>
          </w:tcPr>
          <w:p>
            <w:pPr>
              <w:jc w:val="both"/>
              <w:rPr>
                <w:rFonts w:hint="eastAsia"/>
                <w:lang w:val="zh-CN" w:eastAsia="zh-CN"/>
              </w:rPr>
            </w:pPr>
            <w:r>
              <w:rPr>
                <w:rFonts w:hint="eastAsia"/>
                <w:lang w:val="zh-CN" w:eastAsia="zh-CN"/>
              </w:rPr>
              <w:t>（一）予以公开</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4209" w:type="dxa"/>
            <w:gridSpan w:val="2"/>
            <w:shd w:val="clear" w:color="auto" w:fill="FFFFFF"/>
            <w:noWrap w:val="0"/>
            <w:vAlign w:val="center"/>
          </w:tcPr>
          <w:p>
            <w:pPr>
              <w:jc w:val="both"/>
              <w:rPr>
                <w:rFonts w:hint="eastAsia"/>
                <w:lang w:val="zh-CN" w:eastAsia="zh-CN"/>
              </w:rPr>
            </w:pPr>
            <w:r>
              <w:rPr>
                <w:rFonts w:hint="eastAsia"/>
                <w:lang w:val="zh-CN" w:eastAsia="zh-CN"/>
              </w:rPr>
              <w:t>（二）部分公开（区分处理的，只计这一情形，不计其他情形）</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restart"/>
            <w:shd w:val="clear" w:color="auto" w:fill="FFFFFF"/>
            <w:noWrap w:val="0"/>
            <w:vAlign w:val="center"/>
          </w:tcPr>
          <w:p>
            <w:pPr>
              <w:jc w:val="center"/>
              <w:rPr>
                <w:rFonts w:hint="eastAsia"/>
                <w:lang w:val="zh-CN" w:eastAsia="zh-CN"/>
              </w:rPr>
            </w:pPr>
            <w:r>
              <w:rPr>
                <w:rFonts w:hint="eastAsia"/>
                <w:lang w:val="zh-CN" w:eastAsia="zh-CN"/>
              </w:rPr>
              <w:t>（三）不予公开</w:t>
            </w:r>
          </w:p>
        </w:tc>
        <w:tc>
          <w:tcPr>
            <w:tcW w:w="2741" w:type="dxa"/>
            <w:shd w:val="clear" w:color="auto" w:fill="FFFFFF"/>
            <w:noWrap w:val="0"/>
            <w:vAlign w:val="center"/>
          </w:tcPr>
          <w:p>
            <w:pPr>
              <w:jc w:val="both"/>
              <w:rPr>
                <w:rFonts w:hint="eastAsia"/>
                <w:lang w:val="zh-CN" w:eastAsia="zh-CN"/>
              </w:rPr>
            </w:pPr>
            <w:r>
              <w:rPr>
                <w:rFonts w:hint="eastAsia"/>
                <w:lang w:eastAsia="zh-CN"/>
              </w:rPr>
              <w:t>1.</w:t>
            </w:r>
            <w:r>
              <w:rPr>
                <w:rFonts w:hint="eastAsia"/>
                <w:lang w:val="zh-CN" w:eastAsia="zh-CN"/>
              </w:rPr>
              <w:t>属于国家秘密</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2.</w:t>
            </w:r>
            <w:r>
              <w:rPr>
                <w:rFonts w:hint="eastAsia"/>
                <w:lang w:val="zh-CN" w:eastAsia="zh-CN"/>
              </w:rPr>
              <w:t>其他法律行政法规禁止公开</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3.</w:t>
            </w:r>
            <w:r>
              <w:rPr>
                <w:rFonts w:hint="eastAsia"/>
                <w:lang w:val="zh-CN" w:eastAsia="zh-CN"/>
              </w:rPr>
              <w:t>危及“三安全一稳定”</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val="zh-CN" w:eastAsia="zh-CN"/>
              </w:rPr>
              <w:t>4</w:t>
            </w:r>
            <w:r>
              <w:rPr>
                <w:rFonts w:hint="eastAsia"/>
                <w:lang w:eastAsia="zh-CN"/>
              </w:rPr>
              <w:t>.</w:t>
            </w:r>
            <w:r>
              <w:rPr>
                <w:rFonts w:hint="eastAsia"/>
                <w:lang w:val="zh-CN" w:eastAsia="zh-CN"/>
              </w:rPr>
              <w:t>保护第三方合法权益</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5.</w:t>
            </w:r>
            <w:r>
              <w:rPr>
                <w:rFonts w:hint="eastAsia"/>
                <w:lang w:val="zh-CN" w:eastAsia="zh-CN"/>
              </w:rPr>
              <w:t>属于三类内部事务信息</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6.</w:t>
            </w:r>
            <w:r>
              <w:rPr>
                <w:rFonts w:hint="eastAsia"/>
                <w:lang w:val="zh-CN" w:eastAsia="zh-CN"/>
              </w:rPr>
              <w:t>属于四类过程性信息</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7.</w:t>
            </w:r>
            <w:r>
              <w:rPr>
                <w:rFonts w:hint="eastAsia"/>
                <w:lang w:val="zh-CN" w:eastAsia="zh-CN"/>
              </w:rPr>
              <w:t>属于行政执法案卷</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8.</w:t>
            </w:r>
            <w:r>
              <w:rPr>
                <w:rFonts w:hint="eastAsia"/>
                <w:lang w:val="zh-CN" w:eastAsia="zh-CN"/>
              </w:rPr>
              <w:t>属于行政查询事项</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restart"/>
            <w:shd w:val="clear" w:color="auto" w:fill="FFFFFF"/>
            <w:noWrap w:val="0"/>
            <w:vAlign w:val="center"/>
          </w:tcPr>
          <w:p>
            <w:pPr>
              <w:jc w:val="center"/>
              <w:rPr>
                <w:rFonts w:hint="eastAsia"/>
                <w:lang w:val="zh-CN" w:eastAsia="zh-CN"/>
              </w:rPr>
            </w:pPr>
            <w:r>
              <w:rPr>
                <w:rFonts w:hint="eastAsia"/>
                <w:lang w:val="zh-CN" w:eastAsia="zh-CN"/>
              </w:rPr>
              <w:t>（四）无法提供</w:t>
            </w:r>
          </w:p>
        </w:tc>
        <w:tc>
          <w:tcPr>
            <w:tcW w:w="2741" w:type="dxa"/>
            <w:shd w:val="clear" w:color="auto" w:fill="FFFFFF"/>
            <w:noWrap w:val="0"/>
            <w:vAlign w:val="center"/>
          </w:tcPr>
          <w:p>
            <w:pPr>
              <w:jc w:val="both"/>
              <w:rPr>
                <w:rFonts w:hint="eastAsia"/>
                <w:lang w:val="zh-CN" w:eastAsia="zh-CN"/>
              </w:rPr>
            </w:pPr>
            <w:r>
              <w:rPr>
                <w:rFonts w:hint="eastAsia"/>
                <w:lang w:eastAsia="zh-CN"/>
              </w:rPr>
              <w:t>1.</w:t>
            </w:r>
            <w:r>
              <w:rPr>
                <w:rFonts w:hint="eastAsia"/>
                <w:lang w:val="zh-CN" w:eastAsia="zh-CN"/>
              </w:rPr>
              <w:t>本机关不掌握相关政府信息</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2.</w:t>
            </w:r>
            <w:r>
              <w:rPr>
                <w:rFonts w:hint="eastAsia"/>
                <w:lang w:val="zh-CN" w:eastAsia="zh-CN"/>
              </w:rPr>
              <w:t>没有现成信息需要另行制作</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3.</w:t>
            </w:r>
            <w:r>
              <w:rPr>
                <w:rFonts w:hint="eastAsia"/>
                <w:lang w:val="zh-CN" w:eastAsia="zh-CN"/>
              </w:rPr>
              <w:t>补正后申请内容仍不明确</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restart"/>
            <w:shd w:val="clear" w:color="auto" w:fill="FFFFFF"/>
            <w:noWrap w:val="0"/>
            <w:vAlign w:val="center"/>
          </w:tcPr>
          <w:p>
            <w:pPr>
              <w:jc w:val="center"/>
              <w:rPr>
                <w:rFonts w:hint="eastAsia"/>
                <w:lang w:val="zh-CN" w:eastAsia="zh-CN"/>
              </w:rPr>
            </w:pPr>
            <w:r>
              <w:rPr>
                <w:rFonts w:hint="eastAsia"/>
                <w:lang w:val="zh-CN" w:eastAsia="zh-CN"/>
              </w:rPr>
              <w:t>（五）不予处理</w:t>
            </w:r>
          </w:p>
        </w:tc>
        <w:tc>
          <w:tcPr>
            <w:tcW w:w="2741" w:type="dxa"/>
            <w:shd w:val="clear" w:color="auto" w:fill="FFFFFF"/>
            <w:noWrap w:val="0"/>
            <w:vAlign w:val="center"/>
          </w:tcPr>
          <w:p>
            <w:pPr>
              <w:jc w:val="both"/>
              <w:rPr>
                <w:rFonts w:hint="eastAsia"/>
                <w:lang w:val="zh-CN" w:eastAsia="zh-CN"/>
              </w:rPr>
            </w:pPr>
            <w:r>
              <w:rPr>
                <w:rFonts w:hint="eastAsia"/>
                <w:lang w:eastAsia="zh-CN"/>
              </w:rPr>
              <w:t>1.</w:t>
            </w:r>
            <w:r>
              <w:rPr>
                <w:rFonts w:hint="eastAsia"/>
                <w:lang w:val="zh-CN" w:eastAsia="zh-CN"/>
              </w:rPr>
              <w:t>信访举报投诉类申请</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2.</w:t>
            </w:r>
            <w:r>
              <w:rPr>
                <w:rFonts w:hint="eastAsia"/>
                <w:lang w:val="zh-CN" w:eastAsia="zh-CN"/>
              </w:rPr>
              <w:t>重复申请</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3.</w:t>
            </w:r>
            <w:r>
              <w:rPr>
                <w:rFonts w:hint="eastAsia"/>
                <w:lang w:val="zh-CN" w:eastAsia="zh-CN"/>
              </w:rPr>
              <w:t>要求提供公开出版物</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4.</w:t>
            </w:r>
            <w:r>
              <w:rPr>
                <w:rFonts w:hint="eastAsia"/>
                <w:lang w:val="zh-CN" w:eastAsia="zh-CN"/>
              </w:rPr>
              <w:t>无正当理由大量反复申请</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592" w:type="dxa"/>
            <w:vMerge w:val="continue"/>
            <w:shd w:val="clear" w:color="auto" w:fill="FFFFFF"/>
            <w:noWrap w:val="0"/>
            <w:textDirection w:val="tbRlV"/>
            <w:vAlign w:val="center"/>
          </w:tcPr>
          <w:p>
            <w:pPr>
              <w:jc w:val="center"/>
              <w:rPr>
                <w:rFonts w:hint="eastAsia"/>
                <w:lang w:val="zh-CN" w:eastAsia="zh-CN"/>
              </w:rPr>
            </w:pPr>
          </w:p>
        </w:tc>
        <w:tc>
          <w:tcPr>
            <w:tcW w:w="1468" w:type="dxa"/>
            <w:vMerge w:val="continue"/>
            <w:shd w:val="clear" w:color="auto" w:fill="FFFFFF"/>
            <w:noWrap w:val="0"/>
            <w:vAlign w:val="center"/>
          </w:tcPr>
          <w:p>
            <w:pPr>
              <w:jc w:val="center"/>
              <w:rPr>
                <w:rFonts w:hint="eastAsia"/>
                <w:lang w:val="zh-CN" w:eastAsia="zh-CN"/>
              </w:rPr>
            </w:pPr>
          </w:p>
        </w:tc>
        <w:tc>
          <w:tcPr>
            <w:tcW w:w="2741" w:type="dxa"/>
            <w:shd w:val="clear" w:color="auto" w:fill="FFFFFF"/>
            <w:noWrap w:val="0"/>
            <w:vAlign w:val="center"/>
          </w:tcPr>
          <w:p>
            <w:pPr>
              <w:jc w:val="both"/>
              <w:rPr>
                <w:rFonts w:hint="eastAsia"/>
                <w:lang w:val="zh-CN" w:eastAsia="zh-CN"/>
              </w:rPr>
            </w:pPr>
            <w:r>
              <w:rPr>
                <w:rFonts w:hint="eastAsia"/>
                <w:lang w:eastAsia="zh-CN"/>
              </w:rPr>
              <w:t>5.</w:t>
            </w:r>
            <w:r>
              <w:rPr>
                <w:rFonts w:hint="eastAsia"/>
                <w:lang w:val="zh-CN" w:eastAsia="zh-CN"/>
              </w:rPr>
              <w:t>要求行政机关确认或重新出具已获取信息</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592" w:type="dxa"/>
            <w:vMerge w:val="continue"/>
            <w:shd w:val="clear" w:color="auto" w:fill="FFFFFF"/>
            <w:noWrap w:val="0"/>
            <w:textDirection w:val="tbRlV"/>
            <w:vAlign w:val="bottom"/>
          </w:tcPr>
          <w:p>
            <w:pPr>
              <w:jc w:val="center"/>
              <w:rPr>
                <w:rFonts w:hint="eastAsia"/>
                <w:lang w:val="zh-CN" w:eastAsia="zh-CN"/>
              </w:rPr>
            </w:pPr>
          </w:p>
        </w:tc>
        <w:tc>
          <w:tcPr>
            <w:tcW w:w="4209" w:type="dxa"/>
            <w:gridSpan w:val="2"/>
            <w:shd w:val="clear" w:color="auto" w:fill="FFFFFF"/>
            <w:noWrap w:val="0"/>
            <w:vAlign w:val="center"/>
          </w:tcPr>
          <w:p>
            <w:pPr>
              <w:jc w:val="both"/>
              <w:rPr>
                <w:rFonts w:hint="eastAsia"/>
                <w:lang w:val="zh-CN" w:eastAsia="zh-CN"/>
              </w:rPr>
            </w:pPr>
            <w:r>
              <w:rPr>
                <w:rFonts w:hint="eastAsia"/>
                <w:lang w:val="zh-CN" w:eastAsia="zh-CN"/>
              </w:rPr>
              <w:t>（六）其他处理</w:t>
            </w:r>
          </w:p>
        </w:tc>
        <w:tc>
          <w:tcPr>
            <w:tcW w:w="70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zh-CN"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noWrap w:val="0"/>
            <w:textDirection w:val="tbRlV"/>
            <w:vAlign w:val="bottom"/>
          </w:tcPr>
          <w:p>
            <w:pPr>
              <w:jc w:val="center"/>
              <w:rPr>
                <w:rFonts w:hint="eastAsia"/>
                <w:lang w:val="zh-CN" w:eastAsia="zh-CN"/>
              </w:rPr>
            </w:pPr>
          </w:p>
        </w:tc>
        <w:tc>
          <w:tcPr>
            <w:tcW w:w="4209" w:type="dxa"/>
            <w:gridSpan w:val="2"/>
            <w:shd w:val="clear" w:color="auto" w:fill="FFFFFF"/>
            <w:noWrap w:val="0"/>
            <w:vAlign w:val="center"/>
          </w:tcPr>
          <w:p>
            <w:pPr>
              <w:jc w:val="both"/>
              <w:rPr>
                <w:rFonts w:hint="eastAsia"/>
                <w:lang w:val="zh-CN" w:eastAsia="zh-CN"/>
              </w:rPr>
            </w:pPr>
            <w:r>
              <w:rPr>
                <w:rFonts w:hint="eastAsia"/>
                <w:lang w:val="zh-CN" w:eastAsia="zh-CN"/>
              </w:rPr>
              <w:t>（七）总计</w:t>
            </w:r>
          </w:p>
        </w:tc>
        <w:tc>
          <w:tcPr>
            <w:tcW w:w="705"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4801" w:type="dxa"/>
            <w:gridSpan w:val="3"/>
            <w:shd w:val="clear" w:color="auto" w:fill="FFFFFF"/>
            <w:noWrap w:val="0"/>
            <w:vAlign w:val="bottom"/>
          </w:tcPr>
          <w:p>
            <w:pPr>
              <w:jc w:val="center"/>
              <w:rPr>
                <w:rFonts w:hint="eastAsia"/>
                <w:lang w:val="zh-CN" w:eastAsia="zh-CN"/>
              </w:rPr>
            </w:pPr>
            <w:r>
              <w:rPr>
                <w:rFonts w:hint="eastAsia"/>
                <w:lang w:val="zh-CN" w:eastAsia="zh-CN"/>
              </w:rPr>
              <w:t>四、结转下年度继续办理</w:t>
            </w:r>
          </w:p>
        </w:tc>
        <w:tc>
          <w:tcPr>
            <w:tcW w:w="705"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555"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570"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525"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c>
          <w:tcPr>
            <w:tcW w:w="468" w:type="dxa"/>
            <w:shd w:val="clear" w:color="auto" w:fill="FFFFFF"/>
            <w:noWrap w:val="0"/>
            <w:vAlign w:val="center"/>
          </w:tcPr>
          <w:p>
            <w:pPr>
              <w:jc w:val="center"/>
              <w:rPr>
                <w:rFonts w:hint="eastAsia"/>
                <w:sz w:val="18"/>
                <w:szCs w:val="18"/>
                <w:lang w:val="en-US" w:eastAsia="zh-CN"/>
              </w:rPr>
            </w:pPr>
            <w:r>
              <w:rPr>
                <w:rFonts w:ascii="宋体" w:hAnsi="宋体"/>
                <w:sz w:val="18"/>
                <w:szCs w:val="18"/>
              </w:rPr>
              <w:t>0</w:t>
            </w: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zh-CN" w:eastAsia="zh-CN"/>
        </w:rPr>
      </w:pPr>
      <w:bookmarkStart w:id="2" w:name="bookmark30"/>
      <w:r>
        <w:rPr>
          <w:rFonts w:hint="eastAsia" w:ascii="黑体" w:hAnsi="黑体" w:eastAsia="黑体" w:cs="黑体"/>
          <w:sz w:val="32"/>
          <w:szCs w:val="32"/>
          <w:lang w:val="zh-CN" w:eastAsia="zh-CN"/>
        </w:rPr>
        <w:t>四</w:t>
      </w:r>
      <w:bookmarkEnd w:id="2"/>
      <w:r>
        <w:rPr>
          <w:rFonts w:hint="eastAsia" w:ascii="黑体" w:hAnsi="黑体" w:eastAsia="黑体" w:cs="黑体"/>
          <w:sz w:val="32"/>
          <w:szCs w:val="32"/>
          <w:lang w:val="zh-CN" w:eastAsia="zh-CN"/>
        </w:rPr>
        <w:t>、政府信息公开行政复议、行政诉讼情况</w:t>
      </w:r>
    </w:p>
    <w:tbl>
      <w:tblPr>
        <w:tblStyle w:val="5"/>
        <w:tblW w:w="0" w:type="auto"/>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行政复议</w:t>
            </w:r>
          </w:p>
        </w:tc>
        <w:tc>
          <w:tcPr>
            <w:tcW w:w="5641" w:type="dxa"/>
            <w:gridSpan w:val="10"/>
            <w:tcBorders>
              <w:top w:val="single" w:color="auto" w:sz="4" w:space="0"/>
              <w:left w:val="single" w:color="auto" w:sz="4" w:space="0"/>
              <w:righ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结果 维持</w:t>
            </w:r>
          </w:p>
        </w:tc>
        <w:tc>
          <w:tcPr>
            <w:tcW w:w="525" w:type="dxa"/>
            <w:vMerge w:val="restart"/>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结果 纠正</w:t>
            </w:r>
          </w:p>
        </w:tc>
        <w:tc>
          <w:tcPr>
            <w:tcW w:w="570" w:type="dxa"/>
            <w:vMerge w:val="restart"/>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其他 结果</w:t>
            </w:r>
          </w:p>
        </w:tc>
        <w:tc>
          <w:tcPr>
            <w:tcW w:w="495" w:type="dxa"/>
            <w:vMerge w:val="restart"/>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尚未 审结</w:t>
            </w:r>
          </w:p>
        </w:tc>
        <w:tc>
          <w:tcPr>
            <w:tcW w:w="675" w:type="dxa"/>
            <w:vMerge w:val="restart"/>
            <w:tcBorders>
              <w:top w:val="single" w:color="auto" w:sz="4" w:space="0"/>
              <w:left w:val="single" w:color="auto" w:sz="4" w:space="0"/>
            </w:tcBorders>
            <w:shd w:val="clear" w:color="auto" w:fill="FFFFFF"/>
            <w:noWrap w:val="0"/>
            <w:textDirection w:val="tbRlV"/>
            <w:vAlign w:val="center"/>
          </w:tcPr>
          <w:p>
            <w:pPr>
              <w:jc w:val="center"/>
              <w:rPr>
                <w:rFonts w:hint="eastAsia"/>
                <w:sz w:val="18"/>
                <w:szCs w:val="18"/>
                <w:lang w:val="zh-CN" w:eastAsia="zh-CN"/>
              </w:rPr>
            </w:pPr>
            <w:r>
              <w:rPr>
                <w:rFonts w:hint="eastAsia"/>
                <w:sz w:val="18"/>
                <w:szCs w:val="18"/>
                <w:lang w:val="zh-CN" w:eastAsia="zh-CN"/>
              </w:rPr>
              <w:t>总计</w:t>
            </w:r>
          </w:p>
        </w:tc>
        <w:tc>
          <w:tcPr>
            <w:tcW w:w="2805" w:type="dxa"/>
            <w:gridSpan w:val="5"/>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noWrap w:val="0"/>
            <w:vAlign w:val="center"/>
          </w:tcPr>
          <w:p>
            <w:pPr>
              <w:jc w:val="center"/>
              <w:rPr>
                <w:rFonts w:hint="eastAsia"/>
                <w:sz w:val="18"/>
                <w:szCs w:val="18"/>
                <w:lang w:val="zh-CN" w:eastAsia="zh-CN"/>
              </w:rPr>
            </w:pPr>
          </w:p>
        </w:tc>
        <w:tc>
          <w:tcPr>
            <w:tcW w:w="525" w:type="dxa"/>
            <w:vMerge w:val="continue"/>
            <w:tcBorders>
              <w:left w:val="single" w:color="auto" w:sz="4" w:space="0"/>
            </w:tcBorders>
            <w:shd w:val="clear" w:color="auto" w:fill="FFFFFF"/>
            <w:noWrap w:val="0"/>
            <w:vAlign w:val="center"/>
          </w:tcPr>
          <w:p>
            <w:pPr>
              <w:jc w:val="center"/>
              <w:rPr>
                <w:rFonts w:hint="eastAsia"/>
                <w:sz w:val="18"/>
                <w:szCs w:val="18"/>
                <w:lang w:val="zh-CN" w:eastAsia="zh-CN"/>
              </w:rPr>
            </w:pPr>
          </w:p>
        </w:tc>
        <w:tc>
          <w:tcPr>
            <w:tcW w:w="570" w:type="dxa"/>
            <w:vMerge w:val="continue"/>
            <w:tcBorders>
              <w:left w:val="single" w:color="auto" w:sz="4" w:space="0"/>
            </w:tcBorders>
            <w:shd w:val="clear" w:color="auto" w:fill="FFFFFF"/>
            <w:noWrap w:val="0"/>
            <w:vAlign w:val="center"/>
          </w:tcPr>
          <w:p>
            <w:pPr>
              <w:jc w:val="center"/>
              <w:rPr>
                <w:rFonts w:hint="eastAsia"/>
                <w:sz w:val="18"/>
                <w:szCs w:val="18"/>
                <w:lang w:val="zh-CN" w:eastAsia="zh-CN"/>
              </w:rPr>
            </w:pPr>
          </w:p>
        </w:tc>
        <w:tc>
          <w:tcPr>
            <w:tcW w:w="495" w:type="dxa"/>
            <w:vMerge w:val="continue"/>
            <w:tcBorders>
              <w:left w:val="single" w:color="auto" w:sz="4" w:space="0"/>
            </w:tcBorders>
            <w:shd w:val="clear" w:color="auto" w:fill="FFFFFF"/>
            <w:noWrap w:val="0"/>
            <w:vAlign w:val="center"/>
          </w:tcPr>
          <w:p>
            <w:pPr>
              <w:jc w:val="center"/>
              <w:rPr>
                <w:rFonts w:hint="eastAsia"/>
                <w:sz w:val="18"/>
                <w:szCs w:val="18"/>
                <w:lang w:val="zh-CN" w:eastAsia="zh-CN"/>
              </w:rPr>
            </w:pPr>
          </w:p>
        </w:tc>
        <w:tc>
          <w:tcPr>
            <w:tcW w:w="675" w:type="dxa"/>
            <w:vMerge w:val="continue"/>
            <w:tcBorders>
              <w:left w:val="single" w:color="auto" w:sz="4" w:space="0"/>
            </w:tcBorders>
            <w:shd w:val="clear" w:color="auto" w:fill="FFFFFF"/>
            <w:noWrap w:val="0"/>
            <w:textDirection w:val="tbRlV"/>
            <w:vAlign w:val="center"/>
          </w:tcPr>
          <w:p>
            <w:pPr>
              <w:jc w:val="center"/>
              <w:rPr>
                <w:rFonts w:hint="eastAsia"/>
                <w:sz w:val="18"/>
                <w:szCs w:val="18"/>
                <w:lang w:val="zh-CN" w:eastAsia="zh-CN"/>
              </w:rPr>
            </w:pPr>
          </w:p>
        </w:tc>
        <w:tc>
          <w:tcPr>
            <w:tcW w:w="629" w:type="dxa"/>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结果 维持</w:t>
            </w:r>
          </w:p>
        </w:tc>
        <w:tc>
          <w:tcPr>
            <w:tcW w:w="585" w:type="dxa"/>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结果 纠正</w:t>
            </w:r>
          </w:p>
        </w:tc>
        <w:tc>
          <w:tcPr>
            <w:tcW w:w="540" w:type="dxa"/>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其他 结果</w:t>
            </w:r>
          </w:p>
        </w:tc>
        <w:tc>
          <w:tcPr>
            <w:tcW w:w="541" w:type="dxa"/>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尚未 审结</w:t>
            </w:r>
          </w:p>
        </w:tc>
        <w:tc>
          <w:tcPr>
            <w:tcW w:w="510" w:type="dxa"/>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总 计</w:t>
            </w:r>
          </w:p>
        </w:tc>
        <w:tc>
          <w:tcPr>
            <w:tcW w:w="615" w:type="dxa"/>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结果 维持</w:t>
            </w:r>
          </w:p>
        </w:tc>
        <w:tc>
          <w:tcPr>
            <w:tcW w:w="615" w:type="dxa"/>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结果 纠正</w:t>
            </w:r>
          </w:p>
        </w:tc>
        <w:tc>
          <w:tcPr>
            <w:tcW w:w="630" w:type="dxa"/>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其他 结果</w:t>
            </w:r>
          </w:p>
        </w:tc>
        <w:tc>
          <w:tcPr>
            <w:tcW w:w="525" w:type="dxa"/>
            <w:tcBorders>
              <w:top w:val="single" w:color="auto" w:sz="4" w:space="0"/>
              <w:left w:val="single" w:color="auto" w:sz="4" w:space="0"/>
            </w:tcBorders>
            <w:shd w:val="clear" w:color="auto" w:fill="FFFFFF"/>
            <w:noWrap w:val="0"/>
            <w:vAlign w:val="center"/>
          </w:tcPr>
          <w:p>
            <w:pPr>
              <w:jc w:val="center"/>
              <w:rPr>
                <w:rFonts w:hint="eastAsia"/>
                <w:sz w:val="18"/>
                <w:szCs w:val="18"/>
                <w:lang w:val="zh-CN" w:eastAsia="zh-CN"/>
              </w:rPr>
            </w:pPr>
            <w:r>
              <w:rPr>
                <w:rFonts w:hint="eastAsia"/>
                <w:sz w:val="18"/>
                <w:szCs w:val="18"/>
                <w:lang w:val="zh-CN" w:eastAsia="zh-CN"/>
              </w:rPr>
              <w:t>尚未 审结</w:t>
            </w:r>
          </w:p>
        </w:tc>
        <w:tc>
          <w:tcPr>
            <w:tcW w:w="451" w:type="dxa"/>
            <w:tcBorders>
              <w:top w:val="single" w:color="auto" w:sz="4" w:space="0"/>
              <w:left w:val="single" w:color="auto" w:sz="4" w:space="0"/>
              <w:right w:val="single" w:color="auto" w:sz="4" w:space="0"/>
            </w:tcBorders>
            <w:shd w:val="clear" w:color="auto" w:fill="FFFFFF"/>
            <w:noWrap w:val="0"/>
            <w:textDirection w:val="tbRlV"/>
            <w:vAlign w:val="center"/>
          </w:tcPr>
          <w:p>
            <w:pPr>
              <w:jc w:val="center"/>
              <w:rPr>
                <w:rFonts w:hint="eastAsia"/>
                <w:sz w:val="18"/>
                <w:szCs w:val="18"/>
                <w:lang w:val="zh-CN" w:eastAsia="zh-CN"/>
              </w:rPr>
            </w:pPr>
            <w:r>
              <w:rPr>
                <w:rFonts w:hint="eastAsia"/>
                <w:sz w:val="18"/>
                <w:szCs w:val="18"/>
                <w:lang w:val="zh-CN" w:eastAsia="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52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570"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49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67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629"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58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540"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541"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510"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630"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52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c>
          <w:tcPr>
            <w:tcW w:w="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sz w:val="18"/>
                <w:szCs w:val="18"/>
                <w:lang w:val="en-US" w:eastAsia="zh-CN"/>
              </w:rPr>
            </w:pPr>
            <w:r>
              <w:rPr>
                <w:rFonts w:hint="eastAsia"/>
                <w:sz w:val="18"/>
                <w:szCs w:val="18"/>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存在的主要问题及改进情况</w:t>
      </w:r>
    </w:p>
    <w:p>
      <w:pPr>
        <w:pStyle w:val="2"/>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w:t>
      </w:r>
      <w:r>
        <w:rPr>
          <w:rFonts w:hint="default" w:ascii="Times New Roman" w:hAnsi="Times New Roman" w:eastAsia="仿宋_GB2312" w:cs="Times New Roman"/>
          <w:sz w:val="32"/>
          <w:szCs w:val="32"/>
          <w:lang w:eastAsia="zh-CN"/>
        </w:rPr>
        <w:t>2020</w:t>
      </w:r>
      <w:r>
        <w:rPr>
          <w:rFonts w:hint="eastAsia" w:ascii="仿宋_GB2312" w:hAnsi="仿宋_GB2312" w:eastAsia="仿宋_GB2312" w:cs="仿宋_GB2312"/>
          <w:sz w:val="32"/>
          <w:szCs w:val="32"/>
          <w:lang w:eastAsia="zh-CN"/>
        </w:rPr>
        <w:t>年信息公开工作取得了一定成效，但是还存在着在审计结果公告中缺乏对相关专业术语及相关政策的解读，微信公开力度不够，部分信息更新不及时等问题。</w:t>
      </w:r>
      <w:r>
        <w:rPr>
          <w:rFonts w:hint="default" w:ascii="Times New Roman" w:hAnsi="Times New Roman" w:eastAsia="仿宋_GB2312" w:cs="Times New Roman"/>
          <w:sz w:val="32"/>
          <w:szCs w:val="32"/>
          <w:lang w:eastAsia="zh-CN"/>
        </w:rPr>
        <w:t>2021</w:t>
      </w:r>
      <w:r>
        <w:rPr>
          <w:rFonts w:hint="eastAsia" w:ascii="仿宋_GB2312" w:hAnsi="仿宋_GB2312" w:eastAsia="仿宋_GB2312" w:cs="仿宋_GB2312"/>
          <w:sz w:val="32"/>
          <w:szCs w:val="32"/>
          <w:lang w:eastAsia="zh-CN"/>
        </w:rPr>
        <w:t>年，我局将严格按照信息公开工作要求，</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加大对预算执行等审计工作报告所反映问题及整改情况的公开力度，</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通过政府微信平台提高对政务情况的公开频率，</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主动做好政策解读工作，对审计专业性较强的审计结果公告，同步进行政策解读。</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sz w:val="32"/>
          <w:szCs w:val="32"/>
          <w:lang w:val="zh-CN" w:eastAsia="zh-CN"/>
        </w:rPr>
      </w:pPr>
      <w:r>
        <w:rPr>
          <w:rFonts w:hint="eastAsia" w:ascii="黑体" w:hAnsi="黑体" w:eastAsia="黑体" w:cs="黑体"/>
          <w:sz w:val="32"/>
          <w:szCs w:val="32"/>
          <w:lang w:val="zh-CN" w:eastAsia="zh-CN"/>
        </w:rPr>
        <w:t>无其他需要报告的事项</w:t>
      </w:r>
    </w:p>
    <w:p>
      <w:pPr>
        <w:pStyle w:val="2"/>
        <w:widowControl w:val="0"/>
        <w:numPr>
          <w:ilvl w:val="0"/>
          <w:numId w:val="0"/>
        </w:numPr>
        <w:spacing w:line="360" w:lineRule="auto"/>
        <w:jc w:val="right"/>
        <w:rPr>
          <w:rFonts w:hint="default" w:ascii="Times New Roman" w:hAnsi="Times New Roman" w:cs="Times New Roman"/>
          <w:sz w:val="32"/>
          <w:szCs w:val="32"/>
          <w:lang w:val="zh-CN" w:eastAsia="zh-CN"/>
        </w:rPr>
      </w:pPr>
    </w:p>
    <w:p>
      <w:pPr>
        <w:pStyle w:val="2"/>
        <w:widowControl w:val="0"/>
        <w:numPr>
          <w:ilvl w:val="0"/>
          <w:numId w:val="0"/>
        </w:numPr>
        <w:wordWrap w:val="0"/>
        <w:spacing w:line="360" w:lineRule="auto"/>
        <w:jc w:val="righ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铜川市耀州区审计局       </w:t>
      </w:r>
    </w:p>
    <w:p>
      <w:pPr>
        <w:pStyle w:val="2"/>
        <w:widowControl w:val="0"/>
        <w:numPr>
          <w:ilvl w:val="0"/>
          <w:numId w:val="0"/>
        </w:numPr>
        <w:wordWrap w:val="0"/>
        <w:spacing w:line="360" w:lineRule="auto"/>
        <w:jc w:val="righ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2021年1月19日        </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rPr>
        <w:sz w:val="28"/>
        <w:szCs w:val="2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-94615</wp:posOffset>
              </wp:positionV>
              <wp:extent cx="503555" cy="3054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3555" cy="305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45pt;height:24.05pt;width:39.65pt;mso-position-horizontal:outside;mso-position-horizontal-relative:margin;z-index:251658240;mso-width-relative:page;mso-height-relative:page;" filled="f" stroked="f" coordsize="21600,21600" o:gfxdata="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v6QG7WAAAABgEAAA8AAAAAAAAAAQAgAAAAIgAAAGRycy9kb3ducmV2&#10;LnhtbFBLAQIUABQAAAAIAIdO4kCMhF3TNwIAAGEEAAAOAAAAAAAAAAEAIAAAACUBAABkcnMvZTJv&#10;RG9jLnhtbFBLBQYAAAAABgAGAFkBAADOBQAAAAA=&#10;">
              <v:fill on="f" focussize="0,0"/>
              <v:stroke on="f" weight="0.5pt"/>
              <v:imagedata o:title=""/>
              <o:lock v:ext="edit" aspectratio="f"/>
              <v:textbox inset="0mm,0mm,0mm,0mm">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DA52A5"/>
    <w:multiLevelType w:val="singleLevel"/>
    <w:tmpl w:val="ECDA52A5"/>
    <w:lvl w:ilvl="0" w:tentative="0">
      <w:start w:val="5"/>
      <w:numFmt w:val="chineseCounting"/>
      <w:suff w:val="nothing"/>
      <w:lvlText w:val="%1、"/>
      <w:lvlJc w:val="left"/>
      <w:rPr>
        <w:rFonts w:hint="eastAsia"/>
      </w:rPr>
    </w:lvl>
  </w:abstractNum>
  <w:abstractNum w:abstractNumId="1">
    <w:nsid w:val="1D656C3F"/>
    <w:multiLevelType w:val="singleLevel"/>
    <w:tmpl w:val="1D656C3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32800"/>
    <w:rsid w:val="0D1A0B8A"/>
    <w:rsid w:val="0F39246B"/>
    <w:rsid w:val="10830C33"/>
    <w:rsid w:val="183D56B0"/>
    <w:rsid w:val="1C0861BD"/>
    <w:rsid w:val="25F36166"/>
    <w:rsid w:val="34F7096A"/>
    <w:rsid w:val="648465E0"/>
    <w:rsid w:val="70F11AAC"/>
    <w:rsid w:val="7B561BF0"/>
    <w:rsid w:val="7F43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雨轩</cp:lastModifiedBy>
  <cp:lastPrinted>2021-01-25T08:56:34Z</cp:lastPrinted>
  <dcterms:modified xsi:type="dcterms:W3CDTF">2021-01-25T09:00:40Z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