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铜川市耀州区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石柱镇人民政府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年政府信息公开工作年度报告</w:t>
      </w:r>
    </w:p>
    <w:p>
      <w:pPr>
        <w:spacing w:line="560" w:lineRule="exact"/>
        <w:rPr>
          <w:rFonts w:ascii="仿宋_GB2312" w:hAnsi="宋体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</w:rPr>
        <w:t>一、总体情况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（一）概述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20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宋体" w:eastAsia="仿宋_GB2312"/>
          <w:sz w:val="32"/>
          <w:szCs w:val="32"/>
        </w:rPr>
        <w:t>年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石柱镇人民政府</w:t>
      </w:r>
      <w:r>
        <w:rPr>
          <w:rFonts w:hint="eastAsia" w:ascii="仿宋_GB2312" w:hAnsi="宋体" w:eastAsia="仿宋_GB2312"/>
          <w:sz w:val="32"/>
          <w:szCs w:val="32"/>
        </w:rPr>
        <w:t>认真贯彻落实《中华人民共和国政府信息公开条例》和《铜川市政府信息公开规定》及有关政府信息公开工作的要求，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进行政务信息公开，扩宽了群众政治参与的渠道，促进了社会和谐稳定，对人民群众关心的涉及自身利益的信息能够做到按月、按季度、按年公开。</w:t>
      </w:r>
      <w:r>
        <w:rPr>
          <w:rFonts w:hint="eastAsia" w:ascii="仿宋_GB2312" w:hAnsi="宋体" w:eastAsia="仿宋_GB2312"/>
          <w:sz w:val="32"/>
          <w:szCs w:val="32"/>
        </w:rPr>
        <w:t>有效保障了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群众对镇政府</w:t>
      </w:r>
      <w:r>
        <w:rPr>
          <w:rFonts w:hint="eastAsia" w:ascii="仿宋_GB2312" w:hAnsi="宋体" w:eastAsia="仿宋_GB2312"/>
          <w:sz w:val="32"/>
          <w:szCs w:val="32"/>
        </w:rPr>
        <w:t>工作的知情权、参与权和监督权。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强化了干部职工的服务意识，方便了群众办事，大大提升了行政效能。</w:t>
      </w:r>
      <w:r>
        <w:rPr>
          <w:rFonts w:ascii="仿宋_GB2312" w:hAnsi="宋体" w:eastAsia="仿宋_GB2312"/>
          <w:sz w:val="32"/>
          <w:szCs w:val="32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（二）主动公开信息情况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石柱镇人民政府主要通过微信、电子显示屏、公开栏等形式主动公开需要社会广泛知晓的宣传、政策解读等相关信息共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205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条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,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包含扶贫、民生、救灾、项目、任职、产业、工商、农业、人居环境、疫情防控等多个方面。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（三）依申请公开政府信息情况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20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宋体" w:eastAsia="仿宋_GB2312"/>
          <w:sz w:val="32"/>
          <w:szCs w:val="32"/>
        </w:rPr>
        <w:t>年，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石柱镇人民政府</w:t>
      </w:r>
      <w:r>
        <w:rPr>
          <w:rFonts w:hint="eastAsia" w:ascii="仿宋_GB2312" w:hAnsi="宋体" w:eastAsia="仿宋_GB2312"/>
          <w:sz w:val="32"/>
          <w:szCs w:val="32"/>
        </w:rPr>
        <w:t>未受理依申请公开事项。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（四）政府信息管理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石柱镇人民政府</w:t>
      </w:r>
      <w:r>
        <w:rPr>
          <w:rFonts w:ascii="仿宋_GB2312" w:hAnsi="宋体" w:eastAsia="仿宋_GB2312"/>
          <w:sz w:val="32"/>
          <w:szCs w:val="32"/>
        </w:rPr>
        <w:t>20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宋体" w:eastAsia="仿宋_GB2312"/>
          <w:sz w:val="32"/>
          <w:szCs w:val="32"/>
        </w:rPr>
        <w:t>年政务信息公开工作，围绕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石柱镇</w:t>
      </w:r>
      <w:r>
        <w:rPr>
          <w:rFonts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宋体" w:eastAsia="仿宋_GB2312"/>
          <w:sz w:val="32"/>
          <w:szCs w:val="32"/>
        </w:rPr>
        <w:t>年脱贫攻坚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、项目库、民生兜底、项目建设、小额信贷、重点优抚对象、市场监管信息、农业产业项目、任职、文明创建等重点方面进行公示。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（五）平台建设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石柱镇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政府信息平台2020年采取利用传统公示栏方式+新型自媒体微信公众号相结合</w:t>
      </w:r>
      <w:r>
        <w:rPr>
          <w:rFonts w:hint="eastAsia" w:ascii="仿宋_GB2312" w:hAnsi="宋体" w:eastAsia="仿宋_GB2312"/>
          <w:sz w:val="32"/>
          <w:szCs w:val="32"/>
        </w:rPr>
        <w:t>方式及时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面</w:t>
      </w:r>
      <w:r>
        <w:rPr>
          <w:rFonts w:hint="eastAsia" w:ascii="仿宋_GB2312" w:hAnsi="宋体" w:eastAsia="仿宋_GB2312"/>
          <w:sz w:val="32"/>
          <w:szCs w:val="32"/>
        </w:rPr>
        <w:t>向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基层群众</w:t>
      </w:r>
      <w:r>
        <w:rPr>
          <w:rFonts w:hint="eastAsia" w:ascii="仿宋_GB2312" w:hAnsi="宋体" w:eastAsia="仿宋_GB2312"/>
          <w:sz w:val="32"/>
          <w:szCs w:val="32"/>
        </w:rPr>
        <w:t>发布相关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的政务、</w:t>
      </w:r>
      <w:r>
        <w:rPr>
          <w:rFonts w:hint="eastAsia" w:ascii="仿宋_GB2312" w:hAnsi="宋体" w:eastAsia="仿宋_GB2312"/>
          <w:sz w:val="32"/>
          <w:szCs w:val="32"/>
        </w:rPr>
        <w:t>信息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。满足了多群体不同需求，提高了政府服务能力。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38" w:leftChars="304"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（六）人大建议和政协提案办理结果公开情况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20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宋体" w:eastAsia="仿宋_GB2312"/>
          <w:sz w:val="32"/>
          <w:szCs w:val="32"/>
        </w:rPr>
        <w:t>年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石柱镇人民政府</w:t>
      </w:r>
      <w:r>
        <w:rPr>
          <w:rFonts w:hint="eastAsia" w:ascii="仿宋_GB2312" w:hAnsi="宋体" w:eastAsia="仿宋_GB2312"/>
          <w:sz w:val="32"/>
          <w:szCs w:val="32"/>
        </w:rPr>
        <w:t>未收到需书面回复的人大建议及政协提案。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宋体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 xml:space="preserve"> </w:t>
      </w:r>
    </w:p>
    <w:p>
      <w:pPr>
        <w:spacing w:line="560" w:lineRule="exact"/>
        <w:ind w:firstLine="4800" w:firstLineChars="1500"/>
        <w:rPr>
          <w:rFonts w:ascii="仿宋_GB2312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 xml:space="preserve"> </w:t>
      </w:r>
    </w:p>
    <w:p>
      <w:pPr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 xml:space="preserve"> </w:t>
      </w:r>
    </w:p>
    <w:p>
      <w:pPr>
        <w:pStyle w:val="2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 xml:space="preserve"> </w:t>
      </w:r>
    </w:p>
    <w:p>
      <w:pPr>
        <w:pStyle w:val="2"/>
        <w:rPr>
          <w:rFonts w:ascii="仿宋_GB2312" w:hAnsi="宋体" w:eastAsia="仿宋_GB2312"/>
          <w:sz w:val="32"/>
          <w:szCs w:val="32"/>
        </w:rPr>
      </w:pPr>
    </w:p>
    <w:p>
      <w:pPr>
        <w:pStyle w:val="2"/>
        <w:rPr>
          <w:rFonts w:ascii="仿宋_GB2312" w:hAnsi="宋体" w:eastAsia="仿宋_GB2312"/>
          <w:sz w:val="32"/>
          <w:szCs w:val="32"/>
        </w:rPr>
      </w:pPr>
    </w:p>
    <w:p>
      <w:pPr>
        <w:pStyle w:val="2"/>
        <w:rPr>
          <w:rFonts w:ascii="仿宋_GB2312" w:hAnsi="宋体" w:eastAsia="仿宋_GB2312"/>
          <w:sz w:val="32"/>
          <w:szCs w:val="32"/>
        </w:rPr>
      </w:pPr>
    </w:p>
    <w:p>
      <w:pPr>
        <w:pStyle w:val="2"/>
        <w:rPr>
          <w:rFonts w:ascii="仿宋_GB2312" w:hAnsi="宋体" w:eastAsia="仿宋_GB2312"/>
          <w:sz w:val="32"/>
          <w:szCs w:val="32"/>
        </w:rPr>
      </w:pPr>
    </w:p>
    <w:p>
      <w:pPr>
        <w:pStyle w:val="2"/>
        <w:rPr>
          <w:rFonts w:ascii="仿宋_GB2312" w:hAnsi="宋体" w:eastAsia="仿宋_GB2312"/>
          <w:sz w:val="32"/>
          <w:szCs w:val="32"/>
        </w:rPr>
      </w:pPr>
    </w:p>
    <w:p>
      <w:pPr>
        <w:pStyle w:val="2"/>
        <w:rPr>
          <w:rFonts w:ascii="仿宋_GB2312" w:hAnsi="宋体" w:eastAsia="仿宋_GB2312"/>
          <w:sz w:val="32"/>
          <w:szCs w:val="32"/>
        </w:rPr>
      </w:pPr>
    </w:p>
    <w:p>
      <w:pPr>
        <w:pStyle w:val="2"/>
        <w:ind w:left="0" w:leftChars="0" w:firstLine="0" w:firstLineChars="0"/>
        <w:rPr>
          <w:rFonts w:ascii="仿宋_GB2312" w:hAnsi="宋体" w:eastAsia="仿宋_GB2312"/>
          <w:sz w:val="32"/>
          <w:szCs w:val="32"/>
        </w:rPr>
      </w:pPr>
    </w:p>
    <w:p>
      <w:pPr>
        <w:ind w:firstLine="640" w:firstLineChars="200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二、主动公开政府信息情况</w:t>
      </w:r>
    </w:p>
    <w:tbl>
      <w:tblPr>
        <w:tblStyle w:val="4"/>
        <w:tblW w:w="8820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192"/>
        <w:gridCol w:w="2238"/>
        <w:gridCol w:w="2372"/>
        <w:gridCol w:w="2018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3" w:hRule="atLeast"/>
          <w:jc w:val="center"/>
        </w:trPr>
        <w:tc>
          <w:tcPr>
            <w:tcW w:w="8820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第二十条第（一）项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0" w:hRule="atLeas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信息内容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本年新制作数量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本年新公开数量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对外公开总数量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4" w:hRule="atLeas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规章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3" w:hRule="atLeas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规范性文件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3" w:hRule="atLeast"/>
          <w:jc w:val="center"/>
        </w:trPr>
        <w:tc>
          <w:tcPr>
            <w:tcW w:w="8820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第二十条第（五）项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8" w:hRule="atLeas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信息内容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上一年项目数量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本年增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hint="eastAsia" w:ascii="宋体" w:hAnsi="宋体"/>
                <w:sz w:val="18"/>
                <w:szCs w:val="18"/>
              </w:rPr>
              <w:t>减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处理决定数量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3" w:hRule="atLeas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行政许可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4" w:hRule="atLeas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其他对外管理服务事项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1" w:hRule="atLeast"/>
          <w:jc w:val="center"/>
        </w:trPr>
        <w:tc>
          <w:tcPr>
            <w:tcW w:w="8820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第二十条第（六）项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3" w:hRule="atLeas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信息内容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上一年项目数量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本年增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hint="eastAsia" w:ascii="宋体" w:hAnsi="宋体"/>
                <w:sz w:val="18"/>
                <w:szCs w:val="18"/>
              </w:rPr>
              <w:t>减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处理决定数量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4" w:hRule="atLeas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行政处罚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1" w:hRule="atLeas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行政强制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3" w:hRule="atLeast"/>
          <w:jc w:val="center"/>
        </w:trPr>
        <w:tc>
          <w:tcPr>
            <w:tcW w:w="8820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第二十条第（八）项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3" w:hRule="atLeas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信息内容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上一年项目数量</w:t>
            </w:r>
          </w:p>
        </w:tc>
        <w:tc>
          <w:tcPr>
            <w:tcW w:w="439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本年增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hint="eastAsia" w:ascii="宋体" w:hAnsi="宋体"/>
                <w:sz w:val="18"/>
                <w:szCs w:val="18"/>
              </w:rPr>
              <w:t>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3" w:hRule="atLeas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行政事业性收费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4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3" w:hRule="atLeast"/>
          <w:jc w:val="center"/>
        </w:trPr>
        <w:tc>
          <w:tcPr>
            <w:tcW w:w="8820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第二十条第（九）项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3" w:hRule="atLeas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信息内容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采购项目数量</w:t>
            </w:r>
          </w:p>
        </w:tc>
        <w:tc>
          <w:tcPr>
            <w:tcW w:w="439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采购总金额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8" w:hRule="atLeas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政府集中釆购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4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700万元</w:t>
            </w:r>
          </w:p>
        </w:tc>
      </w:tr>
    </w:tbl>
    <w:p>
      <w:pPr>
        <w:rPr>
          <w:rFonts w:ascii="宋体"/>
          <w:sz w:val="18"/>
          <w:szCs w:val="18"/>
        </w:rPr>
      </w:pPr>
      <w:r>
        <w:rPr>
          <w:rFonts w:ascii="宋体"/>
          <w:sz w:val="18"/>
          <w:szCs w:val="18"/>
        </w:rPr>
        <w:br w:type="page"/>
      </w:r>
    </w:p>
    <w:p>
      <w:pPr>
        <w:ind w:firstLine="640" w:firstLineChars="200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三、收到和处理政府信息公开申请情况</w:t>
      </w:r>
    </w:p>
    <w:tbl>
      <w:tblPr>
        <w:tblStyle w:val="4"/>
        <w:tblW w:w="87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92"/>
        <w:gridCol w:w="1468"/>
        <w:gridCol w:w="2810"/>
        <w:gridCol w:w="636"/>
        <w:gridCol w:w="570"/>
        <w:gridCol w:w="570"/>
        <w:gridCol w:w="555"/>
        <w:gridCol w:w="570"/>
        <w:gridCol w:w="525"/>
        <w:gridCol w:w="4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3" w:hRule="atLeast"/>
          <w:jc w:val="center"/>
        </w:trPr>
        <w:tc>
          <w:tcPr>
            <w:tcW w:w="4870" w:type="dxa"/>
            <w:gridSpan w:val="3"/>
            <w:vMerge w:val="restart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（本列数据的勾稽关系为：第一项加第二项之和，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等于第三项加第四项之和）</w:t>
            </w:r>
          </w:p>
        </w:tc>
        <w:tc>
          <w:tcPr>
            <w:tcW w:w="3894" w:type="dxa"/>
            <w:gridSpan w:val="7"/>
            <w:tcBorders>
              <w:left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6" w:hRule="atLeast"/>
          <w:jc w:val="center"/>
        </w:trPr>
        <w:tc>
          <w:tcPr>
            <w:tcW w:w="4870" w:type="dxa"/>
            <w:gridSpan w:val="3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636" w:type="dxa"/>
            <w:vMerge w:val="restart"/>
            <w:tcBorders>
              <w:top w:val="nil"/>
              <w:left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自然人</w:t>
            </w:r>
          </w:p>
        </w:tc>
        <w:tc>
          <w:tcPr>
            <w:tcW w:w="2790" w:type="dxa"/>
            <w:gridSpan w:val="5"/>
            <w:tcBorders>
              <w:left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法人或其他组织</w:t>
            </w:r>
          </w:p>
        </w:tc>
        <w:tc>
          <w:tcPr>
            <w:tcW w:w="468" w:type="dxa"/>
            <w:vMerge w:val="restart"/>
            <w:tcBorders>
              <w:left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03" w:hRule="atLeast"/>
          <w:jc w:val="center"/>
        </w:trPr>
        <w:tc>
          <w:tcPr>
            <w:tcW w:w="4870" w:type="dxa"/>
            <w:gridSpan w:val="3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636" w:type="dxa"/>
            <w:vMerge w:val="continue"/>
            <w:tcBorders>
              <w:top w:val="nil"/>
              <w:lef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商业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企业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科研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机构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社会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公益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组织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法律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服务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机构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其他</w:t>
            </w:r>
          </w:p>
        </w:tc>
        <w:tc>
          <w:tcPr>
            <w:tcW w:w="468" w:type="dxa"/>
            <w:vMerge w:val="continue"/>
            <w:tcBorders>
              <w:lef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atLeast"/>
          <w:jc w:val="center"/>
        </w:trPr>
        <w:tc>
          <w:tcPr>
            <w:tcW w:w="4870" w:type="dxa"/>
            <w:gridSpan w:val="3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一、本年新收政府信息公开申请数量</w:t>
            </w:r>
          </w:p>
        </w:tc>
        <w:tc>
          <w:tcPr>
            <w:tcW w:w="636" w:type="dxa"/>
            <w:tcBorders>
              <w:left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  <w:jc w:val="center"/>
        </w:trPr>
        <w:tc>
          <w:tcPr>
            <w:tcW w:w="4870" w:type="dxa"/>
            <w:gridSpan w:val="3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二、上年结转政府信息公开申请数量</w:t>
            </w:r>
          </w:p>
        </w:tc>
        <w:tc>
          <w:tcPr>
            <w:tcW w:w="636" w:type="dxa"/>
            <w:tcBorders>
              <w:left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8" w:hRule="atLeast"/>
          <w:jc w:val="center"/>
        </w:trPr>
        <w:tc>
          <w:tcPr>
            <w:tcW w:w="592" w:type="dxa"/>
            <w:vMerge w:val="restart"/>
            <w:tcBorders>
              <w:top w:val="nil"/>
            </w:tcBorders>
            <w:shd w:val="clear" w:color="auto" w:fill="FFFFFF"/>
            <w:noWrap w:val="0"/>
            <w:textDirection w:val="tbRlV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三、本年度办理结果</w:t>
            </w:r>
          </w:p>
        </w:tc>
        <w:tc>
          <w:tcPr>
            <w:tcW w:w="4278" w:type="dxa"/>
            <w:gridSpan w:val="2"/>
            <w:tcBorders>
              <w:left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（一）予以公开</w:t>
            </w:r>
          </w:p>
        </w:tc>
        <w:tc>
          <w:tcPr>
            <w:tcW w:w="636" w:type="dxa"/>
            <w:tcBorders>
              <w:left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atLeast"/>
          <w:jc w:val="center"/>
        </w:trPr>
        <w:tc>
          <w:tcPr>
            <w:tcW w:w="592" w:type="dxa"/>
            <w:vMerge w:val="continue"/>
            <w:tcBorders>
              <w:top w:val="nil"/>
            </w:tcBorders>
            <w:shd w:val="clear" w:color="auto" w:fill="auto"/>
            <w:noWrap w:val="0"/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4278" w:type="dxa"/>
            <w:gridSpan w:val="2"/>
            <w:tcBorders>
              <w:left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（二）部分公开（区分处理的，只计这一情形，不计其他情形）</w:t>
            </w:r>
          </w:p>
        </w:tc>
        <w:tc>
          <w:tcPr>
            <w:tcW w:w="636" w:type="dxa"/>
            <w:tcBorders>
              <w:left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6" w:hRule="atLeast"/>
          <w:jc w:val="center"/>
        </w:trPr>
        <w:tc>
          <w:tcPr>
            <w:tcW w:w="592" w:type="dxa"/>
            <w:vMerge w:val="continue"/>
            <w:tcBorders>
              <w:top w:val="nil"/>
            </w:tcBorders>
            <w:shd w:val="clear" w:color="auto" w:fill="auto"/>
            <w:noWrap w:val="0"/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68" w:type="dxa"/>
            <w:vMerge w:val="restart"/>
            <w:tcBorders>
              <w:top w:val="nil"/>
              <w:left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left"/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（三）不予公开</w:t>
            </w:r>
          </w:p>
        </w:tc>
        <w:tc>
          <w:tcPr>
            <w:tcW w:w="2810" w:type="dxa"/>
            <w:tcBorders>
              <w:left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eastAsia="en-US"/>
              </w:rPr>
              <w:t>1.</w:t>
            </w: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属于国家秘密</w:t>
            </w:r>
          </w:p>
        </w:tc>
        <w:tc>
          <w:tcPr>
            <w:tcW w:w="636" w:type="dxa"/>
            <w:tcBorders>
              <w:left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1" w:hRule="atLeast"/>
          <w:jc w:val="center"/>
        </w:trPr>
        <w:tc>
          <w:tcPr>
            <w:tcW w:w="592" w:type="dxa"/>
            <w:vMerge w:val="continue"/>
            <w:tcBorders>
              <w:top w:val="nil"/>
            </w:tcBorders>
            <w:shd w:val="clear" w:color="auto" w:fill="auto"/>
            <w:noWrap w:val="0"/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68" w:type="dxa"/>
            <w:vMerge w:val="continue"/>
            <w:tcBorders>
              <w:top w:val="nil"/>
              <w:left w:val="nil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2810" w:type="dxa"/>
            <w:tcBorders>
              <w:left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spacing w:val="-6"/>
                <w:kern w:val="32"/>
                <w:szCs w:val="21"/>
              </w:rPr>
              <w:t>2.</w:t>
            </w:r>
            <w:r>
              <w:rPr>
                <w:rFonts w:hint="eastAsia" w:ascii="宋体" w:hAnsi="宋体" w:cs="宋体"/>
                <w:snapToGrid w:val="0"/>
                <w:spacing w:val="-6"/>
                <w:kern w:val="32"/>
                <w:szCs w:val="21"/>
                <w:lang w:val="zh-CN"/>
              </w:rPr>
              <w:t>其他法律行政法规禁止公开</w:t>
            </w:r>
          </w:p>
        </w:tc>
        <w:tc>
          <w:tcPr>
            <w:tcW w:w="636" w:type="dxa"/>
            <w:tcBorders>
              <w:left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atLeast"/>
          <w:jc w:val="center"/>
        </w:trPr>
        <w:tc>
          <w:tcPr>
            <w:tcW w:w="592" w:type="dxa"/>
            <w:vMerge w:val="continue"/>
            <w:tcBorders>
              <w:top w:val="nil"/>
            </w:tcBorders>
            <w:shd w:val="clear" w:color="auto" w:fill="auto"/>
            <w:noWrap w:val="0"/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68" w:type="dxa"/>
            <w:vMerge w:val="continue"/>
            <w:tcBorders>
              <w:top w:val="nil"/>
              <w:left w:val="nil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2810" w:type="dxa"/>
            <w:tcBorders>
              <w:left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</w:rPr>
              <w:t>3.</w:t>
            </w: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危及“三安全一稳定”</w:t>
            </w:r>
          </w:p>
        </w:tc>
        <w:tc>
          <w:tcPr>
            <w:tcW w:w="636" w:type="dxa"/>
            <w:tcBorders>
              <w:left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6" w:hRule="atLeast"/>
          <w:jc w:val="center"/>
        </w:trPr>
        <w:tc>
          <w:tcPr>
            <w:tcW w:w="592" w:type="dxa"/>
            <w:vMerge w:val="continue"/>
            <w:tcBorders>
              <w:top w:val="nil"/>
            </w:tcBorders>
            <w:shd w:val="clear" w:color="auto" w:fill="auto"/>
            <w:noWrap w:val="0"/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68" w:type="dxa"/>
            <w:vMerge w:val="continue"/>
            <w:tcBorders>
              <w:top w:val="nil"/>
              <w:left w:val="nil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2810" w:type="dxa"/>
            <w:tcBorders>
              <w:left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4</w:t>
            </w:r>
            <w:r>
              <w:rPr>
                <w:rFonts w:hint="eastAsia" w:ascii="宋体" w:hAnsi="宋体" w:cs="宋体"/>
                <w:snapToGrid w:val="0"/>
                <w:kern w:val="32"/>
                <w:szCs w:val="21"/>
              </w:rPr>
              <w:t>.</w:t>
            </w: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保护第三方合法权益</w:t>
            </w:r>
          </w:p>
        </w:tc>
        <w:tc>
          <w:tcPr>
            <w:tcW w:w="636" w:type="dxa"/>
            <w:tcBorders>
              <w:left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6" w:hRule="atLeast"/>
          <w:jc w:val="center"/>
        </w:trPr>
        <w:tc>
          <w:tcPr>
            <w:tcW w:w="592" w:type="dxa"/>
            <w:vMerge w:val="continue"/>
            <w:tcBorders>
              <w:top w:val="nil"/>
            </w:tcBorders>
            <w:shd w:val="clear" w:color="auto" w:fill="auto"/>
            <w:noWrap w:val="0"/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68" w:type="dxa"/>
            <w:vMerge w:val="continue"/>
            <w:tcBorders>
              <w:top w:val="nil"/>
              <w:left w:val="nil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2810" w:type="dxa"/>
            <w:tcBorders>
              <w:left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</w:rPr>
              <w:t>5.</w:t>
            </w: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属于三类内部事务信息</w:t>
            </w:r>
          </w:p>
        </w:tc>
        <w:tc>
          <w:tcPr>
            <w:tcW w:w="636" w:type="dxa"/>
            <w:tcBorders>
              <w:left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6" w:hRule="atLeast"/>
          <w:jc w:val="center"/>
        </w:trPr>
        <w:tc>
          <w:tcPr>
            <w:tcW w:w="592" w:type="dxa"/>
            <w:vMerge w:val="continue"/>
            <w:tcBorders>
              <w:top w:val="nil"/>
            </w:tcBorders>
            <w:shd w:val="clear" w:color="auto" w:fill="auto"/>
            <w:noWrap w:val="0"/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68" w:type="dxa"/>
            <w:vMerge w:val="continue"/>
            <w:tcBorders>
              <w:top w:val="nil"/>
              <w:left w:val="nil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2810" w:type="dxa"/>
            <w:tcBorders>
              <w:left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eastAsia="en-US"/>
              </w:rPr>
              <w:t>6.</w:t>
            </w: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属于四类过程性信息</w:t>
            </w:r>
          </w:p>
        </w:tc>
        <w:tc>
          <w:tcPr>
            <w:tcW w:w="636" w:type="dxa"/>
            <w:tcBorders>
              <w:left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6" w:hRule="atLeast"/>
          <w:jc w:val="center"/>
        </w:trPr>
        <w:tc>
          <w:tcPr>
            <w:tcW w:w="592" w:type="dxa"/>
            <w:vMerge w:val="continue"/>
            <w:tcBorders>
              <w:top w:val="nil"/>
            </w:tcBorders>
            <w:shd w:val="clear" w:color="auto" w:fill="auto"/>
            <w:noWrap w:val="0"/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68" w:type="dxa"/>
            <w:vMerge w:val="continue"/>
            <w:tcBorders>
              <w:top w:val="nil"/>
              <w:left w:val="nil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2810" w:type="dxa"/>
            <w:tcBorders>
              <w:left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eastAsia="en-US"/>
              </w:rPr>
              <w:t>7.</w:t>
            </w: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属于行政执法案卷</w:t>
            </w:r>
          </w:p>
        </w:tc>
        <w:tc>
          <w:tcPr>
            <w:tcW w:w="636" w:type="dxa"/>
            <w:tcBorders>
              <w:left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6" w:hRule="atLeast"/>
          <w:jc w:val="center"/>
        </w:trPr>
        <w:tc>
          <w:tcPr>
            <w:tcW w:w="592" w:type="dxa"/>
            <w:vMerge w:val="continue"/>
            <w:tcBorders>
              <w:top w:val="nil"/>
            </w:tcBorders>
            <w:shd w:val="clear" w:color="auto" w:fill="auto"/>
            <w:noWrap w:val="0"/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68" w:type="dxa"/>
            <w:vMerge w:val="continue"/>
            <w:tcBorders>
              <w:top w:val="nil"/>
              <w:left w:val="nil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2810" w:type="dxa"/>
            <w:tcBorders>
              <w:left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eastAsia="en-US"/>
              </w:rPr>
              <w:t>8.</w:t>
            </w: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属于行政查询事项</w:t>
            </w:r>
          </w:p>
        </w:tc>
        <w:tc>
          <w:tcPr>
            <w:tcW w:w="636" w:type="dxa"/>
            <w:tcBorders>
              <w:left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6" w:hRule="atLeast"/>
          <w:jc w:val="center"/>
        </w:trPr>
        <w:tc>
          <w:tcPr>
            <w:tcW w:w="592" w:type="dxa"/>
            <w:vMerge w:val="continue"/>
            <w:tcBorders>
              <w:top w:val="nil"/>
            </w:tcBorders>
            <w:shd w:val="clear" w:color="auto" w:fill="auto"/>
            <w:noWrap w:val="0"/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68" w:type="dxa"/>
            <w:vMerge w:val="restart"/>
            <w:tcBorders>
              <w:top w:val="nil"/>
              <w:left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left"/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（四）无法提供</w:t>
            </w:r>
          </w:p>
        </w:tc>
        <w:tc>
          <w:tcPr>
            <w:tcW w:w="2810" w:type="dxa"/>
            <w:tcBorders>
              <w:left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spacing w:val="-6"/>
                <w:kern w:val="32"/>
                <w:szCs w:val="21"/>
              </w:rPr>
              <w:t>1.</w:t>
            </w:r>
            <w:r>
              <w:rPr>
                <w:rFonts w:hint="eastAsia" w:ascii="宋体" w:hAnsi="宋体" w:cs="宋体"/>
                <w:snapToGrid w:val="0"/>
                <w:spacing w:val="-6"/>
                <w:kern w:val="32"/>
                <w:szCs w:val="21"/>
                <w:lang w:val="zh-CN"/>
              </w:rPr>
              <w:t>本机关不掌握相关政府信息</w:t>
            </w:r>
          </w:p>
        </w:tc>
        <w:tc>
          <w:tcPr>
            <w:tcW w:w="636" w:type="dxa"/>
            <w:tcBorders>
              <w:left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1" w:hRule="atLeast"/>
          <w:jc w:val="center"/>
        </w:trPr>
        <w:tc>
          <w:tcPr>
            <w:tcW w:w="592" w:type="dxa"/>
            <w:vMerge w:val="continue"/>
            <w:tcBorders>
              <w:top w:val="nil"/>
            </w:tcBorders>
            <w:shd w:val="clear" w:color="auto" w:fill="auto"/>
            <w:noWrap w:val="0"/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68" w:type="dxa"/>
            <w:vMerge w:val="continue"/>
            <w:tcBorders>
              <w:top w:val="nil"/>
              <w:left w:val="nil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2810" w:type="dxa"/>
            <w:tcBorders>
              <w:left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spacing w:val="-6"/>
                <w:kern w:val="32"/>
                <w:szCs w:val="21"/>
              </w:rPr>
              <w:t>2.</w:t>
            </w:r>
            <w:r>
              <w:rPr>
                <w:rFonts w:hint="eastAsia" w:ascii="宋体" w:hAnsi="宋体" w:cs="宋体"/>
                <w:snapToGrid w:val="0"/>
                <w:spacing w:val="-6"/>
                <w:kern w:val="32"/>
                <w:szCs w:val="21"/>
                <w:lang w:val="zh-CN"/>
              </w:rPr>
              <w:t>没有现成信息需要另行制作</w:t>
            </w:r>
          </w:p>
        </w:tc>
        <w:tc>
          <w:tcPr>
            <w:tcW w:w="636" w:type="dxa"/>
            <w:tcBorders>
              <w:left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8" w:hRule="atLeast"/>
          <w:jc w:val="center"/>
        </w:trPr>
        <w:tc>
          <w:tcPr>
            <w:tcW w:w="592" w:type="dxa"/>
            <w:vMerge w:val="continue"/>
            <w:tcBorders>
              <w:top w:val="nil"/>
            </w:tcBorders>
            <w:shd w:val="clear" w:color="auto" w:fill="auto"/>
            <w:noWrap w:val="0"/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68" w:type="dxa"/>
            <w:vMerge w:val="continue"/>
            <w:tcBorders>
              <w:top w:val="nil"/>
              <w:left w:val="nil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2810" w:type="dxa"/>
            <w:tcBorders>
              <w:left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</w:rPr>
              <w:t>3.</w:t>
            </w: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补正后申请内容仍不明确</w:t>
            </w:r>
          </w:p>
        </w:tc>
        <w:tc>
          <w:tcPr>
            <w:tcW w:w="636" w:type="dxa"/>
            <w:tcBorders>
              <w:left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8" w:hRule="atLeast"/>
          <w:jc w:val="center"/>
        </w:trPr>
        <w:tc>
          <w:tcPr>
            <w:tcW w:w="592" w:type="dxa"/>
            <w:vMerge w:val="continue"/>
            <w:tcBorders>
              <w:top w:val="nil"/>
            </w:tcBorders>
            <w:shd w:val="clear" w:color="auto" w:fill="auto"/>
            <w:noWrap w:val="0"/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68" w:type="dxa"/>
            <w:vMerge w:val="restart"/>
            <w:tcBorders>
              <w:top w:val="nil"/>
              <w:left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left"/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（五）不予处理</w:t>
            </w:r>
          </w:p>
        </w:tc>
        <w:tc>
          <w:tcPr>
            <w:tcW w:w="2810" w:type="dxa"/>
            <w:tcBorders>
              <w:left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eastAsia="en-US"/>
              </w:rPr>
              <w:t>1.</w:t>
            </w: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信访举报投诉类申请</w:t>
            </w:r>
          </w:p>
        </w:tc>
        <w:tc>
          <w:tcPr>
            <w:tcW w:w="636" w:type="dxa"/>
            <w:tcBorders>
              <w:left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8" w:hRule="atLeast"/>
          <w:jc w:val="center"/>
        </w:trPr>
        <w:tc>
          <w:tcPr>
            <w:tcW w:w="592" w:type="dxa"/>
            <w:vMerge w:val="continue"/>
            <w:tcBorders>
              <w:top w:val="nil"/>
            </w:tcBorders>
            <w:shd w:val="clear" w:color="auto" w:fill="auto"/>
            <w:noWrap w:val="0"/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68" w:type="dxa"/>
            <w:vMerge w:val="continue"/>
            <w:tcBorders>
              <w:top w:val="nil"/>
              <w:left w:val="nil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2810" w:type="dxa"/>
            <w:tcBorders>
              <w:left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eastAsia="en-US"/>
              </w:rPr>
              <w:t>2.</w:t>
            </w: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重复申请</w:t>
            </w:r>
          </w:p>
        </w:tc>
        <w:tc>
          <w:tcPr>
            <w:tcW w:w="636" w:type="dxa"/>
            <w:tcBorders>
              <w:left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8" w:hRule="atLeast"/>
          <w:jc w:val="center"/>
        </w:trPr>
        <w:tc>
          <w:tcPr>
            <w:tcW w:w="592" w:type="dxa"/>
            <w:vMerge w:val="continue"/>
            <w:tcBorders>
              <w:top w:val="nil"/>
            </w:tcBorders>
            <w:shd w:val="clear" w:color="auto" w:fill="auto"/>
            <w:noWrap w:val="0"/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68" w:type="dxa"/>
            <w:vMerge w:val="continue"/>
            <w:tcBorders>
              <w:top w:val="nil"/>
              <w:left w:val="nil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2810" w:type="dxa"/>
            <w:tcBorders>
              <w:left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eastAsia="en-US"/>
              </w:rPr>
              <w:t>3.</w:t>
            </w: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要求提供公开出版物</w:t>
            </w:r>
          </w:p>
        </w:tc>
        <w:tc>
          <w:tcPr>
            <w:tcW w:w="636" w:type="dxa"/>
            <w:tcBorders>
              <w:left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9" w:hRule="atLeast"/>
          <w:jc w:val="center"/>
        </w:trPr>
        <w:tc>
          <w:tcPr>
            <w:tcW w:w="592" w:type="dxa"/>
            <w:vMerge w:val="continue"/>
            <w:tcBorders>
              <w:top w:val="nil"/>
            </w:tcBorders>
            <w:shd w:val="clear" w:color="auto" w:fill="auto"/>
            <w:noWrap w:val="0"/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68" w:type="dxa"/>
            <w:vMerge w:val="continue"/>
            <w:tcBorders>
              <w:top w:val="nil"/>
              <w:left w:val="nil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2810" w:type="dxa"/>
            <w:tcBorders>
              <w:left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</w:rPr>
              <w:t>4.</w:t>
            </w: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无正当理由大量反复申请</w:t>
            </w:r>
          </w:p>
        </w:tc>
        <w:tc>
          <w:tcPr>
            <w:tcW w:w="636" w:type="dxa"/>
            <w:tcBorders>
              <w:left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9" w:hRule="atLeast"/>
          <w:jc w:val="center"/>
        </w:trPr>
        <w:tc>
          <w:tcPr>
            <w:tcW w:w="592" w:type="dxa"/>
            <w:vMerge w:val="continue"/>
            <w:tcBorders>
              <w:top w:val="nil"/>
            </w:tcBorders>
            <w:shd w:val="clear" w:color="auto" w:fill="auto"/>
            <w:noWrap w:val="0"/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68" w:type="dxa"/>
            <w:vMerge w:val="continue"/>
            <w:tcBorders>
              <w:top w:val="nil"/>
              <w:left w:val="nil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2810" w:type="dxa"/>
            <w:tcBorders>
              <w:left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</w:rPr>
              <w:t>5.</w:t>
            </w: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要求行政机关确认或重新出具已获取信息</w:t>
            </w:r>
          </w:p>
        </w:tc>
        <w:tc>
          <w:tcPr>
            <w:tcW w:w="636" w:type="dxa"/>
            <w:tcBorders>
              <w:left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4" w:hRule="atLeast"/>
          <w:jc w:val="center"/>
        </w:trPr>
        <w:tc>
          <w:tcPr>
            <w:tcW w:w="592" w:type="dxa"/>
            <w:vMerge w:val="continue"/>
            <w:tcBorders>
              <w:top w:val="nil"/>
            </w:tcBorders>
            <w:shd w:val="clear" w:color="auto" w:fill="auto"/>
            <w:noWrap w:val="0"/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4278" w:type="dxa"/>
            <w:gridSpan w:val="2"/>
            <w:tcBorders>
              <w:left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（六）其他处理</w:t>
            </w:r>
          </w:p>
        </w:tc>
        <w:tc>
          <w:tcPr>
            <w:tcW w:w="636" w:type="dxa"/>
            <w:tcBorders>
              <w:left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8" w:hRule="atLeast"/>
          <w:jc w:val="center"/>
        </w:trPr>
        <w:tc>
          <w:tcPr>
            <w:tcW w:w="592" w:type="dxa"/>
            <w:vMerge w:val="continue"/>
            <w:tcBorders>
              <w:top w:val="nil"/>
            </w:tcBorders>
            <w:shd w:val="clear" w:color="auto" w:fill="auto"/>
            <w:noWrap w:val="0"/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4278" w:type="dxa"/>
            <w:gridSpan w:val="2"/>
            <w:tcBorders>
              <w:left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（七）总计</w:t>
            </w:r>
          </w:p>
        </w:tc>
        <w:tc>
          <w:tcPr>
            <w:tcW w:w="636" w:type="dxa"/>
            <w:tcBorders>
              <w:left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8" w:hRule="atLeast"/>
          <w:jc w:val="center"/>
        </w:trPr>
        <w:tc>
          <w:tcPr>
            <w:tcW w:w="4870" w:type="dxa"/>
            <w:gridSpan w:val="3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四、结转下年度继续办理</w:t>
            </w:r>
          </w:p>
        </w:tc>
        <w:tc>
          <w:tcPr>
            <w:tcW w:w="636" w:type="dxa"/>
            <w:tcBorders>
              <w:left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</w:tbl>
    <w:p>
      <w:pPr>
        <w:rPr>
          <w:rFonts w:ascii="黑体" w:hAnsi="宋体" w:eastAsia="黑体"/>
          <w:sz w:val="32"/>
          <w:szCs w:val="32"/>
        </w:rPr>
      </w:pPr>
    </w:p>
    <w:p>
      <w:pPr>
        <w:ind w:firstLine="640" w:firstLineChars="200"/>
        <w:rPr>
          <w:rFonts w:hint="eastAsia" w:ascii="黑体" w:hAnsi="宋体" w:eastAsia="黑体"/>
          <w:sz w:val="32"/>
          <w:szCs w:val="32"/>
        </w:rPr>
      </w:pPr>
    </w:p>
    <w:p>
      <w:pPr>
        <w:ind w:firstLine="640" w:firstLineChars="200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四、政府信息公开行政复议、行政诉讼情况</w:t>
      </w:r>
    </w:p>
    <w:tbl>
      <w:tblPr>
        <w:tblStyle w:val="4"/>
        <w:tblW w:w="8472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66"/>
        <w:gridCol w:w="525"/>
        <w:gridCol w:w="570"/>
        <w:gridCol w:w="495"/>
        <w:gridCol w:w="675"/>
        <w:gridCol w:w="629"/>
        <w:gridCol w:w="585"/>
        <w:gridCol w:w="540"/>
        <w:gridCol w:w="541"/>
        <w:gridCol w:w="510"/>
        <w:gridCol w:w="615"/>
        <w:gridCol w:w="615"/>
        <w:gridCol w:w="630"/>
        <w:gridCol w:w="525"/>
        <w:gridCol w:w="451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1" w:hRule="atLeast"/>
          <w:jc w:val="center"/>
        </w:trPr>
        <w:tc>
          <w:tcPr>
            <w:tcW w:w="2831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行政复议</w:t>
            </w:r>
          </w:p>
        </w:tc>
        <w:tc>
          <w:tcPr>
            <w:tcW w:w="5641" w:type="dxa"/>
            <w:gridSpan w:val="10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行政诉讼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1" w:hRule="atLeast"/>
          <w:jc w:val="center"/>
        </w:trPr>
        <w:tc>
          <w:tcPr>
            <w:tcW w:w="566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结果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维持</w:t>
            </w:r>
          </w:p>
        </w:tc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结果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纠正</w:t>
            </w:r>
          </w:p>
        </w:tc>
        <w:tc>
          <w:tcPr>
            <w:tcW w:w="570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其他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结果</w:t>
            </w:r>
          </w:p>
        </w:tc>
        <w:tc>
          <w:tcPr>
            <w:tcW w:w="495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尚未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审结</w:t>
            </w:r>
          </w:p>
        </w:tc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总计</w:t>
            </w:r>
          </w:p>
        </w:tc>
        <w:tc>
          <w:tcPr>
            <w:tcW w:w="2805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未经复议直接起诉</w:t>
            </w:r>
          </w:p>
        </w:tc>
        <w:tc>
          <w:tcPr>
            <w:tcW w:w="2836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复议后起诉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50" w:hRule="atLeast"/>
          <w:jc w:val="center"/>
        </w:trPr>
        <w:tc>
          <w:tcPr>
            <w:tcW w:w="566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7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95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结果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维持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结果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纠正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其他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结果</w:t>
            </w:r>
          </w:p>
        </w:tc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尚未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审结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总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计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结果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维持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结果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纠正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其他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结果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尚未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审结</w:t>
            </w:r>
          </w:p>
        </w:tc>
        <w:tc>
          <w:tcPr>
            <w:tcW w:w="45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总计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6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</w:tbl>
    <w:p>
      <w:pPr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 xml:space="preserve">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五、</w:t>
      </w:r>
      <w:r>
        <w:rPr>
          <w:rFonts w:hint="eastAsia" w:ascii="黑体" w:hAnsi="黑体" w:eastAsia="黑体" w:cs="黑体"/>
          <w:sz w:val="32"/>
          <w:szCs w:val="32"/>
        </w:rPr>
        <w:t>存在的主要问题及改进情况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/>
        </w:rPr>
      </w:pPr>
      <w:r>
        <w:rPr>
          <w:rFonts w:ascii="仿宋_GB2312" w:hAnsi="Times New Roman" w:eastAsia="仿宋_GB2312" w:cs="仿宋_GB2312"/>
          <w:kern w:val="0"/>
          <w:sz w:val="32"/>
          <w:szCs w:val="32"/>
          <w:lang w:val="en-US" w:eastAsia="zh-CN" w:bidi="ar"/>
        </w:rPr>
        <w:t>20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 w:bidi="ar"/>
        </w:rPr>
        <w:t>20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 w:bidi="ar"/>
        </w:rPr>
        <w:t>年度，我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 w:bidi="ar"/>
        </w:rPr>
        <w:t>镇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 w:bidi="ar"/>
        </w:rPr>
        <w:t>信息公开工作虽然取得了一定的成绩，但还存在一些问题，比如面对政务公开工作日趋重要的现状，工作重视度还不够高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 w:bidi="ar"/>
        </w:rPr>
        <w:t>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群众对政府事务关注度不高，参与意识淡薄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auto"/>
          <w:lang w:eastAsia="zh-CN"/>
        </w:rPr>
        <w:t>等。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6" w:firstLineChars="202"/>
        <w:jc w:val="left"/>
        <w:textAlignment w:val="auto"/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改进措施：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 w:bidi="ar"/>
        </w:rPr>
        <w:t>一是进一步完善工作制度。围绕政务公开绩效评估涉及要点，倒推完善有缺项或存在不足的条目，逐项梳理工作流程，细化工作要点，进一步夯实责任，继续坚持不懈的健全信息公开长效机制，加强信息公开工作的监督和考核，深化信息公开内容，切实抓好项目建设等重点领域的信息公开，确保信息公开的及时、准确、有效，不断提升政府公信力。二是继续加强政策解读工作，重点对涉及群众切身利益的政策调整等进行详细解读，努力做到便民、利民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 w:bidi="ar"/>
        </w:rPr>
        <w:t>。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 w:bidi="ar"/>
        </w:rPr>
        <w:t>三是继续加大信息公开工作力度。对上传信息认真审核，严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 w:bidi="ar"/>
        </w:rPr>
        <w:t>格把关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 w:bidi="ar"/>
        </w:rPr>
        <w:t>，确保信息准确、规范公开。</w:t>
      </w:r>
    </w:p>
    <w:p>
      <w:pPr>
        <w:pStyle w:val="7"/>
        <w:tabs>
          <w:tab w:val="left" w:pos="1210"/>
        </w:tabs>
        <w:spacing w:line="600" w:lineRule="exact"/>
        <w:ind w:firstLine="578"/>
        <w:rPr>
          <w:rFonts w:hint="default" w:ascii="Times New Roman" w:hAnsi="Times New Roman" w:eastAsia="仿宋_GB2312" w:cs="Times New Roman"/>
          <w:snapToGrid w:val="0"/>
          <w:color w:val="000000"/>
          <w:spacing w:val="-23"/>
          <w:sz w:val="32"/>
          <w:szCs w:val="32"/>
        </w:rPr>
      </w:pPr>
      <w:r>
        <w:rPr>
          <w:rFonts w:hint="default" w:ascii="Times New Roman" w:hAnsi="Times New Roman" w:eastAsia="黑体" w:cs="Times New Roman"/>
          <w:snapToGrid w:val="0"/>
          <w:color w:val="000000"/>
          <w:kern w:val="32"/>
          <w:sz w:val="32"/>
          <w:szCs w:val="32"/>
          <w:lang w:val="zh-CN" w:eastAsia="zh-CN" w:bidi="ar-SA"/>
        </w:rPr>
        <w:t>六、</w:t>
      </w:r>
      <w:r>
        <w:rPr>
          <w:rFonts w:hint="default" w:ascii="Times New Roman" w:hAnsi="Times New Roman" w:eastAsia="黑体" w:cs="Times New Roman"/>
          <w:snapToGrid w:val="0"/>
          <w:color w:val="000000"/>
          <w:kern w:val="32"/>
          <w:sz w:val="32"/>
          <w:szCs w:val="32"/>
          <w:lang w:val="en-US" w:eastAsia="zh-CN" w:bidi="ar-SA"/>
        </w:rPr>
        <w:t>无</w:t>
      </w:r>
      <w:r>
        <w:rPr>
          <w:rFonts w:hint="default" w:ascii="Times New Roman" w:hAnsi="Times New Roman" w:eastAsia="黑体" w:cs="Times New Roman"/>
          <w:snapToGrid w:val="0"/>
          <w:color w:val="000000"/>
          <w:kern w:val="32"/>
          <w:sz w:val="32"/>
          <w:szCs w:val="32"/>
          <w:lang w:val="zh-CN" w:eastAsia="zh-CN" w:bidi="ar-SA"/>
        </w:rPr>
        <w:t>其他需要报告的事项</w:t>
      </w:r>
    </w:p>
    <w:bookmarkEnd w:id="0"/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3200" w:firstLineChars="1000"/>
        <w:jc w:val="left"/>
        <w:textAlignment w:val="auto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铜川市耀州区石柱镇人民政府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4160" w:firstLineChars="1300"/>
        <w:textAlignment w:val="auto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2020年1月20日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0" w:firstLineChars="0"/>
        <w:textAlignment w:val="auto"/>
        <w:rPr>
          <w:rFonts w:hint="eastAsia" w:ascii="仿宋_GB2312" w:hAnsi="宋体" w:eastAsia="仿宋_GB2312"/>
          <w:sz w:val="32"/>
          <w:szCs w:val="32"/>
          <w:lang w:val="en-US" w:eastAsia="zh-CN"/>
        </w:rPr>
      </w:pPr>
    </w:p>
    <w:sectPr>
      <w:pgSz w:w="11906" w:h="16838"/>
      <w:pgMar w:top="1440" w:right="1753" w:bottom="1440" w:left="175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269"/>
    <w:rsid w:val="00327169"/>
    <w:rsid w:val="008645F2"/>
    <w:rsid w:val="00884729"/>
    <w:rsid w:val="00A57269"/>
    <w:rsid w:val="016A015E"/>
    <w:rsid w:val="01B87F47"/>
    <w:rsid w:val="04366CFF"/>
    <w:rsid w:val="05DE4567"/>
    <w:rsid w:val="06C77383"/>
    <w:rsid w:val="07DA69A4"/>
    <w:rsid w:val="08DF685C"/>
    <w:rsid w:val="0C184C12"/>
    <w:rsid w:val="0C2A1628"/>
    <w:rsid w:val="0CF902FC"/>
    <w:rsid w:val="14C74C09"/>
    <w:rsid w:val="166F2FBA"/>
    <w:rsid w:val="187F6B06"/>
    <w:rsid w:val="19711A94"/>
    <w:rsid w:val="19C530BD"/>
    <w:rsid w:val="19E45BD7"/>
    <w:rsid w:val="1B5B761C"/>
    <w:rsid w:val="1B9104BF"/>
    <w:rsid w:val="1D571F1E"/>
    <w:rsid w:val="1DE5174B"/>
    <w:rsid w:val="1F012FE9"/>
    <w:rsid w:val="20017BD7"/>
    <w:rsid w:val="204F1DE5"/>
    <w:rsid w:val="25AE3B91"/>
    <w:rsid w:val="29FE64D2"/>
    <w:rsid w:val="2C33032A"/>
    <w:rsid w:val="2F3826DA"/>
    <w:rsid w:val="30F93382"/>
    <w:rsid w:val="31117D0A"/>
    <w:rsid w:val="318D4E6E"/>
    <w:rsid w:val="325300C1"/>
    <w:rsid w:val="33F13104"/>
    <w:rsid w:val="348B31EF"/>
    <w:rsid w:val="37900908"/>
    <w:rsid w:val="37B20364"/>
    <w:rsid w:val="3A9E65DF"/>
    <w:rsid w:val="3BC065D3"/>
    <w:rsid w:val="3BC86B87"/>
    <w:rsid w:val="3CCC49BF"/>
    <w:rsid w:val="3D920560"/>
    <w:rsid w:val="3EE930E5"/>
    <w:rsid w:val="40C72B92"/>
    <w:rsid w:val="40D01C1E"/>
    <w:rsid w:val="42C80564"/>
    <w:rsid w:val="42CC79D9"/>
    <w:rsid w:val="43BD04D7"/>
    <w:rsid w:val="46C126A1"/>
    <w:rsid w:val="4A423003"/>
    <w:rsid w:val="4A9831E9"/>
    <w:rsid w:val="4B3977C2"/>
    <w:rsid w:val="524C7A06"/>
    <w:rsid w:val="54327930"/>
    <w:rsid w:val="579B4FBC"/>
    <w:rsid w:val="591B111D"/>
    <w:rsid w:val="59C14AD1"/>
    <w:rsid w:val="5BBB4535"/>
    <w:rsid w:val="5C693606"/>
    <w:rsid w:val="5CD609C1"/>
    <w:rsid w:val="5CE25D7C"/>
    <w:rsid w:val="5D94441E"/>
    <w:rsid w:val="5E5E07C3"/>
    <w:rsid w:val="5ED0511F"/>
    <w:rsid w:val="5FFE2F70"/>
    <w:rsid w:val="613F5521"/>
    <w:rsid w:val="62393BD7"/>
    <w:rsid w:val="639D2235"/>
    <w:rsid w:val="65D77D9F"/>
    <w:rsid w:val="68991C92"/>
    <w:rsid w:val="68DC1D5D"/>
    <w:rsid w:val="68E13A1E"/>
    <w:rsid w:val="6A2B20AC"/>
    <w:rsid w:val="6A4F685F"/>
    <w:rsid w:val="6BA8281D"/>
    <w:rsid w:val="70A75FBE"/>
    <w:rsid w:val="70F4778B"/>
    <w:rsid w:val="723652FB"/>
    <w:rsid w:val="72891FF2"/>
    <w:rsid w:val="73934284"/>
    <w:rsid w:val="74692C06"/>
    <w:rsid w:val="77B00EB1"/>
    <w:rsid w:val="7C6976AD"/>
    <w:rsid w:val="7EAD4D98"/>
    <w:rsid w:val="7ECC37ED"/>
    <w:rsid w:val="7F21633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</w:style>
  <w:style w:type="paragraph" w:styleId="3">
    <w:name w:val="Plain Text"/>
    <w:basedOn w:val="1"/>
    <w:link w:val="6"/>
    <w:qFormat/>
    <w:uiPriority w:val="99"/>
    <w:rPr>
      <w:rFonts w:ascii="宋体" w:hAnsi="Courier New" w:cs="Courier New"/>
    </w:rPr>
  </w:style>
  <w:style w:type="character" w:customStyle="1" w:styleId="6">
    <w:name w:val="Plain Text Char"/>
    <w:basedOn w:val="5"/>
    <w:link w:val="3"/>
    <w:semiHidden/>
    <w:qFormat/>
    <w:uiPriority w:val="99"/>
    <w:rPr>
      <w:rFonts w:ascii="宋体" w:hAnsi="Courier New" w:cs="Courier New"/>
      <w:szCs w:val="21"/>
    </w:rPr>
  </w:style>
  <w:style w:type="paragraph" w:customStyle="1" w:styleId="7">
    <w:name w:val="Body text|1"/>
    <w:basedOn w:val="1"/>
    <w:qFormat/>
    <w:uiPriority w:val="0"/>
    <w:pPr>
      <w:widowControl w:val="0"/>
      <w:shd w:val="clear" w:color="auto" w:fill="auto"/>
      <w:spacing w:line="442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 China</Company>
  <Pages>6</Pages>
  <Words>347</Words>
  <Characters>1983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2020-01-17T03:37:00Z</dcterms:created>
  <dc:creator>User</dc:creator>
  <cp:lastModifiedBy>晓风飞扬</cp:lastModifiedBy>
  <cp:lastPrinted>2020-01-17T09:03:00Z</cp:lastPrinted>
  <dcterms:modified xsi:type="dcterms:W3CDTF">2021-01-25T09:24:48Z</dcterms:modified>
  <dc:title>铜川市耀州区水务局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