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bookmark28"/>
      <w:r>
        <w:rPr>
          <w:rFonts w:hint="eastAsia" w:ascii="方正小标宋简体" w:hAnsi="方正小标宋简体" w:eastAsia="方正小标宋简体" w:cs="方正小标宋简体"/>
          <w:sz w:val="44"/>
          <w:szCs w:val="44"/>
        </w:rPr>
        <w:t>铜川市耀州区</w:t>
      </w:r>
      <w:r>
        <w:rPr>
          <w:rFonts w:hint="eastAsia" w:ascii="方正小标宋简体" w:hAnsi="方正小标宋简体" w:eastAsia="方正小标宋简体" w:cs="方正小标宋简体"/>
          <w:sz w:val="44"/>
          <w:szCs w:val="44"/>
          <w:lang w:val="en-US" w:eastAsia="zh-CN"/>
        </w:rPr>
        <w:t>行政审批服务</w:t>
      </w:r>
      <w:r>
        <w:rPr>
          <w:rFonts w:hint="eastAsia" w:ascii="方正小标宋简体" w:hAnsi="方正小标宋简体" w:eastAsia="方正小标宋简体" w:cs="方正小标宋简体"/>
          <w:sz w:val="44"/>
          <w:szCs w:val="44"/>
        </w:rPr>
        <w:t>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w:t>
      </w:r>
      <w:r>
        <w:rPr>
          <w:rFonts w:hint="eastAsia" w:ascii="方正小标宋简体" w:hAnsi="方正小标宋简体" w:eastAsia="方正小标宋简体" w:cs="方正小标宋简体"/>
          <w:sz w:val="44"/>
          <w:szCs w:val="44"/>
          <w:lang w:val="en-US" w:eastAsia="zh-CN"/>
        </w:rPr>
        <w:t>政府信息公开</w:t>
      </w:r>
      <w:r>
        <w:rPr>
          <w:rFonts w:hint="eastAsia" w:ascii="方正小标宋简体" w:hAnsi="方正小标宋简体" w:eastAsia="方正小标宋简体" w:cs="方正小标宋简体"/>
          <w:sz w:val="44"/>
          <w:szCs w:val="44"/>
        </w:rPr>
        <w:t>工作年度报告</w:t>
      </w:r>
    </w:p>
    <w:p>
      <w:pPr>
        <w:tabs>
          <w:tab w:val="left" w:pos="7791"/>
        </w:tabs>
        <w:ind w:firstLine="646" w:firstLineChars="202"/>
        <w:rPr>
          <w:rFonts w:hint="default" w:ascii="Times New Roman" w:hAnsi="Times New Roman" w:eastAsia="黑体" w:cs="Times New Roman"/>
          <w:snapToGrid w:val="0"/>
          <w:kern w:val="32"/>
          <w:sz w:val="32"/>
          <w:szCs w:val="32"/>
          <w:lang w:val="en-US" w:eastAsia="zh-CN"/>
        </w:rPr>
      </w:pPr>
      <w:bookmarkStart w:id="5" w:name="_GoBack"/>
      <w:r>
        <w:rPr>
          <w:rFonts w:hint="default" w:ascii="Times New Roman" w:hAnsi="Times New Roman" w:eastAsia="黑体" w:cs="Times New Roman"/>
          <w:snapToGrid w:val="0"/>
          <w:kern w:val="32"/>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（一）概述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2019年，区</w:t>
      </w:r>
      <w:r>
        <w:rPr>
          <w:rFonts w:hint="default" w:ascii="Times New Roman" w:hAnsi="Times New Roman" w:eastAsia="仿宋" w:cs="Times New Roman"/>
          <w:sz w:val="32"/>
          <w:szCs w:val="32"/>
          <w:lang w:val="en-US" w:eastAsia="zh-CN"/>
        </w:rPr>
        <w:t>行政审批服务</w:t>
      </w:r>
      <w:r>
        <w:rPr>
          <w:rFonts w:hint="default" w:ascii="Times New Roman" w:hAnsi="Times New Roman" w:eastAsia="仿宋" w:cs="Times New Roman"/>
          <w:sz w:val="32"/>
          <w:szCs w:val="32"/>
        </w:rPr>
        <w:t>局</w:t>
      </w:r>
      <w:r>
        <w:rPr>
          <w:rFonts w:hint="default" w:ascii="Times New Roman" w:hAnsi="Times New Roman" w:eastAsia="仿宋" w:cs="Times New Roman"/>
          <w:sz w:val="32"/>
          <w:szCs w:val="32"/>
          <w:lang w:val="en-US" w:eastAsia="zh-CN"/>
        </w:rPr>
        <w:t>严格贯彻落实</w:t>
      </w:r>
      <w:r>
        <w:rPr>
          <w:rFonts w:hint="eastAsia" w:eastAsia="仿宋" w:cs="Times New Roman"/>
          <w:sz w:val="32"/>
          <w:szCs w:val="32"/>
          <w:lang w:val="en-US" w:eastAsia="zh-CN"/>
        </w:rPr>
        <w:t>《中华人民共和国行政许可法》</w:t>
      </w:r>
      <w:r>
        <w:rPr>
          <w:rFonts w:hint="default" w:ascii="Times New Roman" w:hAnsi="Times New Roman" w:eastAsia="仿宋" w:cs="Times New Roman"/>
          <w:sz w:val="32"/>
          <w:szCs w:val="32"/>
        </w:rPr>
        <w:t>《中华人民共和国政府信息公开条例》《铜川市政府信息公开规定》及有关政府信息公开工作的要求，坚持将政务信息公开作为推动</w:t>
      </w:r>
      <w:r>
        <w:rPr>
          <w:rFonts w:hint="default" w:ascii="Times New Roman" w:hAnsi="Times New Roman" w:eastAsia="仿宋" w:cs="Times New Roman"/>
          <w:sz w:val="32"/>
          <w:szCs w:val="32"/>
          <w:lang w:val="en-US" w:eastAsia="zh-CN"/>
        </w:rPr>
        <w:t>推进政府职能转变和“放管服”改革</w:t>
      </w:r>
      <w:r>
        <w:rPr>
          <w:rFonts w:hint="default" w:ascii="Times New Roman" w:hAnsi="Times New Roman" w:eastAsia="仿宋" w:cs="Times New Roman"/>
          <w:sz w:val="32"/>
          <w:szCs w:val="32"/>
        </w:rPr>
        <w:t xml:space="preserve">的重要举措，健全工作机制，强化工作措施，不断完善政务公开内容，畅通政务公开渠道，较好完成了信息公开各项工作任务。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（二）主动公开信息情况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 w:cs="Times New Roman"/>
          <w:sz w:val="32"/>
          <w:szCs w:val="32"/>
          <w:lang w:val="en-US" w:eastAsia="zh-CN"/>
        </w:rPr>
      </w:pPr>
      <w:r>
        <w:rPr>
          <w:rFonts w:hint="default" w:ascii="Times New Roman" w:hAnsi="Times New Roman" w:eastAsia="仿宋" w:cs="Times New Roman"/>
          <w:sz w:val="32"/>
          <w:szCs w:val="32"/>
        </w:rPr>
        <w:t>全面推进“互联网+政务服务”建设</w:t>
      </w:r>
      <w:r>
        <w:rPr>
          <w:rFonts w:hint="eastAsia" w:eastAsia="仿宋" w:cs="Times New Roman"/>
          <w:sz w:val="32"/>
          <w:szCs w:val="32"/>
          <w:lang w:eastAsia="zh-CN"/>
        </w:rPr>
        <w:t>，</w:t>
      </w:r>
      <w:r>
        <w:rPr>
          <w:rFonts w:hint="default" w:ascii="Times New Roman" w:hAnsi="Times New Roman" w:eastAsia="仿宋" w:cs="Times New Roman"/>
          <w:sz w:val="32"/>
          <w:szCs w:val="32"/>
        </w:rPr>
        <w:t>完成行政许可事项划转103项，实现网上可办事项586项，网办比例96.54%，梳理最多跑一次事项111项</w:t>
      </w:r>
      <w:r>
        <w:rPr>
          <w:rFonts w:hint="eastAsia" w:eastAsia="仿宋" w:cs="Times New Roman"/>
          <w:sz w:val="32"/>
          <w:szCs w:val="32"/>
          <w:lang w:eastAsia="zh-CN"/>
        </w:rPr>
        <w:t>，</w:t>
      </w:r>
      <w:r>
        <w:rPr>
          <w:rFonts w:hint="default" w:ascii="Times New Roman" w:hAnsi="Times New Roman" w:eastAsia="仿宋" w:cs="Times New Roman"/>
          <w:sz w:val="32"/>
          <w:szCs w:val="32"/>
        </w:rPr>
        <w:t>制定</w:t>
      </w:r>
      <w:r>
        <w:rPr>
          <w:rFonts w:hint="eastAsia" w:eastAsia="仿宋" w:cs="Times New Roman"/>
          <w:sz w:val="32"/>
          <w:szCs w:val="32"/>
          <w:lang w:val="en-US" w:eastAsia="zh-CN"/>
        </w:rPr>
        <w:t>并公布</w:t>
      </w:r>
      <w:r>
        <w:rPr>
          <w:rFonts w:hint="default" w:ascii="Times New Roman" w:hAnsi="Times New Roman" w:eastAsia="仿宋" w:cs="Times New Roman"/>
          <w:sz w:val="32"/>
          <w:szCs w:val="32"/>
        </w:rPr>
        <w:t>《耀州区区级部门行政许可中介服务项目清单》</w:t>
      </w:r>
      <w:r>
        <w:rPr>
          <w:rFonts w:hint="eastAsia" w:eastAsia="仿宋" w:cs="Times New Roman"/>
          <w:sz w:val="32"/>
          <w:szCs w:val="32"/>
          <w:lang w:eastAsia="zh-CN"/>
        </w:rPr>
        <w:t>。</w:t>
      </w:r>
      <w:r>
        <w:rPr>
          <w:rFonts w:hint="default" w:ascii="Times New Roman" w:hAnsi="Times New Roman" w:eastAsia="仿宋" w:cs="Times New Roman"/>
          <w:sz w:val="32"/>
          <w:szCs w:val="32"/>
        </w:rPr>
        <w:t>全年在微信公众号发布政务服务信息</w:t>
      </w:r>
      <w:r>
        <w:rPr>
          <w:rFonts w:hint="default" w:ascii="Times New Roman" w:hAnsi="Times New Roman" w:eastAsia="仿宋" w:cs="Times New Roman"/>
          <w:sz w:val="32"/>
          <w:szCs w:val="32"/>
          <w:lang w:val="en-US" w:eastAsia="zh-CN"/>
        </w:rPr>
        <w:t>33</w:t>
      </w:r>
      <w:r>
        <w:rPr>
          <w:rFonts w:hint="default" w:ascii="Times New Roman" w:hAnsi="Times New Roman" w:eastAsia="仿宋" w:cs="Times New Roman"/>
          <w:sz w:val="32"/>
          <w:szCs w:val="32"/>
        </w:rPr>
        <w:t>条</w:t>
      </w:r>
      <w:r>
        <w:rPr>
          <w:rFonts w:hint="eastAsia" w:eastAsia="仿宋" w:cs="Times New Roman"/>
          <w:sz w:val="32"/>
          <w:szCs w:val="32"/>
          <w:lang w:eastAsia="zh-CN"/>
        </w:rPr>
        <w:t>，</w:t>
      </w:r>
      <w:r>
        <w:rPr>
          <w:rFonts w:hint="eastAsia" w:eastAsia="仿宋" w:cs="Times New Roman"/>
          <w:sz w:val="32"/>
          <w:szCs w:val="32"/>
          <w:lang w:val="en-US" w:eastAsia="zh-CN"/>
        </w:rPr>
        <w:t>在</w:t>
      </w:r>
      <w:r>
        <w:rPr>
          <w:rFonts w:hint="eastAsia" w:eastAsia="仿宋" w:cs="Times New Roman"/>
          <w:sz w:val="32"/>
          <w:szCs w:val="32"/>
          <w:lang w:eastAsia="zh-CN"/>
        </w:rPr>
        <w:t>区政府网站公开</w:t>
      </w:r>
      <w:r>
        <w:rPr>
          <w:rFonts w:hint="eastAsia" w:eastAsia="仿宋" w:cs="Times New Roman"/>
          <w:sz w:val="32"/>
          <w:szCs w:val="32"/>
          <w:lang w:val="en-US" w:eastAsia="zh-CN"/>
        </w:rPr>
        <w:t>6</w:t>
      </w:r>
      <w:r>
        <w:rPr>
          <w:rFonts w:hint="eastAsia" w:eastAsia="仿宋" w:cs="Times New Roman"/>
          <w:sz w:val="32"/>
          <w:szCs w:val="32"/>
          <w:lang w:eastAsia="zh-CN"/>
        </w:rPr>
        <w:t>条，</w:t>
      </w:r>
      <w:r>
        <w:rPr>
          <w:rFonts w:hint="eastAsia" w:eastAsia="仿宋" w:cs="Times New Roman"/>
          <w:sz w:val="32"/>
          <w:szCs w:val="32"/>
          <w:lang w:val="en-US" w:eastAsia="zh-CN"/>
        </w:rPr>
        <w:t>及时宣传在脱贫攻坚、改革工作、主题教育中取得的成效。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（三）工作开展情况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一是</w:t>
      </w:r>
      <w:r>
        <w:rPr>
          <w:rFonts w:hint="default" w:ascii="Times New Roman" w:hAnsi="Times New Roman" w:eastAsia="仿宋" w:cs="Times New Roman"/>
          <w:color w:val="auto"/>
          <w:sz w:val="32"/>
          <w:szCs w:val="32"/>
        </w:rPr>
        <w:t>落实机构改革任务，按照“应划尽划”的要求，做好行政许可权力划转工作，制定印发了《铜川市耀州区推行相对集中行政许可权改革工作实施方案》，已划转</w:t>
      </w: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个部门</w:t>
      </w:r>
      <w:r>
        <w:rPr>
          <w:rFonts w:hint="default" w:ascii="Times New Roman" w:hAnsi="Times New Roman" w:eastAsia="仿宋" w:cs="Times New Roman"/>
          <w:color w:val="auto"/>
          <w:sz w:val="32"/>
          <w:szCs w:val="32"/>
          <w:lang w:val="en-US" w:eastAsia="zh-CN"/>
        </w:rPr>
        <w:t>103</w:t>
      </w:r>
      <w:r>
        <w:rPr>
          <w:rFonts w:hint="default" w:ascii="Times New Roman" w:hAnsi="Times New Roman" w:eastAsia="仿宋" w:cs="Times New Roman"/>
          <w:color w:val="auto"/>
          <w:sz w:val="32"/>
          <w:szCs w:val="32"/>
        </w:rPr>
        <w:t>项行政许可事项至区行政审批服务局办理，并在陕西省政务服务网（耀州区）予以公布，实现网上申请，网络预审，不断提升群众办事效率。</w:t>
      </w:r>
      <w:r>
        <w:rPr>
          <w:rFonts w:hint="default" w:ascii="Times New Roman" w:hAnsi="Times New Roman" w:eastAsia="仿宋" w:cs="Times New Roman"/>
          <w:b/>
          <w:bCs/>
          <w:color w:val="auto"/>
          <w:sz w:val="32"/>
          <w:szCs w:val="32"/>
        </w:rPr>
        <w:t>二是</w:t>
      </w:r>
      <w:r>
        <w:rPr>
          <w:rFonts w:hint="default" w:ascii="Times New Roman" w:hAnsi="Times New Roman" w:eastAsia="仿宋" w:cs="Times New Roman"/>
          <w:color w:val="auto"/>
          <w:sz w:val="32"/>
          <w:szCs w:val="32"/>
        </w:rPr>
        <w:t>按照“前台综合受理、后台分类审批、统一窗口出件”的服务模式，调整</w:t>
      </w:r>
      <w:r>
        <w:rPr>
          <w:rFonts w:hint="default" w:ascii="Times New Roman" w:hAnsi="Times New Roman" w:eastAsia="仿宋" w:cs="Times New Roman"/>
          <w:color w:val="auto"/>
          <w:sz w:val="32"/>
          <w:szCs w:val="32"/>
          <w:lang w:val="en-US" w:eastAsia="zh-CN"/>
        </w:rPr>
        <w:t>了</w:t>
      </w:r>
      <w:r>
        <w:rPr>
          <w:rFonts w:hint="default" w:ascii="Times New Roman" w:hAnsi="Times New Roman" w:eastAsia="仿宋" w:cs="Times New Roman"/>
          <w:color w:val="auto"/>
          <w:sz w:val="32"/>
          <w:szCs w:val="32"/>
        </w:rPr>
        <w:t>区政务服务中心窗口布局，设置综合受理窗口5个，集中出证窗口1个</w:t>
      </w:r>
      <w:r>
        <w:rPr>
          <w:rFonts w:hint="eastAsia" w:eastAsia="仿宋" w:cs="Times New Roman"/>
          <w:color w:val="auto"/>
          <w:sz w:val="32"/>
          <w:szCs w:val="32"/>
          <w:lang w:eastAsia="zh-CN"/>
        </w:rPr>
        <w:t>。</w:t>
      </w:r>
      <w:r>
        <w:rPr>
          <w:rFonts w:hint="default" w:ascii="Times New Roman" w:hAnsi="Times New Roman" w:eastAsia="仿宋" w:cs="Times New Roman"/>
          <w:b/>
          <w:bCs/>
          <w:color w:val="auto"/>
          <w:sz w:val="32"/>
          <w:szCs w:val="32"/>
          <w:lang w:val="en-US" w:eastAsia="zh-CN"/>
        </w:rPr>
        <w:t>三是</w:t>
      </w:r>
      <w:r>
        <w:rPr>
          <w:rFonts w:hint="default" w:ascii="Times New Roman" w:hAnsi="Times New Roman" w:eastAsia="仿宋" w:cs="Times New Roman"/>
          <w:color w:val="auto"/>
          <w:sz w:val="32"/>
          <w:szCs w:val="32"/>
          <w:lang w:val="en-US" w:eastAsia="zh-CN"/>
        </w:rPr>
        <w:t>完成取叫号系统和</w:t>
      </w:r>
      <w:r>
        <w:rPr>
          <w:rFonts w:hint="default" w:ascii="Times New Roman" w:hAnsi="Times New Roman" w:eastAsia="仿宋" w:cs="Times New Roman"/>
          <w:color w:val="auto"/>
          <w:sz w:val="32"/>
          <w:szCs w:val="32"/>
        </w:rPr>
        <w:t>政务服务软件系统升级，让办事群众只进“一个门”，到“一个窗”办成“一件事”，</w:t>
      </w:r>
      <w:r>
        <w:rPr>
          <w:rFonts w:hint="default" w:ascii="Times New Roman" w:hAnsi="Times New Roman" w:eastAsia="仿宋" w:cs="Times New Roman"/>
          <w:color w:val="auto"/>
          <w:sz w:val="32"/>
          <w:szCs w:val="32"/>
          <w:lang w:val="en-US" w:eastAsia="zh-CN"/>
        </w:rPr>
        <w:t>完善</w:t>
      </w:r>
      <w:r>
        <w:rPr>
          <w:rFonts w:hint="default" w:ascii="Times New Roman" w:hAnsi="Times New Roman" w:eastAsia="仿宋" w:cs="Times New Roman"/>
          <w:color w:val="auto"/>
          <w:sz w:val="32"/>
          <w:szCs w:val="32"/>
        </w:rPr>
        <w:t>办事环境。</w:t>
      </w:r>
      <w:r>
        <w:rPr>
          <w:rFonts w:hint="default" w:ascii="Times New Roman" w:hAnsi="Times New Roman" w:eastAsia="仿宋" w:cs="Times New Roman"/>
          <w:b/>
          <w:bCs/>
          <w:color w:val="auto"/>
          <w:sz w:val="32"/>
          <w:szCs w:val="32"/>
          <w:lang w:val="en-US" w:eastAsia="zh-CN"/>
        </w:rPr>
        <w:t>四</w:t>
      </w:r>
      <w:r>
        <w:rPr>
          <w:rFonts w:hint="default" w:ascii="Times New Roman" w:hAnsi="Times New Roman" w:eastAsia="仿宋" w:cs="Times New Roman"/>
          <w:b/>
          <w:bCs/>
          <w:color w:val="auto"/>
          <w:sz w:val="32"/>
          <w:szCs w:val="32"/>
        </w:rPr>
        <w:t>是</w:t>
      </w:r>
      <w:r>
        <w:rPr>
          <w:rFonts w:hint="default" w:ascii="Times New Roman" w:hAnsi="Times New Roman" w:eastAsia="仿宋" w:cs="Times New Roman"/>
          <w:color w:val="auto"/>
          <w:sz w:val="32"/>
          <w:szCs w:val="32"/>
        </w:rPr>
        <w:t>陕西省政务服务网（耀州区）已建成，办事群众可以通过陕西省政务服务网（耀州区）网上办事大厅申请业务，上传相关资料，数据传输到受理窗口后，窗口单位可以预审业务，提出审批意见，方便企业群众办理业务。办理只需“单点登录、一次认证、一网通办全区事”，大大提升政务服务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政府信息</w:t>
      </w:r>
      <w:r>
        <w:rPr>
          <w:rFonts w:hint="default" w:ascii="Times New Roman" w:hAnsi="Times New Roman" w:eastAsia="楷体_GB2312" w:cs="Times New Roman"/>
          <w:b/>
          <w:bCs/>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color w:val="auto"/>
          <w:sz w:val="32"/>
          <w:szCs w:val="32"/>
          <w:lang w:val="en-US" w:eastAsia="zh-CN"/>
        </w:rPr>
        <w:t>一是</w:t>
      </w:r>
      <w:r>
        <w:rPr>
          <w:rFonts w:hint="default" w:ascii="Times New Roman" w:hAnsi="Times New Roman" w:eastAsia="仿宋" w:cs="Times New Roman"/>
          <w:color w:val="auto"/>
          <w:sz w:val="32"/>
          <w:szCs w:val="32"/>
        </w:rPr>
        <w:t>协调各相关部门梳理全国“互联网+监管”事项清单（耀州区）。在领取监管事项基础上按照“谁主管、谁监管”的原则，明确监管事项责任主体、监管流程、监管措施和监管标准，为我区“互联网+监管”系统建设提供基础信息支撑，夯实事中事后监管基础</w:t>
      </w:r>
      <w:r>
        <w:rPr>
          <w:rFonts w:hint="eastAsia" w:eastAsia="仿宋" w:cs="Times New Roman"/>
          <w:color w:val="auto"/>
          <w:sz w:val="32"/>
          <w:szCs w:val="32"/>
          <w:lang w:eastAsia="zh-CN"/>
        </w:rPr>
        <w:t>。</w:t>
      </w:r>
      <w:r>
        <w:rPr>
          <w:rFonts w:hint="default" w:ascii="Times New Roman" w:hAnsi="Times New Roman" w:eastAsia="仿宋" w:cs="Times New Roman"/>
          <w:b/>
          <w:bCs/>
          <w:color w:val="auto"/>
          <w:sz w:val="32"/>
          <w:szCs w:val="32"/>
          <w:lang w:val="en-US" w:eastAsia="zh-CN"/>
        </w:rPr>
        <w:t>二是</w:t>
      </w:r>
      <w:r>
        <w:rPr>
          <w:rFonts w:hint="default" w:ascii="Times New Roman" w:hAnsi="Times New Roman" w:eastAsia="仿宋" w:cs="Times New Roman"/>
          <w:color w:val="auto"/>
          <w:sz w:val="32"/>
          <w:szCs w:val="32"/>
        </w:rPr>
        <w:t>制定了《铜川市耀州区规范中介服务专项行动方案》《铜川市耀州区优化便民服务专项行动方案》</w:t>
      </w:r>
      <w:r>
        <w:rPr>
          <w:rFonts w:hint="default" w:ascii="Times New Roman" w:hAnsi="Times New Roman" w:eastAsia="仿宋" w:cs="Times New Roman"/>
          <w:sz w:val="32"/>
          <w:szCs w:val="32"/>
        </w:rPr>
        <w:t>，向各部门发放《铜川市耀州区行政审批制度改革工作领导小组办公室关于公布耀州区区级部门行政许可中介服务项目清单的通知》，并在陕西省政务服务网（耀州区）中介服务模块公布并实行动态调整，自觉接受社会监督，保障企业群众的知情权、参与权、监督权。</w:t>
      </w:r>
      <w:r>
        <w:rPr>
          <w:rFonts w:hint="eastAsia" w:eastAsia="仿宋" w:cs="Times New Roman"/>
          <w:b/>
          <w:bCs/>
          <w:sz w:val="32"/>
          <w:szCs w:val="32"/>
          <w:lang w:val="en-US" w:eastAsia="zh-CN"/>
        </w:rPr>
        <w:t>三是</w:t>
      </w:r>
      <w:r>
        <w:rPr>
          <w:rFonts w:hint="default" w:ascii="Times New Roman" w:hAnsi="Times New Roman" w:eastAsia="仿宋" w:cs="Times New Roman"/>
          <w:sz w:val="32"/>
          <w:szCs w:val="32"/>
        </w:rPr>
        <w:t>制定</w:t>
      </w:r>
      <w:r>
        <w:rPr>
          <w:rFonts w:hint="eastAsia" w:eastAsia="仿宋" w:cs="Times New Roman"/>
          <w:sz w:val="32"/>
          <w:szCs w:val="32"/>
          <w:lang w:val="en-US" w:eastAsia="zh-CN"/>
        </w:rPr>
        <w:t>了</w:t>
      </w:r>
      <w:r>
        <w:rPr>
          <w:rFonts w:hint="default" w:ascii="Times New Roman" w:hAnsi="Times New Roman" w:eastAsia="仿宋" w:cs="Times New Roman"/>
          <w:sz w:val="32"/>
          <w:szCs w:val="32"/>
        </w:rPr>
        <w:t>《关于耀州区政务服务中心优化提升改造的实施方案》，积极对接相关公司对大厅进行升级改造，依托政务服务网（耀州区），为企业群众提供各类事项的在线咨询、预约、申请、办理、监督、评议等标准化菜单式服务，我局监督管理科针对群众咨询、投诉，对办理窗口发送督查意见，实时监督办件及群众咨询、投诉，按季度对窗口的办件情况及人员工作状态进行考核，将考核结果对外公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（五）平台建设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w:t>
      </w:r>
      <w:r>
        <w:rPr>
          <w:rFonts w:hint="default" w:ascii="Times New Roman" w:hAnsi="Times New Roman" w:eastAsia="仿宋" w:cs="Times New Roman"/>
          <w:sz w:val="32"/>
          <w:szCs w:val="32"/>
          <w:lang w:eastAsia="zh-CN"/>
        </w:rPr>
        <w:t>行政审批服务局</w:t>
      </w:r>
      <w:r>
        <w:rPr>
          <w:rFonts w:hint="default" w:ascii="Times New Roman" w:hAnsi="Times New Roman" w:eastAsia="仿宋" w:cs="Times New Roman"/>
          <w:sz w:val="32"/>
          <w:szCs w:val="32"/>
        </w:rPr>
        <w:t>2019年政府信息公开载体主要依托</w:t>
      </w:r>
      <w:r>
        <w:rPr>
          <w:rFonts w:hint="eastAsia" w:eastAsia="仿宋" w:cs="Times New Roman"/>
          <w:sz w:val="32"/>
          <w:szCs w:val="32"/>
          <w:lang w:val="en-US" w:eastAsia="zh-CN"/>
        </w:rPr>
        <w:t>2</w:t>
      </w:r>
      <w:r>
        <w:rPr>
          <w:rFonts w:hint="default" w:ascii="Times New Roman" w:hAnsi="Times New Roman" w:eastAsia="仿宋" w:cs="Times New Roman"/>
          <w:sz w:val="32"/>
          <w:szCs w:val="32"/>
        </w:rPr>
        <w:t>个渠道进行公开，一是</w:t>
      </w:r>
      <w:r>
        <w:rPr>
          <w:rFonts w:hint="default" w:ascii="Times New Roman" w:hAnsi="Times New Roman" w:eastAsia="仿宋" w:cs="Times New Roman"/>
          <w:sz w:val="32"/>
          <w:szCs w:val="32"/>
          <w:lang w:val="en-US" w:eastAsia="zh-CN"/>
        </w:rPr>
        <w:t>陕西省政务服务网（耀州区）</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该网</w:t>
      </w:r>
      <w:r>
        <w:rPr>
          <w:rFonts w:hint="default" w:ascii="Times New Roman" w:hAnsi="Times New Roman" w:eastAsia="仿宋" w:cs="Times New Roman"/>
          <w:sz w:val="32"/>
          <w:szCs w:val="32"/>
        </w:rPr>
        <w:t>是区</w:t>
      </w:r>
      <w:r>
        <w:rPr>
          <w:rFonts w:hint="default" w:ascii="Times New Roman" w:hAnsi="Times New Roman" w:eastAsia="仿宋" w:cs="Times New Roman"/>
          <w:sz w:val="32"/>
          <w:szCs w:val="32"/>
          <w:lang w:eastAsia="zh-CN"/>
        </w:rPr>
        <w:t>行政审批服务局</w:t>
      </w:r>
      <w:r>
        <w:rPr>
          <w:rFonts w:hint="default" w:ascii="Times New Roman" w:hAnsi="Times New Roman" w:eastAsia="仿宋" w:cs="Times New Roman"/>
          <w:sz w:val="32"/>
          <w:szCs w:val="32"/>
        </w:rPr>
        <w:t>政府信息公开的第一平台。二是利用微信公众号、公示栏等方式及时向社会发布最新</w:t>
      </w:r>
      <w:r>
        <w:rPr>
          <w:rFonts w:hint="default" w:ascii="Times New Roman" w:hAnsi="Times New Roman" w:eastAsia="仿宋" w:cs="Times New Roman"/>
          <w:sz w:val="32"/>
          <w:szCs w:val="32"/>
          <w:lang w:val="en-US" w:eastAsia="zh-CN"/>
        </w:rPr>
        <w:t>行政审批</w:t>
      </w:r>
      <w:r>
        <w:rPr>
          <w:rFonts w:hint="default" w:ascii="Times New Roman" w:hAnsi="Times New Roman" w:eastAsia="仿宋" w:cs="Times New Roman"/>
          <w:sz w:val="32"/>
          <w:szCs w:val="32"/>
        </w:rPr>
        <w:t>相关信息。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（六）人大建议和政协提案办理结果公开情况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2019年区</w:t>
      </w:r>
      <w:r>
        <w:rPr>
          <w:rFonts w:hint="default" w:ascii="Times New Roman" w:hAnsi="Times New Roman" w:eastAsia="仿宋_GB2312" w:cs="Times New Roman"/>
          <w:sz w:val="32"/>
          <w:szCs w:val="32"/>
          <w:lang w:val="en-US" w:eastAsia="zh-CN"/>
        </w:rPr>
        <w:t>行政审批服务局</w:t>
      </w:r>
      <w:r>
        <w:rPr>
          <w:rFonts w:hint="default" w:ascii="Times New Roman" w:hAnsi="Times New Roman" w:eastAsia="仿宋_GB2312" w:cs="Times New Roman"/>
          <w:sz w:val="32"/>
          <w:szCs w:val="32"/>
        </w:rPr>
        <w:t>未收到需书面回复的人大建议及政协提案。</w:t>
      </w:r>
    </w:p>
    <w:p>
      <w:pPr>
        <w:tabs>
          <w:tab w:val="left" w:pos="7791"/>
        </w:tabs>
        <w:ind w:firstLine="646" w:firstLineChars="202"/>
        <w:rPr>
          <w:rFonts w:hint="default" w:ascii="Times New Roman" w:hAnsi="Times New Roman" w:eastAsia="黑体" w:cs="Times New Roman"/>
          <w:snapToGrid w:val="0"/>
          <w:kern w:val="32"/>
          <w:sz w:val="32"/>
          <w:szCs w:val="32"/>
          <w:lang w:val="zh-CN"/>
        </w:rPr>
      </w:pPr>
      <w:r>
        <w:rPr>
          <w:rFonts w:hint="default" w:ascii="Times New Roman" w:hAnsi="Times New Roman" w:eastAsia="黑体" w:cs="Times New Roman"/>
          <w:snapToGrid w:val="0"/>
          <w:kern w:val="32"/>
          <w:sz w:val="32"/>
          <w:szCs w:val="32"/>
          <w:lang w:val="zh-CN"/>
        </w:rPr>
        <w:t>二</w:t>
      </w:r>
      <w:bookmarkEnd w:id="0"/>
      <w:r>
        <w:rPr>
          <w:rFonts w:hint="default" w:ascii="Times New Roman" w:hAnsi="Times New Roman" w:eastAsia="黑体" w:cs="Times New Roman"/>
          <w:snapToGrid w:val="0"/>
          <w:kern w:val="32"/>
          <w:sz w:val="32"/>
          <w:szCs w:val="32"/>
          <w:lang w:val="zh-CN"/>
        </w:rPr>
        <w:t>、主动公开政府信息情况</w:t>
      </w:r>
    </w:p>
    <w:tbl>
      <w:tblPr>
        <w:tblStyle w:val="17"/>
        <w:tblW w:w="8820" w:type="dxa"/>
        <w:tblInd w:w="0" w:type="dxa"/>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第二十条第（一）项</w:t>
            </w:r>
          </w:p>
        </w:tc>
      </w:tr>
      <w:tr>
        <w:tblPrEx>
          <w:tblCellMar>
            <w:top w:w="0" w:type="dxa"/>
            <w:left w:w="10" w:type="dxa"/>
            <w:bottom w:w="0" w:type="dxa"/>
            <w:right w:w="10" w:type="dxa"/>
          </w:tblCellMar>
        </w:tblPrEx>
        <w:trPr>
          <w:trHeight w:val="610"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本年新制作数量</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对外公开总数量</w:t>
            </w:r>
          </w:p>
        </w:tc>
      </w:tr>
      <w:tr>
        <w:tblPrEx>
          <w:tblCellMar>
            <w:top w:w="0" w:type="dxa"/>
            <w:left w:w="10" w:type="dxa"/>
            <w:bottom w:w="0" w:type="dxa"/>
            <w:right w:w="10" w:type="dxa"/>
          </w:tblCellMar>
        </w:tblPrEx>
        <w:trPr>
          <w:trHeight w:val="484"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规章</w:t>
            </w:r>
          </w:p>
        </w:tc>
        <w:tc>
          <w:tcPr>
            <w:tcW w:w="2238"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2372"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规范性文件</w:t>
            </w:r>
          </w:p>
        </w:tc>
        <w:tc>
          <w:tcPr>
            <w:tcW w:w="2238"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2372"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第二十条第（五）项</w:t>
            </w:r>
          </w:p>
        </w:tc>
      </w:tr>
      <w:tr>
        <w:tblPrEx>
          <w:tblCellMar>
            <w:top w:w="0" w:type="dxa"/>
            <w:left w:w="10" w:type="dxa"/>
            <w:bottom w:w="0" w:type="dxa"/>
            <w:right w:w="10" w:type="dxa"/>
          </w:tblCellMar>
        </w:tblPrEx>
        <w:trPr>
          <w:trHeight w:val="618"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上一年项目数量</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处理决定数量</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行政许可</w:t>
            </w:r>
          </w:p>
        </w:tc>
        <w:tc>
          <w:tcPr>
            <w:tcW w:w="2238"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103</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3321</w:t>
            </w:r>
          </w:p>
        </w:tc>
      </w:tr>
      <w:tr>
        <w:tblPrEx>
          <w:tblCellMar>
            <w:top w:w="0" w:type="dxa"/>
            <w:left w:w="10" w:type="dxa"/>
            <w:bottom w:w="0" w:type="dxa"/>
            <w:right w:w="10" w:type="dxa"/>
          </w:tblCellMar>
        </w:tblPrEx>
        <w:trPr>
          <w:trHeight w:val="484"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r>
        <w:tblPrEx>
          <w:tblCellMar>
            <w:top w:w="0" w:type="dxa"/>
            <w:left w:w="10" w:type="dxa"/>
            <w:bottom w:w="0" w:type="dxa"/>
            <w:right w:w="10" w:type="dxa"/>
          </w:tblCellMar>
        </w:tblPrEx>
        <w:trPr>
          <w:trHeight w:val="501" w:hRule="exact"/>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第二十条第（六）项</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上一年项目数量</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处理决定数量</w:t>
            </w:r>
          </w:p>
        </w:tc>
      </w:tr>
      <w:tr>
        <w:tblPrEx>
          <w:tblCellMar>
            <w:top w:w="0" w:type="dxa"/>
            <w:left w:w="10" w:type="dxa"/>
            <w:bottom w:w="0" w:type="dxa"/>
            <w:right w:w="10" w:type="dxa"/>
          </w:tblCellMar>
        </w:tblPrEx>
        <w:trPr>
          <w:trHeight w:val="484"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行政处罚</w:t>
            </w:r>
          </w:p>
        </w:tc>
        <w:tc>
          <w:tcPr>
            <w:tcW w:w="2238"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r>
      <w:tr>
        <w:tblPrEx>
          <w:tblCellMar>
            <w:top w:w="0" w:type="dxa"/>
            <w:left w:w="10" w:type="dxa"/>
            <w:bottom w:w="0" w:type="dxa"/>
            <w:right w:w="10" w:type="dxa"/>
          </w:tblCellMar>
        </w:tblPrEx>
        <w:trPr>
          <w:trHeight w:val="501"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行政强制</w:t>
            </w:r>
          </w:p>
        </w:tc>
        <w:tc>
          <w:tcPr>
            <w:tcW w:w="2238"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237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第二十条第（八）项</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本年增/减</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行政事业性收费</w:t>
            </w:r>
          </w:p>
        </w:tc>
        <w:tc>
          <w:tcPr>
            <w:tcW w:w="2238" w:type="dxa"/>
            <w:tcBorders>
              <w:top w:val="single" w:color="auto" w:sz="4" w:space="0"/>
              <w:left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c>
          <w:tcPr>
            <w:tcW w:w="4390" w:type="dxa"/>
            <w:gridSpan w:val="2"/>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r>
      <w:tr>
        <w:tblPrEx>
          <w:tblCellMar>
            <w:top w:w="0" w:type="dxa"/>
            <w:left w:w="10" w:type="dxa"/>
            <w:bottom w:w="0" w:type="dxa"/>
            <w:right w:w="10" w:type="dxa"/>
          </w:tblCellMar>
        </w:tblPrEx>
        <w:trPr>
          <w:trHeight w:val="493" w:hRule="exact"/>
        </w:trPr>
        <w:tc>
          <w:tcPr>
            <w:tcW w:w="8820" w:type="dxa"/>
            <w:gridSpan w:val="4"/>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第二十条第（九）项</w:t>
            </w:r>
          </w:p>
        </w:tc>
      </w:tr>
      <w:tr>
        <w:tblPrEx>
          <w:tblCellMar>
            <w:top w:w="0" w:type="dxa"/>
            <w:left w:w="10" w:type="dxa"/>
            <w:bottom w:w="0" w:type="dxa"/>
            <w:right w:w="10" w:type="dxa"/>
          </w:tblCellMar>
        </w:tblPrEx>
        <w:trPr>
          <w:trHeight w:val="493" w:hRule="exact"/>
        </w:trPr>
        <w:tc>
          <w:tcPr>
            <w:tcW w:w="2192"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信息内容</w:t>
            </w:r>
          </w:p>
        </w:tc>
        <w:tc>
          <w:tcPr>
            <w:tcW w:w="2238" w:type="dxa"/>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采购总金额</w:t>
            </w:r>
          </w:p>
        </w:tc>
      </w:tr>
      <w:tr>
        <w:tblPrEx>
          <w:tblCellMar>
            <w:top w:w="0" w:type="dxa"/>
            <w:left w:w="10" w:type="dxa"/>
            <w:bottom w:w="0" w:type="dxa"/>
            <w:right w:w="10" w:type="dxa"/>
          </w:tblCellMar>
        </w:tblPrEx>
        <w:trPr>
          <w:trHeight w:val="508" w:hRule="exact"/>
        </w:trPr>
        <w:tc>
          <w:tcPr>
            <w:tcW w:w="2192"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vAlign w:val="center"/>
          </w:tcPr>
          <w:p>
            <w:pPr>
              <w:autoSpaceDE w:val="0"/>
              <w:autoSpaceDN w:val="0"/>
              <w:ind w:firstLine="420" w:firstLineChars="200"/>
              <w:jc w:val="center"/>
              <w:rPr>
                <w:rFonts w:hint="default" w:ascii="Times New Roman" w:hAnsi="Times New Roman" w:eastAsia="宋体" w:cs="Times New Roman"/>
                <w:snapToGrid w:val="0"/>
                <w:kern w:val="32"/>
                <w:szCs w:val="21"/>
                <w:lang w:eastAsia="zh-CN"/>
              </w:rPr>
            </w:pPr>
            <w:r>
              <w:rPr>
                <w:rFonts w:hint="default" w:ascii="Times New Roman" w:hAnsi="Times New Roman" w:cs="Times New Roman"/>
                <w:snapToGrid w:val="0"/>
                <w:kern w:val="32"/>
                <w:szCs w:val="21"/>
                <w:lang w:val="en-US" w:eastAsia="zh-CN"/>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r>
    </w:tbl>
    <w:p>
      <w:pPr>
        <w:spacing w:line="1" w:lineRule="exact"/>
        <w:rPr>
          <w:rFonts w:hint="default" w:ascii="Times New Roman" w:hAnsi="Times New Roman" w:cs="Times New Roman"/>
          <w:sz w:val="2"/>
          <w:szCs w:val="2"/>
        </w:rPr>
      </w:pPr>
    </w:p>
    <w:p>
      <w:pPr>
        <w:tabs>
          <w:tab w:val="left" w:pos="7791"/>
        </w:tabs>
        <w:ind w:firstLine="646" w:firstLineChars="202"/>
        <w:rPr>
          <w:rFonts w:hint="default" w:ascii="Times New Roman" w:hAnsi="Times New Roman" w:eastAsia="黑体" w:cs="Times New Roman"/>
          <w:snapToGrid w:val="0"/>
          <w:kern w:val="32"/>
          <w:sz w:val="32"/>
          <w:szCs w:val="32"/>
          <w:lang w:val="zh-CN"/>
        </w:rPr>
      </w:pPr>
      <w:bookmarkStart w:id="1" w:name="bookmark29"/>
      <w:r>
        <w:rPr>
          <w:rFonts w:hint="default" w:ascii="Times New Roman" w:hAnsi="Times New Roman" w:eastAsia="黑体" w:cs="Times New Roman"/>
          <w:snapToGrid w:val="0"/>
          <w:kern w:val="32"/>
          <w:sz w:val="32"/>
          <w:szCs w:val="32"/>
          <w:lang w:val="zh-CN"/>
        </w:rPr>
        <w:t>三</w:t>
      </w:r>
      <w:bookmarkEnd w:id="1"/>
      <w:r>
        <w:rPr>
          <w:rFonts w:hint="default" w:ascii="Times New Roman" w:hAnsi="Times New Roman" w:eastAsia="黑体" w:cs="Times New Roman"/>
          <w:snapToGrid w:val="0"/>
          <w:kern w:val="32"/>
          <w:sz w:val="32"/>
          <w:szCs w:val="32"/>
          <w:lang w:val="zh-CN"/>
        </w:rPr>
        <w:t>、收到和处理政府信息公开申请情况</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705" w:type="dxa"/>
            <w:vMerge w:val="restart"/>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自然人</w:t>
            </w:r>
          </w:p>
        </w:tc>
        <w:tc>
          <w:tcPr>
            <w:tcW w:w="2790" w:type="dxa"/>
            <w:gridSpan w:val="5"/>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法人或其他组织</w:t>
            </w:r>
          </w:p>
        </w:tc>
        <w:tc>
          <w:tcPr>
            <w:tcW w:w="468" w:type="dxa"/>
            <w:vMerge w:val="restart"/>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705"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570" w:type="dxa"/>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商业 企业</w:t>
            </w:r>
          </w:p>
        </w:tc>
        <w:tc>
          <w:tcPr>
            <w:tcW w:w="570" w:type="dxa"/>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科研 机构</w:t>
            </w:r>
          </w:p>
        </w:tc>
        <w:tc>
          <w:tcPr>
            <w:tcW w:w="555" w:type="dxa"/>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社会 公益 组织</w:t>
            </w:r>
          </w:p>
        </w:tc>
        <w:tc>
          <w:tcPr>
            <w:tcW w:w="570" w:type="dxa"/>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法律 服务 机构</w:t>
            </w:r>
          </w:p>
        </w:tc>
        <w:tc>
          <w:tcPr>
            <w:tcW w:w="525"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其他</w:t>
            </w:r>
          </w:p>
        </w:tc>
        <w:tc>
          <w:tcPr>
            <w:tcW w:w="468" w:type="dxa"/>
            <w:vMerge w:val="continue"/>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一、本年新收政府信息公开申请数量</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exact"/>
          <w:jc w:val="center"/>
        </w:trPr>
        <w:tc>
          <w:tcPr>
            <w:tcW w:w="4801" w:type="dxa"/>
            <w:gridSpan w:val="3"/>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二、上年结转政府信息公开申请数量</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textDirection w:val="tbRlV"/>
            <w:vAlign w:val="center"/>
          </w:tcPr>
          <w:p>
            <w:pPr>
              <w:autoSpaceDE w:val="0"/>
              <w:autoSpaceDN w:val="0"/>
              <w:jc w:val="center"/>
              <w:rPr>
                <w:rFonts w:hint="default" w:ascii="Times New Roman" w:hAnsi="Times New Roman" w:cs="Times New Roman"/>
                <w:snapToGrid w:val="0"/>
                <w:spacing w:val="2"/>
                <w:kern w:val="32"/>
                <w:szCs w:val="21"/>
                <w:lang w:val="zh-CN"/>
              </w:rPr>
            </w:pPr>
            <w:r>
              <w:rPr>
                <w:rFonts w:hint="default" w:ascii="Times New Roman" w:hAnsi="Times New Roman" w:cs="Times New Roman"/>
                <w:snapToGrid w:val="0"/>
                <w:kern w:val="32"/>
                <w:szCs w:val="21"/>
                <w:lang w:val="zh-CN"/>
              </w:rPr>
              <w:t>三、本年度办理结果</w:t>
            </w:r>
          </w:p>
        </w:tc>
        <w:tc>
          <w:tcPr>
            <w:tcW w:w="4209" w:type="dxa"/>
            <w:gridSpan w:val="2"/>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（一）予以公开</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4209" w:type="dxa"/>
            <w:gridSpan w:val="2"/>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（二）部分公开（区分处理的，只计这一情形，不计其他情形）</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restart"/>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（三）不予公开</w:t>
            </w: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eastAsia="en-US"/>
              </w:rPr>
              <w:t>1.</w:t>
            </w:r>
            <w:r>
              <w:rPr>
                <w:rFonts w:hint="default" w:ascii="Times New Roman" w:hAnsi="Times New Roman" w:cs="Times New Roman"/>
                <w:snapToGrid w:val="0"/>
                <w:kern w:val="32"/>
                <w:szCs w:val="21"/>
                <w:lang w:val="zh-CN"/>
              </w:rPr>
              <w:t>属于国家秘密</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spacing w:val="-6"/>
                <w:kern w:val="32"/>
                <w:szCs w:val="21"/>
              </w:rPr>
              <w:t>2.</w:t>
            </w:r>
            <w:r>
              <w:rPr>
                <w:rFonts w:hint="default" w:ascii="Times New Roman" w:hAnsi="Times New Roman" w:cs="Times New Roman"/>
                <w:snapToGrid w:val="0"/>
                <w:spacing w:val="-6"/>
                <w:kern w:val="32"/>
                <w:szCs w:val="21"/>
                <w:lang w:val="zh-CN"/>
              </w:rPr>
              <w:t>其他法律行政法规禁止公开</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3.</w:t>
            </w:r>
            <w:r>
              <w:rPr>
                <w:rFonts w:hint="default" w:ascii="Times New Roman" w:hAnsi="Times New Roman" w:cs="Times New Roman"/>
                <w:snapToGrid w:val="0"/>
                <w:kern w:val="32"/>
                <w:szCs w:val="21"/>
                <w:lang w:val="zh-CN"/>
              </w:rPr>
              <w:t>危及“三安全一稳定”</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4</w:t>
            </w:r>
            <w:r>
              <w:rPr>
                <w:rFonts w:hint="default" w:ascii="Times New Roman" w:hAnsi="Times New Roman" w:cs="Times New Roman"/>
                <w:snapToGrid w:val="0"/>
                <w:kern w:val="32"/>
                <w:szCs w:val="21"/>
              </w:rPr>
              <w:t>.</w:t>
            </w:r>
            <w:r>
              <w:rPr>
                <w:rFonts w:hint="default" w:ascii="Times New Roman" w:hAnsi="Times New Roman" w:cs="Times New Roman"/>
                <w:snapToGrid w:val="0"/>
                <w:kern w:val="32"/>
                <w:szCs w:val="21"/>
                <w:lang w:val="zh-CN"/>
              </w:rPr>
              <w:t>保护第三方合法权益</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5.</w:t>
            </w:r>
            <w:r>
              <w:rPr>
                <w:rFonts w:hint="default" w:ascii="Times New Roman" w:hAnsi="Times New Roman" w:cs="Times New Roman"/>
                <w:snapToGrid w:val="0"/>
                <w:kern w:val="32"/>
                <w:szCs w:val="21"/>
                <w:lang w:val="zh-CN"/>
              </w:rPr>
              <w:t>属于三类内部事务信息</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eastAsia="en-US"/>
              </w:rPr>
              <w:t>6.</w:t>
            </w:r>
            <w:r>
              <w:rPr>
                <w:rFonts w:hint="default" w:ascii="Times New Roman" w:hAnsi="Times New Roman" w:cs="Times New Roman"/>
                <w:snapToGrid w:val="0"/>
                <w:kern w:val="32"/>
                <w:szCs w:val="21"/>
                <w:lang w:val="zh-CN"/>
              </w:rPr>
              <w:t>属于四类过程性信息</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eastAsia="en-US"/>
              </w:rPr>
              <w:t>7.</w:t>
            </w:r>
            <w:r>
              <w:rPr>
                <w:rFonts w:hint="default" w:ascii="Times New Roman" w:hAnsi="Times New Roman" w:cs="Times New Roman"/>
                <w:snapToGrid w:val="0"/>
                <w:kern w:val="32"/>
                <w:szCs w:val="21"/>
                <w:lang w:val="zh-CN"/>
              </w:rPr>
              <w:t>属于行政执法案卷</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eastAsia="en-US"/>
              </w:rPr>
              <w:t>8.</w:t>
            </w:r>
            <w:r>
              <w:rPr>
                <w:rFonts w:hint="default" w:ascii="Times New Roman" w:hAnsi="Times New Roman" w:cs="Times New Roman"/>
                <w:snapToGrid w:val="0"/>
                <w:kern w:val="32"/>
                <w:szCs w:val="21"/>
                <w:lang w:val="zh-CN"/>
              </w:rPr>
              <w:t>属于行政查询事项</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restart"/>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（四）无法提供</w:t>
            </w: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spacing w:val="-6"/>
                <w:kern w:val="32"/>
                <w:szCs w:val="21"/>
              </w:rPr>
              <w:t>1.</w:t>
            </w:r>
            <w:r>
              <w:rPr>
                <w:rFonts w:hint="default" w:ascii="Times New Roman" w:hAnsi="Times New Roman" w:cs="Times New Roman"/>
                <w:snapToGrid w:val="0"/>
                <w:spacing w:val="-6"/>
                <w:kern w:val="32"/>
                <w:szCs w:val="21"/>
                <w:lang w:val="zh-CN"/>
              </w:rPr>
              <w:t>本机关不掌握相关政府信息</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spacing w:val="-6"/>
                <w:kern w:val="32"/>
                <w:szCs w:val="21"/>
              </w:rPr>
              <w:t>2.</w:t>
            </w:r>
            <w:r>
              <w:rPr>
                <w:rFonts w:hint="default" w:ascii="Times New Roman" w:hAnsi="Times New Roman" w:cs="Times New Roman"/>
                <w:snapToGrid w:val="0"/>
                <w:spacing w:val="-6"/>
                <w:kern w:val="32"/>
                <w:szCs w:val="21"/>
                <w:lang w:val="zh-CN"/>
              </w:rPr>
              <w:t>没有现成信息需要另行制作</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vAlign w:val="center"/>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3.</w:t>
            </w:r>
            <w:r>
              <w:rPr>
                <w:rFonts w:hint="default" w:ascii="Times New Roman" w:hAnsi="Times New Roman" w:cs="Times New Roman"/>
                <w:snapToGrid w:val="0"/>
                <w:kern w:val="32"/>
                <w:szCs w:val="21"/>
                <w:lang w:val="zh-CN"/>
              </w:rPr>
              <w:t>补正后申请内容仍不明确</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restart"/>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（五）不予处理</w:t>
            </w:r>
          </w:p>
        </w:tc>
        <w:tc>
          <w:tcPr>
            <w:tcW w:w="2741" w:type="dxa"/>
            <w:shd w:val="clear" w:color="auto" w:fill="FFFFFF"/>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eastAsia="en-US"/>
              </w:rPr>
              <w:t>1.</w:t>
            </w:r>
            <w:r>
              <w:rPr>
                <w:rFonts w:hint="default" w:ascii="Times New Roman" w:hAnsi="Times New Roman" w:cs="Times New Roman"/>
                <w:snapToGrid w:val="0"/>
                <w:kern w:val="32"/>
                <w:szCs w:val="21"/>
                <w:lang w:val="zh-CN"/>
              </w:rPr>
              <w:t>信访举报投诉类申请</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eastAsia="en-US"/>
              </w:rPr>
              <w:t>2.</w:t>
            </w:r>
            <w:r>
              <w:rPr>
                <w:rFonts w:hint="default" w:ascii="Times New Roman" w:hAnsi="Times New Roman" w:cs="Times New Roman"/>
                <w:snapToGrid w:val="0"/>
                <w:kern w:val="32"/>
                <w:szCs w:val="21"/>
                <w:lang w:val="zh-CN"/>
              </w:rPr>
              <w:t>重复申请</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eastAsia="en-US"/>
              </w:rPr>
              <w:t>3.</w:t>
            </w:r>
            <w:r>
              <w:rPr>
                <w:rFonts w:hint="default" w:ascii="Times New Roman" w:hAnsi="Times New Roman" w:cs="Times New Roman"/>
                <w:snapToGrid w:val="0"/>
                <w:kern w:val="32"/>
                <w:szCs w:val="21"/>
                <w:lang w:val="zh-CN"/>
              </w:rPr>
              <w:t>要求提供公开出版物</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4.</w:t>
            </w:r>
            <w:r>
              <w:rPr>
                <w:rFonts w:hint="default" w:ascii="Times New Roman" w:hAnsi="Times New Roman" w:cs="Times New Roman"/>
                <w:snapToGrid w:val="0"/>
                <w:kern w:val="32"/>
                <w:szCs w:val="21"/>
                <w:lang w:val="zh-CN"/>
              </w:rPr>
              <w:t>无正当理由大量反复申请</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1468" w:type="dxa"/>
            <w:vMerge w:val="continue"/>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2741" w:type="dxa"/>
            <w:shd w:val="clear" w:color="auto" w:fill="FFFFFF"/>
          </w:tcPr>
          <w:p>
            <w:pPr>
              <w:autoSpaceDE w:val="0"/>
              <w:autoSpaceDN w:val="0"/>
              <w:spacing w:line="300" w:lineRule="exact"/>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rPr>
              <w:t>5.</w:t>
            </w:r>
            <w:r>
              <w:rPr>
                <w:rFonts w:hint="default" w:ascii="Times New Roman" w:hAnsi="Times New Roman" w:cs="Times New Roman"/>
                <w:snapToGrid w:val="0"/>
                <w:kern w:val="32"/>
                <w:szCs w:val="21"/>
                <w:lang w:val="zh-CN"/>
              </w:rPr>
              <w:t>要求行政机关确认或重新出具已获取信息</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4209" w:type="dxa"/>
            <w:gridSpan w:val="2"/>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（六）其他处理</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textDirection w:val="tbRlV"/>
            <w:vAlign w:val="center"/>
          </w:tcPr>
          <w:p>
            <w:pPr>
              <w:autoSpaceDE w:val="0"/>
              <w:autoSpaceDN w:val="0"/>
              <w:jc w:val="left"/>
              <w:rPr>
                <w:rFonts w:hint="default" w:ascii="Times New Roman" w:hAnsi="Times New Roman" w:cs="Times New Roman"/>
                <w:snapToGrid w:val="0"/>
                <w:kern w:val="32"/>
                <w:szCs w:val="21"/>
                <w:lang w:val="zh-CN"/>
              </w:rPr>
            </w:pPr>
          </w:p>
        </w:tc>
        <w:tc>
          <w:tcPr>
            <w:tcW w:w="4209" w:type="dxa"/>
            <w:gridSpan w:val="2"/>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（七）总计</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四、结转下年度继续办理</w:t>
            </w:r>
          </w:p>
        </w:tc>
        <w:tc>
          <w:tcPr>
            <w:tcW w:w="70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5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68" w:type="dxa"/>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bl>
    <w:p>
      <w:pPr>
        <w:tabs>
          <w:tab w:val="left" w:pos="7791"/>
        </w:tabs>
        <w:ind w:firstLine="480" w:firstLineChars="150"/>
        <w:rPr>
          <w:rFonts w:hint="default" w:ascii="Times New Roman" w:hAnsi="Times New Roman" w:eastAsia="黑体" w:cs="Times New Roman"/>
          <w:snapToGrid w:val="0"/>
          <w:kern w:val="32"/>
          <w:sz w:val="32"/>
          <w:szCs w:val="32"/>
          <w:lang w:val="zh-CN"/>
        </w:rPr>
      </w:pPr>
      <w:bookmarkStart w:id="2" w:name="bookmark30"/>
      <w:r>
        <w:rPr>
          <w:rFonts w:hint="default" w:ascii="Times New Roman" w:hAnsi="Times New Roman" w:eastAsia="黑体" w:cs="Times New Roman"/>
          <w:snapToGrid w:val="0"/>
          <w:kern w:val="32"/>
          <w:sz w:val="32"/>
          <w:szCs w:val="32"/>
          <w:lang w:val="zh-CN"/>
        </w:rPr>
        <w:t>四</w:t>
      </w:r>
      <w:bookmarkEnd w:id="2"/>
      <w:r>
        <w:rPr>
          <w:rFonts w:hint="default" w:ascii="Times New Roman" w:hAnsi="Times New Roman" w:eastAsia="黑体" w:cs="Times New Roman"/>
          <w:snapToGrid w:val="0"/>
          <w:kern w:val="32"/>
          <w:sz w:val="32"/>
          <w:szCs w:val="32"/>
          <w:lang w:val="zh-CN"/>
        </w:rPr>
        <w:t>、政府信息公开行政复议、行政诉讼情况</w:t>
      </w:r>
    </w:p>
    <w:tbl>
      <w:tblPr>
        <w:tblStyle w:val="17"/>
        <w:tblW w:w="8472" w:type="dxa"/>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textDirection w:val="tbRlV"/>
            <w:vAlign w:val="bottom"/>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总计</w:t>
            </w:r>
          </w:p>
        </w:tc>
        <w:tc>
          <w:tcPr>
            <w:tcW w:w="2805" w:type="dxa"/>
            <w:gridSpan w:val="5"/>
            <w:tcBorders>
              <w:top w:val="single" w:color="auto" w:sz="4" w:space="0"/>
              <w:lef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525" w:type="dxa"/>
            <w:vMerge w:val="continue"/>
            <w:tcBorders>
              <w:left w:val="single" w:color="auto" w:sz="4" w:space="0"/>
            </w:tcBorders>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570" w:type="dxa"/>
            <w:vMerge w:val="continue"/>
            <w:tcBorders>
              <w:left w:val="single" w:color="auto" w:sz="4" w:space="0"/>
            </w:tcBorders>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495" w:type="dxa"/>
            <w:vMerge w:val="continue"/>
            <w:tcBorders>
              <w:left w:val="single" w:color="auto" w:sz="4" w:space="0"/>
            </w:tcBorders>
            <w:shd w:val="clear" w:color="auto" w:fill="FFFFFF"/>
            <w:vAlign w:val="center"/>
          </w:tcPr>
          <w:p>
            <w:pPr>
              <w:autoSpaceDE w:val="0"/>
              <w:autoSpaceDN w:val="0"/>
              <w:jc w:val="left"/>
              <w:rPr>
                <w:rFonts w:hint="default" w:ascii="Times New Roman" w:hAnsi="Times New Roman" w:cs="Times New Roman"/>
                <w:snapToGrid w:val="0"/>
                <w:kern w:val="32"/>
                <w:szCs w:val="21"/>
                <w:lang w:val="zh-CN"/>
              </w:rPr>
            </w:pPr>
          </w:p>
        </w:tc>
        <w:tc>
          <w:tcPr>
            <w:tcW w:w="675" w:type="dxa"/>
            <w:vMerge w:val="continue"/>
            <w:tcBorders>
              <w:left w:val="single" w:color="auto" w:sz="4" w:space="0"/>
            </w:tcBorders>
            <w:shd w:val="clear" w:color="auto" w:fill="FFFFFF"/>
            <w:textDirection w:val="tbRlV"/>
            <w:vAlign w:val="bottom"/>
          </w:tcPr>
          <w:p>
            <w:pPr>
              <w:autoSpaceDE w:val="0"/>
              <w:autoSpaceDN w:val="0"/>
              <w:jc w:val="left"/>
              <w:rPr>
                <w:rFonts w:hint="default" w:ascii="Times New Roman" w:hAnsi="Times New Roman" w:cs="Times New Roman"/>
                <w:snapToGrid w:val="0"/>
                <w:kern w:val="32"/>
                <w:szCs w:val="21"/>
                <w:lang w:val="zh-CN"/>
              </w:rPr>
            </w:pPr>
          </w:p>
        </w:tc>
        <w:tc>
          <w:tcPr>
            <w:tcW w:w="629"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结果 维持</w:t>
            </w:r>
          </w:p>
        </w:tc>
        <w:tc>
          <w:tcPr>
            <w:tcW w:w="58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结果 纠正</w:t>
            </w:r>
          </w:p>
        </w:tc>
        <w:tc>
          <w:tcPr>
            <w:tcW w:w="54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其他 结果</w:t>
            </w:r>
          </w:p>
        </w:tc>
        <w:tc>
          <w:tcPr>
            <w:tcW w:w="541"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尚未 审结</w:t>
            </w:r>
          </w:p>
        </w:tc>
        <w:tc>
          <w:tcPr>
            <w:tcW w:w="51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总 计</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结果 维持</w:t>
            </w:r>
          </w:p>
        </w:tc>
        <w:tc>
          <w:tcPr>
            <w:tcW w:w="61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结果 纠正</w:t>
            </w:r>
          </w:p>
        </w:tc>
        <w:tc>
          <w:tcPr>
            <w:tcW w:w="630"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其他 结果</w:t>
            </w:r>
          </w:p>
        </w:tc>
        <w:tc>
          <w:tcPr>
            <w:tcW w:w="525" w:type="dxa"/>
            <w:tcBorders>
              <w:top w:val="single" w:color="auto" w:sz="4" w:space="0"/>
              <w:left w:val="single" w:color="auto" w:sz="4" w:space="0"/>
            </w:tcBorders>
            <w:shd w:val="clear" w:color="auto" w:fill="FFFFFF"/>
            <w:vAlign w:val="center"/>
          </w:tcPr>
          <w:p>
            <w:pPr>
              <w:autoSpaceDE w:val="0"/>
              <w:autoSpaceDN w:val="0"/>
              <w:spacing w:line="300" w:lineRule="exact"/>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textDirection w:val="tbRlV"/>
          </w:tcPr>
          <w:p>
            <w:pPr>
              <w:autoSpaceDE w:val="0"/>
              <w:autoSpaceDN w:val="0"/>
              <w:jc w:val="center"/>
              <w:rPr>
                <w:rFonts w:hint="default" w:ascii="Times New Roman" w:hAnsi="Times New Roman" w:cs="Times New Roman"/>
                <w:snapToGrid w:val="0"/>
                <w:kern w:val="32"/>
                <w:szCs w:val="21"/>
                <w:lang w:val="zh-CN"/>
              </w:rPr>
            </w:pPr>
            <w:r>
              <w:rPr>
                <w:rFonts w:hint="default" w:ascii="Times New Roman" w:hAnsi="Times New Roman" w:cs="Times New Roman"/>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70"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95"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675"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85"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40"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41"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10"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615"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615"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630"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525" w:type="dxa"/>
            <w:tcBorders>
              <w:top w:val="single" w:color="auto" w:sz="4" w:space="0"/>
              <w:left w:val="single" w:color="auto" w:sz="4" w:space="0"/>
              <w:bottom w:val="single" w:color="auto" w:sz="4" w:space="0"/>
            </w:tcBorders>
            <w:shd w:val="clear" w:color="auto" w:fill="FFFFFF"/>
            <w:vAlign w:val="center"/>
          </w:tcPr>
          <w:p>
            <w:pPr>
              <w:autoSpaceDE w:val="0"/>
              <w:autoSpaceDN w:val="0"/>
              <w:jc w:val="center"/>
              <w:rPr>
                <w:rFonts w:hint="default" w:ascii="Times New Roman" w:hAnsi="Times New Roman" w:eastAsia="宋体" w:cs="Times New Roman"/>
                <w:snapToGrid w:val="0"/>
                <w:kern w:val="32"/>
                <w:szCs w:val="21"/>
                <w:lang w:val="en-US" w:eastAsia="zh-CN"/>
              </w:rPr>
            </w:pPr>
            <w:r>
              <w:rPr>
                <w:rFonts w:hint="default" w:ascii="Times New Roman" w:hAnsi="Times New Roman" w:cs="Times New Roman"/>
                <w:snapToGrid w:val="0"/>
                <w:kern w:val="32"/>
                <w:szCs w:val="21"/>
                <w:lang w:val="en-US" w:eastAsia="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jc w:val="center"/>
              <w:rPr>
                <w:rFonts w:hint="default" w:ascii="Times New Roman" w:hAnsi="Times New Roman" w:cs="Times New Roman"/>
                <w:snapToGrid w:val="0"/>
                <w:kern w:val="32"/>
                <w:szCs w:val="21"/>
              </w:rPr>
            </w:pPr>
            <w:r>
              <w:rPr>
                <w:rFonts w:hint="default" w:ascii="Times New Roman" w:hAnsi="Times New Roman" w:cs="Times New Roman"/>
                <w:snapToGrid w:val="0"/>
                <w:kern w:val="32"/>
                <w:szCs w:val="21"/>
              </w:rPr>
              <w:t>0</w:t>
            </w:r>
          </w:p>
        </w:tc>
      </w:tr>
    </w:tbl>
    <w:p>
      <w:pPr>
        <w:spacing w:after="259" w:line="1" w:lineRule="exact"/>
        <w:rPr>
          <w:rFonts w:hint="default" w:ascii="Times New Roman" w:hAnsi="Times New Roman" w:cs="Times New Roman"/>
        </w:rPr>
      </w:pPr>
    </w:p>
    <w:p>
      <w:pPr>
        <w:pStyle w:val="47"/>
        <w:tabs>
          <w:tab w:val="left" w:pos="1210"/>
        </w:tabs>
        <w:spacing w:line="240" w:lineRule="auto"/>
        <w:ind w:firstLine="578"/>
        <w:jc w:val="left"/>
        <w:rPr>
          <w:rFonts w:hint="default" w:ascii="Times New Roman" w:hAnsi="Times New Roman" w:eastAsia="黑体" w:cs="Times New Roman"/>
          <w:sz w:val="32"/>
          <w:szCs w:val="32"/>
        </w:rPr>
      </w:pPr>
      <w:bookmarkStart w:id="3" w:name="bookmark31"/>
      <w:r>
        <w:rPr>
          <w:rFonts w:hint="default" w:ascii="Times New Roman" w:hAnsi="Times New Roman" w:eastAsia="黑体" w:cs="Times New Roman"/>
          <w:snapToGrid w:val="0"/>
          <w:kern w:val="32"/>
          <w:sz w:val="32"/>
          <w:szCs w:val="32"/>
          <w:lang w:val="zh-CN" w:eastAsia="zh-CN" w:bidi="ar-SA"/>
        </w:rPr>
        <w:t>五</w:t>
      </w:r>
      <w:bookmarkEnd w:id="3"/>
      <w:r>
        <w:rPr>
          <w:rFonts w:hint="default" w:ascii="Times New Roman" w:hAnsi="Times New Roman" w:eastAsia="黑体" w:cs="Times New Roman"/>
          <w:snapToGrid w:val="0"/>
          <w:kern w:val="32"/>
          <w:sz w:val="32"/>
          <w:szCs w:val="32"/>
          <w:lang w:val="zh-CN" w:eastAsia="zh-CN" w:bidi="ar-SA"/>
        </w:rPr>
        <w:t>、存在的主要问题及改进情况</w:t>
      </w:r>
    </w:p>
    <w:p>
      <w:pPr>
        <w:autoSpaceDE w:val="0"/>
        <w:autoSpaceDN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开的行政审批许可事项办事指南还有部门不够规范，存在缺少部门流程、申报依据等，继续加强梳理行政许可事项办事要素；对政务服务网上群众咨询、解释不够及时，需继续加强对网上办事流程的熟练操作，及时回复速度。继续抓好信息公开载体建设，加强微信公众号的信息公开力度。</w:t>
      </w:r>
    </w:p>
    <w:p>
      <w:pPr>
        <w:pStyle w:val="47"/>
        <w:tabs>
          <w:tab w:val="left" w:pos="1210"/>
        </w:tabs>
        <w:spacing w:line="240" w:lineRule="auto"/>
        <w:ind w:firstLine="578"/>
        <w:jc w:val="left"/>
        <w:rPr>
          <w:rFonts w:hint="default" w:ascii="Times New Roman" w:hAnsi="Times New Roman" w:eastAsia="黑体" w:cs="Times New Roman"/>
          <w:sz w:val="32"/>
          <w:szCs w:val="32"/>
        </w:rPr>
      </w:pPr>
      <w:bookmarkStart w:id="4" w:name="bookmark32"/>
      <w:r>
        <w:rPr>
          <w:rFonts w:hint="default" w:ascii="Times New Roman" w:hAnsi="Times New Roman" w:eastAsia="黑体" w:cs="Times New Roman"/>
          <w:snapToGrid w:val="0"/>
          <w:kern w:val="32"/>
          <w:sz w:val="32"/>
          <w:szCs w:val="32"/>
          <w:lang w:val="zh-CN" w:eastAsia="zh-CN" w:bidi="ar-SA"/>
        </w:rPr>
        <w:t>六</w:t>
      </w:r>
      <w:bookmarkEnd w:id="4"/>
      <w:r>
        <w:rPr>
          <w:rFonts w:hint="default" w:ascii="Times New Roman" w:hAnsi="Times New Roman" w:eastAsia="黑体" w:cs="Times New Roman"/>
          <w:snapToGrid w:val="0"/>
          <w:kern w:val="32"/>
          <w:sz w:val="32"/>
          <w:szCs w:val="32"/>
          <w:lang w:val="zh-CN" w:eastAsia="zh-CN" w:bidi="ar-SA"/>
        </w:rPr>
        <w:t>、无其他需要报告的事项</w:t>
      </w:r>
    </w:p>
    <w:bookmarkEnd w:id="5"/>
    <w:p>
      <w:pPr>
        <w:pStyle w:val="2"/>
        <w:rPr>
          <w:rFonts w:hint="default" w:ascii="Times New Roman" w:hAnsi="Times New Roman" w:cs="Times New Roman"/>
        </w:rPr>
      </w:pPr>
    </w:p>
    <w:sectPr>
      <w:footerReference r:id="rId3" w:type="default"/>
      <w:pgSz w:w="11906" w:h="16838"/>
      <w:pgMar w:top="1701" w:right="1417" w:bottom="1134"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D7769"/>
    <w:rsid w:val="001F3154"/>
    <w:rsid w:val="003D7769"/>
    <w:rsid w:val="00656C45"/>
    <w:rsid w:val="00A3612F"/>
    <w:rsid w:val="026757DC"/>
    <w:rsid w:val="0A0B46B2"/>
    <w:rsid w:val="0C576D81"/>
    <w:rsid w:val="124A7664"/>
    <w:rsid w:val="1791772D"/>
    <w:rsid w:val="207C1C07"/>
    <w:rsid w:val="240E5073"/>
    <w:rsid w:val="29360467"/>
    <w:rsid w:val="35D965A0"/>
    <w:rsid w:val="371F4EB2"/>
    <w:rsid w:val="39106AB4"/>
    <w:rsid w:val="39FF281F"/>
    <w:rsid w:val="3BEE5207"/>
    <w:rsid w:val="44B96E64"/>
    <w:rsid w:val="4C2C1D15"/>
    <w:rsid w:val="57A162C7"/>
    <w:rsid w:val="5A195232"/>
    <w:rsid w:val="5DB855ED"/>
    <w:rsid w:val="605B487A"/>
    <w:rsid w:val="611D2638"/>
    <w:rsid w:val="61A637FE"/>
    <w:rsid w:val="67570DF8"/>
    <w:rsid w:val="68BD01DE"/>
    <w:rsid w:val="6AEC58C8"/>
    <w:rsid w:val="6B9874FD"/>
    <w:rsid w:val="6BC21979"/>
    <w:rsid w:val="710F0E8B"/>
    <w:rsid w:val="78EB4EE2"/>
    <w:rsid w:val="7C2450A2"/>
    <w:rsid w:val="7D6C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27"/>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28"/>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29"/>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12">
    <w:name w:val="Plain Text"/>
    <w:basedOn w:val="1"/>
    <w:link w:val="32"/>
    <w:qFormat/>
    <w:uiPriority w:val="0"/>
    <w:rPr>
      <w:rFonts w:ascii="宋体" w:hAnsi="Courier New"/>
    </w:rPr>
  </w:style>
  <w:style w:type="paragraph" w:styleId="13">
    <w:name w:val="footer"/>
    <w:basedOn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next w:val="1"/>
    <w:link w:val="3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6">
    <w:name w:val="Title"/>
    <w:basedOn w:val="1"/>
    <w:next w:val="1"/>
    <w:link w:val="30"/>
    <w:qFormat/>
    <w:uiPriority w:val="10"/>
    <w:pPr>
      <w:spacing w:before="240" w:after="60"/>
      <w:jc w:val="center"/>
      <w:outlineLvl w:val="0"/>
    </w:pPr>
    <w:rPr>
      <w:rFonts w:asciiTheme="majorHAnsi" w:hAnsiTheme="majorHAnsi" w:cstheme="majorBidi"/>
      <w:b/>
      <w:bCs/>
      <w:sz w:val="32"/>
      <w:szCs w:val="32"/>
    </w:rPr>
  </w:style>
  <w:style w:type="character" w:styleId="19">
    <w:name w:val="Strong"/>
    <w:qFormat/>
    <w:uiPriority w:val="22"/>
    <w:rPr>
      <w:b/>
      <w:bCs/>
    </w:rPr>
  </w:style>
  <w:style w:type="character" w:styleId="20">
    <w:name w:val="Emphasis"/>
    <w:qFormat/>
    <w:uiPriority w:val="20"/>
    <w:rPr>
      <w:i/>
      <w:iCs/>
    </w:rPr>
  </w:style>
  <w:style w:type="character" w:customStyle="1" w:styleId="21">
    <w:name w:val="标题 1 Char"/>
    <w:link w:val="3"/>
    <w:qFormat/>
    <w:uiPriority w:val="9"/>
    <w:rPr>
      <w:b/>
      <w:bCs/>
      <w:kern w:val="44"/>
      <w:sz w:val="44"/>
      <w:szCs w:val="44"/>
    </w:rPr>
  </w:style>
  <w:style w:type="character" w:customStyle="1" w:styleId="22">
    <w:name w:val="标题 2 Char"/>
    <w:link w:val="4"/>
    <w:semiHidden/>
    <w:qFormat/>
    <w:uiPriority w:val="9"/>
    <w:rPr>
      <w:rFonts w:asciiTheme="majorHAnsi" w:hAnsiTheme="majorHAnsi" w:eastAsiaTheme="majorEastAsia" w:cstheme="majorBidi"/>
      <w:b/>
      <w:bCs/>
      <w:sz w:val="32"/>
      <w:szCs w:val="32"/>
    </w:rPr>
  </w:style>
  <w:style w:type="character" w:customStyle="1" w:styleId="23">
    <w:name w:val="标题 3 Char"/>
    <w:link w:val="5"/>
    <w:semiHidden/>
    <w:qFormat/>
    <w:uiPriority w:val="9"/>
    <w:rPr>
      <w:b/>
      <w:bCs/>
      <w:sz w:val="32"/>
      <w:szCs w:val="32"/>
    </w:rPr>
  </w:style>
  <w:style w:type="character" w:customStyle="1" w:styleId="24">
    <w:name w:val="标题 4 Char"/>
    <w:link w:val="6"/>
    <w:semiHidden/>
    <w:qFormat/>
    <w:uiPriority w:val="9"/>
    <w:rPr>
      <w:rFonts w:asciiTheme="majorHAnsi" w:hAnsiTheme="majorHAnsi" w:eastAsiaTheme="majorEastAsia" w:cstheme="majorBidi"/>
      <w:b/>
      <w:bCs/>
      <w:sz w:val="28"/>
      <w:szCs w:val="28"/>
    </w:rPr>
  </w:style>
  <w:style w:type="character" w:customStyle="1" w:styleId="25">
    <w:name w:val="标题 5 Char"/>
    <w:link w:val="7"/>
    <w:semiHidden/>
    <w:qFormat/>
    <w:uiPriority w:val="9"/>
    <w:rPr>
      <w:b/>
      <w:bCs/>
      <w:sz w:val="28"/>
      <w:szCs w:val="28"/>
    </w:rPr>
  </w:style>
  <w:style w:type="character" w:customStyle="1" w:styleId="26">
    <w:name w:val="标题 6 Char"/>
    <w:link w:val="8"/>
    <w:semiHidden/>
    <w:qFormat/>
    <w:uiPriority w:val="9"/>
    <w:rPr>
      <w:rFonts w:asciiTheme="majorHAnsi" w:hAnsiTheme="majorHAnsi" w:eastAsiaTheme="majorEastAsia" w:cstheme="majorBidi"/>
      <w:b/>
      <w:bCs/>
      <w:sz w:val="24"/>
      <w:szCs w:val="24"/>
    </w:rPr>
  </w:style>
  <w:style w:type="character" w:customStyle="1" w:styleId="27">
    <w:name w:val="标题 7 Char"/>
    <w:link w:val="9"/>
    <w:semiHidden/>
    <w:qFormat/>
    <w:uiPriority w:val="9"/>
    <w:rPr>
      <w:b/>
      <w:bCs/>
      <w:sz w:val="24"/>
      <w:szCs w:val="24"/>
    </w:rPr>
  </w:style>
  <w:style w:type="character" w:customStyle="1" w:styleId="28">
    <w:name w:val="标题 8 Char"/>
    <w:link w:val="10"/>
    <w:semiHidden/>
    <w:qFormat/>
    <w:uiPriority w:val="9"/>
    <w:rPr>
      <w:rFonts w:asciiTheme="majorHAnsi" w:hAnsiTheme="majorHAnsi" w:eastAsiaTheme="majorEastAsia" w:cstheme="majorBidi"/>
      <w:sz w:val="24"/>
      <w:szCs w:val="24"/>
    </w:rPr>
  </w:style>
  <w:style w:type="character" w:customStyle="1" w:styleId="29">
    <w:name w:val="标题 9 Char"/>
    <w:link w:val="11"/>
    <w:semiHidden/>
    <w:qFormat/>
    <w:uiPriority w:val="9"/>
    <w:rPr>
      <w:rFonts w:asciiTheme="majorHAnsi" w:hAnsiTheme="majorHAnsi" w:eastAsiaTheme="majorEastAsia" w:cstheme="majorBidi"/>
      <w:szCs w:val="21"/>
    </w:rPr>
  </w:style>
  <w:style w:type="character" w:customStyle="1" w:styleId="30">
    <w:name w:val="标题 Char"/>
    <w:link w:val="16"/>
    <w:qFormat/>
    <w:uiPriority w:val="10"/>
    <w:rPr>
      <w:rFonts w:eastAsia="宋体" w:asciiTheme="majorHAnsi" w:hAnsiTheme="majorHAnsi" w:cstheme="majorBidi"/>
      <w:b/>
      <w:bCs/>
      <w:sz w:val="32"/>
      <w:szCs w:val="32"/>
    </w:rPr>
  </w:style>
  <w:style w:type="character" w:customStyle="1" w:styleId="31">
    <w:name w:val="副标题 Char"/>
    <w:link w:val="15"/>
    <w:qFormat/>
    <w:uiPriority w:val="11"/>
    <w:rPr>
      <w:rFonts w:eastAsia="宋体" w:asciiTheme="majorHAnsi" w:hAnsiTheme="majorHAnsi" w:cstheme="majorBidi"/>
      <w:b/>
      <w:bCs/>
      <w:kern w:val="28"/>
      <w:sz w:val="32"/>
      <w:szCs w:val="32"/>
    </w:rPr>
  </w:style>
  <w:style w:type="character" w:customStyle="1" w:styleId="32">
    <w:name w:val="纯文本 Char"/>
    <w:basedOn w:val="18"/>
    <w:link w:val="12"/>
    <w:qFormat/>
    <w:uiPriority w:val="0"/>
    <w:rPr>
      <w:rFonts w:ascii="宋体" w:hAnsi="Courier New"/>
    </w:rPr>
  </w:style>
  <w:style w:type="paragraph" w:styleId="33">
    <w:name w:val="No Spacing"/>
    <w:basedOn w:val="1"/>
    <w:qFormat/>
    <w:uiPriority w:val="1"/>
  </w:style>
  <w:style w:type="paragraph" w:styleId="34">
    <w:name w:val="List Paragraph"/>
    <w:basedOn w:val="1"/>
    <w:qFormat/>
    <w:uiPriority w:val="34"/>
    <w:pPr>
      <w:ind w:firstLine="420" w:firstLineChars="200"/>
    </w:pPr>
  </w:style>
  <w:style w:type="paragraph" w:styleId="35">
    <w:name w:val="Quote"/>
    <w:basedOn w:val="1"/>
    <w:next w:val="1"/>
    <w:link w:val="36"/>
    <w:qFormat/>
    <w:uiPriority w:val="29"/>
    <w:rPr>
      <w:i/>
      <w:iCs/>
      <w:color w:val="000000" w:themeColor="text1"/>
    </w:rPr>
  </w:style>
  <w:style w:type="character" w:customStyle="1" w:styleId="36">
    <w:name w:val="引用 Char"/>
    <w:link w:val="35"/>
    <w:qFormat/>
    <w:uiPriority w:val="29"/>
    <w:rPr>
      <w:i/>
      <w:iCs/>
      <w:color w:val="000000" w:themeColor="text1"/>
    </w:rPr>
  </w:style>
  <w:style w:type="paragraph" w:styleId="37">
    <w:name w:val="Intense Quote"/>
    <w:basedOn w:val="1"/>
    <w:next w:val="1"/>
    <w:link w:val="3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8">
    <w:name w:val="明显引用 Char"/>
    <w:link w:val="37"/>
    <w:qFormat/>
    <w:uiPriority w:val="30"/>
    <w:rPr>
      <w:b/>
      <w:bCs/>
      <w:i/>
      <w:iCs/>
      <w:color w:val="4F81BD" w:themeColor="accent1"/>
    </w:rPr>
  </w:style>
  <w:style w:type="character" w:customStyle="1" w:styleId="39">
    <w:name w:val="Subtle Emphasis"/>
    <w:qFormat/>
    <w:uiPriority w:val="19"/>
    <w:rPr>
      <w:i/>
      <w:iCs/>
      <w:color w:val="7F7F7F" w:themeColor="text1" w:themeTint="7F"/>
    </w:rPr>
  </w:style>
  <w:style w:type="character" w:customStyle="1" w:styleId="40">
    <w:name w:val="Intense Emphasis"/>
    <w:qFormat/>
    <w:uiPriority w:val="21"/>
    <w:rPr>
      <w:b/>
      <w:bCs/>
      <w:i/>
      <w:iCs/>
      <w:color w:val="4F81BD" w:themeColor="accent1"/>
    </w:rPr>
  </w:style>
  <w:style w:type="character" w:customStyle="1" w:styleId="41">
    <w:name w:val="Subtle Reference"/>
    <w:qFormat/>
    <w:uiPriority w:val="31"/>
    <w:rPr>
      <w:smallCaps/>
      <w:color w:val="C0504D" w:themeColor="accent2"/>
      <w:u w:val="single"/>
    </w:rPr>
  </w:style>
  <w:style w:type="character" w:customStyle="1" w:styleId="42">
    <w:name w:val="Intense Reference"/>
    <w:qFormat/>
    <w:uiPriority w:val="32"/>
    <w:rPr>
      <w:b/>
      <w:bCs/>
      <w:smallCaps/>
      <w:color w:val="C0504D" w:themeColor="accent2"/>
      <w:spacing w:val="5"/>
      <w:u w:val="single"/>
    </w:rPr>
  </w:style>
  <w:style w:type="character" w:customStyle="1" w:styleId="43">
    <w:name w:val="Book Title"/>
    <w:qFormat/>
    <w:uiPriority w:val="33"/>
    <w:rPr>
      <w:b/>
      <w:bCs/>
      <w:smallCaps/>
      <w:spacing w:val="5"/>
    </w:rPr>
  </w:style>
  <w:style w:type="paragraph" w:customStyle="1" w:styleId="44">
    <w:name w:val="TOC Heading"/>
    <w:basedOn w:val="3"/>
    <w:next w:val="1"/>
    <w:semiHidden/>
    <w:unhideWhenUsed/>
    <w:qFormat/>
    <w:uiPriority w:val="39"/>
    <w:pPr>
      <w:outlineLvl w:val="9"/>
    </w:pPr>
  </w:style>
  <w:style w:type="paragraph" w:customStyle="1" w:styleId="45">
    <w:name w:val="正文2"/>
    <w:basedOn w:val="1"/>
    <w:qFormat/>
    <w:uiPriority w:val="0"/>
    <w:rPr>
      <w:sz w:val="24"/>
    </w:rPr>
  </w:style>
  <w:style w:type="paragraph" w:customStyle="1" w:styleId="46">
    <w:name w:val="Char1"/>
    <w:basedOn w:val="1"/>
    <w:qFormat/>
    <w:uiPriority w:val="0"/>
    <w:pPr>
      <w:tabs>
        <w:tab w:val="left" w:pos="840"/>
      </w:tabs>
      <w:ind w:left="840" w:hanging="420"/>
    </w:pPr>
    <w:rPr>
      <w:rFonts w:ascii="Calibri" w:hAnsi="Calibri"/>
      <w:kern w:val="0"/>
      <w:szCs w:val="22"/>
      <w:lang w:val="en-US" w:eastAsia="zh-CN"/>
    </w:rPr>
  </w:style>
  <w:style w:type="paragraph" w:customStyle="1" w:styleId="47">
    <w:name w:val="Body text|1"/>
    <w:basedOn w:val="1"/>
    <w:qFormat/>
    <w:uiPriority w:val="0"/>
    <w:pPr>
      <w:spacing w:line="442"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Words>
  <Characters>1324</Characters>
  <Lines>11</Lines>
  <Paragraphs>3</Paragraphs>
  <TotalTime>0</TotalTime>
  <ScaleCrop>false</ScaleCrop>
  <LinksUpToDate>false</LinksUpToDate>
  <CharactersWithSpaces>1553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2020-01-13T08:39:00Z</dcterms:created>
  <dc:creator>Administrator</dc:creator>
  <cp:lastModifiedBy>晓风飞扬</cp:lastModifiedBy>
  <dcterms:modified xsi:type="dcterms:W3CDTF">2020-01-16T09:07:32Z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