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ascii="Times New Roman" w:hAnsi="Times New Roman" w:eastAsia="方正小标宋简体" w:cs="Times New Roman"/>
          <w:bCs/>
          <w:snapToGrid w:val="0"/>
          <w:color w:val="000000"/>
          <w:sz w:val="44"/>
          <w:szCs w:val="44"/>
        </w:rPr>
      </w:pPr>
      <w:r>
        <w:rPr>
          <w:rFonts w:hint="eastAsia" w:ascii="Times New Roman" w:hAnsi="Times New Roman" w:eastAsia="方正小标宋简体" w:cs="Times New Roman"/>
          <w:bCs/>
          <w:snapToGrid w:val="0"/>
          <w:color w:val="000000"/>
          <w:sz w:val="44"/>
          <w:szCs w:val="44"/>
        </w:rPr>
        <w:t>铜川市耀州区文旅局</w:t>
      </w:r>
    </w:p>
    <w:p>
      <w:pPr>
        <w:topLinePunct/>
        <w:spacing w:line="600" w:lineRule="exact"/>
        <w:jc w:val="center"/>
        <w:rPr>
          <w:rFonts w:ascii="Times New Roman" w:hAnsi="Times New Roman" w:eastAsia="方正小标宋简体" w:cs="Times New Roman"/>
          <w:bCs/>
          <w:snapToGrid w:val="0"/>
          <w:color w:val="000000"/>
          <w:sz w:val="44"/>
          <w:szCs w:val="44"/>
        </w:rPr>
      </w:pPr>
      <w:r>
        <w:rPr>
          <w:rFonts w:ascii="Times New Roman" w:hAnsi="Times New Roman" w:eastAsia="方正小标宋简体" w:cs="Times New Roman"/>
          <w:bCs/>
          <w:snapToGrid w:val="0"/>
          <w:color w:val="000000"/>
          <w:sz w:val="44"/>
          <w:szCs w:val="44"/>
        </w:rPr>
        <w:t>2019</w:t>
      </w:r>
      <w:r>
        <w:rPr>
          <w:rFonts w:hint="eastAsia" w:ascii="Times New Roman" w:hAnsi="Times New Roman" w:eastAsia="方正小标宋简体" w:cs="Times New Roman"/>
          <w:bCs/>
          <w:snapToGrid w:val="0"/>
          <w:color w:val="000000"/>
          <w:sz w:val="44"/>
          <w:szCs w:val="44"/>
        </w:rPr>
        <w:t>年政府信息公开工作年度报告</w:t>
      </w:r>
    </w:p>
    <w:p>
      <w:pPr>
        <w:spacing w:line="560" w:lineRule="exact"/>
        <w:rPr>
          <w:rFonts w:ascii="仿宋_GB2312" w:hAnsi="宋体" w:eastAsia="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（一）概述</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区文旅局认真贯彻落实《中华人民共和国政府信息公开条例》和《铜川市政府信息公开规定》及有关政府信息公开工作的要求，不断完善政务公开内容，畅通政务公开渠道，较好完成了文旅系统信息公开工作任务，有效保障了公民对全区文旅工作的知情权、参与权和监督权。</w:t>
      </w:r>
      <w:r>
        <w:rPr>
          <w:rFonts w:ascii="仿宋_GB2312" w:hAnsi="宋体" w:eastAsia="仿宋_GB2312"/>
          <w:sz w:val="32"/>
          <w:szCs w:val="32"/>
        </w:rPr>
        <w:t xml:space="preserve">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（二）主动公开信息情况</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年，区文化和旅游文物局在区政府网站公开国家公共文化体系示范区创建</w:t>
      </w:r>
      <w:r>
        <w:rPr>
          <w:rFonts w:hint="eastAsia" w:ascii="仿宋_GB2312" w:hAnsi="宋体" w:eastAsia="仿宋_GB2312"/>
          <w:sz w:val="32"/>
          <w:szCs w:val="32"/>
          <w:lang w:val="en-US" w:eastAsia="zh-CN"/>
        </w:rPr>
        <w:t>信息13</w:t>
      </w:r>
      <w:r>
        <w:rPr>
          <w:rFonts w:hint="eastAsia" w:ascii="仿宋_GB2312" w:hAnsi="宋体" w:eastAsia="仿宋_GB2312"/>
          <w:sz w:val="32"/>
          <w:szCs w:val="32"/>
        </w:rPr>
        <w:t>条。微信公众号公开</w:t>
      </w:r>
      <w:r>
        <w:rPr>
          <w:rFonts w:hint="eastAsia" w:ascii="仿宋_GB2312" w:eastAsia="仿宋_GB2312"/>
          <w:sz w:val="32"/>
          <w:szCs w:val="32"/>
        </w:rPr>
        <w:t>305</w:t>
      </w:r>
      <w:r>
        <w:rPr>
          <w:rFonts w:hint="eastAsia" w:ascii="仿宋_GB2312" w:hAnsi="宋体" w:eastAsia="仿宋_GB2312"/>
          <w:sz w:val="32"/>
          <w:szCs w:val="32"/>
        </w:rPr>
        <w:t>条，及时宣传耀州区文化和旅游方面信息和区文旅局工作动态。</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（三）依申请公开政府信息情况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2019年未依申请公开。</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（四）政府信息管理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区文旅局</w:t>
      </w:r>
      <w:r>
        <w:rPr>
          <w:rFonts w:ascii="仿宋_GB2312" w:hAnsi="宋体" w:eastAsia="仿宋_GB2312"/>
          <w:sz w:val="32"/>
          <w:szCs w:val="32"/>
        </w:rPr>
        <w:t>2019</w:t>
      </w:r>
      <w:r>
        <w:rPr>
          <w:rFonts w:hint="eastAsia" w:ascii="仿宋_GB2312" w:hAnsi="宋体" w:eastAsia="仿宋_GB2312"/>
          <w:sz w:val="32"/>
          <w:szCs w:val="32"/>
        </w:rPr>
        <w:t>年政务信息公开工作，全面落实政府信息公开要求，稳步拓展公开范围。围绕文旅局</w:t>
      </w:r>
      <w:r>
        <w:rPr>
          <w:rFonts w:ascii="仿宋_GB2312" w:eastAsia="仿宋_GB2312"/>
          <w:sz w:val="32"/>
          <w:szCs w:val="32"/>
        </w:rPr>
        <w:t>2019</w:t>
      </w:r>
      <w:r>
        <w:rPr>
          <w:rFonts w:hint="eastAsia" w:ascii="仿宋_GB2312" w:hAnsi="宋体" w:eastAsia="仿宋_GB2312"/>
          <w:sz w:val="32"/>
          <w:szCs w:val="32"/>
        </w:rPr>
        <w:t>年文化旅游文物工作，实时公开招投标信息以及中标情况，并公布监督电话方便群众监督询问。</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（五）平台建设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区文旅局</w:t>
      </w:r>
      <w:r>
        <w:rPr>
          <w:rFonts w:ascii="仿宋_GB2312" w:hAnsi="宋体" w:eastAsia="仿宋_GB2312"/>
          <w:sz w:val="32"/>
          <w:szCs w:val="32"/>
        </w:rPr>
        <w:t>2019</w:t>
      </w:r>
      <w:r>
        <w:rPr>
          <w:rFonts w:hint="eastAsia" w:ascii="仿宋_GB2312" w:hAnsi="宋体" w:eastAsia="仿宋_GB2312"/>
          <w:sz w:val="32"/>
          <w:szCs w:val="32"/>
        </w:rPr>
        <w:t>年政府信息公开载体主要依托两个渠道公开，一是政府网站，政府网站是第一平台。二是利用微信公众号、公示栏等方式及时向社会发布相关信息。以多样化的公开手段扩大公开信息辐射面。</w:t>
      </w:r>
    </w:p>
    <w:p>
      <w:pPr>
        <w:spacing w:line="560" w:lineRule="exact"/>
        <w:ind w:left="638" w:leftChars="304"/>
        <w:rPr>
          <w:rFonts w:ascii="仿宋_GB2312" w:hAnsi="宋体" w:eastAsia="仿宋_GB2312"/>
          <w:sz w:val="32"/>
          <w:szCs w:val="32"/>
        </w:rPr>
      </w:pPr>
      <w:r>
        <w:rPr>
          <w:rFonts w:hint="eastAsia" w:ascii="仿宋_GB2312" w:hAnsi="宋体" w:eastAsia="仿宋_GB2312"/>
          <w:sz w:val="32"/>
          <w:szCs w:val="32"/>
        </w:rPr>
        <w:t>（六）人大建议和政协提案办理结果公开情况</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2019年区文旅局收到8个政协提案，7个已按期答复并在区政府网站公开发布</w:t>
      </w:r>
      <w:r>
        <w:rPr>
          <w:rFonts w:hint="eastAsia" w:ascii="仿宋_GB2312" w:hAnsi="宋体" w:eastAsia="仿宋_GB2312"/>
          <w:sz w:val="32"/>
          <w:szCs w:val="32"/>
          <w:lang w:eastAsia="zh-CN"/>
        </w:rPr>
        <w:t>，</w:t>
      </w:r>
      <w:r>
        <w:rPr>
          <w:rFonts w:hint="eastAsia" w:ascii="仿宋_GB2312" w:hAnsi="宋体" w:eastAsia="仿宋_GB2312"/>
          <w:sz w:val="32"/>
          <w:szCs w:val="32"/>
        </w:rPr>
        <w:t>1个情况说明不需答复。</w:t>
      </w:r>
    </w:p>
    <w:p>
      <w:pPr>
        <w:rPr>
          <w:rFonts w:ascii="黑体" w:hAnsi="宋体" w:eastAsia="黑体"/>
          <w:sz w:val="32"/>
          <w:szCs w:val="32"/>
        </w:rPr>
      </w:pPr>
      <w:r>
        <w:rPr>
          <w:rFonts w:ascii="仿宋_GB2312" w:hAnsi="宋体" w:eastAsia="仿宋_GB2312"/>
          <w:sz w:val="32"/>
          <w:szCs w:val="32"/>
        </w:rPr>
        <w:t xml:space="preserve"> </w:t>
      </w:r>
    </w:p>
    <w:p>
      <w:pPr>
        <w:ind w:firstLine="640" w:firstLineChars="200"/>
        <w:rPr>
          <w:rFonts w:ascii="黑体" w:hAnsi="宋体" w:eastAsia="黑体"/>
          <w:sz w:val="32"/>
          <w:szCs w:val="32"/>
        </w:rPr>
      </w:pPr>
      <w:r>
        <w:rPr>
          <w:rFonts w:hint="eastAsia" w:ascii="黑体" w:hAnsi="宋体" w:eastAsia="黑体"/>
          <w:sz w:val="32"/>
          <w:szCs w:val="32"/>
        </w:rPr>
        <w:t>二、主动公开政府信息情况</w:t>
      </w:r>
    </w:p>
    <w:tbl>
      <w:tblPr>
        <w:tblStyle w:val="5"/>
        <w:tblW w:w="0" w:type="auto"/>
        <w:jc w:val="center"/>
        <w:tblLayout w:type="fixed"/>
        <w:tblCellMar>
          <w:top w:w="0" w:type="dxa"/>
          <w:left w:w="10" w:type="dxa"/>
          <w:bottom w:w="0" w:type="dxa"/>
          <w:right w:w="10" w:type="dxa"/>
        </w:tblCellMar>
      </w:tblPr>
      <w:tblGrid>
        <w:gridCol w:w="2192"/>
        <w:gridCol w:w="2238"/>
        <w:gridCol w:w="2372"/>
        <w:gridCol w:w="2018"/>
      </w:tblGrid>
      <w:tr>
        <w:trPr>
          <w:trHeight w:val="63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第二十条第（一）项</w:t>
            </w:r>
          </w:p>
        </w:tc>
      </w:tr>
      <w:tr>
        <w:tblPrEx>
          <w:tblCellMar>
            <w:top w:w="0" w:type="dxa"/>
            <w:left w:w="10" w:type="dxa"/>
            <w:bottom w:w="0" w:type="dxa"/>
            <w:right w:w="10" w:type="dxa"/>
          </w:tblCellMar>
        </w:tblPrEx>
        <w:trPr>
          <w:trHeight w:val="610"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本年新制作数量</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本年新公开数量</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对外公开总数量</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规章</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sz w:val="18"/>
                <w:szCs w:val="18"/>
              </w:rPr>
              <w:t>0</w:t>
            </w:r>
          </w:p>
        </w:tc>
        <w:tc>
          <w:tcPr>
            <w:tcW w:w="2372" w:type="dxa"/>
            <w:tcBorders>
              <w:top w:val="single" w:color="auto" w:sz="4" w:space="0"/>
              <w:left w:val="single" w:color="auto" w:sz="4" w:space="0"/>
              <w:bottom w:val="nil"/>
              <w:right w:val="nil"/>
            </w:tcBorders>
            <w:shd w:val="clear" w:color="auto" w:fill="FFFFFF"/>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规范性文件</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37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第二十条第（五）项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上一年项目数量</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处理决定数量</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行政许可</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hAnsi="宋体"/>
                <w:sz w:val="18"/>
                <w:szCs w:val="18"/>
              </w:rPr>
            </w:pPr>
            <w:r>
              <w:rPr>
                <w:rFonts w:hint="eastAsia" w:ascii="宋体" w:hAnsi="宋体"/>
                <w:sz w:val="18"/>
                <w:szCs w:val="18"/>
              </w:rPr>
              <w:t>6</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其他对外管理服务事项</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rPr>
              <w:t>0</w:t>
            </w:r>
          </w:p>
        </w:tc>
        <w:tc>
          <w:tcPr>
            <w:tcW w:w="237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501"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第二十条第（六）项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上一年项目数量</w:t>
            </w:r>
          </w:p>
        </w:tc>
        <w:tc>
          <w:tcPr>
            <w:tcW w:w="237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处理决定数量</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行政处罚</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2372"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201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501"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行政强制</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rPr>
              <w:t>0</w:t>
            </w:r>
          </w:p>
        </w:tc>
        <w:tc>
          <w:tcPr>
            <w:tcW w:w="237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第二十条第（八）项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上一年项目数量</w:t>
            </w:r>
          </w:p>
        </w:tc>
        <w:tc>
          <w:tcPr>
            <w:tcW w:w="4390"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r>
      <w:tr>
        <w:tblPrEx>
          <w:tblCellMar>
            <w:top w:w="0" w:type="dxa"/>
            <w:left w:w="10" w:type="dxa"/>
            <w:bottom w:w="0" w:type="dxa"/>
            <w:right w:w="10" w:type="dxa"/>
          </w:tblCellMar>
        </w:tblPrEx>
        <w:trPr>
          <w:trHeight w:val="217"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行政事业性收费</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第二十条第（九）项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采购项目数量</w:t>
            </w:r>
          </w:p>
        </w:tc>
        <w:tc>
          <w:tcPr>
            <w:tcW w:w="4390" w:type="dxa"/>
            <w:gridSpan w:val="2"/>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采购总金额</w:t>
            </w:r>
          </w:p>
        </w:tc>
      </w:tr>
      <w:tr>
        <w:tblPrEx>
          <w:tblCellMar>
            <w:top w:w="0" w:type="dxa"/>
            <w:left w:w="10" w:type="dxa"/>
            <w:bottom w:w="0" w:type="dxa"/>
            <w:right w:w="10" w:type="dxa"/>
          </w:tblCellMar>
        </w:tblPrEx>
        <w:trPr>
          <w:trHeight w:val="321" w:hRule="atLeast"/>
          <w:jc w:val="center"/>
        </w:trPr>
        <w:tc>
          <w:tcPr>
            <w:tcW w:w="2192"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hAnsi="宋体"/>
                <w:sz w:val="18"/>
                <w:szCs w:val="18"/>
              </w:rPr>
              <w:t>政府集中釆购</w:t>
            </w:r>
          </w:p>
        </w:tc>
        <w:tc>
          <w:tcPr>
            <w:tcW w:w="223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hAnsi="宋体"/>
                <w:sz w:val="18"/>
                <w:szCs w:val="18"/>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bl>
    <w:p>
      <w:pPr>
        <w:rPr>
          <w:rFonts w:ascii="宋体"/>
          <w:sz w:val="18"/>
          <w:szCs w:val="18"/>
        </w:rPr>
      </w:pPr>
      <w:r>
        <w:rPr>
          <w:rFonts w:ascii="宋体"/>
          <w:sz w:val="18"/>
          <w:szCs w:val="18"/>
        </w:rPr>
        <w:br w:type="page"/>
      </w:r>
    </w:p>
    <w:p>
      <w:pPr>
        <w:pStyle w:val="2"/>
      </w:pPr>
    </w:p>
    <w:p>
      <w:pPr>
        <w:pStyle w:val="2"/>
      </w:pPr>
    </w:p>
    <w:p>
      <w:pPr>
        <w:ind w:firstLine="640" w:firstLineChars="200"/>
        <w:rPr>
          <w:rFonts w:ascii="黑体" w:hAnsi="宋体" w:eastAsia="黑体"/>
          <w:sz w:val="32"/>
          <w:szCs w:val="32"/>
        </w:rPr>
      </w:pPr>
      <w:r>
        <w:rPr>
          <w:rFonts w:hint="eastAsia" w:ascii="黑体" w:hAnsi="宋体" w:eastAsia="黑体"/>
          <w:sz w:val="32"/>
          <w:szCs w:val="32"/>
        </w:rPr>
        <w:t>三、收到和处理政府信息公开申请情况</w:t>
      </w:r>
    </w:p>
    <w:tbl>
      <w:tblPr>
        <w:tblStyle w:val="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atLeast"/>
          <w:jc w:val="center"/>
        </w:trPr>
        <w:tc>
          <w:tcPr>
            <w:tcW w:w="4801" w:type="dxa"/>
            <w:gridSpan w:val="3"/>
            <w:vMerge w:val="restart"/>
            <w:shd w:val="clear" w:color="auto" w:fill="FFFFFF"/>
            <w:vAlign w:val="center"/>
          </w:tcPr>
          <w:p>
            <w:pPr>
              <w:jc w:val="center"/>
              <w:rPr>
                <w:rFonts w:ascii="宋体"/>
                <w:sz w:val="18"/>
                <w:szCs w:val="18"/>
              </w:rPr>
            </w:pPr>
            <w:r>
              <w:rPr>
                <w:rFonts w:hint="eastAsia" w:ascii="宋体" w:hAnsi="宋体"/>
                <w:sz w:val="18"/>
                <w:szCs w:val="18"/>
              </w:rPr>
              <w:t>（本列数据的勾稽关系为：第一项加第二项之和，</w:t>
            </w:r>
            <w:r>
              <w:rPr>
                <w:rFonts w:ascii="宋体" w:hAnsi="宋体"/>
                <w:sz w:val="18"/>
                <w:szCs w:val="18"/>
              </w:rPr>
              <w:t xml:space="preserve"> </w:t>
            </w:r>
            <w:r>
              <w:rPr>
                <w:rFonts w:hint="eastAsia" w:ascii="宋体" w:hAnsi="宋体"/>
                <w:sz w:val="18"/>
                <w:szCs w:val="18"/>
              </w:rPr>
              <w:t>等于第三项加第四项之和）</w:t>
            </w:r>
          </w:p>
        </w:tc>
        <w:tc>
          <w:tcPr>
            <w:tcW w:w="3963" w:type="dxa"/>
            <w:gridSpan w:val="7"/>
            <w:tcBorders>
              <w:left w:val="nil"/>
            </w:tcBorders>
            <w:shd w:val="clear" w:color="auto" w:fill="FFFFFF"/>
            <w:vAlign w:val="center"/>
          </w:tcPr>
          <w:p>
            <w:pPr>
              <w:jc w:val="center"/>
              <w:rPr>
                <w:rFonts w:ascii="宋体"/>
                <w:sz w:val="18"/>
                <w:szCs w:val="18"/>
              </w:rPr>
            </w:pPr>
            <w:r>
              <w:rPr>
                <w:rFonts w:hint="eastAsia" w:ascii="宋体" w:hAnsi="宋体"/>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jc w:val="center"/>
        </w:trPr>
        <w:tc>
          <w:tcPr>
            <w:tcW w:w="4801" w:type="dxa"/>
            <w:gridSpan w:val="3"/>
            <w:vMerge w:val="continue"/>
            <w:vAlign w:val="center"/>
          </w:tcPr>
          <w:p>
            <w:pPr>
              <w:widowControl/>
              <w:jc w:val="center"/>
              <w:rPr>
                <w:rFonts w:ascii="宋体"/>
                <w:sz w:val="18"/>
                <w:szCs w:val="18"/>
              </w:rPr>
            </w:pPr>
          </w:p>
        </w:tc>
        <w:tc>
          <w:tcPr>
            <w:tcW w:w="705" w:type="dxa"/>
            <w:vMerge w:val="restart"/>
            <w:tcBorders>
              <w:top w:val="nil"/>
              <w:left w:val="nil"/>
            </w:tcBorders>
            <w:shd w:val="clear" w:color="auto" w:fill="FFFFFF"/>
            <w:vAlign w:val="center"/>
          </w:tcPr>
          <w:p>
            <w:pPr>
              <w:jc w:val="center"/>
              <w:rPr>
                <w:rFonts w:ascii="宋体"/>
                <w:sz w:val="18"/>
                <w:szCs w:val="18"/>
              </w:rPr>
            </w:pPr>
            <w:r>
              <w:rPr>
                <w:rFonts w:hint="eastAsia" w:ascii="宋体" w:hAnsi="宋体"/>
                <w:sz w:val="18"/>
                <w:szCs w:val="18"/>
              </w:rPr>
              <w:t>自然人</w:t>
            </w:r>
          </w:p>
        </w:tc>
        <w:tc>
          <w:tcPr>
            <w:tcW w:w="2790" w:type="dxa"/>
            <w:gridSpan w:val="5"/>
            <w:tcBorders>
              <w:left w:val="nil"/>
            </w:tcBorders>
            <w:shd w:val="clear" w:color="auto" w:fill="FFFFFF"/>
            <w:vAlign w:val="center"/>
          </w:tcPr>
          <w:p>
            <w:pPr>
              <w:jc w:val="center"/>
              <w:rPr>
                <w:rFonts w:ascii="宋体"/>
                <w:sz w:val="18"/>
                <w:szCs w:val="18"/>
              </w:rPr>
            </w:pPr>
            <w:r>
              <w:rPr>
                <w:rFonts w:hint="eastAsia" w:ascii="宋体" w:hAnsi="宋体"/>
                <w:sz w:val="18"/>
                <w:szCs w:val="18"/>
              </w:rPr>
              <w:t>法人或其他组织</w:t>
            </w:r>
          </w:p>
        </w:tc>
        <w:tc>
          <w:tcPr>
            <w:tcW w:w="468" w:type="dxa"/>
            <w:vMerge w:val="restart"/>
            <w:tcBorders>
              <w:left w:val="nil"/>
            </w:tcBorders>
            <w:shd w:val="clear" w:color="auto" w:fill="FFFFFF"/>
            <w:vAlign w:val="center"/>
          </w:tcPr>
          <w:p>
            <w:pPr>
              <w:jc w:val="center"/>
              <w:rPr>
                <w:rFonts w:ascii="宋体"/>
                <w:sz w:val="18"/>
                <w:szCs w:val="18"/>
              </w:rPr>
            </w:pPr>
            <w:r>
              <w:rPr>
                <w:rFonts w:hint="eastAsia" w:ascii="宋体" w:hAnsi="宋体"/>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atLeast"/>
          <w:jc w:val="center"/>
        </w:trPr>
        <w:tc>
          <w:tcPr>
            <w:tcW w:w="4801" w:type="dxa"/>
            <w:gridSpan w:val="3"/>
            <w:vMerge w:val="continue"/>
            <w:vAlign w:val="center"/>
          </w:tcPr>
          <w:p>
            <w:pPr>
              <w:widowControl/>
              <w:jc w:val="center"/>
              <w:rPr>
                <w:rFonts w:ascii="宋体"/>
                <w:sz w:val="18"/>
                <w:szCs w:val="18"/>
              </w:rPr>
            </w:pPr>
          </w:p>
        </w:tc>
        <w:tc>
          <w:tcPr>
            <w:tcW w:w="705" w:type="dxa"/>
            <w:vMerge w:val="continue"/>
            <w:tcBorders>
              <w:top w:val="nil"/>
              <w:left w:val="nil"/>
            </w:tcBorders>
            <w:vAlign w:val="center"/>
          </w:tcPr>
          <w:p>
            <w:pPr>
              <w:widowControl/>
              <w:jc w:val="center"/>
              <w:rPr>
                <w:rFonts w:ascii="宋体"/>
                <w:sz w:val="18"/>
                <w:szCs w:val="18"/>
              </w:rPr>
            </w:pPr>
          </w:p>
        </w:tc>
        <w:tc>
          <w:tcPr>
            <w:tcW w:w="570" w:type="dxa"/>
            <w:tcBorders>
              <w:left w:val="nil"/>
            </w:tcBorders>
            <w:shd w:val="clear" w:color="auto" w:fill="FFFFFF"/>
            <w:vAlign w:val="center"/>
          </w:tcPr>
          <w:p>
            <w:pPr>
              <w:jc w:val="center"/>
              <w:rPr>
                <w:rFonts w:ascii="宋体"/>
                <w:sz w:val="18"/>
                <w:szCs w:val="18"/>
              </w:rPr>
            </w:pPr>
            <w:r>
              <w:rPr>
                <w:rFonts w:hint="eastAsia" w:ascii="宋体" w:hAnsi="宋体"/>
                <w:sz w:val="18"/>
                <w:szCs w:val="18"/>
              </w:rPr>
              <w:t>商业</w:t>
            </w:r>
            <w:r>
              <w:rPr>
                <w:rFonts w:ascii="宋体" w:hAnsi="宋体"/>
                <w:sz w:val="18"/>
                <w:szCs w:val="18"/>
              </w:rPr>
              <w:t xml:space="preserve"> </w:t>
            </w:r>
            <w:r>
              <w:rPr>
                <w:rFonts w:hint="eastAsia" w:ascii="宋体" w:hAnsi="宋体"/>
                <w:sz w:val="18"/>
                <w:szCs w:val="18"/>
              </w:rPr>
              <w:t>企业</w:t>
            </w:r>
          </w:p>
        </w:tc>
        <w:tc>
          <w:tcPr>
            <w:tcW w:w="570" w:type="dxa"/>
            <w:tcBorders>
              <w:left w:val="nil"/>
            </w:tcBorders>
            <w:shd w:val="clear" w:color="auto" w:fill="FFFFFF"/>
            <w:vAlign w:val="center"/>
          </w:tcPr>
          <w:p>
            <w:pPr>
              <w:jc w:val="center"/>
              <w:rPr>
                <w:rFonts w:ascii="宋体"/>
                <w:sz w:val="18"/>
                <w:szCs w:val="18"/>
              </w:rPr>
            </w:pPr>
            <w:r>
              <w:rPr>
                <w:rFonts w:hint="eastAsia" w:ascii="宋体" w:hAnsi="宋体"/>
                <w:sz w:val="18"/>
                <w:szCs w:val="18"/>
              </w:rPr>
              <w:t>科研</w:t>
            </w:r>
            <w:r>
              <w:rPr>
                <w:rFonts w:ascii="宋体" w:hAnsi="宋体"/>
                <w:sz w:val="18"/>
                <w:szCs w:val="18"/>
              </w:rPr>
              <w:t xml:space="preserve"> </w:t>
            </w:r>
            <w:r>
              <w:rPr>
                <w:rFonts w:hint="eastAsia" w:ascii="宋体" w:hAnsi="宋体"/>
                <w:sz w:val="18"/>
                <w:szCs w:val="18"/>
              </w:rPr>
              <w:t>机构</w:t>
            </w:r>
          </w:p>
        </w:tc>
        <w:tc>
          <w:tcPr>
            <w:tcW w:w="555" w:type="dxa"/>
            <w:tcBorders>
              <w:left w:val="nil"/>
            </w:tcBorders>
            <w:shd w:val="clear" w:color="auto" w:fill="FFFFFF"/>
            <w:vAlign w:val="center"/>
          </w:tcPr>
          <w:p>
            <w:pPr>
              <w:jc w:val="center"/>
              <w:rPr>
                <w:rFonts w:ascii="宋体"/>
                <w:sz w:val="18"/>
                <w:szCs w:val="18"/>
              </w:rPr>
            </w:pPr>
            <w:r>
              <w:rPr>
                <w:rFonts w:hint="eastAsia" w:ascii="宋体" w:hAnsi="宋体"/>
                <w:sz w:val="18"/>
                <w:szCs w:val="18"/>
              </w:rPr>
              <w:t>社会</w:t>
            </w:r>
            <w:r>
              <w:rPr>
                <w:rFonts w:ascii="宋体" w:hAnsi="宋体"/>
                <w:sz w:val="18"/>
                <w:szCs w:val="18"/>
              </w:rPr>
              <w:t xml:space="preserve"> </w:t>
            </w:r>
            <w:r>
              <w:rPr>
                <w:rFonts w:hint="eastAsia" w:ascii="宋体" w:hAnsi="宋体"/>
                <w:sz w:val="18"/>
                <w:szCs w:val="18"/>
              </w:rPr>
              <w:t>公益</w:t>
            </w:r>
            <w:r>
              <w:rPr>
                <w:rFonts w:ascii="宋体" w:hAnsi="宋体"/>
                <w:sz w:val="18"/>
                <w:szCs w:val="18"/>
              </w:rPr>
              <w:t xml:space="preserve"> </w:t>
            </w:r>
            <w:r>
              <w:rPr>
                <w:rFonts w:hint="eastAsia" w:ascii="宋体" w:hAnsi="宋体"/>
                <w:sz w:val="18"/>
                <w:szCs w:val="18"/>
              </w:rPr>
              <w:t>组织</w:t>
            </w:r>
          </w:p>
        </w:tc>
        <w:tc>
          <w:tcPr>
            <w:tcW w:w="570" w:type="dxa"/>
            <w:tcBorders>
              <w:left w:val="nil"/>
            </w:tcBorders>
            <w:shd w:val="clear" w:color="auto" w:fill="FFFFFF"/>
            <w:vAlign w:val="center"/>
          </w:tcPr>
          <w:p>
            <w:pPr>
              <w:jc w:val="center"/>
              <w:rPr>
                <w:rFonts w:ascii="宋体"/>
                <w:sz w:val="18"/>
                <w:szCs w:val="18"/>
              </w:rPr>
            </w:pPr>
            <w:r>
              <w:rPr>
                <w:rFonts w:hint="eastAsia" w:ascii="宋体" w:hAnsi="宋体"/>
                <w:sz w:val="18"/>
                <w:szCs w:val="18"/>
              </w:rPr>
              <w:t>法律</w:t>
            </w:r>
            <w:r>
              <w:rPr>
                <w:rFonts w:ascii="宋体" w:hAnsi="宋体"/>
                <w:sz w:val="18"/>
                <w:szCs w:val="18"/>
              </w:rPr>
              <w:t xml:space="preserve"> </w:t>
            </w:r>
            <w:r>
              <w:rPr>
                <w:rFonts w:hint="eastAsia" w:ascii="宋体" w:hAnsi="宋体"/>
                <w:sz w:val="18"/>
                <w:szCs w:val="18"/>
              </w:rPr>
              <w:t>服务</w:t>
            </w:r>
            <w:r>
              <w:rPr>
                <w:rFonts w:ascii="宋体" w:hAnsi="宋体"/>
                <w:sz w:val="18"/>
                <w:szCs w:val="18"/>
              </w:rPr>
              <w:t xml:space="preserve"> </w:t>
            </w:r>
            <w:r>
              <w:rPr>
                <w:rFonts w:hint="eastAsia" w:ascii="宋体" w:hAnsi="宋体"/>
                <w:sz w:val="18"/>
                <w:szCs w:val="18"/>
              </w:rPr>
              <w:t>机构</w:t>
            </w:r>
          </w:p>
        </w:tc>
        <w:tc>
          <w:tcPr>
            <w:tcW w:w="525" w:type="dxa"/>
            <w:tcBorders>
              <w:left w:val="nil"/>
            </w:tcBorders>
            <w:shd w:val="clear" w:color="auto" w:fill="FFFFFF"/>
            <w:vAlign w:val="center"/>
          </w:tcPr>
          <w:p>
            <w:pPr>
              <w:jc w:val="center"/>
              <w:rPr>
                <w:rFonts w:ascii="宋体"/>
                <w:sz w:val="18"/>
                <w:szCs w:val="18"/>
              </w:rPr>
            </w:pPr>
            <w:r>
              <w:rPr>
                <w:rFonts w:hint="eastAsia" w:ascii="宋体" w:hAnsi="宋体"/>
                <w:sz w:val="18"/>
                <w:szCs w:val="18"/>
              </w:rPr>
              <w:t>其他</w:t>
            </w:r>
          </w:p>
        </w:tc>
        <w:tc>
          <w:tcPr>
            <w:tcW w:w="468" w:type="dxa"/>
            <w:vMerge w:val="continue"/>
            <w:tcBorders>
              <w:left w:val="nil"/>
            </w:tcBorders>
            <w:vAlign w:val="center"/>
          </w:tcPr>
          <w:p>
            <w:pPr>
              <w:widowControl/>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01" w:type="dxa"/>
            <w:gridSpan w:val="3"/>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lang w:val="zh-CN"/>
              </w:rPr>
              <w:t>一、本年新收政府信息公开申请数量</w:t>
            </w:r>
          </w:p>
        </w:tc>
        <w:tc>
          <w:tcPr>
            <w:tcW w:w="705" w:type="dxa"/>
            <w:tcBorders>
              <w:left w:val="nil"/>
            </w:tcBorders>
            <w:shd w:val="clear" w:color="auto" w:fill="FFFFFF"/>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atLeast"/>
          <w:jc w:val="center"/>
        </w:trPr>
        <w:tc>
          <w:tcPr>
            <w:tcW w:w="4801" w:type="dxa"/>
            <w:gridSpan w:val="3"/>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lang w:val="zh-CN"/>
              </w:rPr>
              <w:t>二、上年结转政府信息公开申请数量</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atLeast"/>
          <w:jc w:val="center"/>
        </w:trPr>
        <w:tc>
          <w:tcPr>
            <w:tcW w:w="592" w:type="dxa"/>
            <w:vMerge w:val="restart"/>
            <w:tcBorders>
              <w:top w:val="nil"/>
            </w:tcBorders>
            <w:shd w:val="clear" w:color="auto" w:fill="FFFFFF"/>
            <w:textDirection w:val="tbRlV"/>
            <w:vAlign w:val="center"/>
          </w:tcPr>
          <w:p>
            <w:pPr>
              <w:autoSpaceDE w:val="0"/>
              <w:autoSpaceDN w:val="0"/>
              <w:jc w:val="center"/>
              <w:rPr>
                <w:rFonts w:ascii="宋体"/>
                <w:sz w:val="18"/>
                <w:szCs w:val="18"/>
              </w:rPr>
            </w:pPr>
            <w:r>
              <w:rPr>
                <w:rFonts w:hint="eastAsia" w:ascii="宋体" w:hAnsi="宋体" w:cs="宋体"/>
                <w:snapToGrid w:val="0"/>
                <w:kern w:val="32"/>
                <w:lang w:val="zh-CN"/>
              </w:rPr>
              <w:t>三、本年度办理结果</w:t>
            </w:r>
          </w:p>
        </w:tc>
        <w:tc>
          <w:tcPr>
            <w:tcW w:w="4209" w:type="dxa"/>
            <w:gridSpan w:val="2"/>
            <w:tcBorders>
              <w:left w:val="nil"/>
            </w:tcBorders>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lang w:val="zh-CN"/>
              </w:rPr>
              <w:t>（一）予以公开</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lang w:val="zh-CN"/>
              </w:rPr>
              <w:t>（二）部分公开（区分处理的，只计这一情形，不计其他情形）</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vAlign w:val="center"/>
          </w:tcPr>
          <w:p>
            <w:pPr>
              <w:autoSpaceDE w:val="0"/>
              <w:autoSpaceDN w:val="0"/>
              <w:jc w:val="left"/>
            </w:pPr>
            <w:r>
              <w:rPr>
                <w:rFonts w:hint="eastAsia" w:ascii="宋体" w:hAnsi="宋体" w:cs="宋体"/>
                <w:snapToGrid w:val="0"/>
                <w:kern w:val="32"/>
                <w:lang w:val="zh-CN"/>
              </w:rPr>
              <w:t>（三）不予公开</w:t>
            </w: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lang w:eastAsia="en-US"/>
              </w:rPr>
              <w:t>1.</w:t>
            </w:r>
            <w:r>
              <w:rPr>
                <w:rFonts w:hint="eastAsia" w:ascii="宋体" w:hAnsi="宋体" w:cs="宋体"/>
                <w:snapToGrid w:val="0"/>
                <w:kern w:val="32"/>
                <w:lang w:val="zh-CN"/>
              </w:rPr>
              <w:t>属于国家秘密</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rPr>
              <w:t>2.</w:t>
            </w:r>
            <w:r>
              <w:rPr>
                <w:rFonts w:hint="eastAsia" w:ascii="宋体" w:hAnsi="宋体" w:cs="宋体"/>
                <w:snapToGrid w:val="0"/>
                <w:spacing w:val="-6"/>
                <w:kern w:val="32"/>
                <w:lang w:val="zh-CN"/>
              </w:rPr>
              <w:t>其他法律行政法规禁止公开</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rPr>
              <w:t>3.</w:t>
            </w:r>
            <w:r>
              <w:rPr>
                <w:rFonts w:hint="eastAsia" w:ascii="宋体" w:hAnsi="宋体" w:cs="宋体"/>
                <w:snapToGrid w:val="0"/>
                <w:kern w:val="32"/>
                <w:lang w:val="zh-CN"/>
              </w:rPr>
              <w:t>危及“三安全一稳定”</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lang w:val="zh-CN"/>
              </w:rPr>
              <w:t>4</w:t>
            </w:r>
            <w:r>
              <w:rPr>
                <w:rFonts w:hint="eastAsia" w:ascii="宋体" w:hAnsi="宋体" w:cs="宋体"/>
                <w:snapToGrid w:val="0"/>
                <w:kern w:val="32"/>
              </w:rPr>
              <w:t>.</w:t>
            </w:r>
            <w:r>
              <w:rPr>
                <w:rFonts w:hint="eastAsia" w:ascii="宋体" w:hAnsi="宋体" w:cs="宋体"/>
                <w:snapToGrid w:val="0"/>
                <w:kern w:val="32"/>
                <w:lang w:val="zh-CN"/>
              </w:rPr>
              <w:t>保护第三方合法权益</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rPr>
              <w:t>5.</w:t>
            </w:r>
            <w:r>
              <w:rPr>
                <w:rFonts w:hint="eastAsia" w:ascii="宋体" w:hAnsi="宋体" w:cs="宋体"/>
                <w:snapToGrid w:val="0"/>
                <w:kern w:val="32"/>
                <w:lang w:val="zh-CN"/>
              </w:rPr>
              <w:t>属于三类内部事务信息</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lang w:eastAsia="en-US"/>
              </w:rPr>
              <w:t>6.</w:t>
            </w:r>
            <w:r>
              <w:rPr>
                <w:rFonts w:hint="eastAsia" w:ascii="宋体" w:hAnsi="宋体" w:cs="宋体"/>
                <w:snapToGrid w:val="0"/>
                <w:kern w:val="32"/>
                <w:lang w:val="zh-CN"/>
              </w:rPr>
              <w:t>属于四类过程性信息</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lang w:eastAsia="en-US"/>
              </w:rPr>
              <w:t>7.</w:t>
            </w:r>
            <w:r>
              <w:rPr>
                <w:rFonts w:hint="eastAsia" w:ascii="宋体" w:hAnsi="宋体" w:cs="宋体"/>
                <w:snapToGrid w:val="0"/>
                <w:kern w:val="32"/>
                <w:lang w:val="zh-CN"/>
              </w:rPr>
              <w:t>属于行政执法案卷</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lang w:eastAsia="en-US"/>
              </w:rPr>
              <w:t>8.</w:t>
            </w:r>
            <w:r>
              <w:rPr>
                <w:rFonts w:hint="eastAsia" w:ascii="宋体" w:hAnsi="宋体" w:cs="宋体"/>
                <w:snapToGrid w:val="0"/>
                <w:kern w:val="32"/>
                <w:lang w:val="zh-CN"/>
              </w:rPr>
              <w:t>属于行政查询事项</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vAlign w:val="center"/>
          </w:tcPr>
          <w:p>
            <w:pPr>
              <w:autoSpaceDE w:val="0"/>
              <w:autoSpaceDN w:val="0"/>
              <w:jc w:val="left"/>
            </w:pPr>
            <w:r>
              <w:rPr>
                <w:rFonts w:hint="eastAsia" w:ascii="宋体" w:hAnsi="宋体" w:cs="宋体"/>
                <w:snapToGrid w:val="0"/>
                <w:kern w:val="32"/>
                <w:lang w:val="zh-CN"/>
              </w:rPr>
              <w:t>（四）无法提供</w:t>
            </w: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rPr>
              <w:t>1.</w:t>
            </w:r>
            <w:r>
              <w:rPr>
                <w:rFonts w:hint="eastAsia" w:ascii="宋体" w:hAnsi="宋体" w:cs="宋体"/>
                <w:snapToGrid w:val="0"/>
                <w:spacing w:val="-6"/>
                <w:kern w:val="32"/>
                <w:lang w:val="zh-CN"/>
              </w:rPr>
              <w:t>本机关不掌握相关政府信息</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rPr>
              <w:t>2.</w:t>
            </w:r>
            <w:r>
              <w:rPr>
                <w:rFonts w:hint="eastAsia" w:ascii="宋体" w:hAnsi="宋体" w:cs="宋体"/>
                <w:snapToGrid w:val="0"/>
                <w:spacing w:val="-6"/>
                <w:kern w:val="32"/>
                <w:lang w:val="zh-CN"/>
              </w:rPr>
              <w:t>没有现成信息需要另行制作</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vAlign w:val="center"/>
          </w:tcPr>
          <w:p>
            <w:pPr>
              <w:autoSpaceDE w:val="0"/>
              <w:autoSpaceDN w:val="0"/>
              <w:spacing w:line="300" w:lineRule="exact"/>
              <w:jc w:val="left"/>
              <w:rPr>
                <w:rFonts w:ascii="宋体"/>
                <w:sz w:val="18"/>
                <w:szCs w:val="18"/>
              </w:rPr>
            </w:pPr>
            <w:r>
              <w:rPr>
                <w:rFonts w:hint="eastAsia" w:ascii="宋体" w:hAnsi="宋体" w:cs="宋体"/>
                <w:snapToGrid w:val="0"/>
                <w:kern w:val="32"/>
              </w:rPr>
              <w:t>3.</w:t>
            </w:r>
            <w:r>
              <w:rPr>
                <w:rFonts w:hint="eastAsia" w:ascii="宋体" w:hAnsi="宋体" w:cs="宋体"/>
                <w:snapToGrid w:val="0"/>
                <w:kern w:val="32"/>
                <w:lang w:val="zh-CN"/>
              </w:rPr>
              <w:t>补正后申请内容仍不明确</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vAlign w:val="center"/>
          </w:tcPr>
          <w:p>
            <w:pPr>
              <w:autoSpaceDE w:val="0"/>
              <w:autoSpaceDN w:val="0"/>
              <w:jc w:val="left"/>
            </w:pPr>
            <w:r>
              <w:rPr>
                <w:rFonts w:hint="eastAsia" w:ascii="宋体" w:hAnsi="宋体" w:cs="宋体"/>
                <w:snapToGrid w:val="0"/>
                <w:kern w:val="32"/>
                <w:lang w:val="zh-CN"/>
              </w:rPr>
              <w:t>（五）不予处理</w:t>
            </w: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lang w:eastAsia="en-US"/>
              </w:rPr>
              <w:t>1.</w:t>
            </w:r>
            <w:r>
              <w:rPr>
                <w:rFonts w:hint="eastAsia" w:ascii="宋体" w:hAnsi="宋体" w:cs="宋体"/>
                <w:snapToGrid w:val="0"/>
                <w:kern w:val="32"/>
                <w:lang w:val="zh-CN"/>
              </w:rPr>
              <w:t>信访举报投诉类申请</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lang w:eastAsia="en-US"/>
              </w:rPr>
              <w:t>2.</w:t>
            </w:r>
            <w:r>
              <w:rPr>
                <w:rFonts w:hint="eastAsia" w:ascii="宋体" w:hAnsi="宋体" w:cs="宋体"/>
                <w:snapToGrid w:val="0"/>
                <w:kern w:val="32"/>
                <w:lang w:val="zh-CN"/>
              </w:rPr>
              <w:t>重复申请</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lang w:eastAsia="en-US"/>
              </w:rPr>
              <w:t>3.</w:t>
            </w:r>
            <w:r>
              <w:rPr>
                <w:rFonts w:hint="eastAsia" w:ascii="宋体" w:hAnsi="宋体" w:cs="宋体"/>
                <w:snapToGrid w:val="0"/>
                <w:kern w:val="32"/>
                <w:lang w:val="zh-CN"/>
              </w:rPr>
              <w:t>要求提供公开出版物</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rPr>
              <w:t>4.</w:t>
            </w:r>
            <w:r>
              <w:rPr>
                <w:rFonts w:hint="eastAsia" w:ascii="宋体" w:hAnsi="宋体" w:cs="宋体"/>
                <w:snapToGrid w:val="0"/>
                <w:kern w:val="32"/>
                <w:lang w:val="zh-CN"/>
              </w:rPr>
              <w:t>无正当理由大量反复申请</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1468" w:type="dxa"/>
            <w:vMerge w:val="continue"/>
            <w:tcBorders>
              <w:top w:val="nil"/>
              <w:left w:val="nil"/>
            </w:tcBorders>
            <w:vAlign w:val="center"/>
          </w:tcPr>
          <w:p>
            <w:pPr>
              <w:autoSpaceDE w:val="0"/>
              <w:autoSpaceDN w:val="0"/>
              <w:jc w:val="left"/>
              <w:rPr>
                <w:rFonts w:ascii="宋体"/>
                <w:sz w:val="18"/>
                <w:szCs w:val="18"/>
              </w:rPr>
            </w:pPr>
          </w:p>
        </w:tc>
        <w:tc>
          <w:tcPr>
            <w:tcW w:w="2741" w:type="dxa"/>
            <w:tcBorders>
              <w:left w:val="nil"/>
            </w:tcBorders>
            <w:shd w:val="clear" w:color="auto" w:fill="FFFFFF"/>
          </w:tcPr>
          <w:p>
            <w:pPr>
              <w:autoSpaceDE w:val="0"/>
              <w:autoSpaceDN w:val="0"/>
              <w:spacing w:line="300" w:lineRule="exact"/>
              <w:jc w:val="left"/>
              <w:rPr>
                <w:rFonts w:ascii="宋体"/>
                <w:sz w:val="18"/>
                <w:szCs w:val="18"/>
              </w:rPr>
            </w:pPr>
            <w:r>
              <w:rPr>
                <w:rFonts w:hint="eastAsia" w:ascii="宋体" w:hAnsi="宋体" w:cs="宋体"/>
                <w:snapToGrid w:val="0"/>
                <w:kern w:val="32"/>
              </w:rPr>
              <w:t>5.</w:t>
            </w:r>
            <w:r>
              <w:rPr>
                <w:rFonts w:hint="eastAsia" w:ascii="宋体" w:hAnsi="宋体" w:cs="宋体"/>
                <w:snapToGrid w:val="0"/>
                <w:kern w:val="32"/>
                <w:lang w:val="zh-CN"/>
              </w:rPr>
              <w:t>要求行政机关确认或重新出具已获取信息</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lang w:val="zh-CN"/>
              </w:rPr>
              <w:t>（六）其他处理</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atLeast"/>
          <w:jc w:val="center"/>
        </w:trPr>
        <w:tc>
          <w:tcPr>
            <w:tcW w:w="592" w:type="dxa"/>
            <w:vMerge w:val="continue"/>
            <w:tcBorders>
              <w:top w:val="nil"/>
            </w:tcBorders>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lang w:val="zh-CN"/>
              </w:rPr>
              <w:t>（七）总计</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jc w:val="center"/>
        </w:trPr>
        <w:tc>
          <w:tcPr>
            <w:tcW w:w="4801" w:type="dxa"/>
            <w:gridSpan w:val="3"/>
            <w:shd w:val="clear" w:color="auto" w:fill="FFFFFF"/>
            <w:vAlign w:val="center"/>
          </w:tcPr>
          <w:p>
            <w:pPr>
              <w:autoSpaceDE w:val="0"/>
              <w:autoSpaceDN w:val="0"/>
              <w:jc w:val="left"/>
              <w:rPr>
                <w:rFonts w:ascii="宋体"/>
                <w:sz w:val="18"/>
                <w:szCs w:val="18"/>
              </w:rPr>
            </w:pPr>
            <w:r>
              <w:rPr>
                <w:rFonts w:hint="eastAsia" w:ascii="宋体" w:hAnsi="宋体" w:cs="宋体"/>
                <w:snapToGrid w:val="0"/>
                <w:kern w:val="32"/>
                <w:lang w:val="zh-CN"/>
              </w:rPr>
              <w:t>四、结转下年度继续办理</w:t>
            </w:r>
          </w:p>
        </w:tc>
        <w:tc>
          <w:tcPr>
            <w:tcW w:w="705" w:type="dxa"/>
            <w:tcBorders>
              <w:left w:val="nil"/>
            </w:tcBorders>
            <w:shd w:val="clear" w:color="auto" w:fill="FFFFFF"/>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5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70"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525" w:type="dxa"/>
            <w:tcBorders>
              <w:left w:val="nil"/>
            </w:tcBorders>
            <w:shd w:val="clear" w:color="auto" w:fill="FFFFFF"/>
            <w:vAlign w:val="center"/>
          </w:tcPr>
          <w:p>
            <w:pPr>
              <w:jc w:val="center"/>
              <w:rPr>
                <w:rFonts w:ascii="宋体" w:hAnsi="Times New Roman" w:eastAsia="宋体" w:cs="Times New Roman"/>
                <w:kern w:val="2"/>
                <w:sz w:val="18"/>
                <w:szCs w:val="18"/>
                <w:lang w:val="en-US" w:eastAsia="zh-CN" w:bidi="ar-SA"/>
              </w:rPr>
            </w:pPr>
            <w:r>
              <w:rPr>
                <w:rFonts w:hint="eastAsia" w:ascii="宋体"/>
                <w:sz w:val="18"/>
                <w:szCs w:val="18"/>
                <w:lang w:val="en-US" w:eastAsia="zh-CN"/>
              </w:rPr>
              <w:t>0</w:t>
            </w:r>
          </w:p>
        </w:tc>
        <w:tc>
          <w:tcPr>
            <w:tcW w:w="468" w:type="dxa"/>
            <w:tcBorders>
              <w:left w:val="nil"/>
            </w:tcBorders>
            <w:shd w:val="clear" w:color="auto" w:fill="FFFFFF"/>
            <w:vAlign w:val="center"/>
          </w:tcPr>
          <w:p>
            <w:pPr>
              <w:jc w:val="center"/>
              <w:rPr>
                <w:rFonts w:ascii="宋体" w:hAnsi="宋体" w:eastAsia="宋体" w:cs="Times New Roman"/>
                <w:kern w:val="2"/>
                <w:sz w:val="18"/>
                <w:szCs w:val="18"/>
                <w:lang w:val="en-US" w:eastAsia="zh-CN" w:bidi="ar-SA"/>
              </w:rPr>
            </w:pPr>
            <w:r>
              <w:rPr>
                <w:rFonts w:hint="eastAsia" w:ascii="宋体"/>
                <w:sz w:val="18"/>
                <w:szCs w:val="18"/>
                <w:lang w:val="en-US" w:eastAsia="zh-CN"/>
              </w:rPr>
              <w:t>0</w:t>
            </w:r>
          </w:p>
        </w:tc>
      </w:tr>
    </w:tbl>
    <w:p>
      <w:pPr>
        <w:rPr>
          <w:rFonts w:ascii="黑体" w:hAnsi="宋体" w:eastAsia="黑体"/>
          <w:sz w:val="32"/>
          <w:szCs w:val="32"/>
        </w:rPr>
      </w:pPr>
    </w:p>
    <w:p>
      <w:pPr>
        <w:ind w:firstLine="640" w:firstLineChars="200"/>
        <w:rPr>
          <w:rFonts w:ascii="黑体" w:hAnsi="宋体" w:eastAsia="黑体"/>
          <w:sz w:val="32"/>
          <w:szCs w:val="32"/>
        </w:rPr>
      </w:pPr>
      <w:r>
        <w:rPr>
          <w:rFonts w:hint="eastAsia" w:ascii="黑体" w:hAnsi="宋体" w:eastAsia="黑体"/>
          <w:sz w:val="32"/>
          <w:szCs w:val="32"/>
        </w:rPr>
        <w:t>四、政府信息公开行政复议、行政诉讼情况</w:t>
      </w:r>
    </w:p>
    <w:tbl>
      <w:tblPr>
        <w:tblStyle w:val="5"/>
        <w:tblW w:w="8472" w:type="dxa"/>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atLeast"/>
          <w:jc w:val="center"/>
        </w:trPr>
        <w:tc>
          <w:tcPr>
            <w:tcW w:w="2831" w:type="dxa"/>
            <w:gridSpan w:val="5"/>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行政复议</w:t>
            </w:r>
          </w:p>
        </w:tc>
        <w:tc>
          <w:tcPr>
            <w:tcW w:w="5641" w:type="dxa"/>
            <w:gridSpan w:val="10"/>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行政诉讼</w:t>
            </w:r>
          </w:p>
        </w:tc>
      </w:tr>
      <w:tr>
        <w:tblPrEx>
          <w:tblCellMar>
            <w:top w:w="0" w:type="dxa"/>
            <w:left w:w="10" w:type="dxa"/>
            <w:bottom w:w="0" w:type="dxa"/>
            <w:right w:w="10" w:type="dxa"/>
          </w:tblCellMar>
        </w:tblPrEx>
        <w:trPr>
          <w:trHeight w:val="461" w:hRule="atLeast"/>
          <w:jc w:val="center"/>
        </w:trPr>
        <w:tc>
          <w:tcPr>
            <w:tcW w:w="566"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维持</w:t>
            </w:r>
          </w:p>
        </w:tc>
        <w:tc>
          <w:tcPr>
            <w:tcW w:w="525"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纠正</w:t>
            </w:r>
          </w:p>
        </w:tc>
        <w:tc>
          <w:tcPr>
            <w:tcW w:w="570"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w:t>
            </w:r>
            <w:r>
              <w:rPr>
                <w:rFonts w:ascii="宋体" w:hAnsi="宋体"/>
                <w:sz w:val="18"/>
                <w:szCs w:val="18"/>
              </w:rPr>
              <w:t xml:space="preserve"> </w:t>
            </w:r>
            <w:r>
              <w:rPr>
                <w:rFonts w:hint="eastAsia" w:ascii="宋体" w:hAnsi="宋体"/>
                <w:sz w:val="18"/>
                <w:szCs w:val="18"/>
              </w:rPr>
              <w:t>结果</w:t>
            </w:r>
          </w:p>
        </w:tc>
        <w:tc>
          <w:tcPr>
            <w:tcW w:w="495"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尚未</w:t>
            </w:r>
            <w:r>
              <w:rPr>
                <w:rFonts w:ascii="宋体" w:hAnsi="宋体"/>
                <w:sz w:val="18"/>
                <w:szCs w:val="18"/>
              </w:rPr>
              <w:t xml:space="preserve"> </w:t>
            </w:r>
            <w:r>
              <w:rPr>
                <w:rFonts w:hint="eastAsia" w:ascii="宋体" w:hAnsi="宋体"/>
                <w:sz w:val="18"/>
                <w:szCs w:val="18"/>
              </w:rPr>
              <w:t>审结</w:t>
            </w:r>
          </w:p>
        </w:tc>
        <w:tc>
          <w:tcPr>
            <w:tcW w:w="675" w:type="dxa"/>
            <w:vMerge w:val="restart"/>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总计</w:t>
            </w:r>
          </w:p>
        </w:tc>
        <w:tc>
          <w:tcPr>
            <w:tcW w:w="2805" w:type="dxa"/>
            <w:gridSpan w:val="5"/>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未经复议直接起诉</w:t>
            </w:r>
          </w:p>
        </w:tc>
        <w:tc>
          <w:tcPr>
            <w:tcW w:w="2836" w:type="dxa"/>
            <w:gridSpan w:val="5"/>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复议后起诉</w:t>
            </w:r>
          </w:p>
        </w:tc>
      </w:tr>
      <w:tr>
        <w:tblPrEx>
          <w:tblCellMar>
            <w:top w:w="0" w:type="dxa"/>
            <w:left w:w="10" w:type="dxa"/>
            <w:bottom w:w="0" w:type="dxa"/>
            <w:right w:w="10" w:type="dxa"/>
          </w:tblCellMar>
        </w:tblPrEx>
        <w:trPr>
          <w:trHeight w:val="850" w:hRule="atLeast"/>
          <w:jc w:val="center"/>
        </w:trPr>
        <w:tc>
          <w:tcPr>
            <w:tcW w:w="566"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525"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570"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495"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675" w:type="dxa"/>
            <w:vMerge w:val="continue"/>
            <w:tcBorders>
              <w:top w:val="single" w:color="auto" w:sz="4" w:space="0"/>
              <w:left w:val="single" w:color="auto" w:sz="4" w:space="0"/>
              <w:bottom w:val="nil"/>
              <w:right w:val="nil"/>
            </w:tcBorders>
            <w:vAlign w:val="center"/>
          </w:tcPr>
          <w:p>
            <w:pPr>
              <w:widowControl/>
              <w:jc w:val="center"/>
              <w:rPr>
                <w:rFonts w:ascii="宋体"/>
                <w:sz w:val="18"/>
                <w:szCs w:val="18"/>
              </w:rPr>
            </w:pPr>
          </w:p>
        </w:tc>
        <w:tc>
          <w:tcPr>
            <w:tcW w:w="629"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维持</w:t>
            </w:r>
          </w:p>
        </w:tc>
        <w:tc>
          <w:tcPr>
            <w:tcW w:w="58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纠正</w:t>
            </w:r>
          </w:p>
        </w:tc>
        <w:tc>
          <w:tcPr>
            <w:tcW w:w="540"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w:t>
            </w:r>
            <w:r>
              <w:rPr>
                <w:rFonts w:ascii="宋体" w:hAnsi="宋体"/>
                <w:sz w:val="18"/>
                <w:szCs w:val="18"/>
              </w:rPr>
              <w:t xml:space="preserve"> </w:t>
            </w:r>
            <w:r>
              <w:rPr>
                <w:rFonts w:hint="eastAsia" w:ascii="宋体" w:hAnsi="宋体"/>
                <w:sz w:val="18"/>
                <w:szCs w:val="18"/>
              </w:rPr>
              <w:t>结果</w:t>
            </w:r>
          </w:p>
        </w:tc>
        <w:tc>
          <w:tcPr>
            <w:tcW w:w="541"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尚未</w:t>
            </w:r>
            <w:r>
              <w:rPr>
                <w:rFonts w:ascii="宋体" w:hAnsi="宋体"/>
                <w:sz w:val="18"/>
                <w:szCs w:val="18"/>
              </w:rPr>
              <w:t xml:space="preserve"> </w:t>
            </w:r>
            <w:r>
              <w:rPr>
                <w:rFonts w:hint="eastAsia" w:ascii="宋体" w:hAnsi="宋体"/>
                <w:sz w:val="18"/>
                <w:szCs w:val="18"/>
              </w:rPr>
              <w:t>审结</w:t>
            </w:r>
          </w:p>
        </w:tc>
        <w:tc>
          <w:tcPr>
            <w:tcW w:w="510"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总</w:t>
            </w:r>
            <w:r>
              <w:rPr>
                <w:rFonts w:ascii="宋体" w:hAnsi="宋体"/>
                <w:sz w:val="18"/>
                <w:szCs w:val="18"/>
              </w:rPr>
              <w:t xml:space="preserve"> </w:t>
            </w:r>
            <w:r>
              <w:rPr>
                <w:rFonts w:hint="eastAsia" w:ascii="宋体" w:hAnsi="宋体"/>
                <w:sz w:val="18"/>
                <w:szCs w:val="18"/>
              </w:rPr>
              <w:t>计</w:t>
            </w:r>
          </w:p>
        </w:tc>
        <w:tc>
          <w:tcPr>
            <w:tcW w:w="61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维持</w:t>
            </w:r>
          </w:p>
        </w:tc>
        <w:tc>
          <w:tcPr>
            <w:tcW w:w="61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纠正</w:t>
            </w:r>
          </w:p>
        </w:tc>
        <w:tc>
          <w:tcPr>
            <w:tcW w:w="630"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其他</w:t>
            </w:r>
            <w:r>
              <w:rPr>
                <w:rFonts w:ascii="宋体" w:hAnsi="宋体"/>
                <w:sz w:val="18"/>
                <w:szCs w:val="18"/>
              </w:rPr>
              <w:t xml:space="preserve"> </w:t>
            </w:r>
            <w:r>
              <w:rPr>
                <w:rFonts w:hint="eastAsia" w:ascii="宋体" w:hAnsi="宋体"/>
                <w:sz w:val="18"/>
                <w:szCs w:val="18"/>
              </w:rPr>
              <w:t>结果</w:t>
            </w:r>
          </w:p>
        </w:tc>
        <w:tc>
          <w:tcPr>
            <w:tcW w:w="525" w:type="dxa"/>
            <w:tcBorders>
              <w:top w:val="single" w:color="auto" w:sz="4" w:space="0"/>
              <w:left w:val="single" w:color="auto" w:sz="4" w:space="0"/>
              <w:bottom w:val="nil"/>
              <w:right w:val="nil"/>
            </w:tcBorders>
            <w:shd w:val="clear" w:color="auto" w:fill="FFFFFF"/>
            <w:vAlign w:val="center"/>
          </w:tcPr>
          <w:p>
            <w:pPr>
              <w:jc w:val="center"/>
              <w:rPr>
                <w:rFonts w:ascii="宋体"/>
                <w:sz w:val="18"/>
                <w:szCs w:val="18"/>
              </w:rPr>
            </w:pPr>
            <w:r>
              <w:rPr>
                <w:rFonts w:hint="eastAsia" w:ascii="宋体" w:hAnsi="宋体"/>
                <w:sz w:val="18"/>
                <w:szCs w:val="18"/>
              </w:rPr>
              <w:t>尚未</w:t>
            </w:r>
            <w:r>
              <w:rPr>
                <w:rFonts w:ascii="宋体" w:hAnsi="宋体"/>
                <w:sz w:val="18"/>
                <w:szCs w:val="18"/>
              </w:rPr>
              <w:t xml:space="preserve"> </w:t>
            </w:r>
            <w:r>
              <w:rPr>
                <w:rFonts w:hint="eastAsia" w:ascii="宋体" w:hAnsi="宋体"/>
                <w:sz w:val="18"/>
                <w:szCs w:val="18"/>
              </w:rPr>
              <w:t>审结</w:t>
            </w:r>
          </w:p>
        </w:tc>
        <w:tc>
          <w:tcPr>
            <w:tcW w:w="451"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总计</w:t>
            </w:r>
          </w:p>
        </w:tc>
      </w:tr>
      <w:tr>
        <w:tblPrEx>
          <w:tblCellMar>
            <w:top w:w="0" w:type="dxa"/>
            <w:left w:w="10" w:type="dxa"/>
            <w:bottom w:w="0" w:type="dxa"/>
            <w:right w:w="10" w:type="dxa"/>
          </w:tblCellMar>
        </w:tblPrEx>
        <w:trPr>
          <w:trHeight w:val="516" w:hRule="atLeast"/>
          <w:jc w:val="center"/>
        </w:trPr>
        <w:tc>
          <w:tcPr>
            <w:tcW w:w="56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52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57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49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sz w:val="18"/>
                <w:szCs w:val="18"/>
              </w:rPr>
            </w:pPr>
            <w:r>
              <w:rPr>
                <w:rFonts w:hint="eastAsia" w:ascii="宋体"/>
                <w:sz w:val="18"/>
                <w:szCs w:val="18"/>
                <w:lang w:val="en-US" w:eastAsia="zh-CN"/>
              </w:rPr>
              <w:t>0</w:t>
            </w:r>
          </w:p>
        </w:tc>
        <w:tc>
          <w:tcPr>
            <w:tcW w:w="67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629"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58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54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541"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51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61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61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630"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525"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sz w:val="18"/>
                <w:szCs w:val="18"/>
              </w:rPr>
            </w:pPr>
            <w:r>
              <w:rPr>
                <w:rFonts w:hint="eastAsia" w:ascii="宋体"/>
                <w:sz w:val="18"/>
                <w:szCs w:val="18"/>
                <w:lang w:val="en-US" w:eastAsia="zh-CN"/>
              </w:rPr>
              <w:t>0</w:t>
            </w:r>
          </w:p>
        </w:tc>
      </w:tr>
    </w:tbl>
    <w:p>
      <w:pPr>
        <w:rPr>
          <w:rFonts w:ascii="宋体" w:hAnsi="宋体"/>
          <w:sz w:val="18"/>
          <w:szCs w:val="18"/>
        </w:rPr>
      </w:pPr>
      <w:r>
        <w:rPr>
          <w:rFonts w:ascii="宋体" w:hAnsi="宋体"/>
          <w:sz w:val="18"/>
          <w:szCs w:val="18"/>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年，我局在部门信息公开工作取得了一定成效，但仍存在一些问题：一是主动公开范围还需不够广阔；二是信息公开内容有待进一步提升。</w:t>
      </w:r>
    </w:p>
    <w:p>
      <w:pPr>
        <w:ind w:firstLine="640" w:firstLineChars="200"/>
        <w:rPr>
          <w:rFonts w:hint="eastAsia" w:ascii="仿宋_GB2312" w:hAnsi="宋体" w:eastAsia="仿宋_GB2312"/>
          <w:sz w:val="32"/>
          <w:szCs w:val="32"/>
        </w:rPr>
      </w:pPr>
      <w:r>
        <w:rPr>
          <w:rFonts w:ascii="仿宋_GB2312" w:hAnsi="宋体" w:eastAsia="仿宋_GB2312"/>
          <w:sz w:val="32"/>
          <w:szCs w:val="32"/>
        </w:rPr>
        <w:t>2020</w:t>
      </w:r>
      <w:r>
        <w:rPr>
          <w:rFonts w:hint="eastAsia" w:ascii="仿宋_GB2312" w:hAnsi="宋体" w:eastAsia="仿宋_GB2312"/>
          <w:sz w:val="32"/>
          <w:szCs w:val="32"/>
        </w:rPr>
        <w:t>年，我局将健全完善工作机制，加大政务公开范围和透明度，强化工作队伍建设和能力提高，畅通与群众的沟通渠道，及时回应群众关切，不断提升工作服务水平和效率。</w:t>
      </w:r>
    </w:p>
    <w:p>
      <w:pPr>
        <w:pStyle w:val="9"/>
        <w:tabs>
          <w:tab w:val="left" w:pos="1210"/>
        </w:tabs>
        <w:spacing w:line="600" w:lineRule="exact"/>
        <w:ind w:firstLine="578"/>
        <w:rPr>
          <w:rFonts w:ascii="Times New Roman" w:hAnsi="Times New Roman" w:eastAsia="仿宋_GB2312" w:cs="Times New Roman"/>
          <w:snapToGrid w:val="0"/>
          <w:color w:val="000000"/>
          <w:spacing w:val="-23"/>
          <w:sz w:val="32"/>
          <w:szCs w:val="32"/>
        </w:rPr>
      </w:pPr>
      <w:bookmarkStart w:id="0" w:name="bookmark32"/>
      <w:r>
        <w:rPr>
          <w:rFonts w:ascii="Times New Roman" w:hAnsi="Times New Roman" w:eastAsia="黑体" w:cs="Times New Roman"/>
          <w:snapToGrid w:val="0"/>
          <w:color w:val="000000"/>
          <w:kern w:val="32"/>
          <w:sz w:val="32"/>
          <w:szCs w:val="32"/>
          <w:lang w:val="zh-CN" w:eastAsia="zh-CN" w:bidi="ar-SA"/>
        </w:rPr>
        <w:t>六</w:t>
      </w:r>
      <w:bookmarkEnd w:id="0"/>
      <w:r>
        <w:rPr>
          <w:rFonts w:ascii="Times New Roman" w:hAnsi="Times New Roman" w:eastAsia="黑体" w:cs="Times New Roman"/>
          <w:snapToGrid w:val="0"/>
          <w:color w:val="000000"/>
          <w:kern w:val="32"/>
          <w:sz w:val="32"/>
          <w:szCs w:val="32"/>
          <w:lang w:val="zh-CN" w:eastAsia="zh-CN" w:bidi="ar-SA"/>
        </w:rPr>
        <w:t>、</w:t>
      </w:r>
      <w:r>
        <w:rPr>
          <w:rFonts w:ascii="Times New Roman" w:hAnsi="Times New Roman" w:eastAsia="黑体" w:cs="Times New Roman"/>
          <w:snapToGrid w:val="0"/>
          <w:color w:val="000000"/>
          <w:kern w:val="32"/>
          <w:sz w:val="32"/>
          <w:szCs w:val="32"/>
          <w:lang w:val="en-US" w:eastAsia="zh-CN" w:bidi="ar-SA"/>
        </w:rPr>
        <w:t>无</w:t>
      </w:r>
      <w:r>
        <w:rPr>
          <w:rFonts w:ascii="Times New Roman" w:hAnsi="Times New Roman" w:eastAsia="黑体" w:cs="Times New Roman"/>
          <w:snapToGrid w:val="0"/>
          <w:color w:val="000000"/>
          <w:kern w:val="32"/>
          <w:sz w:val="32"/>
          <w:szCs w:val="32"/>
          <w:lang w:val="zh-CN" w:eastAsia="zh-CN" w:bidi="ar-SA"/>
        </w:rPr>
        <w:t>其他需要报告的事项</w:t>
      </w:r>
    </w:p>
    <w:p>
      <w:pPr>
        <w:rPr>
          <w:rFonts w:hint="eastAsia" w:eastAsia="宋体"/>
          <w:lang w:eastAsia="zh-CN"/>
        </w:rPr>
      </w:pPr>
      <w:bookmarkStart w:id="1" w:name="_GoBack"/>
      <w:bookmarkEnd w:id="1"/>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2BC4"/>
    <w:rsid w:val="000C77FE"/>
    <w:rsid w:val="00274566"/>
    <w:rsid w:val="00445D99"/>
    <w:rsid w:val="00735D4C"/>
    <w:rsid w:val="007C5B42"/>
    <w:rsid w:val="008500C9"/>
    <w:rsid w:val="00B710A8"/>
    <w:rsid w:val="00F97D42"/>
    <w:rsid w:val="00FC2BC4"/>
    <w:rsid w:val="03DB71E4"/>
    <w:rsid w:val="1030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 w:type="paragraph" w:customStyle="1" w:styleId="9">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281</Words>
  <Characters>1603</Characters>
  <Lines>13</Lines>
  <Paragraphs>3</Paragraphs>
  <TotalTime>0</TotalTime>
  <ScaleCrop>false</ScaleCrop>
  <LinksUpToDate>false</LinksUpToDate>
  <CharactersWithSpaces>1881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晓风飞扬</cp:lastModifiedBy>
  <dcterms:modified xsi:type="dcterms:W3CDTF">2020-01-16T02:05:05Z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