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jc w:val="left"/>
        <w:rPr>
          <w:rFonts w:ascii="仿宋_GB2312" w:hAnsi="黑体" w:eastAsia="仿宋_GB2312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</w:t>
      </w:r>
      <w:r>
        <w:rPr>
          <w:rFonts w:ascii="黑体" w:hAnsi="黑体" w:eastAsia="黑体" w:cs="黑体"/>
          <w:color w:val="000000"/>
          <w:sz w:val="32"/>
          <w:szCs w:val="32"/>
        </w:rPr>
        <w:t>1</w:t>
      </w:r>
    </w:p>
    <w:p>
      <w:pPr>
        <w:adjustRightInd w:val="0"/>
        <w:spacing w:line="640" w:lineRule="exact"/>
        <w:ind w:firstLine="720" w:firstLineChars="200"/>
        <w:jc w:val="center"/>
        <w:rPr>
          <w:rFonts w:ascii="方正小标宋简体" w:eastAsia="方正小标宋简体" w:cs="方正小标宋简体"/>
          <w:b/>
          <w:bCs/>
          <w:color w:val="000000"/>
          <w:sz w:val="44"/>
          <w:szCs w:val="44"/>
        </w:rPr>
      </w:pPr>
      <w:r>
        <w:rPr>
          <w:rFonts w:hint="eastAsia" w:ascii="黑体" w:hAnsi="黑体" w:eastAsia="黑体" w:cs="黑体"/>
          <w:color w:val="000000"/>
          <w:sz w:val="36"/>
          <w:szCs w:val="36"/>
        </w:rPr>
        <w:t>本次检验项目</w:t>
      </w:r>
    </w:p>
    <w:p>
      <w:pPr>
        <w:adjustRightInd w:val="0"/>
        <w:spacing w:line="640" w:lineRule="exact"/>
        <w:ind w:left="800"/>
        <w:rPr>
          <w:rFonts w:asci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一、餐饮食品</w:t>
      </w:r>
    </w:p>
    <w:p>
      <w:pPr>
        <w:adjustRightInd w:val="0"/>
        <w:spacing w:line="640" w:lineRule="exact"/>
        <w:ind w:firstLine="640" w:firstLineChars="200"/>
        <w:rPr>
          <w:rFonts w:asci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（一）抽检依据</w:t>
      </w:r>
    </w:p>
    <w:p>
      <w:pPr>
        <w:pStyle w:val="2"/>
        <w:ind w:firstLine="640" w:firstLineChars="200"/>
        <w:rPr>
          <w:rFonts w:hint="eastAsia" w:asci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抽检依据是GB 2760-2014《食品安全</w:t>
      </w:r>
      <w:bookmarkStart w:id="0" w:name="_GoBack"/>
      <w:bookmarkEnd w:id="0"/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国家标准 食品添加剂使用标准》、GB 2762-2017《食品安全国家标准 食物中污染物限量》、卫生部、国家食品药品监督管理局公告2012年第10号</w:t>
      </w:r>
    </w:p>
    <w:p>
      <w:pPr>
        <w:adjustRightInd w:val="0"/>
        <w:spacing w:line="640" w:lineRule="exact"/>
        <w:ind w:left="420" w:leftChars="200" w:firstLine="320" w:firstLineChars="100"/>
        <w:rPr>
          <w:rFonts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（二）检验项目</w:t>
      </w:r>
    </w:p>
    <w:p>
      <w:pPr>
        <w:pStyle w:val="2"/>
        <w:ind w:firstLine="640" w:firstLineChars="200"/>
        <w:rPr>
          <w:rFonts w:hint="eastAsia" w:asci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</w:t>
      </w:r>
      <w:r>
        <w:rPr>
          <w:rFonts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馒头、花卷、包子、锅盔等抽检项目包括：二氧化硫残留量、二氧化钛、滑石粉</w:t>
      </w:r>
    </w:p>
    <w:p>
      <w:pPr>
        <w:pStyle w:val="2"/>
        <w:ind w:firstLine="640" w:firstLineChars="200"/>
        <w:rPr>
          <w:rFonts w:hint="eastAsia" w:asci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油炸面制品抽检项目包括：铝的残留量(干样品，以Al计)</w:t>
      </w:r>
    </w:p>
    <w:p>
      <w:pPr>
        <w:pStyle w:val="2"/>
        <w:ind w:firstLine="640" w:firstLineChars="200"/>
        <w:rPr>
          <w:rFonts w:hint="eastAsia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3.酱卤肉制品、肉灌肠、其他熟肉(自制)抽检参数：苯甲酸及其钠盐（以苯甲酸计）、铬（以Cr计）、山梨酸及其钾盐（以山梨酸计）、亚硝酸盐(以亚硝酸钠计)、胭脂红</w:t>
      </w:r>
    </w:p>
    <w:p>
      <w:pPr>
        <w:pStyle w:val="2"/>
        <w:ind w:firstLine="640" w:firstLineChars="200"/>
        <w:rPr>
          <w:rFonts w:hint="default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4.生湿面制品抽检参数：苯甲酸及其钠盐（以苯甲酸计）、二氧化硫残留量、滑石粉、山梨酸及其钾盐（以山梨酸计）、脱氢乙酸及其钠盐（以脱氢乙酸计）</w:t>
      </w:r>
    </w:p>
    <w:p>
      <w:pPr>
        <w:adjustRightInd w:val="0"/>
        <w:spacing w:line="640" w:lineRule="exact"/>
        <w:ind w:left="800"/>
        <w:rPr>
          <w:rFonts w:asci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二、糕点</w:t>
      </w:r>
    </w:p>
    <w:p>
      <w:pPr>
        <w:adjustRightInd w:val="0"/>
        <w:spacing w:line="640" w:lineRule="exact"/>
        <w:ind w:firstLine="640" w:firstLineChars="200"/>
        <w:rPr>
          <w:rFonts w:asci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（一）抽检依据</w:t>
      </w:r>
    </w:p>
    <w:p>
      <w:pPr>
        <w:adjustRightInd w:val="0"/>
        <w:spacing w:line="640" w:lineRule="exact"/>
        <w:ind w:firstLine="640" w:firstLineChars="200"/>
        <w:rPr>
          <w:rFonts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抽检依据是食品整治办〔2009〕5号、GB 7099-2015 《食品安全国家标准 糕点、面包》、GB 2760-2014《食品安全国家标准 食品添加剂使用标准》等标等标准及指标的要求。</w:t>
      </w:r>
    </w:p>
    <w:p>
      <w:pPr>
        <w:adjustRightInd w:val="0"/>
        <w:spacing w:line="640" w:lineRule="exact"/>
        <w:ind w:left="420" w:leftChars="200" w:firstLine="320" w:firstLineChars="100"/>
        <w:rPr>
          <w:rFonts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（二）检验项目</w:t>
      </w:r>
    </w:p>
    <w:p>
      <w:pPr>
        <w:adjustRightInd w:val="0"/>
        <w:spacing w:line="640" w:lineRule="exact"/>
        <w:ind w:firstLine="640" w:firstLineChars="200"/>
        <w:rPr>
          <w:rFonts w:hint="eastAsia" w:asci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麻花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的抽检项目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： 阿斯巴甜、苯甲酸及其钠盐（以苯甲酸计）、二氧化钛、过氧化值（以脂肪计）、铝的残留量(干样品，以Al计)、山梨酸及其钾盐（以山梨酸计）、酸价（以脂肪计）（KOH）、糖精钠（以糖精计）、甜蜜素（以环己基氨基磺酸计）、脱氢乙酸及其钠盐（以脱氢乙酸计）、乙酰磺胺酸钾（安赛蜜）</w:t>
      </w:r>
    </w:p>
    <w:p>
      <w:pPr>
        <w:pStyle w:val="2"/>
        <w:rPr>
          <w:rFonts w:hint="eastAsia" w:asci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烤香馍片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的抽检项目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： 富马酸二甲酯、铝的残留量(干样品，以Al计)、脱氢乙酸及其钠盐（以脱氢乙酸计）</w:t>
      </w:r>
    </w:p>
    <w:p>
      <w:pPr>
        <w:adjustRightInd w:val="0"/>
        <w:spacing w:line="640" w:lineRule="exact"/>
        <w:ind w:left="800"/>
        <w:rPr>
          <w:rFonts w:asci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三</w:t>
      </w:r>
      <w:r>
        <w:rPr>
          <w:rFonts w:hint="eastAsia" w:asci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、粮食加工品</w:t>
      </w:r>
    </w:p>
    <w:p>
      <w:pPr>
        <w:adjustRightInd w:val="0"/>
        <w:spacing w:line="640" w:lineRule="exact"/>
        <w:ind w:firstLine="640" w:firstLineChars="200"/>
        <w:rPr>
          <w:rFonts w:asci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（一）抽检依据</w:t>
      </w:r>
    </w:p>
    <w:p>
      <w:pPr>
        <w:pStyle w:val="2"/>
        <w:ind w:firstLine="640" w:firstLineChars="200"/>
        <w:rPr>
          <w:rFonts w:hint="eastAsia" w:asci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抽检依据是GB 2760-2014《食品安全国家标准 食品添加剂使用标准》、食品整治办﹝2008﹞3号、GB 2762-2017《食品安全国家标准 食物中污染物限量》</w:t>
      </w:r>
    </w:p>
    <w:p>
      <w:pPr>
        <w:adjustRightInd w:val="0"/>
        <w:spacing w:line="640" w:lineRule="exact"/>
        <w:ind w:left="420" w:leftChars="200" w:firstLine="320" w:firstLineChars="100"/>
        <w:rPr>
          <w:rFonts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（二）检验项目</w:t>
      </w:r>
    </w:p>
    <w:p>
      <w:pPr>
        <w:pStyle w:val="2"/>
        <w:ind w:firstLine="640" w:firstLineChars="200"/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百吉饼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的抽检项目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: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包括苯甲酸及其钠盐（以苯甲酸计）、二氧化钛、滑石粉、硼酸、铅（以Pb计）、山梨酸及其钾盐（以山梨酸计）</w:t>
      </w:r>
    </w:p>
    <w:p>
      <w:pPr>
        <w:adjustRightInd w:val="0"/>
        <w:spacing w:line="640" w:lineRule="exact"/>
        <w:ind w:left="800"/>
        <w:rPr>
          <w:rFonts w:asci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四</w:t>
      </w:r>
      <w:r>
        <w:rPr>
          <w:rFonts w:hint="eastAsia" w:asci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、食用农产品</w:t>
      </w:r>
    </w:p>
    <w:p>
      <w:pPr>
        <w:adjustRightInd w:val="0"/>
        <w:spacing w:line="640" w:lineRule="exact"/>
        <w:ind w:firstLine="640" w:firstLineChars="200"/>
        <w:rPr>
          <w:rFonts w:asci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（一）抽检依据</w:t>
      </w:r>
    </w:p>
    <w:p>
      <w:pPr>
        <w:adjustRightInd w:val="0"/>
        <w:spacing w:line="640" w:lineRule="exact"/>
        <w:ind w:firstLine="640" w:firstLineChars="200"/>
        <w:rPr>
          <w:rFonts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抽检依据是国家食品药品监督管理总局　农业部　国家卫生和计划生育委员会关于豆芽生产过程中禁止使用6-苄基腺嘌呤等物质的公告（2015年第11号）、国家食品药品监督管理总局  农业部  国家卫生和计划生育委员会关于豆芽生产过程中禁止使用6-苄基腺嘌呤等物质的公告（2015年第11号）、GB 2762-2017《食品安全国家标准 食物中污染物限量》、GB 22556-2008 《豆芽卫生标准》 《豆芽卫生标准》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、GB 2763-2016《食品安全国家标准 食品中农药最大残留限量》、GB 2762-2017《食品安全国家标准 食物中污染物限量》、农业部公告第235号、农业部公告第2292号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adjustRightInd w:val="0"/>
        <w:spacing w:line="640" w:lineRule="exact"/>
        <w:ind w:left="420" w:leftChars="200" w:firstLine="320" w:firstLineChars="100"/>
        <w:rPr>
          <w:rFonts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（二）检验项目</w:t>
      </w:r>
    </w:p>
    <w:p>
      <w:pPr>
        <w:pStyle w:val="2"/>
        <w:ind w:firstLine="640" w:firstLineChars="200"/>
        <w:rPr>
          <w:rFonts w:hint="eastAsia" w:ascii="仿宋_GB2312" w:hAnsi="Times New Roman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1.食用农产的抽检参数：阿维菌素、啶虫脒、毒死蜱、氟虫腈、克百威（以克百威及3-羟基克百威之和计）、氧乐果</w:t>
      </w:r>
      <w:r>
        <w:rPr>
          <w:rFonts w:hint="eastAsia" w:ascii="仿宋_GB2312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、苯醚甲环唑、甲氨基阿维菌素苯甲酸盐、氯氟氰菊酯和高效氯氟氰菊酯、氯氰菊酯和高效氯氰菊酯、多菌灵、二甲戊灵（二甲戊乐灵）、腐霉利、甲拌磷、镉（以Cd计）、恩诺沙星（以恩诺沙星与环丙沙星之和计）、氟苯尼考(氟甲砜霉素)、氯霉素、氧氟沙星、苯醚甲环唑、丙溴磷、三唑磷、敌敌畏、对硫磷、灭蝇胺。</w:t>
      </w:r>
    </w:p>
    <w:p>
      <w:pPr>
        <w:adjustRightInd w:val="0"/>
        <w:spacing w:line="640" w:lineRule="exact"/>
        <w:ind w:left="800"/>
        <w:rPr>
          <w:rFonts w:hint="eastAsia" w:ascii="黑体" w:eastAsia="黑体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五</w:t>
      </w:r>
      <w:r>
        <w:rPr>
          <w:rFonts w:hint="eastAsia" w:asci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黑体" w:eastAsia="黑体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肉制品</w:t>
      </w:r>
    </w:p>
    <w:p>
      <w:pPr>
        <w:adjustRightInd w:val="0"/>
        <w:spacing w:line="640" w:lineRule="exact"/>
        <w:ind w:firstLine="640" w:firstLineChars="200"/>
        <w:rPr>
          <w:rFonts w:asci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（一）抽检依据</w:t>
      </w:r>
    </w:p>
    <w:p>
      <w:pPr>
        <w:pStyle w:val="2"/>
        <w:ind w:firstLine="640" w:firstLineChars="200"/>
        <w:rPr>
          <w:rFonts w:hint="eastAsia" w:asci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抽检依据是GB 2760-2014《食品安全国家标准 食品添加剂使用标准》、GB 2762-2017《食品安全国家标准 食物中污染物限量》、整顿办函〔2010〕50 号</w:t>
      </w:r>
    </w:p>
    <w:p>
      <w:pPr>
        <w:adjustRightInd w:val="0"/>
        <w:spacing w:line="640" w:lineRule="exact"/>
        <w:ind w:left="420" w:leftChars="200" w:firstLine="320" w:firstLineChars="100"/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（二）检验项目</w:t>
      </w:r>
    </w:p>
    <w:p>
      <w:pPr>
        <w:pStyle w:val="2"/>
        <w:ind w:firstLine="640" w:firstLineChars="200"/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肉制品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的抽检项目包括苯甲酸及其钠盐（以苯甲酸计）、铬（以Cr计）、莱克多巴胺、山梨酸及其钾盐（以山梨酸计）、亚硝酸盐(以亚硝酸钠计)</w:t>
      </w:r>
    </w:p>
    <w:p>
      <w:pPr>
        <w:adjustRightInd w:val="0"/>
        <w:spacing w:line="640" w:lineRule="exact"/>
        <w:ind w:firstLine="640" w:firstLineChars="200"/>
        <w:rPr>
          <w:rFonts w:hint="eastAsia" w:ascii="黑体" w:eastAsia="黑体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六</w:t>
      </w:r>
      <w:r>
        <w:rPr>
          <w:rFonts w:hint="eastAsia" w:asci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黑体" w:eastAsia="黑体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食用油、油脂及其制品</w:t>
      </w:r>
    </w:p>
    <w:p>
      <w:pPr>
        <w:adjustRightInd w:val="0"/>
        <w:spacing w:line="640" w:lineRule="exact"/>
        <w:ind w:firstLine="640" w:firstLineChars="200"/>
        <w:rPr>
          <w:rFonts w:asci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（一）抽检依据</w:t>
      </w:r>
    </w:p>
    <w:p>
      <w:pPr>
        <w:pStyle w:val="2"/>
        <w:ind w:firstLine="640" w:firstLineChars="200"/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抽检依据是GB 2760-2014《食品安全国家标准 食品添加剂使用标准》、GB 2762-2017《食品安全国家标准 食物中污染物限量》、整顿办函〔2010〕50 号</w:t>
      </w:r>
    </w:p>
    <w:p>
      <w:pPr>
        <w:adjustRightInd w:val="0"/>
        <w:spacing w:line="640" w:lineRule="exact"/>
        <w:ind w:left="420" w:leftChars="200" w:firstLine="320" w:firstLineChars="100"/>
        <w:rPr>
          <w:rFonts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（二）检验项目</w:t>
      </w:r>
    </w:p>
    <w:p>
      <w:pPr>
        <w:pStyle w:val="2"/>
        <w:ind w:firstLine="640" w:firstLineChars="200"/>
        <w:rPr>
          <w:rFonts w:hint="default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苯并[α]芘、丁基羟基茴香醚（BHA）(以油脂中的含量计)、二丁基羟基甲苯（BHT）、过氧化值、铅（以Pb计）、溶剂残留量、酸价(KOH)、特丁基对苯二酚（TBHQ）(以油脂中的含量计)、总砷（以As计）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、黄曲霉毒素 B₁</w:t>
      </w:r>
    </w:p>
    <w:p>
      <w:pPr>
        <w:adjustRightInd w:val="0"/>
        <w:spacing w:line="640" w:lineRule="exact"/>
        <w:ind w:firstLine="640" w:firstLineChars="200"/>
        <w:rPr>
          <w:rFonts w:hint="eastAsia" w:ascii="黑体" w:eastAsia="黑体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七</w:t>
      </w:r>
      <w:r>
        <w:rPr>
          <w:rFonts w:hint="eastAsia" w:asci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黑体" w:eastAsia="黑体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薯类和膨化食品</w:t>
      </w:r>
    </w:p>
    <w:p>
      <w:pPr>
        <w:adjustRightInd w:val="0"/>
        <w:spacing w:line="640" w:lineRule="exact"/>
        <w:ind w:firstLine="640" w:firstLineChars="200"/>
        <w:rPr>
          <w:rFonts w:asci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（一）抽检依据</w:t>
      </w:r>
    </w:p>
    <w:p>
      <w:pPr>
        <w:pStyle w:val="2"/>
        <w:ind w:firstLine="640" w:firstLineChars="200"/>
        <w:rPr>
          <w:rFonts w:hint="eastAsia" w:asci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薯类和膨化食品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抽检依据是GB 2760-2014《食品安全国家标准 食品添加剂使用标准》、GB 2762-2017《食品安全国家标准 食物中污染物限量》</w:t>
      </w:r>
    </w:p>
    <w:p>
      <w:pPr>
        <w:adjustRightInd w:val="0"/>
        <w:spacing w:line="640" w:lineRule="exact"/>
        <w:ind w:left="420" w:leftChars="200" w:firstLine="320" w:firstLineChars="100"/>
        <w:rPr>
          <w:rFonts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（二）检验项目</w:t>
      </w:r>
    </w:p>
    <w:p>
      <w:pPr>
        <w:pStyle w:val="2"/>
        <w:ind w:firstLine="640" w:firstLineChars="200"/>
        <w:rPr>
          <w:rFonts w:hint="default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苯甲酸及其钠盐（以苯甲酸计）、防腐剂混合使用时各自用量占其最大使用量的比例之和、铅（以Pb计）、山梨酸及其钾盐（以山梨酸计）、糖精钠（以糖精计）、脱氢乙酸及其钠盐（以脱氢乙酸计）</w:t>
      </w:r>
    </w:p>
    <w:p>
      <w:pPr>
        <w:adjustRightInd w:val="0"/>
        <w:spacing w:line="640" w:lineRule="exact"/>
        <w:ind w:firstLine="640" w:firstLineChars="200"/>
        <w:rPr>
          <w:rFonts w:hint="eastAsia" w:ascii="黑体" w:eastAsia="黑体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八</w:t>
      </w:r>
      <w:r>
        <w:rPr>
          <w:rFonts w:hint="eastAsia" w:asci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黑体" w:eastAsia="黑体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糖果制品</w:t>
      </w:r>
    </w:p>
    <w:p>
      <w:pPr>
        <w:adjustRightInd w:val="0"/>
        <w:spacing w:line="640" w:lineRule="exact"/>
        <w:ind w:firstLine="640" w:firstLineChars="200"/>
        <w:rPr>
          <w:rFonts w:asci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（一）抽检依据</w:t>
      </w:r>
    </w:p>
    <w:p>
      <w:pPr>
        <w:pStyle w:val="2"/>
        <w:ind w:firstLine="640" w:firstLineChars="200"/>
        <w:rPr>
          <w:rFonts w:hint="eastAsia" w:asci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抽检依据是GB 2760-2014《食品安全国家标准 食品添加剂使用标准》、GB 2762-2017《食品安全国家标准 食物中污染物限量》</w:t>
      </w:r>
    </w:p>
    <w:p>
      <w:pPr>
        <w:adjustRightInd w:val="0"/>
        <w:spacing w:line="640" w:lineRule="exact"/>
        <w:ind w:left="420" w:leftChars="200" w:firstLine="320" w:firstLineChars="100"/>
        <w:rPr>
          <w:rFonts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（二）检验项目</w:t>
      </w:r>
    </w:p>
    <w:p>
      <w:pPr>
        <w:pStyle w:val="2"/>
        <w:ind w:firstLine="640" w:firstLineChars="200"/>
        <w:rPr>
          <w:rFonts w:hint="default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铅（以Pb计）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二氧化硫残留量、日落黄、糖精钠（以糖精计）、甜蜜素（以环己基氨基磺酸计）</w:t>
      </w:r>
    </w:p>
    <w:p>
      <w:pPr>
        <w:numPr>
          <w:numId w:val="0"/>
        </w:numPr>
        <w:adjustRightInd w:val="0"/>
        <w:spacing w:line="640" w:lineRule="exact"/>
        <w:ind w:firstLine="640" w:firstLineChars="200"/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九、调味品</w:t>
      </w:r>
    </w:p>
    <w:p>
      <w:pPr>
        <w:adjustRightInd w:val="0"/>
        <w:spacing w:line="640" w:lineRule="exact"/>
        <w:ind w:firstLine="640" w:firstLineChars="200"/>
        <w:rPr>
          <w:rFonts w:asci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（一）抽检依据</w:t>
      </w:r>
    </w:p>
    <w:p>
      <w:pPr>
        <w:pStyle w:val="2"/>
        <w:ind w:firstLine="640" w:firstLineChars="200"/>
        <w:rPr>
          <w:rFonts w:hint="eastAsia" w:asci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抽检依据是食品整治办〔2008〕3 号、GB 2762-2017《食品安全国家标准 食物中污染物限量》、整顿办函〔2011〕1号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、GB 2760-2014《食品安全国家标准 食品添加剂使用标准》、GB 2719-2003 《食醋卫生标准》、GB 2717-2003 酱油卫生标准、GB 2719-2003 《食醋卫生标准》、GB/T 18186-2000 《酿造酱油》、GB 2761-2017 《食品安全国家标准 食品中真菌毒素限量》。</w:t>
      </w:r>
    </w:p>
    <w:p>
      <w:pPr>
        <w:adjustRightInd w:val="0"/>
        <w:spacing w:line="640" w:lineRule="exact"/>
        <w:ind w:left="420" w:leftChars="200" w:firstLine="320" w:firstLineChars="100"/>
        <w:rPr>
          <w:rFonts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（二）检验项目</w:t>
      </w:r>
    </w:p>
    <w:p>
      <w:pPr>
        <w:pStyle w:val="2"/>
        <w:ind w:firstLine="640" w:firstLineChars="200"/>
        <w:rPr>
          <w:rFonts w:hint="default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罗丹明B、铅（以Pb计）、苏丹红Ⅰ、苏丹红Ⅱ、苏丹红Ⅲ、苏丹红Ⅳ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、苯甲酸及其钠盐（以苯甲酸计）、大肠菌群、菌落总数、山梨酸及其钾盐（以山梨酸计）、糖精钠（以糖精计）、游离矿酸、氨基酸态氮（以氮计）、脱氢乙酸及其钠盐（以脱氢乙酸计）、黄曲霉毒素 B₁。</w:t>
      </w:r>
    </w:p>
    <w:sectPr>
      <w:footerReference r:id="rId3" w:type="default"/>
      <w:footerReference r:id="rId4" w:type="even"/>
      <w:pgSz w:w="11906" w:h="16838"/>
      <w:pgMar w:top="1701" w:right="1474" w:bottom="1440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 w:firstLine="360"/>
    </w:pPr>
    <w:r>
      <mc:AlternateContent>
        <mc:Choice Requires="wps">
          <w:drawing>
            <wp:anchor distT="0" distB="0" distL="114300" distR="114300" simplePos="0" relativeHeight="102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t>44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4" o:spid="_x0000_s1026" o:spt="202" type="#_x0000_t202" style="position:absolute;left:0pt;margin-top:0pt;height:144pt;width:144pt;mso-position-horizontal:outside;mso-position-horizontal-relative:margin;mso-wrap-style:none;z-index:102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E5ohlrsBAABiAwAADgAAAGRycy9lMm9Eb2MueG1srVNNrtMwEN4jcQfL&#10;e5q04qESNX0CPT2EhADpwQFcx24s2R5r7DbpBeAGrNiw51w9B2M36UOwQ2yc+f1mvpnJ5nZ0lh0V&#10;RgO+5ctFzZnyEjrj9y3//On+2ZqzmITvhAWvWn5Skd9unz7ZDKFRK+jBdgoZgfjYDKHlfUqhqaoo&#10;e+VEXEBQnpwa0IlEKu6rDsVA6M5Wq7p+UQ2AXUCQKkay3l2cfFvwtVYyfdA6qsRsy6m3VF4s7y6/&#10;1XYjmj2K0Bs5tSH+oQsnjKeiV6g7kQQ7oPkLyhmJEEGnhQRXgdZGqsKB2CzrP9g89CKowoWGE8N1&#10;TPH/wcr3x4/ITEe748wLRys6f/t6/v7z/OMLe57HM4TYUNRDoLg0voYxh072SMbMetTo8pf4MPLT&#10;oE/X4aoxMZmT1qv1uiaXJN+sEE71mB4wpjcKHMtCy5G2V4Yqju9iuoTOIbmah3tjLdlFYz0bWv7y&#10;ZnVTEq4eArc+B6hyCxNMpnRpPUtp3I0Tnx10J6I50D203NPBcmbfehp3Pp1ZwFnYzcIhoNn31PGy&#10;VI/h1SFRb6XlXOECS1SzQosspKejy5fyu16iHn+N7S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DO&#10;qXm5zwAAAAUBAAAPAAAAAAAAAAEAIAAAACIAAABkcnMvZG93bnJldi54bWxQSwECFAAUAAAACACH&#10;TuJAE5ohlrsBAABiAwAADgAAAAAAAAABACAAAAAeAQAAZHJzL2Uyb0RvYy54bWxQSwUGAAAAAAYA&#10;BgBZAQAAS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PAGE  </w:instrText>
                    </w:r>
                    <w:r>
                      <w:fldChar w:fldCharType="separate"/>
                    </w:r>
                    <w:r>
                      <w:t>44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NotTrackMoves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45E"/>
    <w:rsid w:val="00161AC3"/>
    <w:rsid w:val="00452504"/>
    <w:rsid w:val="00540391"/>
    <w:rsid w:val="005B764A"/>
    <w:rsid w:val="00844E21"/>
    <w:rsid w:val="00885AF3"/>
    <w:rsid w:val="009A37CD"/>
    <w:rsid w:val="009B7608"/>
    <w:rsid w:val="00AD2205"/>
    <w:rsid w:val="00B2645E"/>
    <w:rsid w:val="01257677"/>
    <w:rsid w:val="0178779D"/>
    <w:rsid w:val="02715027"/>
    <w:rsid w:val="04C23CCB"/>
    <w:rsid w:val="05C4102A"/>
    <w:rsid w:val="06E03957"/>
    <w:rsid w:val="075C6061"/>
    <w:rsid w:val="08460E78"/>
    <w:rsid w:val="093C5049"/>
    <w:rsid w:val="0A337676"/>
    <w:rsid w:val="0A3950FE"/>
    <w:rsid w:val="0A4F21C0"/>
    <w:rsid w:val="0C2A6B34"/>
    <w:rsid w:val="0CC56A6D"/>
    <w:rsid w:val="0D1C23D5"/>
    <w:rsid w:val="0D1F27F9"/>
    <w:rsid w:val="0D5616CF"/>
    <w:rsid w:val="0D561B8C"/>
    <w:rsid w:val="0DDB3E38"/>
    <w:rsid w:val="0F535983"/>
    <w:rsid w:val="104F6578"/>
    <w:rsid w:val="107426B2"/>
    <w:rsid w:val="114259EF"/>
    <w:rsid w:val="115941C4"/>
    <w:rsid w:val="11D13A15"/>
    <w:rsid w:val="11F46E1C"/>
    <w:rsid w:val="11F76164"/>
    <w:rsid w:val="141704FF"/>
    <w:rsid w:val="17147F3A"/>
    <w:rsid w:val="183B1756"/>
    <w:rsid w:val="1B2257C8"/>
    <w:rsid w:val="1B80281E"/>
    <w:rsid w:val="1BCD3117"/>
    <w:rsid w:val="1C2266F0"/>
    <w:rsid w:val="1C3578C0"/>
    <w:rsid w:val="1D3B024E"/>
    <w:rsid w:val="1E59161A"/>
    <w:rsid w:val="1F730C2D"/>
    <w:rsid w:val="209A6521"/>
    <w:rsid w:val="22FC7365"/>
    <w:rsid w:val="243B0A94"/>
    <w:rsid w:val="25CA3C80"/>
    <w:rsid w:val="25DA6FFE"/>
    <w:rsid w:val="25F47BAE"/>
    <w:rsid w:val="25F77FC7"/>
    <w:rsid w:val="273D035F"/>
    <w:rsid w:val="27D4651A"/>
    <w:rsid w:val="290B1E08"/>
    <w:rsid w:val="2A327189"/>
    <w:rsid w:val="2B015CF2"/>
    <w:rsid w:val="2C323870"/>
    <w:rsid w:val="2CFA12CA"/>
    <w:rsid w:val="2D2C1667"/>
    <w:rsid w:val="2D644CFD"/>
    <w:rsid w:val="2D907F8B"/>
    <w:rsid w:val="2E240A1A"/>
    <w:rsid w:val="2E3962E0"/>
    <w:rsid w:val="2E5332FF"/>
    <w:rsid w:val="2EBB2179"/>
    <w:rsid w:val="2FA73B57"/>
    <w:rsid w:val="30845BB0"/>
    <w:rsid w:val="31600389"/>
    <w:rsid w:val="32DA29A4"/>
    <w:rsid w:val="35115497"/>
    <w:rsid w:val="377B7005"/>
    <w:rsid w:val="37E560AC"/>
    <w:rsid w:val="38381CA8"/>
    <w:rsid w:val="38917ACB"/>
    <w:rsid w:val="39316EF0"/>
    <w:rsid w:val="39B129B0"/>
    <w:rsid w:val="3AA8034C"/>
    <w:rsid w:val="3BC0715E"/>
    <w:rsid w:val="3C41383F"/>
    <w:rsid w:val="3EFB1D78"/>
    <w:rsid w:val="400B248B"/>
    <w:rsid w:val="41807B2B"/>
    <w:rsid w:val="42AD7897"/>
    <w:rsid w:val="42EB33BC"/>
    <w:rsid w:val="42EB5CA7"/>
    <w:rsid w:val="45127AFA"/>
    <w:rsid w:val="458157D4"/>
    <w:rsid w:val="46506984"/>
    <w:rsid w:val="46995068"/>
    <w:rsid w:val="472F5B05"/>
    <w:rsid w:val="481E4082"/>
    <w:rsid w:val="495E1EB1"/>
    <w:rsid w:val="49BA079A"/>
    <w:rsid w:val="4AA95D3F"/>
    <w:rsid w:val="4B3D0E70"/>
    <w:rsid w:val="4BA436DE"/>
    <w:rsid w:val="4C8B1C48"/>
    <w:rsid w:val="4DAF4F38"/>
    <w:rsid w:val="4E006D4F"/>
    <w:rsid w:val="50A73037"/>
    <w:rsid w:val="513634FC"/>
    <w:rsid w:val="514F73D4"/>
    <w:rsid w:val="53483B17"/>
    <w:rsid w:val="540B16F2"/>
    <w:rsid w:val="54C62CDF"/>
    <w:rsid w:val="560C1EF0"/>
    <w:rsid w:val="57D32A9E"/>
    <w:rsid w:val="5B12565E"/>
    <w:rsid w:val="5CDB057C"/>
    <w:rsid w:val="5D235C15"/>
    <w:rsid w:val="5D2D0F82"/>
    <w:rsid w:val="5E94413F"/>
    <w:rsid w:val="5F7B0234"/>
    <w:rsid w:val="5F9A35D7"/>
    <w:rsid w:val="5FD7231D"/>
    <w:rsid w:val="601A4454"/>
    <w:rsid w:val="604F62A0"/>
    <w:rsid w:val="60CA6C88"/>
    <w:rsid w:val="610E2A90"/>
    <w:rsid w:val="61E14412"/>
    <w:rsid w:val="648B3A8F"/>
    <w:rsid w:val="65363F30"/>
    <w:rsid w:val="653E0527"/>
    <w:rsid w:val="65A46D0A"/>
    <w:rsid w:val="661E45A0"/>
    <w:rsid w:val="66D83E38"/>
    <w:rsid w:val="67684621"/>
    <w:rsid w:val="68946DF5"/>
    <w:rsid w:val="69AB3CF4"/>
    <w:rsid w:val="6B1227CB"/>
    <w:rsid w:val="6C735102"/>
    <w:rsid w:val="6CAB0848"/>
    <w:rsid w:val="6CCD55D3"/>
    <w:rsid w:val="6CF76CF6"/>
    <w:rsid w:val="6F075638"/>
    <w:rsid w:val="6FD258E8"/>
    <w:rsid w:val="700E1B3E"/>
    <w:rsid w:val="70143556"/>
    <w:rsid w:val="708900E0"/>
    <w:rsid w:val="70D361D0"/>
    <w:rsid w:val="710045B2"/>
    <w:rsid w:val="71076C46"/>
    <w:rsid w:val="713C77D2"/>
    <w:rsid w:val="72707E1D"/>
    <w:rsid w:val="72DC452D"/>
    <w:rsid w:val="768707B2"/>
    <w:rsid w:val="79826E4A"/>
    <w:rsid w:val="7CB377B0"/>
    <w:rsid w:val="7F594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link w:val="9"/>
    <w:qFormat/>
    <w:uiPriority w:val="9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0"/>
    <w:qFormat/>
    <w:uiPriority w:val="99"/>
  </w:style>
  <w:style w:type="paragraph" w:styleId="4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9">
    <w:name w:val="标题 1 字符"/>
    <w:link w:val="3"/>
    <w:qFormat/>
    <w:uiPriority w:val="9"/>
    <w:rPr>
      <w:b/>
      <w:bCs/>
      <w:kern w:val="44"/>
      <w:sz w:val="44"/>
      <w:szCs w:val="44"/>
    </w:rPr>
  </w:style>
  <w:style w:type="character" w:customStyle="1" w:styleId="10">
    <w:name w:val="正文文本 字符"/>
    <w:link w:val="2"/>
    <w:semiHidden/>
    <w:qFormat/>
    <w:uiPriority w:val="99"/>
    <w:rPr>
      <w:szCs w:val="21"/>
    </w:rPr>
  </w:style>
  <w:style w:type="character" w:customStyle="1" w:styleId="11">
    <w:name w:val="页脚 字符"/>
    <w:link w:val="5"/>
    <w:semiHidden/>
    <w:qFormat/>
    <w:uiPriority w:val="99"/>
    <w:rPr>
      <w:sz w:val="18"/>
      <w:szCs w:val="18"/>
    </w:rPr>
  </w:style>
  <w:style w:type="character" w:customStyle="1" w:styleId="12">
    <w:name w:val="批注框文本 字符"/>
    <w:link w:val="4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410</Words>
  <Characters>2339</Characters>
  <Lines>19</Lines>
  <Paragraphs>5</Paragraphs>
  <TotalTime>4</TotalTime>
  <ScaleCrop>false</ScaleCrop>
  <LinksUpToDate>false</LinksUpToDate>
  <CharactersWithSpaces>2744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我舞影凌乱</cp:lastModifiedBy>
  <cp:lastPrinted>2019-09-11T04:44:00Z</cp:lastPrinted>
  <dcterms:modified xsi:type="dcterms:W3CDTF">2019-11-20T03:04:56Z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