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napToGrid w:val="0"/>
          <w:sz w:val="32"/>
          <w:szCs w:val="32"/>
        </w:rPr>
      </w:pPr>
      <w:r>
        <w:rPr>
          <w:rFonts w:hint="eastAsia" w:ascii="黑体" w:hAnsi="仿宋" w:eastAsia="黑体"/>
          <w:snapToGrid w:val="0"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铜川市不同时段降雨量等级划分表</w:t>
      </w:r>
    </w:p>
    <w:p>
      <w:pPr>
        <w:adjustRightInd w:val="0"/>
        <w:snapToGrid w:val="0"/>
        <w:spacing w:before="120" w:beforeLines="50" w:after="120" w:afterLines="50"/>
        <w:jc w:val="right"/>
        <w:rPr>
          <w:rFonts w:hint="eastAsia" w:ascii="楷体_GB2312" w:eastAsia="楷体_GB2312"/>
          <w:snapToGrid w:val="0"/>
          <w:sz w:val="32"/>
          <w:szCs w:val="32"/>
        </w:rPr>
      </w:pPr>
      <w:r>
        <w:rPr>
          <w:rFonts w:hint="eastAsia" w:ascii="楷体_GB2312" w:eastAsia="楷体_GB2312"/>
          <w:snapToGrid w:val="0"/>
          <w:sz w:val="32"/>
          <w:szCs w:val="32"/>
        </w:rPr>
        <w:t>单位：毫米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2087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等级</w:t>
            </w:r>
          </w:p>
        </w:tc>
        <w:tc>
          <w:tcPr>
            <w:tcW w:w="55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时段降雨量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napToGrid w:val="0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12h降雨量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24h降雨量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微量降雨（零星小雨）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&lt;0.1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&lt;0.1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小雨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0.1～4.9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0.1～9.9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中雨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5.0～14.9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10.0～24.9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大雨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15.0～29.9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25～49.9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暴雨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30.0～69.9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50～99.9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大暴雨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70.0～139.9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100.0～249.9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特大暴雨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≥140.0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</w:rPr>
            </w:pPr>
            <w:r>
              <w:rPr>
                <w:rFonts w:hint="eastAsia" w:ascii="仿宋_GB2312" w:hAnsi="宋体" w:eastAsia="仿宋_GB2312"/>
                <w:snapToGrid w:val="0"/>
              </w:rPr>
              <w:t>≥250.0</w:t>
            </w:r>
          </w:p>
        </w:tc>
      </w:tr>
    </w:tbl>
    <w:p>
      <w:pPr>
        <w:adjustRightInd w:val="0"/>
        <w:snapToGrid w:val="0"/>
        <w:spacing w:line="360" w:lineRule="auto"/>
        <w:ind w:firstLine="588"/>
        <w:rPr>
          <w:snapToGrid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B606C"/>
    <w:rsid w:val="54C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批注样式2"/>
    <w:basedOn w:val="3"/>
    <w:uiPriority w:val="0"/>
    <w:pPr>
      <w:snapToGrid w:val="0"/>
      <w:spacing w:line="240" w:lineRule="exact"/>
    </w:pPr>
    <w:rPr>
      <w:rFonts w:ascii="Times New Roman" w:hAnsi="Times New Roman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小雨沙沙</cp:lastModifiedBy>
  <dcterms:modified xsi:type="dcterms:W3CDTF">2021-01-13T02:54:07Z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