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lang w:eastAsia="zh-CN"/>
        </w:rPr>
      </w:pPr>
    </w:p>
    <w:p>
      <w:pPr>
        <w:spacing w:line="560" w:lineRule="exact"/>
        <w:jc w:val="center"/>
        <w:outlineLvl w:val="0"/>
        <w:rPr>
          <w:rFonts w:hint="eastAsia" w:ascii="方正小标宋简体" w:hAnsi="方正小标宋简体" w:eastAsia="方正小标宋简体" w:cs="方正小标宋简体"/>
          <w:sz w:val="44"/>
          <w:szCs w:val="44"/>
          <w:lang w:eastAsia="zh-CN"/>
        </w:rPr>
      </w:pPr>
    </w:p>
    <w:p>
      <w:pPr>
        <w:spacing w:line="560" w:lineRule="exact"/>
        <w:jc w:val="center"/>
        <w:outlineLvl w:val="0"/>
        <w:rPr>
          <w:rFonts w:hint="eastAsia" w:ascii="方正小标宋简体" w:hAnsi="方正小标宋简体" w:eastAsia="方正小标宋简体" w:cs="方正小标宋简体"/>
          <w:sz w:val="44"/>
          <w:szCs w:val="44"/>
          <w:lang w:eastAsia="zh-CN"/>
        </w:rPr>
      </w:pPr>
    </w:p>
    <w:p>
      <w:pPr>
        <w:spacing w:line="56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宜君县人民政府办公室</w:t>
      </w:r>
    </w:p>
    <w:p>
      <w:pPr>
        <w:spacing w:line="56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lang w:eastAsia="zh-CN"/>
        </w:rPr>
        <w:t>年政府信息公开工作年度报告</w:t>
      </w:r>
    </w:p>
    <w:p>
      <w:pPr>
        <w:rPr>
          <w:rFonts w:hint="eastAsia" w:ascii="黑体" w:hAnsi="黑体" w:eastAsia="黑体" w:cs="黑体"/>
          <w:snapToGrid w:val="0"/>
          <w:kern w:val="32"/>
          <w:sz w:val="32"/>
          <w:szCs w:val="32"/>
          <w:lang w:val="en-US" w:eastAsia="zh-CN"/>
        </w:rPr>
      </w:pPr>
      <w:r>
        <w:rPr>
          <w:rFonts w:hint="eastAsia"/>
          <w:lang w:val="en-US" w:eastAsia="zh-CN"/>
        </w:rPr>
        <w:t>　</w:t>
      </w:r>
      <w:r>
        <w:rPr>
          <w:rFonts w:hint="eastAsia" w:ascii="黑体" w:hAnsi="黑体" w:eastAsia="黑体" w:cs="黑体"/>
          <w:snapToGrid w:val="0"/>
          <w:kern w:val="32"/>
          <w:sz w:val="32"/>
          <w:szCs w:val="32"/>
          <w:lang w:val="en-US" w:eastAsia="zh-CN"/>
        </w:rPr>
        <w:t>　</w:t>
      </w:r>
    </w:p>
    <w:p>
      <w:pPr>
        <w:rPr>
          <w:rFonts w:hint="eastAsia" w:ascii="仿宋_GB2312" w:hAnsi="仿宋_GB2312" w:eastAsia="仿宋_GB2312" w:cs="仿宋_GB2312"/>
          <w:sz w:val="32"/>
          <w:szCs w:val="32"/>
          <w:lang w:eastAsia="zh-CN"/>
        </w:rPr>
      </w:pPr>
      <w:r>
        <w:rPr>
          <w:rFonts w:hint="eastAsia" w:ascii="黑体" w:hAnsi="黑体" w:eastAsia="黑体" w:cs="黑体"/>
          <w:snapToGrid w:val="0"/>
          <w:kern w:val="32"/>
          <w:sz w:val="32"/>
          <w:szCs w:val="32"/>
          <w:lang w:val="en-US" w:eastAsia="zh-CN"/>
        </w:rPr>
        <w:t>　　</w:t>
      </w:r>
      <w:r>
        <w:rPr>
          <w:rFonts w:hint="eastAsia" w:ascii="黑体" w:hAnsi="黑体" w:eastAsia="黑体" w:cs="黑体"/>
          <w:snapToGrid w:val="0"/>
          <w:kern w:val="32"/>
          <w:sz w:val="32"/>
          <w:szCs w:val="32"/>
          <w:lang w:eastAsia="zh-CN"/>
        </w:rPr>
        <w:t>一、总体情况</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宜君县人民政府办公室以习近平新时代中国特色社会主义思想为指导，全面贯彻落实《政府信息公开条例》及《国务院办公厅政府信息与政务公开办公室关于政府信息公开年度报告有关事项的通知》（国办公开办函〔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60号</w:t>
      </w:r>
      <w:r>
        <w:rPr>
          <w:rFonts w:hint="eastAsia" w:ascii="仿宋_GB2312" w:hAnsi="仿宋_GB2312" w:eastAsia="仿宋_GB2312" w:cs="仿宋_GB2312"/>
          <w:sz w:val="32"/>
          <w:szCs w:val="32"/>
          <w:lang w:eastAsia="zh-CN"/>
        </w:rPr>
        <w:t>）要求，坚持以公开为常态，不公开为例外，</w:t>
      </w:r>
      <w:r>
        <w:rPr>
          <w:rFonts w:hint="eastAsia" w:ascii="仿宋_GB2312" w:hAnsi="仿宋_GB2312" w:eastAsia="仿宋_GB2312" w:cs="仿宋_GB2312"/>
          <w:sz w:val="32"/>
          <w:szCs w:val="32"/>
          <w:lang w:val="en-US" w:eastAsia="zh-CN"/>
        </w:rPr>
        <w:t>聚焦做好“六稳”工作、落实“六保”任务，加强政策发布解读，持续推进“政务五公开”、不断深化重点领域信息公开，以公开促落实、促规范、促服务。</w:t>
      </w:r>
    </w:p>
    <w:p>
      <w:pPr>
        <w:numPr>
          <w:ilvl w:val="0"/>
          <w:numId w:val="0"/>
        </w:numPr>
        <w:rPr>
          <w:rFonts w:hint="eastAsia" w:ascii="楷体_GB2312" w:eastAsia="楷体_GB2312" w:hAnsiTheme="minorHAnsi" w:cstheme="minorBidi"/>
          <w:snapToGrid/>
          <w:color w:val="auto"/>
          <w:spacing w:val="0"/>
          <w:w w:val="100"/>
          <w:kern w:val="2"/>
          <w:position w:val="0"/>
          <w:sz w:val="32"/>
          <w:szCs w:val="32"/>
          <w:u w:val="none" w:color="auto"/>
          <w:vertAlign w:val="baseline"/>
          <w:lang w:val="en-US" w:eastAsia="zh-CN" w:bidi="ar-SA"/>
        </w:rPr>
      </w:pPr>
      <w:r>
        <w:rPr>
          <w:rFonts w:hint="eastAsia" w:ascii="楷体_GB2312" w:eastAsia="楷体_GB2312" w:cstheme="minorBidi"/>
          <w:snapToGrid/>
          <w:color w:val="auto"/>
          <w:spacing w:val="0"/>
          <w:w w:val="100"/>
          <w:kern w:val="2"/>
          <w:position w:val="0"/>
          <w:sz w:val="32"/>
          <w:szCs w:val="32"/>
          <w:u w:val="none" w:color="auto"/>
          <w:vertAlign w:val="baseline"/>
          <w:lang w:val="en-US" w:eastAsia="zh-CN" w:bidi="ar-SA"/>
        </w:rPr>
        <w:t>　　（一）</w:t>
      </w:r>
      <w:r>
        <w:rPr>
          <w:rFonts w:hint="eastAsia" w:ascii="楷体_GB2312" w:eastAsia="楷体_GB2312" w:hAnsiTheme="minorHAnsi" w:cstheme="minorBidi"/>
          <w:snapToGrid/>
          <w:color w:val="auto"/>
          <w:spacing w:val="0"/>
          <w:w w:val="100"/>
          <w:kern w:val="2"/>
          <w:position w:val="0"/>
          <w:sz w:val="32"/>
          <w:szCs w:val="32"/>
          <w:u w:val="none" w:color="auto"/>
          <w:vertAlign w:val="baseline"/>
          <w:lang w:val="en-US" w:eastAsia="zh-CN" w:bidi="ar-SA"/>
        </w:rPr>
        <w:t>增强主动公开的针对性和实效性</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积极主动公开各类基础信息。依法依规在县政府门户网站公开县政府办公室机构领导、联系方式、办公时间、机构设置等信息；二是持续增强政务五公开透明力度。凡涉及特定群体切身利益的决策事项，除依法应当保密的除外，在相关政策制定前均通过多种形式广泛征求社会各界的意见与建议，并及时在政府网站公开。三是对行政规范性文件进行了全面清理（已废止或失效的文件除外），对已经废止、失效的规范性文件在原文件作出明确标注，继续有效的规范性文件在县政府网站进行公告。四是加大重点领域信息公开。及时公开财政预决算、精准脱贫、污染治理、防范化解重大风险、重大项目、教育、医疗、社会救济、社会保障、住房保障、促进就业等方面的政策、措施及其实施情况；坚持做好疫情防控常态化下疫情信息发布工作，围绕“六稳六保”发布各项政策举措信息。五是持续推动</w:t>
      </w:r>
      <w:r>
        <w:rPr>
          <w:rFonts w:hint="eastAsia" w:ascii="Times New Roman" w:hAnsi="Times New Roman" w:eastAsia="仿宋_GB2312" w:cs="Times New Roman"/>
          <w:sz w:val="32"/>
          <w:szCs w:val="32"/>
          <w:lang w:val="en-US" w:eastAsia="zh-CN"/>
        </w:rPr>
        <w:t>执行公开。及时督促各部门在行政决定作出之日起7个工作日内通过信用中国（陕西）平台全量报送“双随机、一公开”“双公示”信息。</w:t>
      </w:r>
      <w:r>
        <w:rPr>
          <w:rFonts w:hint="eastAsia" w:eastAsia="仿宋_GB2312" w:cs="Times New Roman"/>
          <w:sz w:val="32"/>
          <w:szCs w:val="32"/>
          <w:lang w:val="en-US" w:eastAsia="zh-CN"/>
        </w:rPr>
        <w:t>印发《宜君县全面推行行政执法公示制度执法全过程记录制度重大执法决定法制审核制度实施方案》。</w:t>
      </w:r>
      <w:r>
        <w:rPr>
          <w:rFonts w:hint="eastAsia" w:ascii="仿宋_GB2312" w:hAnsi="仿宋_GB2312" w:eastAsia="仿宋_GB2312" w:cs="仿宋_GB2312"/>
          <w:sz w:val="32"/>
          <w:szCs w:val="32"/>
          <w:lang w:val="en-US" w:eastAsia="zh-CN"/>
        </w:rPr>
        <w:t>六是加强政策解读。2020年常态化解读县政府常务会议12期，重点解读2019年政府工作报告一期，专题解读各类文件、重点政策62期。七是做好互动交流舆情回应。针对咨询投诉、县长信箱的网民留言严格按照“135工作制度”办理，确保网民留言事事查清楚、件件有回音。全年收到来信56件，应网民要求，公开答复32件，不公开答复24件，办结率100%。八是做好人大代表建议和政协委员提案办理结果公开。在县政府门户网站“提案建议”栏目公开县人大代表建议及办理结果10件，政协委员提案及办理结果18件。</w:t>
      </w:r>
    </w:p>
    <w:p>
      <w:pPr>
        <w:numPr>
          <w:ilvl w:val="0"/>
          <w:numId w:val="1"/>
        </w:numPr>
        <w:ind w:firstLine="640"/>
        <w:rPr>
          <w:rFonts w:hint="eastAsia" w:ascii="楷体_GB2312" w:eastAsia="楷体_GB2312" w:hAnsiTheme="minorHAnsi" w:cstheme="minorBidi"/>
          <w:snapToGrid/>
          <w:color w:val="auto"/>
          <w:spacing w:val="0"/>
          <w:w w:val="100"/>
          <w:kern w:val="2"/>
          <w:position w:val="0"/>
          <w:sz w:val="32"/>
          <w:szCs w:val="32"/>
          <w:u w:val="none" w:color="auto"/>
          <w:vertAlign w:val="baseline"/>
          <w:lang w:val="en-US" w:eastAsia="zh-CN" w:bidi="ar-SA"/>
        </w:rPr>
      </w:pPr>
      <w:r>
        <w:rPr>
          <w:rFonts w:hint="eastAsia" w:ascii="楷体_GB2312" w:eastAsia="楷体_GB2312" w:hAnsiTheme="minorHAnsi" w:cstheme="minorBidi"/>
          <w:snapToGrid/>
          <w:color w:val="auto"/>
          <w:spacing w:val="0"/>
          <w:w w:val="100"/>
          <w:kern w:val="2"/>
          <w:position w:val="0"/>
          <w:sz w:val="32"/>
          <w:szCs w:val="32"/>
          <w:u w:val="none" w:color="auto"/>
          <w:vertAlign w:val="baseline"/>
          <w:lang w:val="en-US" w:eastAsia="zh-CN" w:bidi="ar-SA"/>
        </w:rPr>
        <w:t>依法依规做好依申请公开</w:t>
      </w:r>
    </w:p>
    <w:p>
      <w:pPr>
        <w:numPr>
          <w:ilvl w:val="0"/>
          <w:numId w:val="0"/>
        </w:numPr>
        <w:rPr>
          <w:rFonts w:hint="eastAsia" w:ascii="仿宋_GB2312" w:hAnsi="仿宋_GB2312" w:eastAsia="仿宋_GB2312" w:cs="仿宋_GB2312"/>
          <w:snapToGrid/>
          <w:color w:val="auto"/>
          <w:spacing w:val="0"/>
          <w:w w:val="100"/>
          <w:kern w:val="2"/>
          <w:position w:val="0"/>
          <w:sz w:val="32"/>
          <w:szCs w:val="32"/>
          <w:u w:val="none"/>
          <w:vertAlign w:val="baseline"/>
          <w:lang w:val="en-US" w:eastAsia="zh-CN" w:bidi="ar-SA"/>
        </w:rPr>
      </w:pPr>
      <w:r>
        <w:rPr>
          <w:rFonts w:hint="eastAsia" w:ascii="仿宋_GB2312" w:hAnsi="仿宋_GB2312" w:eastAsia="仿宋_GB2312" w:cs="仿宋_GB2312"/>
          <w:sz w:val="32"/>
          <w:szCs w:val="32"/>
          <w:lang w:val="en-US" w:eastAsia="zh-CN"/>
        </w:rPr>
        <w:t>　　一是建立健全登记、审核、办理、答复、归档工作制度，畅通</w:t>
      </w:r>
      <w:r>
        <w:rPr>
          <w:rFonts w:hint="eastAsia" w:eastAsia="仿宋_GB2312" w:cs="Times New Roman"/>
          <w:sz w:val="32"/>
          <w:szCs w:val="32"/>
          <w:lang w:eastAsia="zh-CN"/>
        </w:rPr>
        <w:t>网络、信函、现场、电话、传真申请渠道，二是组织工作人员学习《陕西省政府信息依申请公开答复示范文本》，</w:t>
      </w:r>
      <w:r>
        <w:rPr>
          <w:rFonts w:hint="default" w:ascii="Times New Roman" w:hAnsi="Times New Roman" w:eastAsia="仿宋_GB2312" w:cs="Times New Roman"/>
          <w:sz w:val="32"/>
          <w:szCs w:val="32"/>
        </w:rPr>
        <w:t>细化流程关键点，落实办理责任人</w:t>
      </w:r>
      <w:r>
        <w:rPr>
          <w:rFonts w:hint="eastAsia" w:eastAsia="仿宋_GB2312" w:cs="Times New Roman"/>
          <w:sz w:val="32"/>
          <w:szCs w:val="32"/>
          <w:lang w:eastAsia="zh-CN"/>
        </w:rPr>
        <w:t>。三是</w:t>
      </w:r>
      <w:r>
        <w:rPr>
          <w:rFonts w:hint="eastAsia" w:eastAsia="仿宋_GB2312" w:cs="Times New Roman"/>
          <w:sz w:val="32"/>
          <w:szCs w:val="32"/>
          <w:lang w:val="en-US" w:eastAsia="zh-CN"/>
        </w:rPr>
        <w:t>全年</w:t>
      </w:r>
      <w:r>
        <w:rPr>
          <w:rFonts w:hint="eastAsia" w:eastAsia="仿宋_GB2312" w:cs="Times New Roman"/>
          <w:sz w:val="32"/>
          <w:szCs w:val="32"/>
          <w:lang w:eastAsia="zh-CN"/>
        </w:rPr>
        <w:t>共</w:t>
      </w:r>
      <w:r>
        <w:rPr>
          <w:rFonts w:hint="default" w:ascii="Times New Roman" w:hAnsi="Times New Roman" w:eastAsia="仿宋_GB2312" w:cs="Times New Roman"/>
          <w:sz w:val="32"/>
          <w:szCs w:val="32"/>
        </w:rPr>
        <w:t>收到依申请公开信件</w:t>
      </w:r>
      <w:r>
        <w:rPr>
          <w:rFonts w:hint="eastAsia" w:ascii="仿宋_GB2312" w:hAnsi="仿宋_GB2312" w:eastAsia="仿宋_GB2312" w:cs="仿宋_GB2312"/>
          <w:sz w:val="32"/>
          <w:szCs w:val="32"/>
          <w:lang w:val="en-US" w:eastAsia="zh-CN"/>
        </w:rPr>
        <w:t>1</w:t>
      </w:r>
      <w:r>
        <w:rPr>
          <w:rFonts w:hint="eastAsia" w:eastAsia="仿宋_GB2312" w:cs="Times New Roman"/>
          <w:sz w:val="32"/>
          <w:szCs w:val="32"/>
          <w:lang w:eastAsia="zh-CN"/>
        </w:rPr>
        <w:t>件，</w:t>
      </w:r>
      <w:r>
        <w:rPr>
          <w:rFonts w:hint="eastAsia" w:ascii="仿宋_GB2312" w:hAnsi="仿宋_GB2312" w:eastAsia="仿宋_GB2312" w:cs="仿宋_GB2312"/>
          <w:snapToGrid/>
          <w:color w:val="auto"/>
          <w:spacing w:val="0"/>
          <w:w w:val="100"/>
          <w:kern w:val="2"/>
          <w:position w:val="0"/>
          <w:sz w:val="32"/>
          <w:szCs w:val="32"/>
          <w:u w:val="none"/>
          <w:vertAlign w:val="baseline"/>
          <w:lang w:val="en-US" w:eastAsia="zh-CN" w:bidi="ar-SA"/>
        </w:rPr>
        <w:t>全年无行政复议、行政诉讼的情况。</w:t>
      </w:r>
    </w:p>
    <w:p>
      <w:pPr>
        <w:pStyle w:val="4"/>
        <w:ind w:left="0" w:leftChars="0" w:firstLine="640" w:firstLineChars="200"/>
        <w:rPr>
          <w:rFonts w:hint="eastAsia" w:ascii="楷体_GB2312" w:eastAsia="楷体_GB2312" w:hAnsiTheme="minorHAnsi" w:cstheme="minorBidi"/>
          <w:snapToGrid/>
          <w:color w:val="auto"/>
          <w:spacing w:val="0"/>
          <w:w w:val="100"/>
          <w:kern w:val="2"/>
          <w:position w:val="0"/>
          <w:sz w:val="32"/>
          <w:szCs w:val="32"/>
          <w:u w:val="none"/>
          <w:vertAlign w:val="baseline"/>
          <w:lang w:val="en-US" w:eastAsia="zh-CN" w:bidi="ar-SA"/>
        </w:rPr>
      </w:pPr>
      <w:r>
        <w:rPr>
          <w:rFonts w:hint="eastAsia" w:ascii="楷体_GB2312" w:eastAsia="楷体_GB2312" w:hAnsiTheme="minorHAnsi" w:cstheme="minorBidi"/>
          <w:snapToGrid/>
          <w:color w:val="auto"/>
          <w:spacing w:val="0"/>
          <w:w w:val="100"/>
          <w:kern w:val="2"/>
          <w:position w:val="0"/>
          <w:sz w:val="32"/>
          <w:szCs w:val="32"/>
          <w:u w:val="none"/>
          <w:vertAlign w:val="baseline"/>
          <w:lang w:val="en-US" w:eastAsia="zh-CN" w:bidi="ar-SA"/>
        </w:rPr>
        <w:t>（三）</w:t>
      </w:r>
      <w:r>
        <w:rPr>
          <w:rFonts w:hint="eastAsia" w:ascii="楷体_GB2312" w:eastAsia="楷体_GB2312"/>
          <w:sz w:val="32"/>
          <w:szCs w:val="32"/>
        </w:rPr>
        <w:t>强化</w:t>
      </w:r>
      <w:r>
        <w:rPr>
          <w:rFonts w:hint="eastAsia" w:ascii="楷体_GB2312" w:eastAsia="楷体_GB2312" w:hAnsiTheme="minorHAnsi" w:cstheme="minorBidi"/>
          <w:snapToGrid/>
          <w:color w:val="auto"/>
          <w:spacing w:val="0"/>
          <w:w w:val="100"/>
          <w:kern w:val="2"/>
          <w:position w:val="0"/>
          <w:sz w:val="32"/>
          <w:szCs w:val="32"/>
          <w:u w:val="none"/>
          <w:vertAlign w:val="baseline"/>
          <w:lang w:val="en-US" w:eastAsia="zh-CN" w:bidi="ar-SA"/>
        </w:rPr>
        <w:t>政府信息管理规范</w:t>
      </w:r>
    </w:p>
    <w:p>
      <w:pPr>
        <w:ind w:firstLine="640"/>
        <w:rPr>
          <w:rFonts w:hint="eastAsia" w:eastAsia="仿宋_GB2312" w:cs="Times New Roman"/>
          <w:sz w:val="32"/>
          <w:szCs w:val="32"/>
          <w:lang w:val="en-US" w:eastAsia="zh-CN"/>
        </w:rPr>
      </w:pPr>
      <w:r>
        <w:rPr>
          <w:rFonts w:hint="eastAsia" w:eastAsia="仿宋_GB2312" w:cs="Times New Roman"/>
          <w:sz w:val="32"/>
          <w:szCs w:val="32"/>
          <w:lang w:val="en-US" w:eastAsia="zh-CN"/>
        </w:rPr>
        <w:t>一是县政府办公室将公开属性作为发文必填项，随公文同审同批，从源头上解决政府信息公开属性定性问题。二是完善政府信息基本要素。按文号对公文分类展示，完善基本要素，加强公文有效性管理，及时更新效力标识，提供检索、查阅、下载等功能。三是规范档案管理。按照《档案法》规定，做好新《条例》与《档案法》、政府信息与档案之间的衔接，方便公众查阅。</w:t>
      </w:r>
    </w:p>
    <w:p>
      <w:pPr>
        <w:pStyle w:val="4"/>
        <w:ind w:left="0" w:leftChars="0" w:firstLine="640" w:firstLineChars="200"/>
        <w:rPr>
          <w:rFonts w:hint="eastAsia" w:ascii="楷体_GB2312" w:eastAsia="楷体_GB2312" w:hAnsiTheme="minorHAnsi" w:cstheme="minorBidi"/>
          <w:snapToGrid/>
          <w:color w:val="auto"/>
          <w:spacing w:val="0"/>
          <w:w w:val="100"/>
          <w:kern w:val="2"/>
          <w:position w:val="0"/>
          <w:sz w:val="32"/>
          <w:szCs w:val="32"/>
          <w:u w:val="none"/>
          <w:vertAlign w:val="baseline"/>
          <w:lang w:val="en-US" w:eastAsia="zh-CN" w:bidi="ar-SA"/>
        </w:rPr>
      </w:pPr>
      <w:r>
        <w:rPr>
          <w:rFonts w:hint="eastAsia" w:ascii="楷体_GB2312" w:eastAsia="楷体_GB2312" w:hAnsiTheme="minorHAnsi" w:cstheme="minorBidi"/>
          <w:snapToGrid/>
          <w:color w:val="auto"/>
          <w:spacing w:val="0"/>
          <w:w w:val="100"/>
          <w:kern w:val="2"/>
          <w:position w:val="0"/>
          <w:sz w:val="32"/>
          <w:szCs w:val="32"/>
          <w:u w:val="none"/>
          <w:vertAlign w:val="baseline"/>
          <w:lang w:val="en-US" w:eastAsia="zh-CN" w:bidi="ar-SA"/>
        </w:rPr>
        <w:t>（四）提升平台建设管理水平</w:t>
      </w:r>
    </w:p>
    <w:p>
      <w:pPr>
        <w:pStyle w:val="4"/>
        <w:ind w:left="0" w:leftChars="0" w:firstLine="640" w:firstLineChars="200"/>
        <w:rPr>
          <w:rFonts w:hint="eastAsia" w:eastAsia="仿宋_GB2312" w:cs="Times New Roman" w:asciiTheme="minorHAnsi" w:hAnsiTheme="minorHAnsi"/>
          <w:snapToGrid/>
          <w:color w:val="auto"/>
          <w:spacing w:val="0"/>
          <w:w w:val="100"/>
          <w:kern w:val="2"/>
          <w:position w:val="0"/>
          <w:sz w:val="32"/>
          <w:szCs w:val="32"/>
          <w:u w:val="none"/>
          <w:vertAlign w:val="baseline"/>
          <w:lang w:val="en-US" w:eastAsia="zh-CN" w:bidi="ar-SA"/>
        </w:rPr>
      </w:pPr>
      <w:r>
        <w:rPr>
          <w:rFonts w:hint="eastAsia" w:eastAsia="仿宋_GB2312" w:cs="Times New Roman" w:asciiTheme="minorHAnsi" w:hAnsiTheme="minorHAnsi"/>
          <w:snapToGrid/>
          <w:color w:val="auto"/>
          <w:spacing w:val="0"/>
          <w:w w:val="100"/>
          <w:kern w:val="2"/>
          <w:position w:val="0"/>
          <w:sz w:val="32"/>
          <w:szCs w:val="32"/>
          <w:u w:val="none"/>
          <w:vertAlign w:val="baseline"/>
          <w:lang w:val="en-US" w:eastAsia="zh-CN" w:bidi="ar-SA"/>
        </w:rPr>
        <w:t>一是强化县政府门户网站信息公开第一平台作用，落实主管主办责任，开展常态化监管，</w:t>
      </w:r>
      <w:r>
        <w:rPr>
          <w:rFonts w:hint="eastAsia" w:ascii="仿宋_GB2312" w:hAnsi="仿宋_GB2312" w:eastAsia="仿宋_GB2312" w:cs="仿宋_GB2312"/>
          <w:snapToGrid/>
          <w:color w:val="auto"/>
          <w:spacing w:val="0"/>
          <w:w w:val="100"/>
          <w:kern w:val="2"/>
          <w:position w:val="0"/>
          <w:sz w:val="32"/>
          <w:szCs w:val="32"/>
          <w:u w:val="none"/>
          <w:vertAlign w:val="baseline"/>
          <w:lang w:val="en-US" w:eastAsia="zh-CN" w:bidi="ar-SA"/>
        </w:rPr>
        <w:t>2020</w:t>
      </w:r>
      <w:r>
        <w:rPr>
          <w:rFonts w:hint="eastAsia" w:eastAsia="仿宋_GB2312" w:cs="Times New Roman" w:asciiTheme="minorHAnsi" w:hAnsiTheme="minorHAnsi"/>
          <w:snapToGrid/>
          <w:color w:val="auto"/>
          <w:spacing w:val="0"/>
          <w:w w:val="100"/>
          <w:kern w:val="2"/>
          <w:position w:val="0"/>
          <w:sz w:val="32"/>
          <w:szCs w:val="32"/>
          <w:u w:val="none"/>
          <w:vertAlign w:val="baseline"/>
          <w:lang w:val="en-US" w:eastAsia="zh-CN" w:bidi="ar-SA"/>
        </w:rPr>
        <w:t>年，县政府网站在国</w:t>
      </w:r>
      <w:r>
        <w:rPr>
          <w:rFonts w:hint="eastAsia" w:ascii="仿宋_GB2312" w:hAnsi="仿宋_GB2312" w:eastAsia="仿宋_GB2312" w:cs="仿宋_GB2312"/>
          <w:snapToGrid/>
          <w:color w:val="auto"/>
          <w:spacing w:val="0"/>
          <w:w w:val="100"/>
          <w:kern w:val="2"/>
          <w:position w:val="0"/>
          <w:sz w:val="32"/>
          <w:szCs w:val="32"/>
          <w:u w:val="none"/>
          <w:vertAlign w:val="baseline"/>
          <w:lang w:val="en-US" w:eastAsia="zh-CN" w:bidi="ar-SA"/>
        </w:rPr>
        <w:t>办网站普查工作中各项指标全部合格，总访问量约894万，采编信息6516条，其中概况类96条、政务动态类4336条，信息公开类2084条。二是加大政务新媒体宣传作用，“宜君发布”政务微信关注人数28637位，全年发布图文消息810条，每条平均阅读量超过3000。三是开展政府系统政务新媒体普查，将全县政务新媒体纳入监管范围，关停不合格的政务微信微博8家，每周对合格的6家新媒体进行监测，全年发布督查通报4次。</w:t>
      </w:r>
    </w:p>
    <w:p>
      <w:pPr>
        <w:rPr>
          <w:rFonts w:hint="eastAsia" w:ascii="楷体_GB2312" w:eastAsia="楷体_GB2312"/>
          <w:sz w:val="32"/>
          <w:szCs w:val="32"/>
          <w:lang w:eastAsia="zh-CN"/>
        </w:rPr>
      </w:pPr>
      <w:r>
        <w:rPr>
          <w:rFonts w:hint="eastAsia" w:ascii="楷体_GB2312" w:eastAsia="楷体_GB2312"/>
          <w:sz w:val="32"/>
          <w:szCs w:val="32"/>
          <w:lang w:val="en-US" w:eastAsia="zh-CN"/>
        </w:rPr>
        <w:t>　　（五）加强</w:t>
      </w:r>
      <w:r>
        <w:rPr>
          <w:rFonts w:hint="eastAsia" w:ascii="楷体_GB2312" w:eastAsia="楷体_GB2312"/>
          <w:sz w:val="32"/>
          <w:szCs w:val="32"/>
          <w:lang w:eastAsia="zh-CN"/>
        </w:rPr>
        <w:t>监督保障力度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eastAsia="仿宋_GB2312" w:cs="Times New Roman"/>
          <w:kern w:val="2"/>
          <w:sz w:val="32"/>
          <w:szCs w:val="32"/>
          <w:lang w:val="en-US" w:eastAsia="zh-CN" w:bidi="ar-SA"/>
        </w:rPr>
      </w:pPr>
      <w:r>
        <w:rPr>
          <w:rFonts w:hint="eastAsia" w:ascii="Times New Roman" w:hAnsi="Times New Roman" w:eastAsia="仿宋_GB2312" w:cs="Times New Roman"/>
          <w:sz w:val="32"/>
          <w:szCs w:val="32"/>
          <w:lang w:eastAsia="zh-CN"/>
        </w:rPr>
        <w:t>一是明确县政府办公室为政务公开工作机构，并主管全县政务公开工作，配备专职人员具体负责。二是将县</w:t>
      </w:r>
      <w:r>
        <w:rPr>
          <w:rFonts w:hint="default" w:ascii="Times New Roman" w:hAnsi="Times New Roman" w:eastAsia="仿宋_GB2312" w:cs="Times New Roman"/>
          <w:sz w:val="32"/>
          <w:szCs w:val="32"/>
          <w:lang w:eastAsia="zh-CN"/>
        </w:rPr>
        <w:t>政府网站日常管理运维及政务公开经费</w:t>
      </w:r>
      <w:r>
        <w:rPr>
          <w:rFonts w:hint="eastAsia" w:ascii="Times New Roman" w:hAnsi="Times New Roman" w:eastAsia="仿宋_GB2312" w:cs="Times New Roman"/>
          <w:sz w:val="32"/>
          <w:szCs w:val="32"/>
          <w:lang w:eastAsia="zh-CN"/>
        </w:rPr>
        <w:t>纳入</w:t>
      </w:r>
      <w:r>
        <w:rPr>
          <w:rFonts w:hint="default" w:ascii="Times New Roman" w:hAnsi="Times New Roman" w:eastAsia="仿宋_GB2312" w:cs="Times New Roman"/>
          <w:sz w:val="32"/>
          <w:szCs w:val="32"/>
          <w:lang w:eastAsia="zh-CN"/>
        </w:rPr>
        <w:t>县级财政年度预算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县财政</w:t>
      </w:r>
      <w:r>
        <w:rPr>
          <w:rFonts w:hint="eastAsia" w:ascii="Times New Roman" w:hAnsi="Times New Roman" w:eastAsia="仿宋_GB2312" w:cs="Times New Roman"/>
          <w:sz w:val="32"/>
          <w:szCs w:val="32"/>
          <w:lang w:eastAsia="zh-CN"/>
        </w:rPr>
        <w:t>足额保障</w:t>
      </w:r>
      <w:r>
        <w:rPr>
          <w:rFonts w:hint="default" w:ascii="Times New Roman" w:hAnsi="Times New Roman" w:eastAsia="仿宋_GB2312" w:cs="Times New Roman"/>
          <w:sz w:val="32"/>
          <w:szCs w:val="32"/>
          <w:lang w:eastAsia="zh-CN"/>
        </w:rPr>
        <w:t>软硬件设备更新维护和管理工作。</w:t>
      </w:r>
      <w:r>
        <w:rPr>
          <w:rFonts w:hint="eastAsia" w:ascii="Times New Roman" w:hAnsi="Times New Roman" w:eastAsia="仿宋_GB2312" w:cs="Times New Roman"/>
          <w:sz w:val="32"/>
          <w:szCs w:val="32"/>
          <w:lang w:eastAsia="zh-CN"/>
        </w:rPr>
        <w:t>三是</w:t>
      </w:r>
      <w:r>
        <w:rPr>
          <w:rFonts w:hint="default" w:ascii="Times New Roman" w:hAnsi="Times New Roman" w:eastAsia="仿宋_GB2312" w:cs="Times New Roman"/>
          <w:sz w:val="32"/>
          <w:szCs w:val="32"/>
          <w:lang w:eastAsia="zh-CN"/>
        </w:rPr>
        <w:t>与</w:t>
      </w:r>
      <w:r>
        <w:rPr>
          <w:rFonts w:hint="eastAsia" w:eastAsia="仿宋_GB2312" w:cs="Times New Roman"/>
          <w:sz w:val="32"/>
          <w:szCs w:val="32"/>
          <w:lang w:eastAsia="zh-CN"/>
        </w:rPr>
        <w:t>省网络与信息安全测评中心</w:t>
      </w:r>
      <w:r>
        <w:rPr>
          <w:rFonts w:hint="eastAsia" w:ascii="Times New Roman" w:hAnsi="Times New Roman" w:eastAsia="仿宋_GB2312" w:cs="Times New Roman"/>
          <w:sz w:val="32"/>
          <w:szCs w:val="32"/>
          <w:lang w:eastAsia="zh-CN"/>
        </w:rPr>
        <w:t>续</w:t>
      </w:r>
      <w:r>
        <w:rPr>
          <w:rFonts w:hint="default" w:ascii="Times New Roman" w:hAnsi="Times New Roman" w:eastAsia="仿宋_GB2312" w:cs="Times New Roman"/>
          <w:sz w:val="32"/>
          <w:szCs w:val="32"/>
          <w:lang w:eastAsia="zh-CN"/>
        </w:rPr>
        <w:t>签了安全服务合</w:t>
      </w:r>
      <w:r>
        <w:rPr>
          <w:rFonts w:hint="eastAsia" w:eastAsia="仿宋_GB2312" w:cs="Times New Roman"/>
          <w:sz w:val="32"/>
          <w:szCs w:val="32"/>
          <w:lang w:eastAsia="zh-CN"/>
        </w:rPr>
        <w:t>同</w:t>
      </w:r>
      <w:r>
        <w:rPr>
          <w:rFonts w:hint="default" w:ascii="Times New Roman" w:hAnsi="Times New Roman" w:eastAsia="仿宋_GB2312" w:cs="Times New Roman"/>
          <w:sz w:val="32"/>
          <w:szCs w:val="32"/>
          <w:lang w:eastAsia="zh-CN"/>
        </w:rPr>
        <w:t>，以保障政府网站信息安全达到国办普查标准，圆满完成了政府网站普查工作。</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lang w:eastAsia="zh-CN"/>
        </w:rPr>
        <w:t>将政务公开</w:t>
      </w:r>
      <w:r>
        <w:rPr>
          <w:rFonts w:hint="eastAsia" w:ascii="Times New Roman" w:hAnsi="Times New Roman" w:eastAsia="仿宋_GB2312" w:cs="Times New Roman"/>
          <w:sz w:val="32"/>
          <w:szCs w:val="32"/>
          <w:lang w:eastAsia="zh-CN"/>
        </w:rPr>
        <w:t>工作纳入</w:t>
      </w:r>
      <w:r>
        <w:rPr>
          <w:rFonts w:hint="eastAsia" w:ascii="Times New Roman" w:hAnsi="Times New Roman" w:eastAsia="仿宋_GB2312" w:cs="Times New Roman"/>
          <w:sz w:val="32"/>
          <w:szCs w:val="32"/>
          <w:lang w:val="en-US" w:eastAsia="zh-CN"/>
        </w:rPr>
        <w:t>县政府办公室2020年</w:t>
      </w:r>
      <w:r>
        <w:rPr>
          <w:rFonts w:hint="default" w:ascii="Times New Roman" w:hAnsi="Times New Roman" w:eastAsia="仿宋_GB2312" w:cs="Times New Roman"/>
          <w:sz w:val="32"/>
          <w:szCs w:val="32"/>
          <w:lang w:eastAsia="zh-CN"/>
        </w:rPr>
        <w:t>年度目标责任考核</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对各乡镇、部门信息公开工作作为共性指标进行考核</w:t>
      </w:r>
      <w:r>
        <w:rPr>
          <w:rFonts w:hint="eastAsia" w:ascii="Times New Roman" w:hAnsi="Times New Roman" w:eastAsia="仿宋_GB2312" w:cs="Times New Roman"/>
          <w:sz w:val="32"/>
          <w:szCs w:val="32"/>
          <w:lang w:eastAsia="zh-CN"/>
        </w:rPr>
        <w:t>，分别占比</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%，同时，</w:t>
      </w:r>
      <w:r>
        <w:rPr>
          <w:rFonts w:hint="default" w:ascii="Times New Roman" w:hAnsi="Times New Roman" w:eastAsia="仿宋_GB2312" w:cs="Times New Roman"/>
          <w:sz w:val="32"/>
          <w:szCs w:val="32"/>
          <w:lang w:eastAsia="zh-CN"/>
        </w:rPr>
        <w:t>通过《政务督查通报》定期对政府网站信息报送及政务公开情况进行通报。</w:t>
      </w:r>
      <w:r>
        <w:rPr>
          <w:rFonts w:hint="eastAsia" w:eastAsia="仿宋_GB2312" w:cs="Times New Roman"/>
          <w:sz w:val="32"/>
          <w:szCs w:val="32"/>
          <w:lang w:val="en-US" w:eastAsia="zh-CN"/>
        </w:rPr>
        <w:t>五是积极</w:t>
      </w:r>
      <w:r>
        <w:rPr>
          <w:rFonts w:hint="eastAsia" w:ascii="Times New Roman" w:hAnsi="Times New Roman" w:eastAsia="仿宋_GB2312" w:cs="Times New Roman"/>
          <w:sz w:val="32"/>
          <w:szCs w:val="32"/>
          <w:lang w:val="en-US" w:eastAsia="zh-CN"/>
        </w:rPr>
        <w:t>参加省市政务公开培训，</w:t>
      </w:r>
      <w:r>
        <w:rPr>
          <w:rFonts w:hint="eastAsia" w:eastAsia="仿宋_GB2312" w:cs="Times New Roman"/>
          <w:kern w:val="2"/>
          <w:sz w:val="32"/>
          <w:szCs w:val="32"/>
          <w:lang w:val="en-US" w:eastAsia="zh-CN" w:bidi="ar-SA"/>
        </w:rPr>
        <w:t>在全县范围内</w:t>
      </w:r>
      <w:r>
        <w:rPr>
          <w:rFonts w:hint="eastAsia" w:ascii="Times New Roman" w:hAnsi="Times New Roman" w:eastAsia="仿宋_GB2312" w:cs="Times New Roman"/>
          <w:sz w:val="32"/>
          <w:szCs w:val="32"/>
          <w:lang w:val="en-US" w:eastAsia="zh-CN"/>
        </w:rPr>
        <w:t>线下召开政务公开培训会1次，多次利用宜君县政务公开群线上对各部门、各乡镇政务公开业务人员进行培训指导</w:t>
      </w:r>
      <w:r>
        <w:rPr>
          <w:rFonts w:hint="eastAsia" w:eastAsia="仿宋_GB2312" w:cs="Times New Roman"/>
          <w:kern w:val="2"/>
          <w:sz w:val="32"/>
          <w:szCs w:val="32"/>
          <w:lang w:val="en-US" w:eastAsia="zh-CN" w:bidi="ar-SA"/>
        </w:rPr>
        <w:t>。</w:t>
      </w:r>
    </w:p>
    <w:p>
      <w:pPr>
        <w:tabs>
          <w:tab w:val="left" w:pos="7791"/>
        </w:tabs>
        <w:ind w:firstLine="646" w:firstLineChars="202"/>
        <w:rPr>
          <w:rFonts w:hint="eastAsia" w:ascii="黑体" w:hAnsi="黑体" w:eastAsia="黑体" w:cs="黑体"/>
          <w:snapToGrid w:val="0"/>
          <w:kern w:val="32"/>
          <w:sz w:val="32"/>
          <w:szCs w:val="32"/>
          <w:lang w:val="zh-CN"/>
        </w:rPr>
      </w:pPr>
      <w:r>
        <w:rPr>
          <w:rFonts w:hint="eastAsia" w:ascii="黑体" w:hAnsi="黑体" w:eastAsia="黑体" w:cs="黑体"/>
          <w:snapToGrid w:val="0"/>
          <w:kern w:val="32"/>
          <w:sz w:val="32"/>
          <w:szCs w:val="32"/>
          <w:lang w:val="zh-CN"/>
        </w:rPr>
        <w:t>二、主动公开政府信息情况</w:t>
      </w:r>
    </w:p>
    <w:tbl>
      <w:tblPr>
        <w:tblStyle w:val="6"/>
        <w:tblW w:w="0" w:type="auto"/>
        <w:jc w:val="center"/>
        <w:tblLayout w:type="fixed"/>
        <w:tblCellMar>
          <w:top w:w="0" w:type="dxa"/>
          <w:left w:w="10" w:type="dxa"/>
          <w:bottom w:w="0" w:type="dxa"/>
          <w:right w:w="10" w:type="dxa"/>
        </w:tblCellMar>
      </w:tblPr>
      <w:tblGrid>
        <w:gridCol w:w="2192"/>
        <w:gridCol w:w="2238"/>
        <w:gridCol w:w="2372"/>
        <w:gridCol w:w="2018"/>
      </w:tblGrid>
      <w:tr>
        <w:tblPrEx>
          <w:tblCellMar>
            <w:top w:w="0" w:type="dxa"/>
            <w:left w:w="10" w:type="dxa"/>
            <w:bottom w:w="0" w:type="dxa"/>
            <w:right w:w="10" w:type="dxa"/>
          </w:tblCellMar>
        </w:tblPrEx>
        <w:trPr>
          <w:trHeight w:val="63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第二十条第（一）项</w:t>
            </w:r>
          </w:p>
        </w:tc>
      </w:tr>
      <w:tr>
        <w:tblPrEx>
          <w:tblCellMar>
            <w:top w:w="0" w:type="dxa"/>
            <w:left w:w="10" w:type="dxa"/>
            <w:bottom w:w="0" w:type="dxa"/>
            <w:right w:w="10" w:type="dxa"/>
          </w:tblCellMar>
        </w:tblPrEx>
        <w:trPr>
          <w:trHeight w:val="610" w:hRule="exact"/>
          <w:jc w:val="center"/>
        </w:trPr>
        <w:tc>
          <w:tcPr>
            <w:tcW w:w="2192"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本年新制作数量</w:t>
            </w:r>
          </w:p>
        </w:tc>
        <w:tc>
          <w:tcPr>
            <w:tcW w:w="237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本年新公开数量</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对外公开总数量</w:t>
            </w:r>
          </w:p>
        </w:tc>
      </w:tr>
      <w:tr>
        <w:tblPrEx>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规章</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snapToGrid w:val="0"/>
                <w:kern w:val="32"/>
                <w:szCs w:val="21"/>
                <w:lang w:val="zh-CN"/>
              </w:rPr>
            </w:pPr>
          </w:p>
        </w:tc>
        <w:tc>
          <w:tcPr>
            <w:tcW w:w="2372"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snapToGrid w:val="0"/>
                <w:kern w:val="32"/>
                <w:szCs w:val="21"/>
                <w:lang w:val="zh-CN"/>
              </w:rPr>
            </w:pP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snapToGrid w:val="0"/>
                <w:kern w:val="32"/>
                <w:szCs w:val="21"/>
                <w:lang w:val="zh-CN"/>
              </w:rPr>
            </w:pP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规范性文件</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snapToGrid w:val="0"/>
                <w:kern w:val="32"/>
                <w:szCs w:val="21"/>
                <w:lang w:val="zh-CN"/>
              </w:rPr>
            </w:pPr>
          </w:p>
        </w:tc>
        <w:tc>
          <w:tcPr>
            <w:tcW w:w="2372"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snapToGrid w:val="0"/>
                <w:kern w:val="32"/>
                <w:szCs w:val="21"/>
                <w:lang w:val="zh-CN"/>
              </w:rPr>
            </w:pP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snapToGrid w:val="0"/>
                <w:kern w:val="32"/>
                <w:szCs w:val="21"/>
                <w:lang w:val="zh-CN"/>
              </w:rPr>
            </w:pPr>
          </w:p>
        </w:tc>
      </w:tr>
      <w:tr>
        <w:tblPrEx>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第二十条第（五）项</w:t>
            </w:r>
          </w:p>
        </w:tc>
      </w:tr>
      <w:tr>
        <w:tblPrEx>
          <w:tblCellMar>
            <w:top w:w="0" w:type="dxa"/>
            <w:left w:w="10" w:type="dxa"/>
            <w:bottom w:w="0" w:type="dxa"/>
            <w:right w:w="10" w:type="dxa"/>
          </w:tblCellMar>
        </w:tblPrEx>
        <w:trPr>
          <w:trHeight w:val="618" w:hRule="exact"/>
          <w:jc w:val="center"/>
        </w:trPr>
        <w:tc>
          <w:tcPr>
            <w:tcW w:w="2192"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上一年项目数量</w:t>
            </w:r>
          </w:p>
        </w:tc>
        <w:tc>
          <w:tcPr>
            <w:tcW w:w="2372"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本年增/减</w:t>
            </w:r>
          </w:p>
        </w:tc>
        <w:tc>
          <w:tcPr>
            <w:tcW w:w="2018" w:type="dxa"/>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处理决定数量</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行政许可</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snapToGrid w:val="0"/>
                <w:kern w:val="32"/>
                <w:szCs w:val="21"/>
                <w:lang w:val="zh-CN"/>
              </w:rPr>
            </w:pPr>
          </w:p>
        </w:tc>
        <w:tc>
          <w:tcPr>
            <w:tcW w:w="2372"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snapToGrid w:val="0"/>
                <w:kern w:val="32"/>
                <w:szCs w:val="21"/>
                <w:lang w:val="zh-CN"/>
              </w:rPr>
            </w:pP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snapToGrid w:val="0"/>
                <w:kern w:val="32"/>
                <w:szCs w:val="21"/>
                <w:lang w:val="zh-CN"/>
              </w:rPr>
            </w:pPr>
          </w:p>
        </w:tc>
      </w:tr>
      <w:tr>
        <w:tblPrEx>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tcBorders>
            <w:shd w:val="clear" w:color="auto" w:fill="FFFFFF"/>
            <w:noWrap w:val="0"/>
            <w:vAlign w:val="bottom"/>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其他对外管理服务事项</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snapToGrid w:val="0"/>
                <w:kern w:val="32"/>
                <w:szCs w:val="21"/>
                <w:lang w:val="zh-CN"/>
              </w:rPr>
            </w:pPr>
          </w:p>
        </w:tc>
        <w:tc>
          <w:tcPr>
            <w:tcW w:w="2372"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snapToGrid w:val="0"/>
                <w:kern w:val="32"/>
                <w:szCs w:val="21"/>
                <w:lang w:val="zh-CN"/>
              </w:rPr>
            </w:pP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snapToGrid w:val="0"/>
                <w:kern w:val="32"/>
                <w:szCs w:val="21"/>
                <w:lang w:val="zh-CN"/>
              </w:rPr>
            </w:pPr>
          </w:p>
        </w:tc>
      </w:tr>
      <w:tr>
        <w:tblPrEx>
          <w:tblCellMar>
            <w:top w:w="0" w:type="dxa"/>
            <w:left w:w="10" w:type="dxa"/>
            <w:bottom w:w="0" w:type="dxa"/>
            <w:right w:w="10" w:type="dxa"/>
          </w:tblCellMar>
        </w:tblPrEx>
        <w:trPr>
          <w:trHeight w:val="501"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第二十条第（六）项</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上一年项目数量</w:t>
            </w:r>
          </w:p>
        </w:tc>
        <w:tc>
          <w:tcPr>
            <w:tcW w:w="237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本年增/减</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处理决定数量</w:t>
            </w:r>
          </w:p>
        </w:tc>
      </w:tr>
      <w:tr>
        <w:tblPrEx>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tcBorders>
            <w:shd w:val="clear" w:color="auto" w:fill="FFFFFF"/>
            <w:noWrap w:val="0"/>
            <w:vAlign w:val="bottom"/>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行政处罚</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snapToGrid w:val="0"/>
                <w:kern w:val="32"/>
                <w:szCs w:val="21"/>
                <w:lang w:val="zh-CN"/>
              </w:rPr>
            </w:pPr>
          </w:p>
        </w:tc>
        <w:tc>
          <w:tcPr>
            <w:tcW w:w="2372"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snapToGrid w:val="0"/>
                <w:kern w:val="32"/>
                <w:szCs w:val="21"/>
                <w:lang w:val="zh-CN"/>
              </w:rPr>
            </w:pP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snapToGrid w:val="0"/>
                <w:kern w:val="32"/>
                <w:szCs w:val="21"/>
                <w:lang w:val="zh-CN"/>
              </w:rPr>
            </w:pPr>
          </w:p>
        </w:tc>
      </w:tr>
      <w:tr>
        <w:tblPrEx>
          <w:tblCellMar>
            <w:top w:w="0" w:type="dxa"/>
            <w:left w:w="10" w:type="dxa"/>
            <w:bottom w:w="0" w:type="dxa"/>
            <w:right w:w="10" w:type="dxa"/>
          </w:tblCellMar>
        </w:tblPrEx>
        <w:trPr>
          <w:trHeight w:val="501" w:hRule="exact"/>
          <w:jc w:val="center"/>
        </w:trPr>
        <w:tc>
          <w:tcPr>
            <w:tcW w:w="2192" w:type="dxa"/>
            <w:tcBorders>
              <w:top w:val="single" w:color="auto" w:sz="4" w:space="0"/>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行政强制</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snapToGrid w:val="0"/>
                <w:kern w:val="32"/>
                <w:szCs w:val="21"/>
                <w:lang w:val="zh-CN"/>
              </w:rPr>
            </w:pPr>
          </w:p>
        </w:tc>
        <w:tc>
          <w:tcPr>
            <w:tcW w:w="2372"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snapToGrid w:val="0"/>
                <w:kern w:val="32"/>
                <w:szCs w:val="21"/>
                <w:lang w:val="zh-CN"/>
              </w:rPr>
            </w:pP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snapToGrid w:val="0"/>
                <w:kern w:val="32"/>
                <w:szCs w:val="21"/>
                <w:lang w:val="zh-CN"/>
              </w:rPr>
            </w:pPr>
          </w:p>
        </w:tc>
      </w:tr>
      <w:tr>
        <w:tblPrEx>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第二十条第（八）项</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上一年项目数量</w:t>
            </w:r>
          </w:p>
        </w:tc>
        <w:tc>
          <w:tcPr>
            <w:tcW w:w="4390" w:type="dxa"/>
            <w:gridSpan w:val="2"/>
            <w:tcBorders>
              <w:top w:val="single" w:color="auto" w:sz="4" w:space="0"/>
              <w:left w:val="single" w:color="auto" w:sz="4" w:space="0"/>
              <w:righ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本年增/减</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行政事业性收费</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snapToGrid w:val="0"/>
                <w:kern w:val="32"/>
                <w:szCs w:val="21"/>
                <w:lang w:val="zh-CN"/>
              </w:rPr>
            </w:pPr>
          </w:p>
        </w:tc>
        <w:tc>
          <w:tcPr>
            <w:tcW w:w="4390" w:type="dxa"/>
            <w:gridSpan w:val="2"/>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snapToGrid w:val="0"/>
                <w:kern w:val="32"/>
                <w:szCs w:val="21"/>
                <w:lang w:val="zh-CN"/>
              </w:rPr>
            </w:pPr>
          </w:p>
        </w:tc>
      </w:tr>
      <w:tr>
        <w:tblPrEx>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第二十条第（九）项</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采购项目数量</w:t>
            </w:r>
          </w:p>
        </w:tc>
        <w:tc>
          <w:tcPr>
            <w:tcW w:w="4390" w:type="dxa"/>
            <w:gridSpan w:val="2"/>
            <w:tcBorders>
              <w:top w:val="single" w:color="auto" w:sz="4" w:space="0"/>
              <w:left w:val="single" w:color="auto" w:sz="4" w:space="0"/>
              <w:righ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采购总金额</w:t>
            </w:r>
          </w:p>
        </w:tc>
      </w:tr>
      <w:tr>
        <w:tblPrEx>
          <w:tblCellMar>
            <w:top w:w="0" w:type="dxa"/>
            <w:left w:w="10" w:type="dxa"/>
            <w:bottom w:w="0" w:type="dxa"/>
            <w:right w:w="10" w:type="dxa"/>
          </w:tblCellMar>
        </w:tblPrEx>
        <w:trPr>
          <w:trHeight w:val="508" w:hRule="exact"/>
          <w:jc w:val="center"/>
        </w:trPr>
        <w:tc>
          <w:tcPr>
            <w:tcW w:w="2192"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政府集中釆购</w:t>
            </w:r>
          </w:p>
        </w:tc>
        <w:tc>
          <w:tcPr>
            <w:tcW w:w="2238" w:type="dxa"/>
            <w:tcBorders>
              <w:top w:val="single" w:color="auto" w:sz="4" w:space="0"/>
              <w:left w:val="single" w:color="auto" w:sz="4" w:space="0"/>
              <w:bottom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snapToGrid w:val="0"/>
                <w:kern w:val="32"/>
                <w:szCs w:val="21"/>
                <w:lang w:val="zh-CN"/>
              </w:rPr>
            </w:pPr>
          </w:p>
        </w:tc>
        <w:tc>
          <w:tcPr>
            <w:tcW w:w="4390"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autoSpaceDE w:val="0"/>
              <w:autoSpaceDN w:val="0"/>
              <w:ind w:firstLine="420" w:firstLineChars="200"/>
              <w:jc w:val="left"/>
              <w:rPr>
                <w:rFonts w:hint="eastAsia" w:ascii="宋体" w:hAnsi="宋体" w:cs="宋体"/>
                <w:snapToGrid w:val="0"/>
                <w:kern w:val="32"/>
                <w:szCs w:val="21"/>
                <w:lang w:val="zh-CN"/>
              </w:rPr>
            </w:pPr>
          </w:p>
        </w:tc>
      </w:tr>
    </w:tbl>
    <w:p>
      <w:pPr>
        <w:spacing w:line="1" w:lineRule="exact"/>
        <w:rPr>
          <w:sz w:val="2"/>
          <w:szCs w:val="2"/>
        </w:rPr>
      </w:pPr>
      <w:r>
        <w:br w:type="page"/>
      </w:r>
    </w:p>
    <w:p>
      <w:pPr>
        <w:tabs>
          <w:tab w:val="left" w:pos="7791"/>
        </w:tabs>
        <w:ind w:firstLine="646" w:firstLineChars="202"/>
        <w:rPr>
          <w:rFonts w:hint="eastAsia" w:ascii="黑体" w:hAnsi="黑体" w:eastAsia="黑体" w:cs="黑体"/>
          <w:snapToGrid w:val="0"/>
          <w:kern w:val="32"/>
          <w:sz w:val="32"/>
          <w:szCs w:val="32"/>
          <w:lang w:val="zh-CN"/>
        </w:rPr>
      </w:pPr>
      <w:bookmarkStart w:id="0" w:name="bookmark29"/>
      <w:r>
        <w:rPr>
          <w:rFonts w:hint="eastAsia" w:ascii="黑体" w:hAnsi="黑体" w:eastAsia="黑体" w:cs="黑体"/>
          <w:snapToGrid w:val="0"/>
          <w:kern w:val="32"/>
          <w:sz w:val="32"/>
          <w:szCs w:val="32"/>
          <w:lang w:val="zh-CN"/>
        </w:rPr>
        <w:t>三</w:t>
      </w:r>
      <w:bookmarkEnd w:id="0"/>
      <w:r>
        <w:rPr>
          <w:rFonts w:hint="eastAsia" w:ascii="黑体" w:hAnsi="黑体" w:eastAsia="黑体" w:cs="黑体"/>
          <w:snapToGrid w:val="0"/>
          <w:kern w:val="32"/>
          <w:sz w:val="32"/>
          <w:szCs w:val="32"/>
          <w:lang w:val="zh-CN"/>
        </w:rPr>
        <w:t>、收到和处理政府信息公开申请情况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92"/>
        <w:gridCol w:w="1468"/>
        <w:gridCol w:w="2741"/>
        <w:gridCol w:w="705"/>
        <w:gridCol w:w="570"/>
        <w:gridCol w:w="570"/>
        <w:gridCol w:w="555"/>
        <w:gridCol w:w="570"/>
        <w:gridCol w:w="525"/>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3" w:hRule="exact"/>
          <w:jc w:val="center"/>
        </w:trPr>
        <w:tc>
          <w:tcPr>
            <w:tcW w:w="4801" w:type="dxa"/>
            <w:gridSpan w:val="3"/>
            <w:vMerge w:val="restart"/>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val="zh-CN"/>
              </w:rPr>
              <w:t>（本列数据的勾稽关系为：第一项加第二项之和， 等于第三项加第四项之和）</w:t>
            </w:r>
          </w:p>
        </w:tc>
        <w:tc>
          <w:tcPr>
            <w:tcW w:w="3963" w:type="dxa"/>
            <w:gridSpan w:val="7"/>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4801" w:type="dxa"/>
            <w:gridSpan w:val="3"/>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705" w:type="dxa"/>
            <w:vMerge w:val="restart"/>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自然人</w:t>
            </w:r>
          </w:p>
        </w:tc>
        <w:tc>
          <w:tcPr>
            <w:tcW w:w="2790" w:type="dxa"/>
            <w:gridSpan w:val="5"/>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法人或其他组织</w:t>
            </w:r>
          </w:p>
        </w:tc>
        <w:tc>
          <w:tcPr>
            <w:tcW w:w="468" w:type="dxa"/>
            <w:vMerge w:val="restart"/>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3" w:hRule="exact"/>
          <w:jc w:val="center"/>
        </w:trPr>
        <w:tc>
          <w:tcPr>
            <w:tcW w:w="4801" w:type="dxa"/>
            <w:gridSpan w:val="3"/>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705"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商业 企业</w:t>
            </w:r>
          </w:p>
        </w:tc>
        <w:tc>
          <w:tcPr>
            <w:tcW w:w="570" w:type="dxa"/>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科研 机构</w:t>
            </w:r>
          </w:p>
        </w:tc>
        <w:tc>
          <w:tcPr>
            <w:tcW w:w="555" w:type="dxa"/>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社会 公益 组织</w:t>
            </w:r>
          </w:p>
        </w:tc>
        <w:tc>
          <w:tcPr>
            <w:tcW w:w="570" w:type="dxa"/>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法律 服务 机构</w:t>
            </w:r>
          </w:p>
        </w:tc>
        <w:tc>
          <w:tcPr>
            <w:tcW w:w="525" w:type="dxa"/>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其他</w:t>
            </w:r>
          </w:p>
        </w:tc>
        <w:tc>
          <w:tcPr>
            <w:tcW w:w="468" w:type="dxa"/>
            <w:vMerge w:val="continue"/>
            <w:shd w:val="clear" w:color="auto" w:fill="FFFFFF"/>
            <w:noWrap w:val="0"/>
            <w:vAlign w:val="center"/>
          </w:tcPr>
          <w:p>
            <w:pPr>
              <w:autoSpaceDE w:val="0"/>
              <w:autoSpaceDN w:val="0"/>
              <w:jc w:val="center"/>
              <w:rPr>
                <w:rFonts w:hint="eastAsia"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4801" w:type="dxa"/>
            <w:gridSpan w:val="3"/>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一、本年新收政府信息公开申请数量</w:t>
            </w:r>
          </w:p>
        </w:tc>
        <w:tc>
          <w:tcPr>
            <w:tcW w:w="70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1</w:t>
            </w:r>
          </w:p>
        </w:tc>
        <w:tc>
          <w:tcPr>
            <w:tcW w:w="570" w:type="dxa"/>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exact"/>
          <w:jc w:val="center"/>
        </w:trPr>
        <w:tc>
          <w:tcPr>
            <w:tcW w:w="4801" w:type="dxa"/>
            <w:gridSpan w:val="3"/>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二、上年结转政府信息公开申请数量</w:t>
            </w:r>
          </w:p>
        </w:tc>
        <w:tc>
          <w:tcPr>
            <w:tcW w:w="705" w:type="dxa"/>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8" w:hRule="exact"/>
          <w:jc w:val="center"/>
        </w:trPr>
        <w:tc>
          <w:tcPr>
            <w:tcW w:w="592" w:type="dxa"/>
            <w:vMerge w:val="restart"/>
            <w:shd w:val="clear" w:color="auto" w:fill="FFFFFF"/>
            <w:noWrap w:val="0"/>
            <w:textDirection w:val="tbRlV"/>
            <w:vAlign w:val="center"/>
          </w:tcPr>
          <w:p>
            <w:pPr>
              <w:autoSpaceDE w:val="0"/>
              <w:autoSpaceDN w:val="0"/>
              <w:jc w:val="center"/>
              <w:rPr>
                <w:rFonts w:hint="eastAsia" w:ascii="宋体" w:hAnsi="宋体" w:cs="宋体"/>
                <w:snapToGrid w:val="0"/>
                <w:spacing w:val="2"/>
                <w:kern w:val="32"/>
                <w:szCs w:val="21"/>
                <w:lang w:val="zh-CN"/>
              </w:rPr>
            </w:pPr>
            <w:r>
              <w:rPr>
                <w:rFonts w:hint="eastAsia" w:ascii="宋体" w:hAnsi="宋体" w:cs="宋体"/>
                <w:snapToGrid w:val="0"/>
                <w:kern w:val="32"/>
                <w:szCs w:val="21"/>
                <w:lang w:val="zh-CN"/>
              </w:rPr>
              <w:t>三、本年度办理结果</w:t>
            </w:r>
          </w:p>
        </w:tc>
        <w:tc>
          <w:tcPr>
            <w:tcW w:w="4209" w:type="dxa"/>
            <w:gridSpan w:val="2"/>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（一）予以公开</w:t>
            </w:r>
          </w:p>
        </w:tc>
        <w:tc>
          <w:tcPr>
            <w:tcW w:w="70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1</w:t>
            </w:r>
          </w:p>
        </w:tc>
        <w:tc>
          <w:tcPr>
            <w:tcW w:w="570" w:type="dxa"/>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4209" w:type="dxa"/>
            <w:gridSpan w:val="2"/>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val="zh-CN"/>
              </w:rPr>
              <w:t>（二）部分公开（区分处理的，只计这一情形，不计其他情形）</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restart"/>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（三）不予公开</w:t>
            </w: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1.</w:t>
            </w:r>
            <w:r>
              <w:rPr>
                <w:rFonts w:hint="eastAsia" w:ascii="宋体" w:hAnsi="宋体" w:cs="宋体"/>
                <w:snapToGrid w:val="0"/>
                <w:kern w:val="32"/>
                <w:szCs w:val="21"/>
                <w:lang w:val="zh-CN"/>
              </w:rPr>
              <w:t>属于国家秘密</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spacing w:val="-6"/>
                <w:kern w:val="32"/>
                <w:szCs w:val="21"/>
              </w:rPr>
              <w:t>2.</w:t>
            </w:r>
            <w:r>
              <w:rPr>
                <w:rFonts w:hint="eastAsia" w:ascii="宋体" w:hAnsi="宋体" w:cs="宋体"/>
                <w:snapToGrid w:val="0"/>
                <w:spacing w:val="-6"/>
                <w:kern w:val="32"/>
                <w:szCs w:val="21"/>
                <w:lang w:val="zh-CN"/>
              </w:rPr>
              <w:t>其他法律行政法规禁止公开</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9"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3.</w:t>
            </w:r>
            <w:r>
              <w:rPr>
                <w:rFonts w:hint="eastAsia" w:ascii="宋体" w:hAnsi="宋体" w:cs="宋体"/>
                <w:snapToGrid w:val="0"/>
                <w:kern w:val="32"/>
                <w:szCs w:val="21"/>
                <w:lang w:val="zh-CN"/>
              </w:rPr>
              <w:t>危及“三安全一稳定”</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val="zh-CN"/>
              </w:rPr>
              <w:t>4</w:t>
            </w:r>
            <w:r>
              <w:rPr>
                <w:rFonts w:hint="eastAsia" w:ascii="宋体" w:hAnsi="宋体" w:cs="宋体"/>
                <w:snapToGrid w:val="0"/>
                <w:kern w:val="32"/>
                <w:szCs w:val="21"/>
              </w:rPr>
              <w:t>.</w:t>
            </w:r>
            <w:r>
              <w:rPr>
                <w:rFonts w:hint="eastAsia" w:ascii="宋体" w:hAnsi="宋体" w:cs="宋体"/>
                <w:snapToGrid w:val="0"/>
                <w:kern w:val="32"/>
                <w:szCs w:val="21"/>
                <w:lang w:val="zh-CN"/>
              </w:rPr>
              <w:t>保护第三方合法权益</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5.</w:t>
            </w:r>
            <w:r>
              <w:rPr>
                <w:rFonts w:hint="eastAsia" w:ascii="宋体" w:hAnsi="宋体" w:cs="宋体"/>
                <w:snapToGrid w:val="0"/>
                <w:kern w:val="32"/>
                <w:szCs w:val="21"/>
                <w:lang w:val="zh-CN"/>
              </w:rPr>
              <w:t>属于三类内部事务信息</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6.</w:t>
            </w:r>
            <w:r>
              <w:rPr>
                <w:rFonts w:hint="eastAsia" w:ascii="宋体" w:hAnsi="宋体" w:cs="宋体"/>
                <w:snapToGrid w:val="0"/>
                <w:kern w:val="32"/>
                <w:szCs w:val="21"/>
                <w:lang w:val="zh-CN"/>
              </w:rPr>
              <w:t>属于四类过程性信息</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7.</w:t>
            </w:r>
            <w:r>
              <w:rPr>
                <w:rFonts w:hint="eastAsia" w:ascii="宋体" w:hAnsi="宋体" w:cs="宋体"/>
                <w:snapToGrid w:val="0"/>
                <w:kern w:val="32"/>
                <w:szCs w:val="21"/>
                <w:lang w:val="zh-CN"/>
              </w:rPr>
              <w:t>属于行政执法案卷</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8.</w:t>
            </w:r>
            <w:r>
              <w:rPr>
                <w:rFonts w:hint="eastAsia" w:ascii="宋体" w:hAnsi="宋体" w:cs="宋体"/>
                <w:snapToGrid w:val="0"/>
                <w:kern w:val="32"/>
                <w:szCs w:val="21"/>
                <w:lang w:val="zh-CN"/>
              </w:rPr>
              <w:t>属于行政查询事项</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restart"/>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（四）无法提供</w:t>
            </w: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spacing w:val="-6"/>
                <w:kern w:val="32"/>
                <w:szCs w:val="21"/>
              </w:rPr>
              <w:t>1.</w:t>
            </w:r>
            <w:r>
              <w:rPr>
                <w:rFonts w:hint="eastAsia" w:ascii="宋体" w:hAnsi="宋体" w:cs="宋体"/>
                <w:snapToGrid w:val="0"/>
                <w:spacing w:val="-6"/>
                <w:kern w:val="32"/>
                <w:szCs w:val="21"/>
                <w:lang w:val="zh-CN"/>
              </w:rPr>
              <w:t>本机关不掌握相关政府信息</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1"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spacing w:val="-6"/>
                <w:kern w:val="32"/>
                <w:szCs w:val="21"/>
              </w:rPr>
              <w:t>2.</w:t>
            </w:r>
            <w:r>
              <w:rPr>
                <w:rFonts w:hint="eastAsia" w:ascii="宋体" w:hAnsi="宋体" w:cs="宋体"/>
                <w:snapToGrid w:val="0"/>
                <w:spacing w:val="-6"/>
                <w:kern w:val="32"/>
                <w:szCs w:val="21"/>
                <w:lang w:val="zh-CN"/>
              </w:rPr>
              <w:t>没有现成信息需要另行制作</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8"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3.</w:t>
            </w:r>
            <w:r>
              <w:rPr>
                <w:rFonts w:hint="eastAsia" w:ascii="宋体" w:hAnsi="宋体" w:cs="宋体"/>
                <w:snapToGrid w:val="0"/>
                <w:kern w:val="32"/>
                <w:szCs w:val="21"/>
                <w:lang w:val="zh-CN"/>
              </w:rPr>
              <w:t>补正后申请内容仍不明确</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restart"/>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（五）不予处理</w:t>
            </w: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1.</w:t>
            </w:r>
            <w:r>
              <w:rPr>
                <w:rFonts w:hint="eastAsia" w:ascii="宋体" w:hAnsi="宋体" w:cs="宋体"/>
                <w:snapToGrid w:val="0"/>
                <w:kern w:val="32"/>
                <w:szCs w:val="21"/>
                <w:lang w:val="zh-CN"/>
              </w:rPr>
              <w:t>信访举报投诉类申请</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2.</w:t>
            </w:r>
            <w:r>
              <w:rPr>
                <w:rFonts w:hint="eastAsia" w:ascii="宋体" w:hAnsi="宋体" w:cs="宋体"/>
                <w:snapToGrid w:val="0"/>
                <w:kern w:val="32"/>
                <w:szCs w:val="21"/>
                <w:lang w:val="zh-CN"/>
              </w:rPr>
              <w:t>重复申请</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3.</w:t>
            </w:r>
            <w:r>
              <w:rPr>
                <w:rFonts w:hint="eastAsia" w:ascii="宋体" w:hAnsi="宋体" w:cs="宋体"/>
                <w:snapToGrid w:val="0"/>
                <w:kern w:val="32"/>
                <w:szCs w:val="21"/>
                <w:lang w:val="zh-CN"/>
              </w:rPr>
              <w:t>要求提供公开出版物</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9"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4.</w:t>
            </w:r>
            <w:r>
              <w:rPr>
                <w:rFonts w:hint="eastAsia" w:ascii="宋体" w:hAnsi="宋体" w:cs="宋体"/>
                <w:snapToGrid w:val="0"/>
                <w:kern w:val="32"/>
                <w:szCs w:val="21"/>
                <w:lang w:val="zh-CN"/>
              </w:rPr>
              <w:t>无正当理由大量反复申请</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9"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5.</w:t>
            </w:r>
            <w:r>
              <w:rPr>
                <w:rFonts w:hint="eastAsia" w:ascii="宋体" w:hAnsi="宋体" w:cs="宋体"/>
                <w:snapToGrid w:val="0"/>
                <w:kern w:val="32"/>
                <w:szCs w:val="21"/>
                <w:lang w:val="zh-CN"/>
              </w:rPr>
              <w:t>要求行政机关确认或重新出具已获取信息</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4209" w:type="dxa"/>
            <w:gridSpan w:val="2"/>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（六）其他处理</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8"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4209" w:type="dxa"/>
            <w:gridSpan w:val="2"/>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（七）总计</w:t>
            </w:r>
          </w:p>
        </w:tc>
        <w:tc>
          <w:tcPr>
            <w:tcW w:w="705"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1</w:t>
            </w:r>
          </w:p>
        </w:tc>
        <w:tc>
          <w:tcPr>
            <w:tcW w:w="570" w:type="dxa"/>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center"/>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4801" w:type="dxa"/>
            <w:gridSpan w:val="3"/>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四、结转下年度继续办理</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r>
    </w:tbl>
    <w:p>
      <w:pPr>
        <w:tabs>
          <w:tab w:val="left" w:pos="7791"/>
        </w:tabs>
        <w:ind w:firstLine="480" w:firstLineChars="150"/>
        <w:rPr>
          <w:rFonts w:hint="eastAsia" w:ascii="黑体" w:hAnsi="黑体" w:eastAsia="黑体" w:cs="黑体"/>
          <w:snapToGrid w:val="0"/>
          <w:kern w:val="32"/>
          <w:sz w:val="32"/>
          <w:szCs w:val="32"/>
          <w:lang w:val="zh-CN"/>
        </w:rPr>
      </w:pPr>
      <w:bookmarkStart w:id="1" w:name="bookmark30"/>
      <w:r>
        <w:rPr>
          <w:rFonts w:hint="eastAsia" w:ascii="黑体" w:hAnsi="黑体" w:eastAsia="黑体" w:cs="黑体"/>
          <w:snapToGrid w:val="0"/>
          <w:kern w:val="32"/>
          <w:sz w:val="32"/>
          <w:szCs w:val="32"/>
          <w:lang w:val="zh-CN"/>
        </w:rPr>
        <w:t>四</w:t>
      </w:r>
      <w:bookmarkEnd w:id="1"/>
      <w:r>
        <w:rPr>
          <w:rFonts w:hint="eastAsia" w:ascii="黑体" w:hAnsi="黑体" w:eastAsia="黑体" w:cs="黑体"/>
          <w:snapToGrid w:val="0"/>
          <w:kern w:val="32"/>
          <w:sz w:val="32"/>
          <w:szCs w:val="32"/>
          <w:lang w:val="zh-CN"/>
        </w:rPr>
        <w:t>、政府信息公开行政复议、行政诉讼情况</w:t>
      </w:r>
    </w:p>
    <w:tbl>
      <w:tblPr>
        <w:tblStyle w:val="6"/>
        <w:tblW w:w="0" w:type="auto"/>
        <w:jc w:val="center"/>
        <w:tblLayout w:type="fixed"/>
        <w:tblCellMar>
          <w:top w:w="0" w:type="dxa"/>
          <w:left w:w="10" w:type="dxa"/>
          <w:bottom w:w="0" w:type="dxa"/>
          <w:right w:w="10" w:type="dxa"/>
        </w:tblCellMar>
      </w:tblPr>
      <w:tblGrid>
        <w:gridCol w:w="566"/>
        <w:gridCol w:w="525"/>
        <w:gridCol w:w="570"/>
        <w:gridCol w:w="495"/>
        <w:gridCol w:w="675"/>
        <w:gridCol w:w="629"/>
        <w:gridCol w:w="585"/>
        <w:gridCol w:w="540"/>
        <w:gridCol w:w="541"/>
        <w:gridCol w:w="510"/>
        <w:gridCol w:w="615"/>
        <w:gridCol w:w="615"/>
        <w:gridCol w:w="630"/>
        <w:gridCol w:w="525"/>
        <w:gridCol w:w="451"/>
      </w:tblGrid>
      <w:tr>
        <w:tblPrEx>
          <w:tblCellMar>
            <w:top w:w="0" w:type="dxa"/>
            <w:left w:w="10" w:type="dxa"/>
            <w:bottom w:w="0" w:type="dxa"/>
            <w:right w:w="10" w:type="dxa"/>
          </w:tblCellMar>
        </w:tblPrEx>
        <w:trPr>
          <w:trHeight w:val="461" w:hRule="exact"/>
          <w:jc w:val="center"/>
        </w:trPr>
        <w:tc>
          <w:tcPr>
            <w:tcW w:w="2831" w:type="dxa"/>
            <w:gridSpan w:val="5"/>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行政复议</w:t>
            </w:r>
          </w:p>
        </w:tc>
        <w:tc>
          <w:tcPr>
            <w:tcW w:w="5641" w:type="dxa"/>
            <w:gridSpan w:val="10"/>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行政诉讼</w:t>
            </w:r>
          </w:p>
        </w:tc>
      </w:tr>
      <w:tr>
        <w:tblPrEx>
          <w:tblCellMar>
            <w:top w:w="0" w:type="dxa"/>
            <w:left w:w="10" w:type="dxa"/>
            <w:bottom w:w="0" w:type="dxa"/>
            <w:right w:w="10" w:type="dxa"/>
          </w:tblCellMar>
        </w:tblPrEx>
        <w:trPr>
          <w:trHeight w:val="461" w:hRule="exact"/>
          <w:jc w:val="center"/>
        </w:trPr>
        <w:tc>
          <w:tcPr>
            <w:tcW w:w="566" w:type="dxa"/>
            <w:vMerge w:val="restart"/>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维持</w:t>
            </w:r>
          </w:p>
        </w:tc>
        <w:tc>
          <w:tcPr>
            <w:tcW w:w="525" w:type="dxa"/>
            <w:vMerge w:val="restart"/>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纠正</w:t>
            </w:r>
          </w:p>
        </w:tc>
        <w:tc>
          <w:tcPr>
            <w:tcW w:w="570" w:type="dxa"/>
            <w:vMerge w:val="restart"/>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其他 结果</w:t>
            </w:r>
          </w:p>
        </w:tc>
        <w:tc>
          <w:tcPr>
            <w:tcW w:w="495" w:type="dxa"/>
            <w:vMerge w:val="restart"/>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尚未 审结</w:t>
            </w:r>
          </w:p>
        </w:tc>
        <w:tc>
          <w:tcPr>
            <w:tcW w:w="675" w:type="dxa"/>
            <w:vMerge w:val="restart"/>
            <w:tcBorders>
              <w:top w:val="single" w:color="auto" w:sz="4" w:space="0"/>
              <w:left w:val="single" w:color="auto" w:sz="4" w:space="0"/>
            </w:tcBorders>
            <w:shd w:val="clear" w:color="auto" w:fill="FFFFFF"/>
            <w:noWrap w:val="0"/>
            <w:textDirection w:val="tbRlV"/>
            <w:vAlign w:val="bottom"/>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总计</w:t>
            </w:r>
          </w:p>
        </w:tc>
        <w:tc>
          <w:tcPr>
            <w:tcW w:w="2805" w:type="dxa"/>
            <w:gridSpan w:val="5"/>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未经复议直接起诉</w:t>
            </w:r>
          </w:p>
        </w:tc>
        <w:tc>
          <w:tcPr>
            <w:tcW w:w="2836" w:type="dxa"/>
            <w:gridSpan w:val="5"/>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复议后起诉</w:t>
            </w:r>
          </w:p>
        </w:tc>
      </w:tr>
      <w:tr>
        <w:tblPrEx>
          <w:tblCellMar>
            <w:top w:w="0" w:type="dxa"/>
            <w:left w:w="10" w:type="dxa"/>
            <w:bottom w:w="0" w:type="dxa"/>
            <w:right w:w="10" w:type="dxa"/>
          </w:tblCellMar>
        </w:tblPrEx>
        <w:trPr>
          <w:trHeight w:val="850" w:hRule="exact"/>
          <w:jc w:val="center"/>
        </w:trPr>
        <w:tc>
          <w:tcPr>
            <w:tcW w:w="566" w:type="dxa"/>
            <w:vMerge w:val="continue"/>
            <w:tcBorders>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525" w:type="dxa"/>
            <w:vMerge w:val="continue"/>
            <w:tcBorders>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570" w:type="dxa"/>
            <w:vMerge w:val="continue"/>
            <w:tcBorders>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495" w:type="dxa"/>
            <w:vMerge w:val="continue"/>
            <w:tcBorders>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675" w:type="dxa"/>
            <w:vMerge w:val="continue"/>
            <w:tcBorders>
              <w:left w:val="single" w:color="auto" w:sz="4" w:space="0"/>
            </w:tcBorders>
            <w:shd w:val="clear" w:color="auto" w:fill="FFFFFF"/>
            <w:noWrap w:val="0"/>
            <w:textDirection w:val="tbRlV"/>
            <w:vAlign w:val="bottom"/>
          </w:tcPr>
          <w:p>
            <w:pPr>
              <w:autoSpaceDE w:val="0"/>
              <w:autoSpaceDN w:val="0"/>
              <w:jc w:val="left"/>
              <w:rPr>
                <w:rFonts w:hint="eastAsia" w:ascii="宋体" w:hAnsi="宋体" w:cs="宋体"/>
                <w:snapToGrid w:val="0"/>
                <w:kern w:val="32"/>
                <w:szCs w:val="21"/>
                <w:lang w:val="zh-CN"/>
              </w:rPr>
            </w:pPr>
          </w:p>
        </w:tc>
        <w:tc>
          <w:tcPr>
            <w:tcW w:w="629"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维持</w:t>
            </w:r>
          </w:p>
        </w:tc>
        <w:tc>
          <w:tcPr>
            <w:tcW w:w="585"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纠正</w:t>
            </w:r>
          </w:p>
        </w:tc>
        <w:tc>
          <w:tcPr>
            <w:tcW w:w="540"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其他 结果</w:t>
            </w:r>
          </w:p>
        </w:tc>
        <w:tc>
          <w:tcPr>
            <w:tcW w:w="541"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尚未 审结</w:t>
            </w:r>
          </w:p>
        </w:tc>
        <w:tc>
          <w:tcPr>
            <w:tcW w:w="510"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总 计</w:t>
            </w:r>
          </w:p>
        </w:tc>
        <w:tc>
          <w:tcPr>
            <w:tcW w:w="615"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维持</w:t>
            </w:r>
          </w:p>
        </w:tc>
        <w:tc>
          <w:tcPr>
            <w:tcW w:w="615"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纠正</w:t>
            </w:r>
          </w:p>
        </w:tc>
        <w:tc>
          <w:tcPr>
            <w:tcW w:w="630"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其他 结果</w:t>
            </w:r>
          </w:p>
        </w:tc>
        <w:tc>
          <w:tcPr>
            <w:tcW w:w="525"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尚未 审结</w:t>
            </w:r>
          </w:p>
        </w:tc>
        <w:tc>
          <w:tcPr>
            <w:tcW w:w="451" w:type="dxa"/>
            <w:tcBorders>
              <w:top w:val="single" w:color="auto" w:sz="4" w:space="0"/>
              <w:left w:val="single" w:color="auto" w:sz="4" w:space="0"/>
              <w:right w:val="single" w:color="auto" w:sz="4" w:space="0"/>
            </w:tcBorders>
            <w:shd w:val="clear" w:color="auto" w:fill="FFFFFF"/>
            <w:noWrap w:val="0"/>
            <w:textDirection w:val="tbRlV"/>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总计</w:t>
            </w:r>
          </w:p>
        </w:tc>
      </w:tr>
      <w:tr>
        <w:tblPrEx>
          <w:tblCellMar>
            <w:top w:w="0" w:type="dxa"/>
            <w:left w:w="10" w:type="dxa"/>
            <w:bottom w:w="0" w:type="dxa"/>
            <w:right w:w="10" w:type="dxa"/>
          </w:tblCellMar>
        </w:tblPrEx>
        <w:trPr>
          <w:trHeight w:val="516" w:hRule="exact"/>
          <w:jc w:val="center"/>
        </w:trPr>
        <w:tc>
          <w:tcPr>
            <w:tcW w:w="566"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9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67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629"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8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40"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41"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10"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61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61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630"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5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p>
        </w:tc>
      </w:tr>
    </w:tbl>
    <w:p>
      <w:pPr>
        <w:rPr>
          <w:rFonts w:hint="eastAsia"/>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150" w:beforeAutospacing="0" w:after="0" w:afterAutospacing="0"/>
        <w:ind w:left="0" w:right="0" w:firstLine="420"/>
        <w:jc w:val="left"/>
        <w:rPr>
          <w:rFonts w:hint="eastAsia" w:ascii="黑体" w:hAnsi="黑体" w:eastAsia="黑体" w:cs="黑体"/>
          <w:snapToGrid w:val="0"/>
          <w:kern w:val="32"/>
          <w:sz w:val="32"/>
          <w:szCs w:val="32"/>
          <w:lang w:val="en-US" w:eastAsia="zh-CN" w:bidi="ar-SA"/>
        </w:rPr>
      </w:pPr>
      <w:r>
        <w:rPr>
          <w:rFonts w:hint="eastAsia" w:ascii="黑体" w:hAnsi="黑体" w:eastAsia="黑体" w:cs="黑体"/>
          <w:snapToGrid w:val="0"/>
          <w:kern w:val="32"/>
          <w:sz w:val="32"/>
          <w:szCs w:val="32"/>
          <w:lang w:val="zh-CN"/>
        </w:rPr>
        <w:t>　　</w:t>
      </w:r>
      <w:r>
        <w:rPr>
          <w:rFonts w:hint="eastAsia" w:ascii="黑体" w:hAnsi="黑体" w:eastAsia="黑体" w:cs="黑体"/>
          <w:snapToGrid w:val="0"/>
          <w:kern w:val="32"/>
          <w:sz w:val="32"/>
          <w:szCs w:val="32"/>
          <w:lang w:val="en-US" w:eastAsia="zh-CN" w:bidi="ar-SA"/>
        </w:rPr>
        <w:t>五、存在的主要问题及改进情况</w:t>
      </w:r>
    </w:p>
    <w:p>
      <w:pPr>
        <w:numPr>
          <w:ilvl w:val="0"/>
          <w:numId w:val="0"/>
        </w:numP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2020年，县政府办公室在依申请公开、舆情回应、制度与组织保障方面做了一些推进性的工作，但也存在一些不足。如主动公开深度不够、范围不广，特别是在决策公开、执行公开上，力度还需进一步加强；平台建设方面，与《政府信息公开栏目页面设计参考方案》还存在一定差距。</w:t>
      </w:r>
    </w:p>
    <w:p>
      <w:pPr>
        <w:numPr>
          <w:ilvl w:val="0"/>
          <w:numId w:val="0"/>
        </w:numP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2021年，我办一方面将继续加大政务公开培训力度、拓宽培训覆盖面，以政务公开专职负责同志为重点目标，力争通过培训学习进一步树立“公开是常态，不公开是例外”的工作理念。另一方面及时完成政府信息公开栏目页面设计改版工作，进一步完善政府网站功能，力争将宜君县政府门户网站、政务新媒体打造成更加全面的信息公开平台、更加权威的政策发布解读和舆论引导平台、更加及时的回应关切和便民服务平台。</w:t>
      </w:r>
    </w:p>
    <w:p>
      <w:pPr>
        <w:rPr>
          <w:rFonts w:hint="default"/>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150" w:beforeAutospacing="0" w:after="0" w:afterAutospacing="0"/>
        <w:ind w:left="0" w:right="0" w:firstLine="420"/>
        <w:jc w:val="left"/>
        <w:rPr>
          <w:rFonts w:hint="eastAsia" w:ascii="黑体" w:hAnsi="黑体" w:eastAsia="黑体" w:cs="黑体"/>
          <w:snapToGrid w:val="0"/>
          <w:kern w:val="32"/>
          <w:sz w:val="32"/>
          <w:szCs w:val="32"/>
          <w:lang w:val="en-US" w:eastAsia="zh-CN" w:bidi="ar-SA"/>
        </w:rPr>
      </w:pPr>
      <w:r>
        <w:rPr>
          <w:rFonts w:hint="eastAsia" w:ascii="黑体" w:hAnsi="黑体" w:eastAsia="黑体" w:cs="黑体"/>
          <w:snapToGrid w:val="0"/>
          <w:kern w:val="32"/>
          <w:sz w:val="32"/>
          <w:szCs w:val="32"/>
          <w:lang w:val="en-US" w:eastAsia="zh-CN" w:bidi="ar-SA"/>
        </w:rPr>
        <w:t>六、其他需要报告的事项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本报告电子版可通过宜君县人民政府门户网站下载。如对报告有任何疑问、意见，请与宜君县人民政府办公室联系。通信地址：宜君县宜阳中街8号，邮政编码：727299，联系电话：0919-5286229，电子邮箱：</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"mailto:yijunxxzx@126.com"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yijunxxzx@126.com</w:t>
      </w:r>
      <w:r>
        <w:rPr>
          <w:rFonts w:hint="eastAsia" w:ascii="Times New Roman" w:hAnsi="Times New Roman" w:eastAsia="仿宋_GB2312" w:cs="Times New Roman"/>
          <w:kern w:val="2"/>
          <w:sz w:val="32"/>
          <w:szCs w:val="32"/>
          <w:lang w:val="en-US" w:eastAsia="zh-CN" w:bidi="ar-SA"/>
        </w:rPr>
        <w:fldChar w:fldCharType="end"/>
      </w:r>
      <w:r>
        <w:rPr>
          <w:rFonts w:hint="eastAsia" w:ascii="Times New Roman" w:hAnsi="Times New Roman" w:eastAsia="仿宋_GB2312" w:cs="Times New Roman"/>
          <w:kern w:val="2"/>
          <w:sz w:val="32"/>
          <w:szCs w:val="32"/>
          <w:lang w:val="en-US"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Times New Roman" w:hAnsi="Times New Roman" w:eastAsia="仿宋_GB2312" w:cs="Times New Roman"/>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43" w:firstLineChars="1326"/>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宜君县人民政府办公室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63" w:firstLineChars="1426"/>
        <w:jc w:val="lef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2021年1月27</w:t>
      </w:r>
      <w:bookmarkStart w:id="2" w:name="_GoBack"/>
      <w:bookmarkEnd w:id="2"/>
      <w:r>
        <w:rPr>
          <w:rFonts w:hint="eastAsia" w:ascii="Times New Roman" w:hAnsi="Times New Roman" w:eastAsia="仿宋_GB2312" w:cs="Times New Roman"/>
          <w:kern w:val="2"/>
          <w:sz w:val="32"/>
          <w:szCs w:val="32"/>
          <w:lang w:val="en-US" w:eastAsia="zh-CN" w:bidi="ar-SA"/>
        </w:rPr>
        <w:t>日</w:t>
      </w:r>
    </w:p>
    <w:p>
      <w:pPr>
        <w:numPr>
          <w:ilvl w:val="0"/>
          <w:numId w:val="0"/>
        </w:numPr>
        <w:tabs>
          <w:tab w:val="left" w:pos="2976"/>
        </w:tabs>
        <w:rPr>
          <w:rFonts w:hint="eastAsia" w:eastAsia="仿宋_GB2312" w:cs="Times New Roman" w:asciiTheme="minorHAnsi" w:hAnsiTheme="minorHAnsi"/>
          <w:snapToGrid/>
          <w:color w:val="auto"/>
          <w:spacing w:val="0"/>
          <w:w w:val="100"/>
          <w:kern w:val="2"/>
          <w:position w:val="0"/>
          <w:sz w:val="32"/>
          <w:szCs w:val="32"/>
          <w:u w:val="none"/>
          <w:vertAlign w:val="baseline"/>
          <w:lang w:val="en-US" w:eastAsia="zh-CN" w:bidi="ar-SA"/>
        </w:rPr>
      </w:pPr>
    </w:p>
    <w:p>
      <w:pPr>
        <w:rPr>
          <w:rFonts w:hint="eastAsia" w:ascii="仿宋_GB2312" w:hAnsi="仿宋_GB2312" w:eastAsia="仿宋_GB2312" w:cs="仿宋_GB2312"/>
          <w:sz w:val="32"/>
          <w:szCs w:val="32"/>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30756"/>
    <w:multiLevelType w:val="singleLevel"/>
    <w:tmpl w:val="5A03075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049F8"/>
    <w:rsid w:val="01D36474"/>
    <w:rsid w:val="02C65FA1"/>
    <w:rsid w:val="031B4534"/>
    <w:rsid w:val="056343A9"/>
    <w:rsid w:val="056F38BC"/>
    <w:rsid w:val="0635590D"/>
    <w:rsid w:val="07BF15C6"/>
    <w:rsid w:val="081C3D64"/>
    <w:rsid w:val="085C0EC4"/>
    <w:rsid w:val="09E70F54"/>
    <w:rsid w:val="0A571C7E"/>
    <w:rsid w:val="0C094470"/>
    <w:rsid w:val="0EF7514B"/>
    <w:rsid w:val="101F10B7"/>
    <w:rsid w:val="12EA30A3"/>
    <w:rsid w:val="13531ACC"/>
    <w:rsid w:val="137128BB"/>
    <w:rsid w:val="138C2B13"/>
    <w:rsid w:val="14566624"/>
    <w:rsid w:val="15AA5C3C"/>
    <w:rsid w:val="18F53D6C"/>
    <w:rsid w:val="193A202E"/>
    <w:rsid w:val="19BB4689"/>
    <w:rsid w:val="1C8900C5"/>
    <w:rsid w:val="1E7309A2"/>
    <w:rsid w:val="1F423DF7"/>
    <w:rsid w:val="204018EB"/>
    <w:rsid w:val="20850C6C"/>
    <w:rsid w:val="2132474A"/>
    <w:rsid w:val="215049F8"/>
    <w:rsid w:val="217F6740"/>
    <w:rsid w:val="21F407DF"/>
    <w:rsid w:val="224662E5"/>
    <w:rsid w:val="22942766"/>
    <w:rsid w:val="22E95C04"/>
    <w:rsid w:val="23136146"/>
    <w:rsid w:val="23661AEB"/>
    <w:rsid w:val="23B12E91"/>
    <w:rsid w:val="245979BA"/>
    <w:rsid w:val="28715BDA"/>
    <w:rsid w:val="29C0015E"/>
    <w:rsid w:val="2A084C8A"/>
    <w:rsid w:val="2BB85F4B"/>
    <w:rsid w:val="2C1755F5"/>
    <w:rsid w:val="2D5B6987"/>
    <w:rsid w:val="2F7762D6"/>
    <w:rsid w:val="30511327"/>
    <w:rsid w:val="31B00B2A"/>
    <w:rsid w:val="31E94587"/>
    <w:rsid w:val="32854B60"/>
    <w:rsid w:val="352321CC"/>
    <w:rsid w:val="37B73482"/>
    <w:rsid w:val="3881502F"/>
    <w:rsid w:val="39322049"/>
    <w:rsid w:val="3A596EB6"/>
    <w:rsid w:val="3A9C7FAC"/>
    <w:rsid w:val="3DD2560F"/>
    <w:rsid w:val="3DDD3BCA"/>
    <w:rsid w:val="3E393A0B"/>
    <w:rsid w:val="3EE96F39"/>
    <w:rsid w:val="3F4A1965"/>
    <w:rsid w:val="44423171"/>
    <w:rsid w:val="44457D50"/>
    <w:rsid w:val="456E5F50"/>
    <w:rsid w:val="470C76A4"/>
    <w:rsid w:val="47D136FE"/>
    <w:rsid w:val="48091F25"/>
    <w:rsid w:val="49417CE3"/>
    <w:rsid w:val="49685A48"/>
    <w:rsid w:val="4A772629"/>
    <w:rsid w:val="4AF15A3D"/>
    <w:rsid w:val="4C8317CD"/>
    <w:rsid w:val="50AA23D3"/>
    <w:rsid w:val="51DD1825"/>
    <w:rsid w:val="528053D5"/>
    <w:rsid w:val="57D55094"/>
    <w:rsid w:val="587C15D6"/>
    <w:rsid w:val="5AAF1009"/>
    <w:rsid w:val="5C187FB4"/>
    <w:rsid w:val="5C222D9E"/>
    <w:rsid w:val="5CDC7E97"/>
    <w:rsid w:val="5DD5317F"/>
    <w:rsid w:val="5E064C37"/>
    <w:rsid w:val="5EA90E84"/>
    <w:rsid w:val="5F8C64FD"/>
    <w:rsid w:val="63FA2664"/>
    <w:rsid w:val="64A85D6A"/>
    <w:rsid w:val="657F5505"/>
    <w:rsid w:val="683673CC"/>
    <w:rsid w:val="68CD202A"/>
    <w:rsid w:val="68E07348"/>
    <w:rsid w:val="68FC3C91"/>
    <w:rsid w:val="692336D7"/>
    <w:rsid w:val="69BA2EF6"/>
    <w:rsid w:val="6BA834AC"/>
    <w:rsid w:val="6C7751ED"/>
    <w:rsid w:val="6CD77B0C"/>
    <w:rsid w:val="6DFA5E06"/>
    <w:rsid w:val="6DFF20F0"/>
    <w:rsid w:val="6EA12CB6"/>
    <w:rsid w:val="70C94677"/>
    <w:rsid w:val="710B5E38"/>
    <w:rsid w:val="717E0371"/>
    <w:rsid w:val="71816E5B"/>
    <w:rsid w:val="731E3241"/>
    <w:rsid w:val="732561B5"/>
    <w:rsid w:val="73766987"/>
    <w:rsid w:val="738D4276"/>
    <w:rsid w:val="741E0EAB"/>
    <w:rsid w:val="751D379F"/>
    <w:rsid w:val="752D162C"/>
    <w:rsid w:val="77ED1257"/>
    <w:rsid w:val="78E86E6E"/>
    <w:rsid w:val="7B48716B"/>
    <w:rsid w:val="7C092CF1"/>
    <w:rsid w:val="7D13496A"/>
    <w:rsid w:val="7D436B2C"/>
    <w:rsid w:val="7D6A2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line="360" w:lineRule="auto"/>
      <w:ind w:firstLine="420"/>
    </w:pPr>
    <w:rPr>
      <w:rFonts w:ascii="仿宋_GB2312" w:eastAsia="仿宋_GB2312" w:cs="仿宋_GB2312"/>
      <w:kern w:val="0"/>
      <w:sz w:val="30"/>
      <w:szCs w:val="30"/>
    </w:rPr>
  </w:style>
  <w:style w:type="paragraph" w:styleId="4">
    <w:name w:val="index 5"/>
    <w:basedOn w:val="1"/>
    <w:next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1680" w:right="0" w:firstLine="0"/>
      <w:jc w:val="left"/>
      <w:textAlignment w:val="auto"/>
      <w:outlineLvl w:val="9"/>
    </w:pPr>
    <w:rPr>
      <w:rFonts w:ascii="Times New Roman" w:hAnsi="Times New Roman" w:eastAsia="宋体"/>
      <w:snapToGrid/>
      <w:color w:val="000000"/>
      <w:spacing w:val="0"/>
      <w:w w:val="100"/>
      <w:kern w:val="0"/>
      <w:position w:val="0"/>
      <w:sz w:val="20"/>
      <w:szCs w:val="20"/>
      <w:u w:val="none" w:color="auto"/>
      <w:vertAlign w:val="baseline"/>
      <w:lang w:val="en-US" w:eastAsia="zh-C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2021-01-19T03:15:00Z</dcterms:created>
  <dc:creator>追梦</dc:creator>
  <cp:lastModifiedBy>追梦</cp:lastModifiedBy>
  <dcterms:modified xsi:type="dcterms:W3CDTF">2021-01-27T09:43:08Z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