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23" w:lineRule="atLeast"/>
        <w:ind w:firstLine="1320" w:firstLineChars="300"/>
        <w:jc w:val="both"/>
        <w:rPr>
          <w:rFonts w:hint="eastAsia" w:ascii="微软雅黑" w:hAnsi="微软雅黑" w:eastAsia="微软雅黑" w:cs="微软雅黑"/>
          <w:color w:val="484848"/>
          <w:sz w:val="24"/>
        </w:rPr>
      </w:pPr>
      <w:r>
        <w:rPr>
          <w:rStyle w:val="6"/>
          <w:rFonts w:hint="eastAsia" w:ascii="黑体" w:hAnsi="黑体" w:eastAsia="黑体" w:cs="黑体"/>
          <w:b w:val="0"/>
          <w:bCs/>
          <w:color w:val="484848"/>
          <w:sz w:val="44"/>
          <w:szCs w:val="44"/>
        </w:rPr>
        <w:t>健康</w:t>
      </w:r>
      <w:r>
        <w:rPr>
          <w:rStyle w:val="6"/>
          <w:rFonts w:hint="eastAsia" w:ascii="黑体" w:hAnsi="黑体" w:eastAsia="黑体" w:cs="黑体"/>
          <w:b w:val="0"/>
          <w:bCs/>
          <w:color w:val="484848"/>
          <w:sz w:val="44"/>
          <w:szCs w:val="44"/>
          <w:lang w:eastAsia="zh-CN"/>
        </w:rPr>
        <w:t>宜君</w:t>
      </w:r>
      <w:r>
        <w:rPr>
          <w:rStyle w:val="6"/>
          <w:rFonts w:hint="eastAsia" w:ascii="黑体" w:hAnsi="黑体" w:eastAsia="黑体" w:cs="黑体"/>
          <w:b w:val="0"/>
          <w:bCs/>
          <w:color w:val="484848"/>
          <w:sz w:val="44"/>
          <w:szCs w:val="44"/>
        </w:rPr>
        <w:t>行动考核指标框架</w:t>
      </w:r>
    </w:p>
    <w:tbl>
      <w:tblPr>
        <w:tblStyle w:val="4"/>
        <w:tblW w:w="933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82"/>
        <w:gridCol w:w="3168"/>
        <w:gridCol w:w="1476"/>
        <w:gridCol w:w="1464"/>
        <w:gridCol w:w="1308"/>
        <w:gridCol w:w="13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color w:val="484848"/>
                <w:sz w:val="21"/>
                <w:szCs w:val="21"/>
              </w:rPr>
            </w:pPr>
            <w:r>
              <w:rPr>
                <w:rFonts w:hint="eastAsia" w:ascii="宋体" w:hAnsi="宋体" w:cs="宋体"/>
                <w:b/>
                <w:color w:val="484848"/>
                <w:kern w:val="0"/>
                <w:sz w:val="21"/>
                <w:szCs w:val="21"/>
                <w:lang w:bidi="ar"/>
              </w:rPr>
              <w:t>序号</w:t>
            </w:r>
          </w:p>
        </w:tc>
        <w:tc>
          <w:tcPr>
            <w:tcW w:w="31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微软雅黑" w:cs="微软雅黑"/>
                <w:color w:val="484848"/>
                <w:sz w:val="21"/>
                <w:szCs w:val="21"/>
              </w:rPr>
            </w:pPr>
            <w:r>
              <w:rPr>
                <w:rFonts w:hint="eastAsia" w:ascii="宋体" w:hAnsi="宋体" w:cs="宋体"/>
                <w:b/>
                <w:color w:val="484848"/>
                <w:kern w:val="0"/>
                <w:sz w:val="21"/>
                <w:szCs w:val="21"/>
                <w:lang w:bidi="ar"/>
              </w:rPr>
              <w:t>指    标</w:t>
            </w:r>
          </w:p>
        </w:tc>
        <w:tc>
          <w:tcPr>
            <w:tcW w:w="147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cs="宋体"/>
                <w:b/>
                <w:color w:val="484848"/>
                <w:kern w:val="0"/>
                <w:sz w:val="21"/>
                <w:szCs w:val="21"/>
                <w:lang w:bidi="ar"/>
              </w:rPr>
            </w:pPr>
            <w:r>
              <w:rPr>
                <w:rFonts w:hint="eastAsia" w:ascii="宋体" w:hAnsi="宋体" w:cs="宋体"/>
                <w:b/>
                <w:color w:val="484848"/>
                <w:kern w:val="0"/>
                <w:sz w:val="21"/>
                <w:szCs w:val="21"/>
                <w:lang w:val="en-US" w:eastAsia="zh-CN" w:bidi="ar"/>
              </w:rPr>
              <w:t>陕西基础</w:t>
            </w:r>
            <w:r>
              <w:rPr>
                <w:rFonts w:hint="eastAsia" w:ascii="宋体" w:hAnsi="宋体" w:cs="宋体"/>
                <w:b/>
                <w:color w:val="484848"/>
                <w:kern w:val="0"/>
                <w:sz w:val="21"/>
                <w:szCs w:val="21"/>
                <w:lang w:bidi="ar"/>
              </w:rPr>
              <w:t>水平</w:t>
            </w:r>
          </w:p>
          <w:p>
            <w:pPr>
              <w:widowControl/>
              <w:spacing w:after="180"/>
              <w:jc w:val="center"/>
              <w:rPr>
                <w:rFonts w:hint="eastAsia" w:ascii="微软雅黑" w:hAnsi="微软雅黑" w:eastAsia="宋体" w:cs="微软雅黑"/>
                <w:color w:val="484848"/>
                <w:sz w:val="21"/>
                <w:szCs w:val="21"/>
                <w:lang w:eastAsia="zh-CN"/>
              </w:rPr>
            </w:pPr>
            <w:r>
              <w:rPr>
                <w:rFonts w:hint="eastAsia" w:ascii="宋体" w:hAnsi="宋体" w:cs="宋体"/>
                <w:b/>
                <w:color w:val="484848"/>
                <w:kern w:val="0"/>
                <w:sz w:val="21"/>
                <w:szCs w:val="21"/>
                <w:lang w:eastAsia="zh-CN" w:bidi="ar"/>
              </w:rPr>
              <w:t>（</w:t>
            </w:r>
            <w:r>
              <w:rPr>
                <w:rFonts w:hint="eastAsia" w:ascii="宋体" w:hAnsi="宋体" w:cs="宋体"/>
                <w:b/>
                <w:color w:val="484848"/>
                <w:kern w:val="0"/>
                <w:sz w:val="21"/>
                <w:szCs w:val="21"/>
                <w:lang w:val="en-US" w:eastAsia="zh-CN" w:bidi="ar"/>
              </w:rPr>
              <w:t>2018年</w:t>
            </w:r>
            <w:r>
              <w:rPr>
                <w:rFonts w:hint="eastAsia" w:ascii="宋体" w:hAnsi="宋体" w:cs="宋体"/>
                <w:b/>
                <w:color w:val="484848"/>
                <w:kern w:val="0"/>
                <w:sz w:val="21"/>
                <w:szCs w:val="21"/>
                <w:lang w:eastAsia="zh-CN" w:bidi="ar"/>
              </w:rPr>
              <w:t>）</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微软雅黑" w:hAnsi="微软雅黑" w:eastAsia="宋体" w:cs="微软雅黑"/>
                <w:color w:val="484848"/>
                <w:sz w:val="21"/>
                <w:szCs w:val="21"/>
                <w:lang w:eastAsia="zh-CN"/>
              </w:rPr>
            </w:pPr>
            <w:r>
              <w:rPr>
                <w:rFonts w:hint="eastAsia" w:ascii="宋体" w:hAnsi="宋体" w:cs="宋体"/>
                <w:b/>
                <w:color w:val="484848"/>
                <w:kern w:val="0"/>
                <w:sz w:val="21"/>
                <w:szCs w:val="21"/>
                <w:lang w:val="en-US" w:eastAsia="zh-CN" w:bidi="ar"/>
              </w:rPr>
              <w:t>陕西考核目标值（</w:t>
            </w:r>
            <w:r>
              <w:rPr>
                <w:rFonts w:hint="eastAsia" w:ascii="宋体" w:hAnsi="宋体" w:cs="宋体"/>
                <w:b/>
                <w:color w:val="484848"/>
                <w:kern w:val="0"/>
                <w:sz w:val="21"/>
                <w:szCs w:val="21"/>
                <w:lang w:bidi="ar"/>
              </w:rPr>
              <w:t>2022年</w:t>
            </w:r>
            <w:r>
              <w:rPr>
                <w:rFonts w:hint="eastAsia" w:ascii="宋体" w:hAnsi="宋体" w:cs="宋体"/>
                <w:b/>
                <w:color w:val="484848"/>
                <w:kern w:val="0"/>
                <w:sz w:val="21"/>
                <w:szCs w:val="21"/>
                <w:lang w:eastAsia="zh-CN" w:bidi="ar"/>
              </w:rPr>
              <w:t>）</w:t>
            </w:r>
          </w:p>
        </w:tc>
        <w:tc>
          <w:tcPr>
            <w:tcW w:w="130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宋体" w:hAnsi="宋体" w:eastAsia="宋体" w:cs="宋体"/>
                <w:b/>
                <w:color w:val="484848"/>
                <w:kern w:val="0"/>
                <w:sz w:val="21"/>
                <w:szCs w:val="21"/>
                <w:lang w:val="en-US" w:eastAsia="zh-CN" w:bidi="ar"/>
              </w:rPr>
            </w:pPr>
            <w:r>
              <w:rPr>
                <w:rFonts w:hint="eastAsia" w:ascii="宋体" w:hAnsi="宋体" w:cs="宋体"/>
                <w:b/>
                <w:color w:val="484848"/>
                <w:kern w:val="0"/>
                <w:sz w:val="21"/>
                <w:szCs w:val="21"/>
                <w:lang w:val="en-US" w:eastAsia="zh-CN" w:bidi="ar"/>
              </w:rPr>
              <w:t>基础水平（2018年）</w:t>
            </w:r>
          </w:p>
        </w:tc>
        <w:tc>
          <w:tcPr>
            <w:tcW w:w="133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宋体" w:hAnsi="宋体" w:eastAsia="宋体" w:cs="宋体"/>
                <w:b/>
                <w:color w:val="484848"/>
                <w:kern w:val="0"/>
                <w:sz w:val="21"/>
                <w:szCs w:val="21"/>
                <w:lang w:val="en-US" w:eastAsia="zh-CN" w:bidi="ar"/>
              </w:rPr>
            </w:pPr>
            <w:r>
              <w:rPr>
                <w:rFonts w:hint="eastAsia" w:ascii="宋体" w:hAnsi="宋体" w:cs="宋体"/>
                <w:b/>
                <w:color w:val="484848"/>
                <w:kern w:val="0"/>
                <w:sz w:val="21"/>
                <w:szCs w:val="21"/>
                <w:lang w:val="en-US" w:eastAsia="zh-CN" w:bidi="ar"/>
              </w:rPr>
              <w:t>考核目标值（</w:t>
            </w:r>
            <w:r>
              <w:rPr>
                <w:rFonts w:hint="eastAsia" w:ascii="宋体" w:hAnsi="宋体" w:cs="宋体"/>
                <w:b/>
                <w:color w:val="484848"/>
                <w:kern w:val="0"/>
                <w:sz w:val="21"/>
                <w:szCs w:val="21"/>
                <w:lang w:bidi="ar"/>
              </w:rPr>
              <w:t>2022年</w:t>
            </w:r>
            <w:r>
              <w:rPr>
                <w:rFonts w:hint="eastAsia" w:ascii="宋体" w:hAnsi="宋体" w:cs="宋体"/>
                <w:b/>
                <w:color w:val="484848"/>
                <w:kern w:val="0"/>
                <w:sz w:val="21"/>
                <w:szCs w:val="21"/>
                <w:lang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人均预期寿命（岁）</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76.51（2017年）</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77.</w:t>
            </w:r>
            <w:r>
              <w:rPr>
                <w:rFonts w:hint="eastAsia" w:ascii="仿宋_GB2312" w:hAnsi="仿宋_GB2312" w:eastAsia="仿宋_GB2312" w:cs="仿宋_GB2312"/>
                <w:sz w:val="21"/>
                <w:szCs w:val="21"/>
                <w:lang w:val="en-US" w:eastAsia="zh-CN"/>
              </w:rPr>
              <w:t>7</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婴儿死亡率（‰）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2.96</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2.52</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5岁以下儿童死亡率（‰）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4.9</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7</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孕产妇死亡率（1/10万）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7.3</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城乡居民达到《国民体质测定标准》合格以上的人数比例（%）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90.86</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居民健康素养水平（%）</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19</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15.44</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经常参加体育锻炼人数比例（%）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34.65</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42</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重大慢性病过早死亡率（%）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18.87（2017年）</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≤15.9</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每千常住人口执业（助理）医师数（人）</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3.15</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个人卫生支出占卫生总费用的比重（%）</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32.8</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建立并完善健康科普专家库和资源库，构建健康科普知识发布和传播机制</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建立医疗机构和医务人员开展健康教育和健康促进的绩效考核机制</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产前筛查率（%）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84.13</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新生儿遗传代谢性疾病筛查率（%）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≥98</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98.7</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16" w:hRule="atLeast"/>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农村适龄妇女宫颈癌和乳腺癌筛查覆盖率（%）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宫颈癌、乳腺癌筛查覆盖率分别为46.2%、16%</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宫颈癌筛查率43.94%、乳腺癌筛查率44.04%</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3168"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国家学生体质健康标准达标优良率（%）</w:t>
            </w:r>
          </w:p>
        </w:tc>
        <w:tc>
          <w:tcPr>
            <w:tcW w:w="1476"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16.5</w:t>
            </w:r>
          </w:p>
        </w:tc>
        <w:tc>
          <w:tcPr>
            <w:tcW w:w="1464"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20</w:t>
            </w:r>
          </w:p>
        </w:tc>
        <w:tc>
          <w:tcPr>
            <w:tcW w:w="1308"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27.54</w:t>
            </w:r>
          </w:p>
        </w:tc>
        <w:tc>
          <w:tcPr>
            <w:tcW w:w="1338"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3168" w:type="dxa"/>
            <w:tcBorders>
              <w:top w:val="single" w:color="auto" w:sz="4" w:space="0"/>
              <w:left w:val="nil"/>
              <w:bottom w:val="single" w:color="auto" w:sz="4"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符合要求的中小学体育与健康课程开课率（%）</w:t>
            </w:r>
          </w:p>
        </w:tc>
        <w:tc>
          <w:tcPr>
            <w:tcW w:w="1476" w:type="dxa"/>
            <w:tcBorders>
              <w:top w:val="single" w:color="auto" w:sz="4" w:space="0"/>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single" w:color="auto" w:sz="4" w:space="0"/>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308" w:type="dxa"/>
            <w:tcBorders>
              <w:top w:val="single" w:color="auto" w:sz="4" w:space="0"/>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1338" w:type="dxa"/>
            <w:tcBorders>
              <w:top w:val="single" w:color="auto" w:sz="4" w:space="0"/>
              <w:left w:val="nil"/>
              <w:bottom w:val="single" w:color="auto" w:sz="4" w:space="0"/>
              <w:right w:val="single" w:color="auto" w:sz="4"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3168"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中小学生每天校内体育活动时间（小时）</w:t>
            </w:r>
          </w:p>
        </w:tc>
        <w:tc>
          <w:tcPr>
            <w:tcW w:w="1476"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08"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38"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寄宿制中小学校或600名学生以上的非寄宿制中小学校配备专职卫生专业技术人员、600名学生以下的非寄宿制中小学校配备专兼职保健教师或卫生专业技术人员的比例（%）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配备专兼职心理健康工作人员的中小学校比例（%）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90</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接尘工龄不足5年的劳动者新发尘肺病报告例数占年度报告总例数比例（%）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下降</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下降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二级以上综合性医院设老年医学科比例（%）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高血压患者规范管理率（%）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糖尿病患者规范管理率（%）</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316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乡镇卫生院、社区卫生服务中心提供中医非药物疗法的比例（%），村卫生室提供中医非药物疗法的比例（%）</w:t>
            </w:r>
          </w:p>
        </w:tc>
        <w:tc>
          <w:tcPr>
            <w:tcW w:w="1476"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100</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70</w:t>
            </w:r>
            <w:r>
              <w:rPr>
                <w:rFonts w:hint="eastAsia" w:ascii="仿宋_GB2312" w:hAnsi="仿宋_GB2312" w:eastAsia="仿宋_GB2312" w:cs="仿宋_GB2312"/>
                <w:sz w:val="21"/>
                <w:szCs w:val="21"/>
                <w:lang w:val="en-US" w:eastAsia="zh-CN"/>
              </w:rPr>
              <w:t>%</w:t>
            </w:r>
          </w:p>
        </w:tc>
        <w:tc>
          <w:tcPr>
            <w:tcW w:w="130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8"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70</w:t>
            </w:r>
            <w:r>
              <w:rPr>
                <w:rFonts w:hint="eastAsia" w:ascii="仿宋_GB2312" w:hAnsi="仿宋_GB2312" w:eastAsia="仿宋_GB2312" w:cs="仿宋_GB2312"/>
                <w:sz w:val="21"/>
                <w:szCs w:val="21"/>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8" w:hRule="atLeast"/>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3168"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以乡（镇、街道）为单位适龄儿童免疫规划疫苗接种率（%）</w:t>
            </w:r>
          </w:p>
        </w:tc>
        <w:tc>
          <w:tcPr>
            <w:tcW w:w="1476"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95</w:t>
            </w:r>
          </w:p>
        </w:tc>
        <w:tc>
          <w:tcPr>
            <w:tcW w:w="1464"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1308"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38" w:type="dxa"/>
            <w:tcBorders>
              <w:top w:val="nil"/>
              <w:left w:val="nil"/>
              <w:bottom w:val="single" w:color="auto" w:sz="4" w:space="0"/>
              <w:right w:val="single" w:color="auto" w:sz="8" w:space="0"/>
            </w:tcBorders>
            <w:noWrap w:val="0"/>
            <w:tcMar>
              <w:left w:w="108" w:type="dxa"/>
              <w:right w:w="108" w:type="dxa"/>
            </w:tcMar>
            <w:vAlign w:val="center"/>
          </w:tcPr>
          <w:p>
            <w:pPr>
              <w:spacing w:line="3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en-US" w:eastAsia="zh-CN"/>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58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3168"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各牵头部门、各区县组织推进健康细胞示范建设</w:t>
            </w:r>
          </w:p>
        </w:tc>
        <w:tc>
          <w:tcPr>
            <w:tcW w:w="1476"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p>
        </w:tc>
        <w:tc>
          <w:tcPr>
            <w:tcW w:w="1464"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建设率</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明显提升</w:t>
            </w:r>
          </w:p>
        </w:tc>
        <w:tc>
          <w:tcPr>
            <w:tcW w:w="1308"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p>
        </w:tc>
        <w:tc>
          <w:tcPr>
            <w:tcW w:w="1338" w:type="dxa"/>
            <w:tcBorders>
              <w:top w:val="single" w:color="auto" w:sz="4" w:space="0"/>
              <w:left w:val="nil"/>
              <w:bottom w:val="single" w:color="auto" w:sz="8" w:space="0"/>
              <w:right w:val="single" w:color="auto" w:sz="8" w:space="0"/>
            </w:tcBorders>
            <w:noWrap w:val="0"/>
            <w:tcMar>
              <w:left w:w="108" w:type="dxa"/>
              <w:right w:w="108" w:type="dxa"/>
            </w:tcMar>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建设率</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明显提升</w:t>
            </w:r>
          </w:p>
        </w:tc>
      </w:tr>
    </w:tbl>
    <w:p>
      <w:pPr>
        <w:pStyle w:val="2"/>
        <w:ind w:left="0" w:leftChars="0" w:firstLine="0" w:firstLineChars="0"/>
        <w:rPr>
          <w:rFonts w:hint="default" w:ascii="仿宋_GB2312" w:hAnsi="黑体" w:eastAsia="仿宋_GB2312"/>
          <w:sz w:val="32"/>
          <w:szCs w:val="32"/>
          <w:lang w:val="en-US" w:eastAsia="zh-CN"/>
        </w:rPr>
      </w:pPr>
    </w:p>
    <w:p>
      <w:pPr>
        <w:pStyle w:val="2"/>
        <w:ind w:left="0" w:leftChars="0" w:firstLine="0" w:firstLineChars="0"/>
        <w:rPr>
          <w:rFonts w:hint="default" w:ascii="仿宋_GB2312" w:hAnsi="黑体"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C567D"/>
    <w:rsid w:val="335C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2020-12-28T03:18:00Z</dcterms:created>
  <dc:creator>Administrator</dc:creator>
  <cp:lastModifiedBy>Administrator</cp:lastModifiedBy>
  <dcterms:modified xsi:type="dcterms:W3CDTF">2020-12-28T03:20:04Z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