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szCs w:val="44"/>
          <w:lang w:eastAsia="zh-CN"/>
        </w:rPr>
      </w:pPr>
      <w:bookmarkStart w:id="3" w:name="_GoBack"/>
      <w:bookmarkEnd w:id="3"/>
      <w:r>
        <w:rPr>
          <w:rFonts w:hint="eastAsia" w:ascii="方正小标宋简体" w:hAnsi="黑体" w:eastAsia="方正小标宋简体" w:cs="黑体"/>
          <w:sz w:val="44"/>
          <w:szCs w:val="44"/>
          <w:lang w:eastAsia="zh-CN"/>
        </w:rPr>
        <w:t>宜君县</w:t>
      </w:r>
      <w:r>
        <w:rPr>
          <w:rFonts w:hint="eastAsia" w:ascii="方正小标宋简体" w:hAnsi="黑体" w:eastAsia="方正小标宋简体" w:cs="黑体"/>
          <w:sz w:val="44"/>
          <w:szCs w:val="44"/>
        </w:rPr>
        <w:t>人民政府</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201</w:t>
      </w:r>
      <w:r>
        <w:rPr>
          <w:rFonts w:hint="eastAsia" w:ascii="方正小标宋简体" w:hAnsi="黑体" w:eastAsia="方正小标宋简体" w:cs="黑体"/>
          <w:sz w:val="44"/>
          <w:szCs w:val="44"/>
          <w:lang w:val="en-US" w:eastAsia="zh-CN"/>
        </w:rPr>
        <w:t>9</w:t>
      </w:r>
      <w:r>
        <w:rPr>
          <w:rFonts w:hint="eastAsia" w:ascii="方正小标宋简体" w:hAnsi="黑体" w:eastAsia="方正小标宋简体" w:cs="黑体"/>
          <w:sz w:val="44"/>
          <w:szCs w:val="44"/>
        </w:rPr>
        <w:t>年政府信息公开工作年度报告</w:t>
      </w:r>
    </w:p>
    <w:p>
      <w:pPr>
        <w:spacing w:line="560" w:lineRule="exact"/>
        <w:jc w:val="center"/>
        <w:rPr>
          <w:rFonts w:hint="eastAsia" w:ascii="方正小标宋简体" w:hAnsi="黑体" w:eastAsia="方正小标宋简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仿宋_GB2312" w:eastAsia="仿宋_GB2312" w:cs="仿宋_GB2312"/>
          <w:sz w:val="32"/>
          <w:szCs w:val="32"/>
        </w:rPr>
        <w:t>根据《中华人民共和国政府信息公开条例》</w:t>
      </w:r>
      <w:r>
        <w:rPr>
          <w:rFonts w:hint="eastAsia" w:ascii="仿宋_GB2312" w:hAnsi="仿宋_GB2312" w:eastAsia="仿宋_GB2312" w:cs="仿宋_GB2312"/>
          <w:sz w:val="32"/>
          <w:szCs w:val="32"/>
          <w:lang w:eastAsia="zh-CN"/>
        </w:rPr>
        <w:t>（国令第</w:t>
      </w:r>
      <w:r>
        <w:rPr>
          <w:rFonts w:hint="eastAsia" w:ascii="仿宋_GB2312" w:hAnsi="仿宋_GB2312" w:eastAsia="仿宋_GB2312" w:cs="仿宋_GB2312"/>
          <w:sz w:val="32"/>
          <w:szCs w:val="32"/>
          <w:lang w:val="en-US" w:eastAsia="zh-CN"/>
        </w:rPr>
        <w:t>711号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《国务院办公厅政府信息与政务公开办公室关于政府信息公开工作年度报告有关事项的通知》(国办公开办函〔2019〕60号)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全省政府信息公开工作年度报告暨政府网站监管年度报表工作部署会议精神</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铜川市人民政府办公室关于做好2019年度政府信息公开工作年度报告与政府网站年度报表的通知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公布宜君县</w:t>
      </w:r>
      <w:r>
        <w:rPr>
          <w:rFonts w:hint="eastAsia" w:ascii="仿宋_GB2312" w:hAnsi="仿宋_GB2312" w:eastAsia="仿宋_GB2312" w:cs="仿宋_GB2312"/>
          <w:sz w:val="32"/>
          <w:szCs w:val="32"/>
        </w:rPr>
        <w:t>人民政府201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年政府信息公开工作年度报告。本报告由</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、收到和处理政府信息公开申请情况、政府信息公开行政复议和行政诉讼情况、</w:t>
      </w:r>
      <w:r>
        <w:rPr>
          <w:rFonts w:hint="eastAsia" w:ascii="仿宋_GB2312" w:hAnsi="仿宋_GB2312" w:eastAsia="仿宋_GB2312" w:cs="仿宋_GB2312"/>
          <w:sz w:val="32"/>
          <w:szCs w:val="32"/>
        </w:rPr>
        <w:t>存在的主要问题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改进</w:t>
      </w:r>
      <w:r>
        <w:rPr>
          <w:rFonts w:hint="eastAsia" w:ascii="仿宋_GB2312" w:hAnsi="仿宋_GB2312" w:eastAsia="仿宋_GB2312" w:cs="仿宋_GB2312"/>
          <w:sz w:val="32"/>
          <w:szCs w:val="32"/>
          <w:lang w:eastAsia="zh-CN"/>
        </w:rPr>
        <w:t>情况、其他需要报告的事项六</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组成。本</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所列数据的统计期限自201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年1月1日起至12月31日止。</w:t>
      </w:r>
    </w:p>
    <w:p>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en-US" w:eastAsia="zh-CN" w:bidi="ar-SA"/>
        </w:rPr>
        <w:t>　　一、总体情况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2019年宜君县</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《中华人民共和国政府信息公开条例》规定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关于全面推进政务公开工作的</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部署，健全信息公开相关制度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以服务社会公众为宗旨，坚持以公开为常态、不公开为例外，全面推进政府信息公开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主动公开政府信息情况</w:t>
      </w:r>
    </w:p>
    <w:p>
      <w:pPr>
        <w:pStyle w:val="2"/>
        <w:ind w:left="0" w:leftChars="0" w:firstLine="640" w:firstLineChars="200"/>
        <w:rPr>
          <w:rFonts w:hint="eastAsia" w:ascii="楷体_GB2312" w:hAnsi="黑体" w:eastAsia="楷体_GB2312" w:cs="仿宋_GB2312"/>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w:t>
      </w:r>
      <w:r>
        <w:rPr>
          <w:rFonts w:hint="eastAsia" w:hAnsi="仿宋_GB2312" w:cs="仿宋_GB2312"/>
          <w:kern w:val="2"/>
          <w:sz w:val="32"/>
          <w:szCs w:val="32"/>
          <w:lang w:val="en-US" w:eastAsia="zh-CN" w:bidi="ar-SA"/>
        </w:rPr>
        <w:t>宜君县</w:t>
      </w:r>
      <w:r>
        <w:rPr>
          <w:rFonts w:hint="eastAsia" w:ascii="仿宋_GB2312" w:hAnsi="仿宋_GB2312" w:eastAsia="仿宋_GB2312" w:cs="仿宋_GB2312"/>
          <w:kern w:val="2"/>
          <w:sz w:val="32"/>
          <w:szCs w:val="32"/>
          <w:lang w:val="en-US" w:eastAsia="zh-CN" w:bidi="ar-SA"/>
        </w:rPr>
        <w:t>人民政府</w:t>
      </w:r>
      <w:r>
        <w:rPr>
          <w:rFonts w:hint="eastAsia" w:hAnsi="仿宋_GB2312" w:cs="仿宋_GB2312"/>
          <w:kern w:val="2"/>
          <w:sz w:val="32"/>
          <w:szCs w:val="32"/>
          <w:lang w:val="en-US" w:eastAsia="zh-CN" w:bidi="ar-SA"/>
        </w:rPr>
        <w:t>门户</w:t>
      </w:r>
      <w:r>
        <w:rPr>
          <w:rFonts w:hint="eastAsia" w:ascii="仿宋_GB2312" w:hAnsi="仿宋_GB2312" w:eastAsia="仿宋_GB2312" w:cs="仿宋_GB2312"/>
          <w:kern w:val="2"/>
          <w:sz w:val="32"/>
          <w:szCs w:val="32"/>
          <w:lang w:val="en-US" w:eastAsia="zh-CN" w:bidi="ar-SA"/>
        </w:rPr>
        <w:t>网</w:t>
      </w:r>
      <w:r>
        <w:rPr>
          <w:rFonts w:hint="eastAsia" w:hAnsi="仿宋_GB2312" w:cs="仿宋_GB2312"/>
          <w:kern w:val="2"/>
          <w:sz w:val="32"/>
          <w:szCs w:val="32"/>
          <w:lang w:val="en-US" w:eastAsia="zh-CN" w:bidi="ar-SA"/>
        </w:rPr>
        <w:t>站</w:t>
      </w:r>
      <w:r>
        <w:rPr>
          <w:rFonts w:hint="eastAsia" w:ascii="仿宋_GB2312" w:hAnsi="仿宋_GB2312" w:eastAsia="仿宋_GB2312" w:cs="仿宋_GB2312"/>
          <w:kern w:val="2"/>
          <w:sz w:val="32"/>
          <w:szCs w:val="32"/>
          <w:lang w:val="en-US" w:eastAsia="zh-CN" w:bidi="ar-SA"/>
        </w:rPr>
        <w:t>主动发布各类信息 14349条，浏览总量7419543余次，</w:t>
      </w:r>
      <w:r>
        <w:rPr>
          <w:rFonts w:hint="eastAsia" w:hAnsi="仿宋_GB2312" w:cs="仿宋_GB2312"/>
          <w:kern w:val="2"/>
          <w:sz w:val="32"/>
          <w:szCs w:val="32"/>
          <w:lang w:val="en-US" w:eastAsia="zh-CN" w:bidi="ar-SA"/>
        </w:rPr>
        <w:t>“宜君发布”</w:t>
      </w:r>
      <w:r>
        <w:rPr>
          <w:rFonts w:hint="eastAsia" w:ascii="仿宋_GB2312" w:hAnsi="仿宋_GB2312" w:eastAsia="仿宋_GB2312" w:cs="仿宋_GB2312"/>
          <w:kern w:val="2"/>
          <w:sz w:val="32"/>
          <w:szCs w:val="32"/>
          <w:lang w:val="en-US" w:eastAsia="zh-CN" w:bidi="ar-SA"/>
        </w:rPr>
        <w:t>政务微信发布1141条，订阅数26381位，政务微博发布1821条，关注量3497位，今日头条发布806条，关注量893位</w:t>
      </w:r>
      <w:r>
        <w:rPr>
          <w:rFonts w:hint="eastAsia" w:hAnsi="仿宋_GB2312" w:cs="仿宋_GB2312"/>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推进政府信息公开，加大政务透明度。不断加大“决策、执行、管理、服务、结果”政务五公开工作。</w:t>
      </w:r>
      <w:r>
        <w:rPr>
          <w:rFonts w:hint="eastAsia" w:hAnsi="仿宋_GB2312" w:cs="仿宋_GB2312"/>
          <w:kern w:val="2"/>
          <w:sz w:val="32"/>
          <w:szCs w:val="32"/>
          <w:lang w:val="en-US" w:eastAsia="zh-CN" w:bidi="ar-SA"/>
        </w:rPr>
        <w:t>主动公开</w:t>
      </w:r>
      <w:r>
        <w:rPr>
          <w:rFonts w:hint="eastAsia" w:ascii="仿宋_GB2312" w:hAnsi="仿宋_GB2312" w:eastAsia="仿宋_GB2312" w:cs="仿宋_GB2312"/>
          <w:kern w:val="2"/>
          <w:sz w:val="32"/>
          <w:szCs w:val="32"/>
          <w:lang w:val="en-US" w:eastAsia="zh-CN" w:bidi="ar-SA"/>
        </w:rPr>
        <w:t>领导之窗</w:t>
      </w:r>
      <w:r>
        <w:rPr>
          <w:rFonts w:hint="eastAsia" w:hAnsi="仿宋_GB2312" w:cs="仿宋_GB2312"/>
          <w:kern w:val="2"/>
          <w:sz w:val="32"/>
          <w:szCs w:val="32"/>
          <w:lang w:val="en-US" w:eastAsia="zh-CN" w:bidi="ar-SA"/>
        </w:rPr>
        <w:t>29条</w:t>
      </w:r>
      <w:r>
        <w:rPr>
          <w:rFonts w:hint="eastAsia" w:ascii="仿宋_GB2312" w:hAnsi="仿宋_GB2312" w:eastAsia="仿宋_GB2312" w:cs="仿宋_GB2312"/>
          <w:kern w:val="2"/>
          <w:sz w:val="32"/>
          <w:szCs w:val="32"/>
          <w:lang w:val="en-US" w:eastAsia="zh-CN" w:bidi="ar-SA"/>
        </w:rPr>
        <w:t>、政府文件</w:t>
      </w:r>
      <w:r>
        <w:rPr>
          <w:rFonts w:hint="eastAsia" w:hAnsi="仿宋_GB2312" w:cs="仿宋_GB2312"/>
          <w:kern w:val="2"/>
          <w:sz w:val="32"/>
          <w:szCs w:val="32"/>
          <w:lang w:val="en-US" w:eastAsia="zh-CN" w:bidi="ar-SA"/>
        </w:rPr>
        <w:t>108条</w:t>
      </w:r>
      <w:r>
        <w:rPr>
          <w:rFonts w:hint="eastAsia" w:ascii="仿宋_GB2312" w:hAnsi="仿宋_GB2312" w:eastAsia="仿宋_GB2312" w:cs="仿宋_GB2312"/>
          <w:kern w:val="2"/>
          <w:sz w:val="32"/>
          <w:szCs w:val="32"/>
          <w:lang w:val="en-US" w:eastAsia="zh-CN" w:bidi="ar-SA"/>
        </w:rPr>
        <w:t>、政府采购</w:t>
      </w:r>
      <w:r>
        <w:rPr>
          <w:rFonts w:hint="eastAsia" w:hAnsi="仿宋_GB2312" w:cs="仿宋_GB2312"/>
          <w:kern w:val="2"/>
          <w:sz w:val="32"/>
          <w:szCs w:val="32"/>
          <w:lang w:val="en-US" w:eastAsia="zh-CN" w:bidi="ar-SA"/>
        </w:rPr>
        <w:t>124条、</w:t>
      </w:r>
      <w:r>
        <w:rPr>
          <w:rFonts w:hint="eastAsia" w:ascii="仿宋_GB2312" w:hAnsi="仿宋_GB2312" w:eastAsia="仿宋_GB2312" w:cs="仿宋_GB2312"/>
          <w:kern w:val="2"/>
          <w:sz w:val="32"/>
          <w:szCs w:val="32"/>
          <w:lang w:val="en-US" w:eastAsia="zh-CN" w:bidi="ar-SA"/>
        </w:rPr>
        <w:t>重大项目</w:t>
      </w:r>
      <w:r>
        <w:rPr>
          <w:rFonts w:hint="eastAsia" w:hAnsi="仿宋_GB2312" w:cs="仿宋_GB2312"/>
          <w:kern w:val="2"/>
          <w:sz w:val="32"/>
          <w:szCs w:val="32"/>
          <w:lang w:val="en-US" w:eastAsia="zh-CN" w:bidi="ar-SA"/>
        </w:rPr>
        <w:t>建设44条</w:t>
      </w:r>
      <w:r>
        <w:rPr>
          <w:rFonts w:hint="eastAsia" w:ascii="仿宋_GB2312" w:hAnsi="仿宋_GB2312" w:eastAsia="仿宋_GB2312" w:cs="仿宋_GB2312"/>
          <w:kern w:val="2"/>
          <w:sz w:val="32"/>
          <w:szCs w:val="32"/>
          <w:lang w:val="en-US" w:eastAsia="zh-CN" w:bidi="ar-SA"/>
        </w:rPr>
        <w:t>、财政信息</w:t>
      </w:r>
      <w:r>
        <w:rPr>
          <w:rFonts w:hint="eastAsia" w:hAnsi="仿宋_GB2312" w:cs="仿宋_GB2312"/>
          <w:kern w:val="2"/>
          <w:sz w:val="32"/>
          <w:szCs w:val="32"/>
          <w:lang w:val="en-US" w:eastAsia="zh-CN" w:bidi="ar-SA"/>
        </w:rPr>
        <w:t>22条</w:t>
      </w:r>
      <w:r>
        <w:rPr>
          <w:rFonts w:hint="eastAsia" w:ascii="仿宋_GB2312" w:hAnsi="仿宋_GB2312" w:eastAsia="仿宋_GB2312" w:cs="仿宋_GB2312"/>
          <w:kern w:val="2"/>
          <w:sz w:val="32"/>
          <w:szCs w:val="32"/>
          <w:lang w:val="en-US" w:eastAsia="zh-CN" w:bidi="ar-SA"/>
        </w:rPr>
        <w:t>、人事信息</w:t>
      </w:r>
      <w:r>
        <w:rPr>
          <w:rFonts w:hint="eastAsia" w:hAnsi="仿宋_GB2312" w:cs="仿宋_GB2312"/>
          <w:kern w:val="2"/>
          <w:sz w:val="32"/>
          <w:szCs w:val="32"/>
          <w:lang w:val="en-US" w:eastAsia="zh-CN" w:bidi="ar-SA"/>
        </w:rPr>
        <w:t>24条</w:t>
      </w:r>
      <w:r>
        <w:rPr>
          <w:rFonts w:hint="eastAsia" w:ascii="仿宋_GB2312" w:hAnsi="仿宋_GB2312" w:eastAsia="仿宋_GB2312" w:cs="仿宋_GB2312"/>
          <w:kern w:val="2"/>
          <w:sz w:val="32"/>
          <w:szCs w:val="32"/>
          <w:lang w:val="en-US" w:eastAsia="zh-CN" w:bidi="ar-SA"/>
        </w:rPr>
        <w:t>、教育信息</w:t>
      </w:r>
      <w:r>
        <w:rPr>
          <w:rFonts w:hint="eastAsia" w:hAnsi="仿宋_GB2312" w:cs="仿宋_GB2312"/>
          <w:kern w:val="2"/>
          <w:sz w:val="32"/>
          <w:szCs w:val="32"/>
          <w:lang w:val="en-US" w:eastAsia="zh-CN" w:bidi="ar-SA"/>
        </w:rPr>
        <w:t>1853条、</w:t>
      </w:r>
      <w:r>
        <w:rPr>
          <w:rFonts w:hint="eastAsia" w:ascii="仿宋_GB2312" w:hAnsi="仿宋_GB2312" w:eastAsia="仿宋_GB2312" w:cs="仿宋_GB2312"/>
          <w:kern w:val="2"/>
          <w:sz w:val="32"/>
          <w:szCs w:val="32"/>
          <w:lang w:val="en-US" w:eastAsia="zh-CN" w:bidi="ar-SA"/>
        </w:rPr>
        <w:t>统计信息</w:t>
      </w:r>
      <w:r>
        <w:rPr>
          <w:rFonts w:hint="eastAsia" w:hAnsi="仿宋_GB2312" w:cs="仿宋_GB2312"/>
          <w:kern w:val="2"/>
          <w:sz w:val="32"/>
          <w:szCs w:val="32"/>
          <w:lang w:val="en-US" w:eastAsia="zh-CN" w:bidi="ar-SA"/>
        </w:rPr>
        <w:t>13条、</w:t>
      </w:r>
      <w:r>
        <w:rPr>
          <w:rFonts w:hint="eastAsia" w:ascii="仿宋_GB2312" w:hAnsi="仿宋_GB2312" w:eastAsia="仿宋_GB2312" w:cs="仿宋_GB2312"/>
          <w:kern w:val="2"/>
          <w:sz w:val="32"/>
          <w:szCs w:val="32"/>
          <w:lang w:val="en-US" w:eastAsia="zh-CN" w:bidi="ar-SA"/>
        </w:rPr>
        <w:t>公共资源配置</w:t>
      </w:r>
      <w:r>
        <w:rPr>
          <w:rFonts w:hint="eastAsia" w:hAnsi="仿宋_GB2312" w:cs="仿宋_GB2312"/>
          <w:kern w:val="2"/>
          <w:sz w:val="32"/>
          <w:szCs w:val="32"/>
          <w:lang w:val="en-US" w:eastAsia="zh-CN" w:bidi="ar-SA"/>
        </w:rPr>
        <w:t>44条</w:t>
      </w:r>
      <w:r>
        <w:rPr>
          <w:rFonts w:hint="eastAsia" w:ascii="仿宋_GB2312" w:hAnsi="仿宋_GB2312" w:eastAsia="仿宋_GB2312" w:cs="仿宋_GB2312"/>
          <w:kern w:val="2"/>
          <w:sz w:val="32"/>
          <w:szCs w:val="32"/>
          <w:lang w:val="en-US" w:eastAsia="zh-CN" w:bidi="ar-SA"/>
        </w:rPr>
        <w:t>、社会公益</w:t>
      </w:r>
      <w:r>
        <w:rPr>
          <w:rFonts w:hint="eastAsia" w:hAnsi="仿宋_GB2312" w:cs="仿宋_GB2312"/>
          <w:kern w:val="2"/>
          <w:sz w:val="32"/>
          <w:szCs w:val="32"/>
          <w:lang w:val="en-US" w:eastAsia="zh-CN" w:bidi="ar-SA"/>
        </w:rPr>
        <w:t>事业建设338条</w:t>
      </w:r>
      <w:r>
        <w:rPr>
          <w:rFonts w:hint="eastAsia" w:ascii="仿宋_GB2312" w:hAnsi="仿宋_GB2312" w:eastAsia="仿宋_GB2312" w:cs="仿宋_GB2312"/>
          <w:kern w:val="2"/>
          <w:sz w:val="32"/>
          <w:szCs w:val="32"/>
          <w:lang w:val="en-US" w:eastAsia="zh-CN" w:bidi="ar-SA"/>
        </w:rPr>
        <w:t>、规划计划</w:t>
      </w:r>
      <w:r>
        <w:rPr>
          <w:rFonts w:hint="eastAsia" w:hAnsi="仿宋_GB2312" w:cs="仿宋_GB2312"/>
          <w:kern w:val="2"/>
          <w:sz w:val="32"/>
          <w:szCs w:val="32"/>
          <w:lang w:val="en-US" w:eastAsia="zh-CN" w:bidi="ar-SA"/>
        </w:rPr>
        <w:t>36条</w:t>
      </w:r>
      <w:r>
        <w:rPr>
          <w:rFonts w:hint="eastAsia" w:ascii="仿宋_GB2312" w:hAnsi="仿宋_GB2312" w:eastAsia="仿宋_GB2312" w:cs="仿宋_GB2312"/>
          <w:kern w:val="2"/>
          <w:sz w:val="32"/>
          <w:szCs w:val="32"/>
          <w:lang w:val="en-US" w:eastAsia="zh-CN" w:bidi="ar-SA"/>
        </w:rPr>
        <w:t>、三大攻坚战</w:t>
      </w:r>
      <w:r>
        <w:rPr>
          <w:rFonts w:hint="eastAsia" w:hAnsi="仿宋_GB2312" w:cs="仿宋_GB2312"/>
          <w:kern w:val="2"/>
          <w:sz w:val="32"/>
          <w:szCs w:val="32"/>
          <w:lang w:val="en-US" w:eastAsia="zh-CN" w:bidi="ar-SA"/>
        </w:rPr>
        <w:t>76条</w:t>
      </w:r>
      <w:r>
        <w:rPr>
          <w:rFonts w:hint="eastAsia" w:ascii="仿宋_GB2312" w:hAnsi="仿宋_GB2312" w:eastAsia="仿宋_GB2312" w:cs="仿宋_GB2312"/>
          <w:kern w:val="2"/>
          <w:sz w:val="32"/>
          <w:szCs w:val="32"/>
          <w:lang w:val="en-US" w:eastAsia="zh-CN" w:bidi="ar-SA"/>
        </w:rPr>
        <w:t>、政府工作报告</w:t>
      </w:r>
      <w:r>
        <w:rPr>
          <w:rFonts w:hint="eastAsia" w:hAnsi="仿宋_GB2312" w:cs="仿宋_GB2312"/>
          <w:kern w:val="2"/>
          <w:sz w:val="32"/>
          <w:szCs w:val="32"/>
          <w:lang w:val="en-US" w:eastAsia="zh-CN" w:bidi="ar-SA"/>
        </w:rPr>
        <w:t>1条</w:t>
      </w:r>
      <w:r>
        <w:rPr>
          <w:rFonts w:hint="eastAsia" w:ascii="仿宋_GB2312" w:hAnsi="仿宋_GB2312" w:eastAsia="仿宋_GB2312" w:cs="仿宋_GB2312"/>
          <w:kern w:val="2"/>
          <w:sz w:val="32"/>
          <w:szCs w:val="32"/>
          <w:lang w:val="en-US" w:eastAsia="zh-CN" w:bidi="ar-SA"/>
        </w:rPr>
        <w:t>、建议提案</w:t>
      </w:r>
      <w:r>
        <w:rPr>
          <w:rFonts w:hint="eastAsia" w:hAnsi="仿宋_GB2312" w:cs="仿宋_GB2312"/>
          <w:kern w:val="2"/>
          <w:sz w:val="32"/>
          <w:szCs w:val="32"/>
          <w:lang w:val="en-US" w:eastAsia="zh-CN" w:bidi="ar-SA"/>
        </w:rPr>
        <w:t>20条 、食品监督抽查24条、环境违法曝光台25条 、监督检查34条 、应急管理113条 、公示公告439条，</w:t>
      </w:r>
      <w:r>
        <w:rPr>
          <w:rFonts w:hint="eastAsia" w:ascii="仿宋_GB2312" w:hAnsi="仿宋_GB2312" w:eastAsia="仿宋_GB2312" w:cs="仿宋_GB2312"/>
          <w:kern w:val="2"/>
          <w:sz w:val="32"/>
          <w:szCs w:val="32"/>
          <w:lang w:val="en-US" w:eastAsia="zh-CN" w:bidi="ar-SA"/>
        </w:rPr>
        <w:t>共计</w:t>
      </w:r>
      <w:r>
        <w:rPr>
          <w:rFonts w:hint="eastAsia" w:hAnsi="仿宋_GB2312" w:cs="仿宋_GB2312"/>
          <w:kern w:val="2"/>
          <w:sz w:val="32"/>
          <w:szCs w:val="32"/>
          <w:lang w:val="en-US" w:eastAsia="zh-CN" w:bidi="ar-SA"/>
        </w:rPr>
        <w:t>3368</w:t>
      </w:r>
      <w:r>
        <w:rPr>
          <w:rFonts w:hint="eastAsia" w:ascii="仿宋_GB2312" w:hAnsi="仿宋_GB2312" w:eastAsia="仿宋_GB2312" w:cs="仿宋_GB2312"/>
          <w:kern w:val="2"/>
          <w:sz w:val="32"/>
          <w:szCs w:val="32"/>
          <w:lang w:val="en-US" w:eastAsia="zh-CN" w:bidi="ar-SA"/>
        </w:rPr>
        <w:t>条。</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.拓宽政务公开渠道，增强公众参与度。2019年，共召开县政府常务会议14次，每期邀请3名公众代表列席会议</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共收到咨询投诉信箱群众来信32件，办结32件，办结率100%</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开展征集调查8期</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在线访谈3期</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举办“邀请公民代表进政府”活动1期</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“大学生到政府机关见习” 活动1期</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解读各类政策文件61条。</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3.建立信用信息公开制度，加快“信用宜君”建设步伐</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2019年</w:t>
      </w:r>
      <w:r>
        <w:rPr>
          <w:rFonts w:hint="eastAsia" w:hAnsi="仿宋_GB2312" w:cs="仿宋_GB2312"/>
          <w:kern w:val="2"/>
          <w:sz w:val="32"/>
          <w:szCs w:val="32"/>
          <w:lang w:val="en-US" w:eastAsia="zh-CN" w:bidi="ar-SA"/>
        </w:rPr>
        <w:t>，我</w:t>
      </w:r>
      <w:r>
        <w:rPr>
          <w:rFonts w:hint="eastAsia" w:ascii="仿宋_GB2312" w:hAnsi="仿宋_GB2312" w:eastAsia="仿宋_GB2312" w:cs="仿宋_GB2312"/>
          <w:kern w:val="2"/>
          <w:sz w:val="32"/>
          <w:szCs w:val="32"/>
          <w:lang w:val="en-US" w:eastAsia="zh-CN" w:bidi="ar-SA"/>
        </w:rPr>
        <w:t>县不断完善政府、社会共同参与的守信联合激励和失信联合惩戒机制，构建促进市场主体依法诚信经营，维护市场正常秩序，营造诚信社会环境。各部门</w:t>
      </w:r>
      <w:r>
        <w:rPr>
          <w:rFonts w:hint="eastAsia" w:hAnsi="仿宋_GB2312" w:cs="仿宋_GB2312"/>
          <w:kern w:val="2"/>
          <w:sz w:val="32"/>
          <w:szCs w:val="32"/>
          <w:lang w:val="en-US" w:eastAsia="zh-CN" w:bidi="ar-SA"/>
        </w:rPr>
        <w:t>全年</w:t>
      </w:r>
      <w:r>
        <w:rPr>
          <w:rFonts w:hint="eastAsia" w:ascii="仿宋_GB2312" w:hAnsi="仿宋_GB2312" w:eastAsia="仿宋_GB2312" w:cs="仿宋_GB2312"/>
          <w:kern w:val="2"/>
          <w:sz w:val="32"/>
          <w:szCs w:val="32"/>
          <w:lang w:val="en-US" w:eastAsia="zh-CN" w:bidi="ar-SA"/>
        </w:rPr>
        <w:t>累计公示行政许可信息27条、行政处罚信息26条、“双随机”信息17条、其他信用信息8条，共计78条。</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　　4</w:t>
      </w:r>
      <w:r>
        <w:rPr>
          <w:rFonts w:hint="eastAsia" w:ascii="仿宋_GB2312" w:hAnsi="仿宋_GB2312" w:eastAsia="仿宋_GB2312" w:cs="仿宋_GB2312"/>
          <w:kern w:val="2"/>
          <w:sz w:val="32"/>
          <w:szCs w:val="32"/>
          <w:lang w:val="en-US" w:eastAsia="zh-CN" w:bidi="ar-SA"/>
        </w:rPr>
        <w:t>.加强政务服务平台建设</w:t>
      </w:r>
      <w:r>
        <w:rPr>
          <w:rFonts w:hint="eastAsia" w:hAnsi="仿宋_GB2312" w:cs="仿宋_GB2312"/>
          <w:kern w:val="2"/>
          <w:sz w:val="32"/>
          <w:szCs w:val="32"/>
          <w:lang w:val="en-US" w:eastAsia="zh-CN" w:bidi="ar-SA"/>
        </w:rPr>
        <w:t>，逐步</w:t>
      </w:r>
      <w:r>
        <w:rPr>
          <w:rFonts w:hint="eastAsia" w:ascii="仿宋_GB2312" w:hAnsi="黑体" w:eastAsia="仿宋_GB2312" w:cs="仿宋_GB2312"/>
          <w:bCs/>
          <w:sz w:val="32"/>
          <w:szCs w:val="32"/>
          <w:lang w:eastAsia="zh-CN"/>
        </w:rPr>
        <w:t>解决“最后一公里”</w:t>
      </w:r>
      <w:r>
        <w:rPr>
          <w:rFonts w:hint="eastAsia" w:hAnsi="黑体" w:cs="仿宋_GB2312"/>
          <w:bCs/>
          <w:sz w:val="32"/>
          <w:szCs w:val="32"/>
          <w:lang w:eastAsia="zh-CN"/>
        </w:rPr>
        <w:t>问题。</w:t>
      </w:r>
      <w:r>
        <w:rPr>
          <w:rFonts w:hint="eastAsia" w:ascii="仿宋_GB2312" w:hAnsi="仿宋_GB2312" w:eastAsia="仿宋_GB2312" w:cs="仿宋_GB2312"/>
          <w:kern w:val="2"/>
          <w:sz w:val="32"/>
          <w:szCs w:val="32"/>
          <w:lang w:val="en-US" w:eastAsia="zh-CN" w:bidi="ar-SA"/>
        </w:rPr>
        <w:t>“陕西政务服务网</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铜川-宜君</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”2019年建成，与省市政务服务平台实现融合对接</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自建成试运行以来，共受理政务事项1001件（其中网上申报的509件</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窗口申报的492件），办结979件（其中网上申报办结的489件</w:t>
      </w:r>
      <w:r>
        <w:rPr>
          <w:rFonts w:hint="eastAsia"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窗口办结的490件），初步实现了“一网通办”。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（二）依申请公开办理情况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bCs/>
          <w:sz w:val="32"/>
          <w:szCs w:val="32"/>
        </w:rPr>
      </w:pPr>
      <w:r>
        <w:rPr>
          <w:rFonts w:hint="default" w:ascii="仿宋_GB2312" w:hAnsi="黑体" w:eastAsia="仿宋_GB2312" w:cs="仿宋_GB2312"/>
          <w:bCs/>
          <w:sz w:val="32"/>
          <w:szCs w:val="32"/>
        </w:rPr>
        <w:t>规范完善依申请公开的登记、</w:t>
      </w:r>
      <w:r>
        <w:rPr>
          <w:rFonts w:hint="eastAsia" w:ascii="仿宋_GB2312" w:hAnsi="黑体" w:eastAsia="仿宋_GB2312" w:cs="仿宋_GB2312"/>
          <w:bCs/>
          <w:sz w:val="32"/>
          <w:szCs w:val="32"/>
          <w:lang w:eastAsia="zh-CN"/>
        </w:rPr>
        <w:t>审核、</w:t>
      </w:r>
      <w:r>
        <w:rPr>
          <w:rFonts w:hint="default" w:ascii="仿宋_GB2312" w:hAnsi="黑体" w:eastAsia="仿宋_GB2312" w:cs="仿宋_GB2312"/>
          <w:bCs/>
          <w:sz w:val="32"/>
          <w:szCs w:val="32"/>
        </w:rPr>
        <w:t>办理、答复、归档等环节，</w:t>
      </w:r>
      <w:r>
        <w:rPr>
          <w:rFonts w:hint="eastAsia" w:ascii="仿宋_GB2312" w:hAnsi="黑体" w:eastAsia="仿宋_GB2312" w:cs="仿宋_GB2312"/>
          <w:bCs/>
          <w:sz w:val="32"/>
          <w:szCs w:val="32"/>
          <w:lang w:val="en-US" w:eastAsia="zh-CN"/>
        </w:rPr>
        <w:t>2019年</w:t>
      </w:r>
      <w:r>
        <w:rPr>
          <w:rFonts w:hint="default" w:ascii="仿宋_GB2312" w:hAnsi="黑体" w:eastAsia="仿宋_GB2312" w:cs="仿宋_GB2312"/>
          <w:bCs/>
          <w:sz w:val="32"/>
          <w:szCs w:val="32"/>
        </w:rPr>
        <w:t>共收到依申请公开信件2件，回复2件，办结率100%。全年</w:t>
      </w:r>
      <w:r>
        <w:rPr>
          <w:rFonts w:hint="default" w:ascii="仿宋_GB2312" w:hAnsi="黑体" w:eastAsia="仿宋_GB2312" w:cs="仿宋_GB2312"/>
          <w:bCs/>
          <w:sz w:val="32"/>
          <w:szCs w:val="32"/>
          <w:lang w:eastAsia="zh-CN"/>
        </w:rPr>
        <w:t>信息公开</w:t>
      </w:r>
      <w:r>
        <w:rPr>
          <w:rFonts w:hint="default" w:ascii="仿宋_GB2312" w:hAnsi="黑体" w:eastAsia="仿宋_GB2312" w:cs="仿宋_GB2312"/>
          <w:bCs/>
          <w:sz w:val="32"/>
          <w:szCs w:val="32"/>
        </w:rPr>
        <w:t>无行政复议</w:t>
      </w:r>
      <w:r>
        <w:rPr>
          <w:rFonts w:hint="default" w:ascii="仿宋_GB2312" w:hAnsi="黑体" w:eastAsia="仿宋_GB2312" w:cs="仿宋_GB2312"/>
          <w:bCs/>
          <w:sz w:val="32"/>
          <w:szCs w:val="32"/>
          <w:lang w:eastAsia="zh-CN"/>
        </w:rPr>
        <w:t>情形，</w:t>
      </w:r>
      <w:r>
        <w:rPr>
          <w:rFonts w:hint="eastAsia" w:ascii="仿宋_GB2312" w:hAnsi="黑体" w:eastAsia="仿宋_GB2312" w:cs="仿宋_GB2312"/>
          <w:bCs/>
          <w:sz w:val="32"/>
          <w:szCs w:val="32"/>
          <w:lang w:eastAsia="zh-CN"/>
        </w:rPr>
        <w:t>无</w:t>
      </w:r>
      <w:r>
        <w:rPr>
          <w:rFonts w:hint="default" w:ascii="仿宋_GB2312" w:hAnsi="黑体" w:eastAsia="仿宋_GB2312" w:cs="仿宋_GB2312"/>
          <w:bCs/>
          <w:sz w:val="32"/>
          <w:szCs w:val="32"/>
          <w:lang w:eastAsia="zh-CN"/>
        </w:rPr>
        <w:t>行政诉讼情况</w:t>
      </w:r>
      <w:r>
        <w:rPr>
          <w:rFonts w:hint="default" w:ascii="仿宋_GB2312" w:hAnsi="黑体" w:eastAsia="仿宋_GB2312" w:cs="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bCs/>
          <w:kern w:val="2"/>
          <w:sz w:val="32"/>
          <w:szCs w:val="32"/>
          <w:lang w:val="en-US" w:eastAsia="zh-CN" w:bidi="ar-SA"/>
        </w:rPr>
      </w:pPr>
      <w:r>
        <w:rPr>
          <w:rFonts w:hint="eastAsia" w:ascii="仿宋_GB2312" w:hAnsi="黑体" w:eastAsia="仿宋_GB2312" w:cs="仿宋_GB2312"/>
          <w:bCs/>
          <w:sz w:val="32"/>
          <w:szCs w:val="32"/>
          <w:lang w:val="en-US" w:eastAsia="zh-CN"/>
        </w:rPr>
        <w:t>按照政府信息公开的法规制度，建立健全政府信息公开工作机制，完善了《</w:t>
      </w:r>
      <w:r>
        <w:rPr>
          <w:rFonts w:hint="eastAsia" w:ascii="仿宋_GB2312" w:hAnsi="黑体" w:eastAsia="仿宋_GB2312" w:cs="仿宋_GB2312"/>
          <w:bCs/>
          <w:sz w:val="32"/>
          <w:szCs w:val="32"/>
          <w:lang w:eastAsia="zh-CN"/>
        </w:rPr>
        <w:t>宜君县政府门户网站管理办法》</w:t>
      </w:r>
      <w:r>
        <w:rPr>
          <w:rFonts w:hint="eastAsia" w:ascii="仿宋_GB2312" w:hAnsi="黑体" w:eastAsia="仿宋_GB2312" w:cs="仿宋_GB2312"/>
          <w:bCs/>
          <w:sz w:val="32"/>
          <w:szCs w:val="32"/>
          <w:lang w:val="en-US" w:eastAsia="zh-CN"/>
        </w:rPr>
        <w:t>(试行）《宜君县政府网站集约化管理暂行办法》、政府网站工作职责及机制、</w:t>
      </w:r>
      <w:r>
        <w:rPr>
          <w:rFonts w:hint="eastAsia" w:ascii="仿宋_GB2312" w:hAnsi="黑体" w:eastAsia="仿宋_GB2312" w:cs="仿宋_GB2312"/>
          <w:bCs/>
          <w:sz w:val="32"/>
          <w:szCs w:val="32"/>
          <w:lang w:eastAsia="zh-CN"/>
        </w:rPr>
        <w:t>工作考核制度、责任追究制度、社会评议制度、县政府网站安全保密管理制度、县政府信息发布保密审查制度及县政府网站帐号密码管理制度。</w:t>
      </w:r>
      <w:r>
        <w:rPr>
          <w:rFonts w:hint="eastAsia" w:ascii="仿宋_GB2312" w:hAnsi="黑体" w:eastAsia="仿宋_GB2312" w:cs="仿宋_GB2312"/>
          <w:bCs/>
          <w:kern w:val="2"/>
          <w:sz w:val="32"/>
          <w:szCs w:val="32"/>
          <w:lang w:val="en-US" w:eastAsia="zh-CN" w:bidi="ar-SA"/>
        </w:rPr>
        <w:t>落实专人承担政府信息公开的各项工作任务，对所公开事项内容进行审核、把关，确保公开内容的合法性、准确性、严肃性，确保公开的范围、形式、时限、程序等符合《中华人民共和国政府信息公开条例》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（四）平台建设</w:t>
      </w:r>
    </w:p>
    <w:p>
      <w:pPr>
        <w:pStyle w:val="2"/>
        <w:ind w:left="0" w:leftChars="0" w:firstLine="640" w:firstLineChars="200"/>
        <w:rPr>
          <w:rFonts w:hint="eastAsia" w:ascii="仿宋_GB2312" w:hAnsi="黑体" w:eastAsia="仿宋_GB2312" w:cs="仿宋_GB2312"/>
          <w:bCs/>
          <w:sz w:val="32"/>
          <w:szCs w:val="32"/>
          <w:lang w:eastAsia="zh-CN"/>
        </w:rPr>
      </w:pPr>
      <w:r>
        <w:rPr>
          <w:rFonts w:hint="eastAsia" w:ascii="仿宋_GB2312" w:hAnsi="黑体" w:eastAsia="仿宋_GB2312" w:cs="仿宋_GB2312"/>
          <w:bCs/>
          <w:sz w:val="32"/>
          <w:szCs w:val="32"/>
          <w:lang w:val="en-US" w:eastAsia="zh-CN"/>
        </w:rPr>
        <w:t>2019年，通过宜君县人民政府门户网站、“宜君发布”政务微信、政务微博、今日头条公开各类信息。县政府门户网站</w:t>
      </w:r>
      <w:r>
        <w:rPr>
          <w:rFonts w:hint="eastAsia" w:ascii="仿宋_GB2312" w:hAnsi="黑体" w:eastAsia="仿宋_GB2312" w:cs="仿宋_GB2312"/>
          <w:bCs/>
          <w:sz w:val="32"/>
          <w:szCs w:val="32"/>
          <w:lang w:eastAsia="zh-CN"/>
        </w:rPr>
        <w:t>在中省市主管部门常态化检测、专项内容检测中均为合格。接通全县涉及政务服务事项单位</w:t>
      </w:r>
      <w:r>
        <w:rPr>
          <w:rFonts w:hint="eastAsia" w:hAnsi="黑体" w:cs="仿宋_GB2312"/>
          <w:bCs/>
          <w:sz w:val="32"/>
          <w:szCs w:val="32"/>
          <w:lang w:eastAsia="zh-CN"/>
        </w:rPr>
        <w:t>的</w:t>
      </w:r>
      <w:r>
        <w:rPr>
          <w:rFonts w:hint="eastAsia" w:ascii="仿宋_GB2312" w:hAnsi="黑体" w:eastAsia="仿宋_GB2312" w:cs="仿宋_GB2312"/>
          <w:bCs/>
          <w:sz w:val="32"/>
          <w:szCs w:val="32"/>
          <w:lang w:eastAsia="zh-CN"/>
        </w:rPr>
        <w:t>政务服务平台，实现了服务群众“零距离”，全县政务服务全覆盖。</w:t>
      </w:r>
      <w:r>
        <w:rPr>
          <w:rFonts w:hint="eastAsia" w:ascii="仿宋_GB2312" w:hAnsi="黑体" w:eastAsia="仿宋_GB2312" w:cs="仿宋_GB2312"/>
          <w:bCs/>
          <w:sz w:val="32"/>
          <w:szCs w:val="32"/>
          <w:lang w:val="en-US" w:eastAsia="zh-CN"/>
        </w:rPr>
        <w:t>３</w:t>
      </w:r>
      <w:r>
        <w:rPr>
          <w:rFonts w:hint="eastAsia" w:ascii="仿宋_GB2312" w:hAnsi="黑体" w:eastAsia="仿宋_GB2312" w:cs="仿宋_GB2312"/>
          <w:bCs/>
          <w:sz w:val="32"/>
          <w:szCs w:val="32"/>
          <w:lang w:eastAsia="zh-CN"/>
        </w:rPr>
        <w:t>月，按照市政府网站集约化管理要求，将</w:t>
      </w:r>
      <w:r>
        <w:rPr>
          <w:rFonts w:hint="eastAsia" w:hAnsi="黑体" w:cs="仿宋_GB2312"/>
          <w:bCs/>
          <w:sz w:val="32"/>
          <w:szCs w:val="32"/>
          <w:lang w:eastAsia="zh-CN"/>
        </w:rPr>
        <w:t>我县</w:t>
      </w:r>
      <w:r>
        <w:rPr>
          <w:rFonts w:hint="eastAsia" w:ascii="仿宋_GB2312" w:hAnsi="黑体" w:eastAsia="仿宋_GB2312" w:cs="仿宋_GB2312"/>
          <w:bCs/>
          <w:sz w:val="32"/>
          <w:szCs w:val="32"/>
          <w:lang w:eastAsia="zh-CN"/>
        </w:rPr>
        <w:t>网站服务器迁移至市政务信息化服务中心机房，实行集约化管理</w:t>
      </w:r>
      <w:r>
        <w:rPr>
          <w:rFonts w:hint="eastAsia" w:hAnsi="黑体" w:cs="仿宋_GB2312"/>
          <w:bCs/>
          <w:sz w:val="32"/>
          <w:szCs w:val="32"/>
          <w:lang w:eastAsia="zh-CN"/>
        </w:rPr>
        <w:t>。</w:t>
      </w:r>
      <w:r>
        <w:rPr>
          <w:rFonts w:hint="eastAsia" w:ascii="仿宋_GB2312" w:hAnsi="黑体" w:eastAsia="仿宋_GB2312" w:cs="仿宋_GB2312"/>
          <w:bCs/>
          <w:sz w:val="32"/>
          <w:szCs w:val="32"/>
          <w:lang w:val="en-US" w:eastAsia="zh-CN"/>
        </w:rPr>
        <w:t>8月，</w:t>
      </w:r>
      <w:r>
        <w:rPr>
          <w:rFonts w:hint="eastAsia" w:ascii="仿宋_GB2312" w:hAnsi="黑体" w:eastAsia="仿宋_GB2312" w:cs="仿宋_GB2312"/>
          <w:bCs/>
          <w:sz w:val="32"/>
          <w:szCs w:val="32"/>
          <w:lang w:eastAsia="zh-CN"/>
        </w:rPr>
        <w:t>宜君县政府便民服务管理中心永久下线，经整合，各政府部门均不再开设网站。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（五）监督保障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黑体" w:eastAsia="仿宋_GB2312" w:cs="仿宋_GB2312"/>
          <w:bCs/>
          <w:sz w:val="32"/>
          <w:szCs w:val="32"/>
          <w:lang w:eastAsia="zh-CN"/>
        </w:rPr>
      </w:pPr>
      <w:r>
        <w:rPr>
          <w:rFonts w:hint="default" w:ascii="仿宋_GB2312" w:hAnsi="黑体" w:eastAsia="仿宋_GB2312" w:cs="仿宋_GB2312"/>
          <w:bCs/>
          <w:sz w:val="32"/>
          <w:szCs w:val="32"/>
          <w:lang w:eastAsia="zh-CN"/>
        </w:rPr>
        <w:t>成立了由县委常委、常务副县长任组长的宜君县政务公开工作领导小组</w:t>
      </w:r>
      <w:r>
        <w:rPr>
          <w:rFonts w:hint="eastAsia" w:ascii="仿宋_GB2312" w:hAnsi="黑体" w:eastAsia="仿宋_GB2312" w:cs="仿宋_GB2312"/>
          <w:bCs/>
          <w:sz w:val="32"/>
          <w:szCs w:val="32"/>
          <w:lang w:eastAsia="zh-CN"/>
        </w:rPr>
        <w:t>。</w:t>
      </w:r>
      <w:r>
        <w:rPr>
          <w:rFonts w:hint="default" w:ascii="仿宋_GB2312" w:hAnsi="黑体" w:eastAsia="仿宋_GB2312" w:cs="仿宋_GB2312"/>
          <w:bCs/>
          <w:sz w:val="32"/>
          <w:szCs w:val="32"/>
          <w:lang w:eastAsia="zh-CN"/>
        </w:rPr>
        <w:t>2017年起，将宜君县政府门户网站政务公开建设纳入年度目标责任考核，对各乡镇、部门信息公开工作作为共性指标进行考核，共占比4%。通过《政务督查通报》定期对</w:t>
      </w:r>
      <w:r>
        <w:rPr>
          <w:rFonts w:hint="eastAsia" w:ascii="仿宋_GB2312" w:hAnsi="黑体" w:eastAsia="仿宋_GB2312" w:cs="仿宋_GB2312"/>
          <w:bCs/>
          <w:sz w:val="32"/>
          <w:szCs w:val="32"/>
          <w:lang w:eastAsia="zh-CN"/>
        </w:rPr>
        <w:t>各乡镇、部门的</w:t>
      </w:r>
      <w:r>
        <w:rPr>
          <w:rFonts w:hint="default" w:ascii="仿宋_GB2312" w:hAnsi="黑体" w:eastAsia="仿宋_GB2312" w:cs="仿宋_GB2312"/>
          <w:bCs/>
          <w:sz w:val="32"/>
          <w:szCs w:val="32"/>
          <w:lang w:eastAsia="zh-CN"/>
        </w:rPr>
        <w:t>信息报送及政务公开情况进行通报，督促各单位查缺补漏，为政务公开工作高效开展提供保障。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楷体_GB2312" w:hAnsi="黑体" w:eastAsia="楷体_GB2312" w:cs="仿宋_GB2312"/>
          <w:bCs/>
          <w:kern w:val="2"/>
          <w:sz w:val="32"/>
          <w:szCs w:val="32"/>
          <w:lang w:val="en-US" w:eastAsia="zh-CN" w:bidi="ar-SA"/>
        </w:rPr>
      </w:pPr>
      <w:r>
        <w:rPr>
          <w:rFonts w:hint="eastAsia" w:ascii="楷体_GB2312" w:hAnsi="黑体" w:eastAsia="楷体_GB2312" w:cs="仿宋_GB2312"/>
          <w:bCs/>
          <w:kern w:val="2"/>
          <w:sz w:val="32"/>
          <w:szCs w:val="32"/>
          <w:lang w:val="en-US" w:eastAsia="zh-CN" w:bidi="ar-SA"/>
        </w:rPr>
        <w:t>（六）做好人大代表建议和政协委员提案办理结果公开。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bCs/>
          <w:sz w:val="32"/>
          <w:szCs w:val="32"/>
          <w:lang w:eastAsia="zh-CN"/>
        </w:rPr>
      </w:pPr>
      <w:r>
        <w:rPr>
          <w:rFonts w:hint="eastAsia" w:ascii="仿宋_GB2312" w:hAnsi="黑体" w:eastAsia="仿宋_GB2312" w:cs="仿宋_GB2312"/>
          <w:bCs/>
          <w:sz w:val="32"/>
          <w:szCs w:val="32"/>
          <w:lang w:eastAsia="zh-CN"/>
        </w:rPr>
        <w:t>全年在县政府门户网站公开</w:t>
      </w:r>
      <w:r>
        <w:rPr>
          <w:rFonts w:hint="default" w:ascii="仿宋_GB2312" w:hAnsi="黑体" w:eastAsia="仿宋_GB2312" w:cs="仿宋_GB2312"/>
          <w:bCs/>
          <w:sz w:val="32"/>
          <w:szCs w:val="32"/>
          <w:lang w:eastAsia="zh-CN"/>
        </w:rPr>
        <w:t>人大代表建议</w:t>
      </w:r>
      <w:r>
        <w:rPr>
          <w:rFonts w:hint="eastAsia" w:ascii="仿宋_GB2312" w:hAnsi="黑体" w:eastAsia="仿宋_GB2312" w:cs="仿宋_GB2312"/>
          <w:bCs/>
          <w:sz w:val="32"/>
          <w:szCs w:val="32"/>
          <w:lang w:val="en-US" w:eastAsia="zh-CN"/>
        </w:rPr>
        <w:t>7</w:t>
      </w:r>
      <w:r>
        <w:rPr>
          <w:rFonts w:hint="default" w:ascii="仿宋_GB2312" w:hAnsi="黑体" w:eastAsia="仿宋_GB2312" w:cs="仿宋_GB2312"/>
          <w:bCs/>
          <w:sz w:val="32"/>
          <w:szCs w:val="32"/>
          <w:lang w:eastAsia="zh-CN"/>
        </w:rPr>
        <w:t>件</w:t>
      </w:r>
      <w:r>
        <w:rPr>
          <w:rFonts w:hint="eastAsia" w:ascii="仿宋_GB2312" w:hAnsi="黑体" w:eastAsia="仿宋_GB2312" w:cs="仿宋_GB2312"/>
          <w:bCs/>
          <w:sz w:val="32"/>
          <w:szCs w:val="32"/>
          <w:lang w:eastAsia="zh-CN"/>
        </w:rPr>
        <w:t>、</w:t>
      </w:r>
      <w:r>
        <w:rPr>
          <w:rFonts w:hint="default" w:ascii="仿宋_GB2312" w:hAnsi="黑体" w:eastAsia="仿宋_GB2312" w:cs="仿宋_GB2312"/>
          <w:bCs/>
          <w:sz w:val="32"/>
          <w:szCs w:val="32"/>
          <w:lang w:eastAsia="zh-CN"/>
        </w:rPr>
        <w:t>政协提案</w:t>
      </w:r>
      <w:r>
        <w:rPr>
          <w:rFonts w:hint="eastAsia" w:ascii="仿宋_GB2312" w:hAnsi="黑体" w:eastAsia="仿宋_GB2312" w:cs="仿宋_GB2312"/>
          <w:bCs/>
          <w:sz w:val="32"/>
          <w:szCs w:val="32"/>
          <w:lang w:val="en-US" w:eastAsia="zh-CN"/>
        </w:rPr>
        <w:t>13</w:t>
      </w:r>
      <w:r>
        <w:rPr>
          <w:rFonts w:hint="default" w:ascii="仿宋_GB2312" w:hAnsi="黑体" w:eastAsia="仿宋_GB2312" w:cs="仿宋_GB2312"/>
          <w:bCs/>
          <w:sz w:val="32"/>
          <w:szCs w:val="32"/>
          <w:lang w:eastAsia="zh-CN"/>
        </w:rPr>
        <w:t>件。</w:t>
      </w:r>
    </w:p>
    <w:p>
      <w:pPr>
        <w:tabs>
          <w:tab w:val="left" w:pos="7791"/>
        </w:tabs>
        <w:ind w:firstLine="646" w:firstLineChars="202"/>
        <w:rPr>
          <w:rFonts w:hint="eastAsia" w:ascii="黑体" w:hAnsi="黑体" w:eastAsia="黑体" w:cs="黑体"/>
          <w:snapToGrid w:val="0"/>
          <w:kern w:val="32"/>
          <w:sz w:val="32"/>
          <w:szCs w:val="32"/>
          <w:lang w:val="zh-CN"/>
        </w:rPr>
      </w:pPr>
      <w:bookmarkStart w:id="0" w:name="bookmark28"/>
      <w:r>
        <w:rPr>
          <w:rFonts w:hint="eastAsia" w:ascii="黑体" w:hAnsi="黑体" w:eastAsia="黑体" w:cs="黑体"/>
          <w:snapToGrid w:val="0"/>
          <w:kern w:val="32"/>
          <w:sz w:val="32"/>
          <w:szCs w:val="32"/>
          <w:lang w:val="zh-CN"/>
        </w:rPr>
        <w:t>二</w:t>
      </w:r>
      <w:bookmarkEnd w:id="0"/>
      <w:r>
        <w:rPr>
          <w:rFonts w:hint="eastAsia" w:ascii="黑体" w:hAnsi="黑体" w:eastAsia="黑体" w:cs="黑体"/>
          <w:snapToGrid w:val="0"/>
          <w:kern w:val="32"/>
          <w:sz w:val="32"/>
          <w:szCs w:val="32"/>
          <w:lang w:val="zh-CN"/>
        </w:rPr>
        <w:t>、主动公开政府信息情况</w:t>
      </w:r>
    </w:p>
    <w:tbl>
      <w:tblPr>
        <w:tblStyle w:val="4"/>
        <w:tblW w:w="8820" w:type="dxa"/>
        <w:jc w:val="center"/>
        <w:tblInd w:w="0" w:type="dxa"/>
        <w:tblLayout w:type="fixed"/>
        <w:tblCellMar>
          <w:top w:w="0" w:type="dxa"/>
          <w:left w:w="10" w:type="dxa"/>
          <w:bottom w:w="0" w:type="dxa"/>
          <w:right w:w="10" w:type="dxa"/>
        </w:tblCellMar>
      </w:tblPr>
      <w:tblGrid>
        <w:gridCol w:w="2192"/>
        <w:gridCol w:w="2238"/>
        <w:gridCol w:w="2372"/>
        <w:gridCol w:w="2018"/>
      </w:tblGrid>
      <w:tr>
        <w:tblPrEx>
          <w:tblLayout w:type="fixed"/>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第二十条第（一）项</w:t>
            </w:r>
          </w:p>
        </w:tc>
      </w:tr>
      <w:tr>
        <w:tblPrEx>
          <w:tblLayout w:type="fixed"/>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本年新制作数量</w:t>
            </w:r>
          </w:p>
        </w:tc>
        <w:tc>
          <w:tcPr>
            <w:tcW w:w="237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对外公开总数量</w:t>
            </w:r>
          </w:p>
        </w:tc>
      </w:tr>
      <w:tr>
        <w:tblPrEx>
          <w:tblLayout w:type="fixed"/>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规章</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c>
          <w:tcPr>
            <w:tcW w:w="2372" w:type="dxa"/>
            <w:tcBorders>
              <w:top w:val="single" w:color="auto" w:sz="4" w:space="0"/>
              <w:lef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规范性文件</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c>
          <w:tcPr>
            <w:tcW w:w="2372" w:type="dxa"/>
            <w:tcBorders>
              <w:top w:val="single" w:color="auto" w:sz="4" w:space="0"/>
              <w:lef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en-US" w:eastAsia="zh-CN"/>
              </w:rPr>
            </w:pPr>
            <w:r>
              <w:rPr>
                <w:rFonts w:hint="eastAsia"/>
                <w:lang w:val="en-US" w:eastAsia="zh-CN"/>
              </w:rPr>
              <w:t>0</w:t>
            </w:r>
          </w:p>
        </w:tc>
      </w:tr>
      <w:tr>
        <w:tblPrEx>
          <w:tblLayout w:type="fixed"/>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第二十条第（五）项</w:t>
            </w:r>
          </w:p>
        </w:tc>
      </w:tr>
      <w:tr>
        <w:tblPrEx>
          <w:tblLayout w:type="fixed"/>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上一年项目数量</w:t>
            </w:r>
          </w:p>
        </w:tc>
        <w:tc>
          <w:tcPr>
            <w:tcW w:w="237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处理决定数量</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行政许可</w:t>
            </w:r>
          </w:p>
        </w:tc>
        <w:tc>
          <w:tcPr>
            <w:tcW w:w="2238"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104</w:t>
            </w:r>
          </w:p>
        </w:tc>
        <w:tc>
          <w:tcPr>
            <w:tcW w:w="2372"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zh-CN"/>
              </w:rPr>
              <w:t>增</w:t>
            </w:r>
            <w:r>
              <w:rPr>
                <w:rFonts w:hint="eastAsia"/>
                <w:lang w:val="en-US" w:eastAsia="zh-CN"/>
              </w:rPr>
              <w:t>315</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4251</w:t>
            </w:r>
          </w:p>
        </w:tc>
      </w:tr>
      <w:tr>
        <w:tblPrEx>
          <w:tblLayout w:type="fixed"/>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其他对外管理服务事项</w:t>
            </w:r>
          </w:p>
        </w:tc>
        <w:tc>
          <w:tcPr>
            <w:tcW w:w="2238" w:type="dxa"/>
            <w:tcBorders>
              <w:top w:val="single" w:color="auto" w:sz="4" w:space="0"/>
              <w:lef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8</w:t>
            </w:r>
          </w:p>
        </w:tc>
        <w:tc>
          <w:tcPr>
            <w:tcW w:w="2372" w:type="dxa"/>
            <w:tcBorders>
              <w:top w:val="single" w:color="auto" w:sz="4" w:space="0"/>
              <w:lef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Layout w:type="fixed"/>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第二十条第（六）项</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上一年项目数量</w:t>
            </w:r>
          </w:p>
        </w:tc>
        <w:tc>
          <w:tcPr>
            <w:tcW w:w="237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处理决定数量</w:t>
            </w:r>
          </w:p>
        </w:tc>
      </w:tr>
      <w:tr>
        <w:tblPrEx>
          <w:tblLayout w:type="fixed"/>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行政处罚</w:t>
            </w:r>
          </w:p>
        </w:tc>
        <w:tc>
          <w:tcPr>
            <w:tcW w:w="2238"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235</w:t>
            </w:r>
          </w:p>
        </w:tc>
        <w:tc>
          <w:tcPr>
            <w:tcW w:w="2372"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zh-CN"/>
              </w:rPr>
              <w:t>减</w:t>
            </w:r>
            <w:r>
              <w:rPr>
                <w:rFonts w:hint="eastAsia"/>
                <w:lang w:val="en-US" w:eastAsia="zh-CN"/>
              </w:rPr>
              <w:t>22</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15</w:t>
            </w:r>
          </w:p>
        </w:tc>
      </w:tr>
      <w:tr>
        <w:tblPrEx>
          <w:tblLayout w:type="fixed"/>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行政强制</w:t>
            </w:r>
          </w:p>
        </w:tc>
        <w:tc>
          <w:tcPr>
            <w:tcW w:w="2238"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23</w:t>
            </w:r>
          </w:p>
        </w:tc>
        <w:tc>
          <w:tcPr>
            <w:tcW w:w="2372" w:type="dxa"/>
            <w:tcBorders>
              <w:top w:val="single" w:color="auto" w:sz="4" w:space="0"/>
              <w:lef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Layout w:type="fixed"/>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第二十条第（八）项</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本年增/减</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行政事业性收费</w:t>
            </w:r>
          </w:p>
        </w:tc>
        <w:tc>
          <w:tcPr>
            <w:tcW w:w="2238" w:type="dxa"/>
            <w:tcBorders>
              <w:top w:val="single" w:color="auto" w:sz="4" w:space="0"/>
              <w:lef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37</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zh-CN"/>
              </w:rPr>
              <w:t>增</w:t>
            </w:r>
            <w:r>
              <w:rPr>
                <w:rFonts w:hint="eastAsia"/>
                <w:lang w:val="en-US" w:eastAsia="zh-CN"/>
              </w:rPr>
              <w:t>28</w:t>
            </w:r>
          </w:p>
        </w:tc>
      </w:tr>
      <w:tr>
        <w:tblPrEx>
          <w:tblLayout w:type="fixed"/>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第二十条第（九）项</w:t>
            </w:r>
          </w:p>
        </w:tc>
      </w:tr>
      <w:tr>
        <w:tblPrEx>
          <w:tblLayout w:type="fixed"/>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信息内容</w:t>
            </w:r>
          </w:p>
        </w:tc>
        <w:tc>
          <w:tcPr>
            <w:tcW w:w="2238"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采购总金额</w:t>
            </w:r>
          </w:p>
        </w:tc>
      </w:tr>
      <w:tr>
        <w:tblPrEx>
          <w:tblLayout w:type="fixed"/>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lang w:val="zh-CN"/>
              </w:rPr>
            </w:pPr>
            <w:r>
              <w:rPr>
                <w:rFonts w:hint="eastAsia"/>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eastAsiaTheme="minorEastAsia"/>
                <w:lang w:val="en-US" w:eastAsia="zh-CN"/>
              </w:rPr>
            </w:pPr>
            <w:r>
              <w:rPr>
                <w:rFonts w:hint="eastAsia"/>
                <w:lang w:val="en-US" w:eastAsia="zh-CN"/>
              </w:rPr>
              <w:t>42</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2795.685万元</w:t>
            </w:r>
          </w:p>
        </w:tc>
      </w:tr>
    </w:tbl>
    <w:p>
      <w:pPr>
        <w:spacing w:line="1" w:lineRule="exact"/>
        <w:rPr>
          <w:sz w:val="2"/>
          <w:szCs w:val="2"/>
        </w:rPr>
      </w:pPr>
      <w:r>
        <w:br w:type="page"/>
      </w:r>
    </w:p>
    <w:p>
      <w:pPr>
        <w:tabs>
          <w:tab w:val="left" w:pos="7791"/>
        </w:tabs>
        <w:rPr>
          <w:rFonts w:hint="eastAsia" w:ascii="黑体" w:hAnsi="黑体" w:eastAsia="黑体" w:cs="黑体"/>
          <w:snapToGrid w:val="0"/>
          <w:kern w:val="32"/>
          <w:sz w:val="32"/>
          <w:szCs w:val="32"/>
          <w:lang w:val="zh-CN"/>
        </w:rPr>
      </w:pPr>
      <w:bookmarkStart w:id="1" w:name="bookmark29"/>
      <w:r>
        <w:rPr>
          <w:rFonts w:hint="eastAsia" w:ascii="黑体" w:hAnsi="黑体" w:eastAsia="黑体" w:cs="黑体"/>
          <w:snapToGrid w:val="0"/>
          <w:kern w:val="32"/>
          <w:sz w:val="32"/>
          <w:szCs w:val="32"/>
          <w:lang w:val="zh-CN"/>
        </w:rPr>
        <w:t>　　三</w:t>
      </w:r>
      <w:bookmarkEnd w:id="1"/>
      <w:r>
        <w:rPr>
          <w:rFonts w:hint="eastAsia" w:ascii="黑体" w:hAnsi="黑体" w:eastAsia="黑体" w:cs="黑体"/>
          <w:snapToGrid w:val="0"/>
          <w:kern w:val="32"/>
          <w:sz w:val="32"/>
          <w:szCs w:val="32"/>
          <w:lang w:val="zh-CN"/>
        </w:rPr>
        <w:t>、收到和处理政府信息公开申请情况</w:t>
      </w:r>
    </w:p>
    <w:tbl>
      <w:tblPr>
        <w:tblStyle w:val="4"/>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3" w:hRule="exact"/>
        </w:trPr>
        <w:tc>
          <w:tcPr>
            <w:tcW w:w="4801" w:type="dxa"/>
            <w:gridSpan w:val="3"/>
            <w:vMerge w:val="restart"/>
            <w:shd w:val="clear" w:color="auto" w:fill="FFFFFF"/>
            <w:noWrap w:val="0"/>
            <w:vAlign w:val="center"/>
          </w:tcPr>
          <w:p>
            <w:pPr>
              <w:jc w:val="center"/>
              <w:rPr>
                <w:rFonts w:hint="eastAsia"/>
                <w:lang w:val="zh-CN"/>
              </w:rPr>
            </w:pPr>
            <w:r>
              <w:rPr>
                <w:rFonts w:hint="eastAsia"/>
                <w:lang w:val="zh-CN"/>
              </w:rPr>
              <w:t>（本列数据的勾稽关系为：第一项加第二项之和， 等于第三项加第四项之和）</w:t>
            </w:r>
          </w:p>
        </w:tc>
        <w:tc>
          <w:tcPr>
            <w:tcW w:w="3963" w:type="dxa"/>
            <w:gridSpan w:val="7"/>
            <w:shd w:val="clear" w:color="auto" w:fill="FFFFFF"/>
            <w:noWrap w:val="0"/>
            <w:vAlign w:val="center"/>
          </w:tcPr>
          <w:p>
            <w:pPr>
              <w:jc w:val="center"/>
              <w:rPr>
                <w:rFonts w:hint="eastAsia"/>
                <w:lang w:val="zh-CN"/>
              </w:rPr>
            </w:pPr>
            <w:r>
              <w:rPr>
                <w:rFonts w:hint="eastAsia"/>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6" w:hRule="exact"/>
        </w:trPr>
        <w:tc>
          <w:tcPr>
            <w:tcW w:w="4801" w:type="dxa"/>
            <w:gridSpan w:val="3"/>
            <w:vMerge w:val="continue"/>
            <w:shd w:val="clear" w:color="auto" w:fill="FFFFFF"/>
            <w:noWrap w:val="0"/>
            <w:vAlign w:val="center"/>
          </w:tcPr>
          <w:p>
            <w:pPr>
              <w:jc w:val="center"/>
              <w:rPr>
                <w:rFonts w:hint="eastAsia"/>
                <w:lang w:val="zh-CN"/>
              </w:rPr>
            </w:pPr>
          </w:p>
        </w:tc>
        <w:tc>
          <w:tcPr>
            <w:tcW w:w="705" w:type="dxa"/>
            <w:vMerge w:val="restart"/>
            <w:shd w:val="clear" w:color="auto" w:fill="FFFFFF"/>
            <w:noWrap w:val="0"/>
            <w:vAlign w:val="center"/>
          </w:tcPr>
          <w:p>
            <w:pPr>
              <w:jc w:val="center"/>
              <w:rPr>
                <w:rFonts w:hint="eastAsia"/>
                <w:lang w:val="zh-CN"/>
              </w:rPr>
            </w:pPr>
            <w:r>
              <w:rPr>
                <w:rFonts w:hint="eastAsia"/>
                <w:lang w:val="zh-CN"/>
              </w:rPr>
              <w:t>自然人</w:t>
            </w:r>
          </w:p>
        </w:tc>
        <w:tc>
          <w:tcPr>
            <w:tcW w:w="2790" w:type="dxa"/>
            <w:gridSpan w:val="5"/>
            <w:shd w:val="clear" w:color="auto" w:fill="FFFFFF"/>
            <w:noWrap w:val="0"/>
            <w:vAlign w:val="center"/>
          </w:tcPr>
          <w:p>
            <w:pPr>
              <w:jc w:val="center"/>
              <w:rPr>
                <w:rFonts w:hint="eastAsia"/>
                <w:lang w:val="zh-CN"/>
              </w:rPr>
            </w:pPr>
            <w:r>
              <w:rPr>
                <w:rFonts w:hint="eastAsia"/>
                <w:lang w:val="zh-CN"/>
              </w:rPr>
              <w:t>法人或其他组织</w:t>
            </w:r>
          </w:p>
        </w:tc>
        <w:tc>
          <w:tcPr>
            <w:tcW w:w="468" w:type="dxa"/>
            <w:vMerge w:val="restart"/>
            <w:shd w:val="clear" w:color="auto" w:fill="FFFFFF"/>
            <w:noWrap w:val="0"/>
            <w:vAlign w:val="center"/>
          </w:tcPr>
          <w:p>
            <w:pPr>
              <w:jc w:val="center"/>
              <w:rPr>
                <w:rFonts w:hint="eastAsia"/>
                <w:lang w:val="zh-CN"/>
              </w:rPr>
            </w:pPr>
            <w:r>
              <w:rPr>
                <w:rFonts w:hint="eastAsia"/>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03" w:hRule="exact"/>
        </w:trPr>
        <w:tc>
          <w:tcPr>
            <w:tcW w:w="4801" w:type="dxa"/>
            <w:gridSpan w:val="3"/>
            <w:vMerge w:val="continue"/>
            <w:shd w:val="clear" w:color="auto" w:fill="FFFFFF"/>
            <w:noWrap w:val="0"/>
            <w:vAlign w:val="center"/>
          </w:tcPr>
          <w:p>
            <w:pPr>
              <w:jc w:val="center"/>
              <w:rPr>
                <w:rFonts w:hint="eastAsia"/>
                <w:lang w:val="zh-CN"/>
              </w:rPr>
            </w:pPr>
          </w:p>
        </w:tc>
        <w:tc>
          <w:tcPr>
            <w:tcW w:w="705" w:type="dxa"/>
            <w:vMerge w:val="continue"/>
            <w:shd w:val="clear" w:color="auto" w:fill="FFFFFF"/>
            <w:noWrap w:val="0"/>
            <w:vAlign w:val="center"/>
          </w:tcPr>
          <w:p>
            <w:pPr>
              <w:jc w:val="center"/>
              <w:rPr>
                <w:rFonts w:hint="eastAsia"/>
                <w:lang w:val="zh-CN"/>
              </w:rPr>
            </w:pPr>
          </w:p>
        </w:tc>
        <w:tc>
          <w:tcPr>
            <w:tcW w:w="570" w:type="dxa"/>
            <w:shd w:val="clear" w:color="auto" w:fill="FFFFFF"/>
            <w:noWrap w:val="0"/>
            <w:vAlign w:val="center"/>
          </w:tcPr>
          <w:p>
            <w:pPr>
              <w:jc w:val="center"/>
              <w:rPr>
                <w:rFonts w:hint="eastAsia"/>
                <w:lang w:val="zh-CN"/>
              </w:rPr>
            </w:pPr>
            <w:r>
              <w:rPr>
                <w:rFonts w:hint="eastAsia"/>
                <w:lang w:val="zh-CN"/>
              </w:rPr>
              <w:t>商业 企业</w:t>
            </w:r>
          </w:p>
        </w:tc>
        <w:tc>
          <w:tcPr>
            <w:tcW w:w="570" w:type="dxa"/>
            <w:shd w:val="clear" w:color="auto" w:fill="FFFFFF"/>
            <w:noWrap w:val="0"/>
            <w:vAlign w:val="center"/>
          </w:tcPr>
          <w:p>
            <w:pPr>
              <w:jc w:val="center"/>
              <w:rPr>
                <w:rFonts w:hint="eastAsia"/>
                <w:lang w:val="zh-CN"/>
              </w:rPr>
            </w:pPr>
            <w:r>
              <w:rPr>
                <w:rFonts w:hint="eastAsia"/>
                <w:lang w:val="zh-CN"/>
              </w:rPr>
              <w:t>科研 机构</w:t>
            </w:r>
          </w:p>
        </w:tc>
        <w:tc>
          <w:tcPr>
            <w:tcW w:w="555" w:type="dxa"/>
            <w:shd w:val="clear" w:color="auto" w:fill="FFFFFF"/>
            <w:noWrap w:val="0"/>
            <w:vAlign w:val="center"/>
          </w:tcPr>
          <w:p>
            <w:pPr>
              <w:jc w:val="center"/>
              <w:rPr>
                <w:rFonts w:hint="eastAsia"/>
                <w:lang w:val="zh-CN"/>
              </w:rPr>
            </w:pPr>
            <w:r>
              <w:rPr>
                <w:rFonts w:hint="eastAsia"/>
                <w:lang w:val="zh-CN"/>
              </w:rPr>
              <w:t>社会 公益 组织</w:t>
            </w:r>
          </w:p>
        </w:tc>
        <w:tc>
          <w:tcPr>
            <w:tcW w:w="570" w:type="dxa"/>
            <w:shd w:val="clear" w:color="auto" w:fill="FFFFFF"/>
            <w:noWrap w:val="0"/>
            <w:vAlign w:val="center"/>
          </w:tcPr>
          <w:p>
            <w:pPr>
              <w:jc w:val="center"/>
              <w:rPr>
                <w:rFonts w:hint="eastAsia"/>
                <w:lang w:val="zh-CN"/>
              </w:rPr>
            </w:pPr>
            <w:r>
              <w:rPr>
                <w:rFonts w:hint="eastAsia"/>
                <w:lang w:val="zh-CN"/>
              </w:rPr>
              <w:t>法律 服务 机构</w:t>
            </w:r>
          </w:p>
        </w:tc>
        <w:tc>
          <w:tcPr>
            <w:tcW w:w="525" w:type="dxa"/>
            <w:shd w:val="clear" w:color="auto" w:fill="FFFFFF"/>
            <w:noWrap w:val="0"/>
            <w:vAlign w:val="center"/>
          </w:tcPr>
          <w:p>
            <w:pPr>
              <w:jc w:val="center"/>
              <w:rPr>
                <w:rFonts w:hint="eastAsia"/>
                <w:lang w:val="zh-CN"/>
              </w:rPr>
            </w:pPr>
            <w:r>
              <w:rPr>
                <w:rFonts w:hint="eastAsia"/>
                <w:lang w:val="zh-CN"/>
              </w:rPr>
              <w:t>其他</w:t>
            </w:r>
          </w:p>
        </w:tc>
        <w:tc>
          <w:tcPr>
            <w:tcW w:w="468" w:type="dxa"/>
            <w:vMerge w:val="continue"/>
            <w:shd w:val="clear" w:color="auto" w:fill="FFFFFF"/>
            <w:noWrap w:val="0"/>
            <w:vAlign w:val="center"/>
          </w:tcPr>
          <w:p>
            <w:pPr>
              <w:jc w:val="center"/>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trPr>
        <w:tc>
          <w:tcPr>
            <w:tcW w:w="4801" w:type="dxa"/>
            <w:gridSpan w:val="3"/>
            <w:shd w:val="clear" w:color="auto" w:fill="FFFFFF"/>
            <w:noWrap w:val="0"/>
            <w:vAlign w:val="center"/>
          </w:tcPr>
          <w:p>
            <w:pPr>
              <w:jc w:val="center"/>
              <w:rPr>
                <w:rFonts w:hint="eastAsia"/>
                <w:lang w:val="zh-CN"/>
              </w:rPr>
            </w:pPr>
            <w:r>
              <w:rPr>
                <w:rFonts w:hint="eastAsia"/>
                <w:lang w:val="zh-CN"/>
              </w:rPr>
              <w:t>一、本年新收政府信息公开申请数量</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46" w:hRule="exact"/>
        </w:trPr>
        <w:tc>
          <w:tcPr>
            <w:tcW w:w="4801" w:type="dxa"/>
            <w:gridSpan w:val="3"/>
            <w:shd w:val="clear" w:color="auto" w:fill="FFFFFF"/>
            <w:noWrap w:val="0"/>
            <w:vAlign w:val="center"/>
          </w:tcPr>
          <w:p>
            <w:pPr>
              <w:jc w:val="center"/>
              <w:rPr>
                <w:rFonts w:hint="eastAsia"/>
                <w:lang w:val="zh-CN"/>
              </w:rPr>
            </w:pPr>
            <w:r>
              <w:rPr>
                <w:rFonts w:hint="eastAsia"/>
                <w:lang w:val="zh-CN"/>
              </w:rPr>
              <w:t>二、上年结转政府信息公开申请数量</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8" w:hRule="exact"/>
        </w:trPr>
        <w:tc>
          <w:tcPr>
            <w:tcW w:w="592" w:type="dxa"/>
            <w:vMerge w:val="restart"/>
            <w:shd w:val="clear" w:color="auto" w:fill="FFFFFF"/>
            <w:noWrap w:val="0"/>
            <w:textDirection w:val="tbRlV"/>
            <w:vAlign w:val="center"/>
          </w:tcPr>
          <w:p>
            <w:pPr>
              <w:jc w:val="center"/>
              <w:rPr>
                <w:rFonts w:hint="eastAsia"/>
                <w:lang w:val="zh-CN"/>
              </w:rPr>
            </w:pPr>
            <w:r>
              <w:rPr>
                <w:rFonts w:hint="eastAsia"/>
                <w:lang w:val="zh-CN"/>
              </w:rPr>
              <w:t>三、本年度办理结果</w:t>
            </w:r>
          </w:p>
        </w:tc>
        <w:tc>
          <w:tcPr>
            <w:tcW w:w="4209" w:type="dxa"/>
            <w:gridSpan w:val="2"/>
            <w:shd w:val="clear" w:color="auto" w:fill="FFFFFF"/>
            <w:noWrap w:val="0"/>
            <w:vAlign w:val="center"/>
          </w:tcPr>
          <w:p>
            <w:pPr>
              <w:jc w:val="center"/>
              <w:rPr>
                <w:rFonts w:hint="eastAsia"/>
                <w:lang w:val="zh-CN"/>
              </w:rPr>
            </w:pPr>
            <w:r>
              <w:rPr>
                <w:rFonts w:hint="eastAsia"/>
                <w:lang w:val="zh-CN"/>
              </w:rPr>
              <w:t>（一）予以公开</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4" w:hRule="exact"/>
        </w:trPr>
        <w:tc>
          <w:tcPr>
            <w:tcW w:w="592" w:type="dxa"/>
            <w:vMerge w:val="continue"/>
            <w:shd w:val="clear" w:color="auto" w:fill="FFFFFF"/>
            <w:noWrap w:val="0"/>
            <w:textDirection w:val="tbRlV"/>
            <w:vAlign w:val="center"/>
          </w:tcPr>
          <w:p>
            <w:pPr>
              <w:jc w:val="center"/>
              <w:rPr>
                <w:rFonts w:hint="eastAsia"/>
                <w:lang w:val="zh-CN"/>
              </w:rPr>
            </w:pPr>
          </w:p>
        </w:tc>
        <w:tc>
          <w:tcPr>
            <w:tcW w:w="4209" w:type="dxa"/>
            <w:gridSpan w:val="2"/>
            <w:shd w:val="clear" w:color="auto" w:fill="FFFFFF"/>
            <w:noWrap w:val="0"/>
            <w:vAlign w:val="center"/>
          </w:tcPr>
          <w:p>
            <w:pPr>
              <w:jc w:val="center"/>
              <w:rPr>
                <w:rFonts w:hint="eastAsia"/>
                <w:lang w:val="zh-CN"/>
              </w:rPr>
            </w:pPr>
            <w:r>
              <w:rPr>
                <w:rFonts w:hint="eastAsia"/>
                <w:lang w:val="zh-CN"/>
              </w:rPr>
              <w:t>（二）部分公开（区分处理的，只计这一情形，不计其他情形）</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restart"/>
            <w:shd w:val="clear" w:color="auto" w:fill="FFFFFF"/>
            <w:noWrap w:val="0"/>
            <w:vAlign w:val="center"/>
          </w:tcPr>
          <w:p>
            <w:pPr>
              <w:jc w:val="center"/>
              <w:rPr>
                <w:rFonts w:hint="eastAsia"/>
                <w:lang w:val="zh-CN"/>
              </w:rPr>
            </w:pPr>
            <w:r>
              <w:rPr>
                <w:rFonts w:hint="eastAsia"/>
                <w:lang w:val="zh-CN"/>
              </w:rPr>
              <w:t>（三）不予公开</w:t>
            </w:r>
          </w:p>
        </w:tc>
        <w:tc>
          <w:tcPr>
            <w:tcW w:w="2741" w:type="dxa"/>
            <w:shd w:val="clear" w:color="auto" w:fill="FFFFFF"/>
            <w:noWrap w:val="0"/>
            <w:vAlign w:val="center"/>
          </w:tcPr>
          <w:p>
            <w:pPr>
              <w:jc w:val="center"/>
              <w:rPr>
                <w:rFonts w:hint="eastAsia"/>
                <w:lang w:val="zh-CN"/>
              </w:rPr>
            </w:pPr>
            <w:r>
              <w:rPr>
                <w:rFonts w:hint="eastAsia"/>
                <w:lang w:eastAsia="en-US"/>
              </w:rPr>
              <w:t>1.</w:t>
            </w:r>
            <w:r>
              <w:rPr>
                <w:rFonts w:hint="eastAsia"/>
                <w:lang w:val="zh-CN"/>
              </w:rPr>
              <w:t>属于国家秘密</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1"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2.</w:t>
            </w:r>
            <w:r>
              <w:rPr>
                <w:rFonts w:hint="eastAsia"/>
                <w:lang w:val="zh-CN"/>
              </w:rPr>
              <w:t>其他法律行政法规禁止公开</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9"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3.</w:t>
            </w:r>
            <w:r>
              <w:rPr>
                <w:rFonts w:hint="eastAsia"/>
                <w:lang w:val="zh-CN"/>
              </w:rPr>
              <w:t>危及“三安全一稳定”</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val="zh-CN"/>
              </w:rPr>
              <w:t>4</w:t>
            </w:r>
            <w:r>
              <w:rPr>
                <w:rFonts w:hint="eastAsia"/>
              </w:rPr>
              <w:t>.</w:t>
            </w:r>
            <w:r>
              <w:rPr>
                <w:rFonts w:hint="eastAsia"/>
                <w:lang w:val="zh-CN"/>
              </w:rPr>
              <w:t>保护第三方合法权益</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5.</w:t>
            </w:r>
            <w:r>
              <w:rPr>
                <w:rFonts w:hint="eastAsia"/>
                <w:lang w:val="zh-CN"/>
              </w:rPr>
              <w:t>属于三类内部事务信息</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eastAsia="en-US"/>
              </w:rPr>
              <w:t>6.</w:t>
            </w:r>
            <w:r>
              <w:rPr>
                <w:rFonts w:hint="eastAsia"/>
                <w:lang w:val="zh-CN"/>
              </w:rPr>
              <w:t>属于四类过程性信息</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eastAsia="en-US"/>
              </w:rPr>
              <w:t>7.</w:t>
            </w:r>
            <w:r>
              <w:rPr>
                <w:rFonts w:hint="eastAsia"/>
                <w:lang w:val="zh-CN"/>
              </w:rPr>
              <w:t>属于行政执法案卷</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eastAsia="en-US"/>
              </w:rPr>
              <w:t>8.</w:t>
            </w:r>
            <w:r>
              <w:rPr>
                <w:rFonts w:hint="eastAsia"/>
                <w:lang w:val="zh-CN"/>
              </w:rPr>
              <w:t>属于行政查询事项</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6"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restart"/>
            <w:shd w:val="clear" w:color="auto" w:fill="FFFFFF"/>
            <w:noWrap w:val="0"/>
            <w:vAlign w:val="center"/>
          </w:tcPr>
          <w:p>
            <w:pPr>
              <w:jc w:val="center"/>
              <w:rPr>
                <w:rFonts w:hint="eastAsia"/>
                <w:lang w:val="zh-CN"/>
              </w:rPr>
            </w:pPr>
            <w:r>
              <w:rPr>
                <w:rFonts w:hint="eastAsia"/>
                <w:lang w:val="zh-CN"/>
              </w:rPr>
              <w:t>（四）无法提供</w:t>
            </w:r>
          </w:p>
        </w:tc>
        <w:tc>
          <w:tcPr>
            <w:tcW w:w="2741" w:type="dxa"/>
            <w:shd w:val="clear" w:color="auto" w:fill="FFFFFF"/>
            <w:noWrap w:val="0"/>
            <w:vAlign w:val="center"/>
          </w:tcPr>
          <w:p>
            <w:pPr>
              <w:jc w:val="center"/>
              <w:rPr>
                <w:rFonts w:hint="eastAsia"/>
                <w:lang w:val="zh-CN"/>
              </w:rPr>
            </w:pPr>
            <w:r>
              <w:rPr>
                <w:rFonts w:hint="eastAsia"/>
              </w:rPr>
              <w:t>1.</w:t>
            </w:r>
            <w:r>
              <w:rPr>
                <w:rFonts w:hint="eastAsia"/>
                <w:lang w:val="zh-CN"/>
              </w:rPr>
              <w:t>本机关不掌握相关政府信息</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1"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2.</w:t>
            </w:r>
            <w:r>
              <w:rPr>
                <w:rFonts w:hint="eastAsia"/>
                <w:lang w:val="zh-CN"/>
              </w:rPr>
              <w:t>没有现成信息需要另行制作</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8"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3.</w:t>
            </w:r>
            <w:r>
              <w:rPr>
                <w:rFonts w:hint="eastAsia"/>
                <w:lang w:val="zh-CN"/>
              </w:rPr>
              <w:t>补正后申请内容仍不明确</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restart"/>
            <w:shd w:val="clear" w:color="auto" w:fill="FFFFFF"/>
            <w:noWrap w:val="0"/>
            <w:vAlign w:val="center"/>
          </w:tcPr>
          <w:p>
            <w:pPr>
              <w:jc w:val="center"/>
              <w:rPr>
                <w:rFonts w:hint="eastAsia"/>
                <w:lang w:val="zh-CN"/>
              </w:rPr>
            </w:pPr>
            <w:r>
              <w:rPr>
                <w:rFonts w:hint="eastAsia"/>
                <w:lang w:val="zh-CN"/>
              </w:rPr>
              <w:t>（五）不予处理</w:t>
            </w:r>
          </w:p>
        </w:tc>
        <w:tc>
          <w:tcPr>
            <w:tcW w:w="2741" w:type="dxa"/>
            <w:shd w:val="clear" w:color="auto" w:fill="FFFFFF"/>
            <w:noWrap w:val="0"/>
            <w:vAlign w:val="center"/>
          </w:tcPr>
          <w:p>
            <w:pPr>
              <w:jc w:val="center"/>
              <w:rPr>
                <w:rFonts w:hint="eastAsia"/>
                <w:lang w:val="zh-CN"/>
              </w:rPr>
            </w:pPr>
            <w:r>
              <w:rPr>
                <w:rFonts w:hint="eastAsia"/>
                <w:lang w:eastAsia="en-US"/>
              </w:rPr>
              <w:t>1.</w:t>
            </w:r>
            <w:r>
              <w:rPr>
                <w:rFonts w:hint="eastAsia"/>
                <w:lang w:val="zh-CN"/>
              </w:rPr>
              <w:t>信访举报投诉类申请</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eastAsia="en-US"/>
              </w:rPr>
              <w:t>2.</w:t>
            </w:r>
            <w:r>
              <w:rPr>
                <w:rFonts w:hint="eastAsia"/>
                <w:lang w:val="zh-CN"/>
              </w:rPr>
              <w:t>重复申请</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8"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lang w:eastAsia="en-US"/>
              </w:rPr>
              <w:t>3.</w:t>
            </w:r>
            <w:r>
              <w:rPr>
                <w:rFonts w:hint="eastAsia"/>
                <w:lang w:val="zh-CN"/>
              </w:rPr>
              <w:t>要求提供公开出版物</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9"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4.</w:t>
            </w:r>
            <w:r>
              <w:rPr>
                <w:rFonts w:hint="eastAsia"/>
                <w:lang w:val="zh-CN"/>
              </w:rPr>
              <w:t>无正当理由大量反复申请</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99" w:hRule="exact"/>
        </w:trPr>
        <w:tc>
          <w:tcPr>
            <w:tcW w:w="592" w:type="dxa"/>
            <w:vMerge w:val="continue"/>
            <w:shd w:val="clear" w:color="auto" w:fill="FFFFFF"/>
            <w:noWrap w:val="0"/>
            <w:textDirection w:val="tbRlV"/>
            <w:vAlign w:val="center"/>
          </w:tcPr>
          <w:p>
            <w:pPr>
              <w:jc w:val="center"/>
              <w:rPr>
                <w:rFonts w:hint="eastAsia"/>
                <w:lang w:val="zh-CN"/>
              </w:rPr>
            </w:pPr>
          </w:p>
        </w:tc>
        <w:tc>
          <w:tcPr>
            <w:tcW w:w="1468" w:type="dxa"/>
            <w:vMerge w:val="continue"/>
            <w:shd w:val="clear" w:color="auto" w:fill="FFFFFF"/>
            <w:noWrap w:val="0"/>
            <w:vAlign w:val="center"/>
          </w:tcPr>
          <w:p>
            <w:pPr>
              <w:jc w:val="center"/>
              <w:rPr>
                <w:rFonts w:hint="eastAsia"/>
                <w:lang w:val="zh-CN"/>
              </w:rPr>
            </w:pPr>
          </w:p>
        </w:tc>
        <w:tc>
          <w:tcPr>
            <w:tcW w:w="2741" w:type="dxa"/>
            <w:shd w:val="clear" w:color="auto" w:fill="FFFFFF"/>
            <w:noWrap w:val="0"/>
            <w:vAlign w:val="center"/>
          </w:tcPr>
          <w:p>
            <w:pPr>
              <w:jc w:val="center"/>
              <w:rPr>
                <w:rFonts w:hint="eastAsia"/>
                <w:lang w:val="zh-CN"/>
              </w:rPr>
            </w:pPr>
            <w:r>
              <w:rPr>
                <w:rFonts w:hint="eastAsia"/>
              </w:rPr>
              <w:t>5.</w:t>
            </w:r>
            <w:r>
              <w:rPr>
                <w:rFonts w:hint="eastAsia"/>
                <w:lang w:val="zh-CN"/>
              </w:rPr>
              <w:t>要求行政机关确认或重新出具已获取信息</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4" w:hRule="exact"/>
        </w:trPr>
        <w:tc>
          <w:tcPr>
            <w:tcW w:w="592" w:type="dxa"/>
            <w:vMerge w:val="continue"/>
            <w:shd w:val="clear" w:color="auto" w:fill="FFFFFF"/>
            <w:noWrap w:val="0"/>
            <w:textDirection w:val="tbRlV"/>
            <w:vAlign w:val="center"/>
          </w:tcPr>
          <w:p>
            <w:pPr>
              <w:jc w:val="center"/>
              <w:rPr>
                <w:rFonts w:hint="eastAsia"/>
                <w:lang w:val="zh-CN"/>
              </w:rPr>
            </w:pPr>
          </w:p>
        </w:tc>
        <w:tc>
          <w:tcPr>
            <w:tcW w:w="4209" w:type="dxa"/>
            <w:gridSpan w:val="2"/>
            <w:shd w:val="clear" w:color="auto" w:fill="FFFFFF"/>
            <w:noWrap w:val="0"/>
            <w:vAlign w:val="center"/>
          </w:tcPr>
          <w:p>
            <w:pPr>
              <w:jc w:val="center"/>
              <w:rPr>
                <w:rFonts w:hint="eastAsia"/>
                <w:lang w:val="zh-CN"/>
              </w:rPr>
            </w:pPr>
            <w:r>
              <w:rPr>
                <w:rFonts w:hint="eastAsia"/>
                <w:lang w:val="zh-CN"/>
              </w:rPr>
              <w:t>（六）其他处理</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78" w:hRule="exact"/>
        </w:trPr>
        <w:tc>
          <w:tcPr>
            <w:tcW w:w="592" w:type="dxa"/>
            <w:vMerge w:val="continue"/>
            <w:shd w:val="clear" w:color="auto" w:fill="FFFFFF"/>
            <w:noWrap w:val="0"/>
            <w:textDirection w:val="tbRlV"/>
            <w:vAlign w:val="center"/>
          </w:tcPr>
          <w:p>
            <w:pPr>
              <w:jc w:val="center"/>
              <w:rPr>
                <w:rFonts w:hint="eastAsia"/>
                <w:lang w:val="zh-CN"/>
              </w:rPr>
            </w:pPr>
          </w:p>
        </w:tc>
        <w:tc>
          <w:tcPr>
            <w:tcW w:w="4209" w:type="dxa"/>
            <w:gridSpan w:val="2"/>
            <w:shd w:val="clear" w:color="auto" w:fill="FFFFFF"/>
            <w:noWrap w:val="0"/>
            <w:vAlign w:val="center"/>
          </w:tcPr>
          <w:p>
            <w:pPr>
              <w:jc w:val="center"/>
              <w:rPr>
                <w:rFonts w:hint="eastAsia"/>
                <w:lang w:val="zh-CN"/>
              </w:rPr>
            </w:pPr>
            <w:r>
              <w:rPr>
                <w:rFonts w:hint="eastAsia"/>
                <w:lang w:val="zh-CN"/>
              </w:rPr>
              <w:t>（七）总计</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8" w:hRule="exact"/>
        </w:trPr>
        <w:tc>
          <w:tcPr>
            <w:tcW w:w="4801" w:type="dxa"/>
            <w:gridSpan w:val="3"/>
            <w:shd w:val="clear" w:color="auto" w:fill="FFFFFF"/>
            <w:noWrap w:val="0"/>
            <w:vAlign w:val="center"/>
          </w:tcPr>
          <w:p>
            <w:pPr>
              <w:jc w:val="center"/>
              <w:rPr>
                <w:rFonts w:hint="eastAsia"/>
                <w:lang w:val="zh-CN"/>
              </w:rPr>
            </w:pPr>
            <w:r>
              <w:rPr>
                <w:rFonts w:hint="eastAsia"/>
                <w:lang w:val="zh-CN"/>
              </w:rPr>
              <w:t>四、结转下年度继续办理</w:t>
            </w:r>
          </w:p>
        </w:tc>
        <w:tc>
          <w:tcPr>
            <w:tcW w:w="70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5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68" w:type="dxa"/>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bl>
    <w:p>
      <w:pPr>
        <w:tabs>
          <w:tab w:val="left" w:pos="7791"/>
        </w:tabs>
        <w:ind w:firstLine="480" w:firstLineChars="150"/>
        <w:rPr>
          <w:rFonts w:hint="eastAsia" w:ascii="黑体" w:hAnsi="黑体" w:eastAsia="黑体" w:cs="黑体"/>
          <w:snapToGrid w:val="0"/>
          <w:kern w:val="32"/>
          <w:sz w:val="32"/>
          <w:szCs w:val="32"/>
          <w:lang w:val="zh-CN"/>
        </w:rPr>
      </w:pPr>
      <w:bookmarkStart w:id="2" w:name="bookmark30"/>
    </w:p>
    <w:p>
      <w:pPr>
        <w:tabs>
          <w:tab w:val="left" w:pos="7791"/>
        </w:tabs>
        <w:ind w:firstLine="480" w:firstLineChars="150"/>
        <w:rPr>
          <w:rFonts w:hint="eastAsia" w:ascii="黑体" w:hAnsi="黑体" w:eastAsia="黑体" w:cs="黑体"/>
          <w:snapToGrid w:val="0"/>
          <w:kern w:val="32"/>
          <w:sz w:val="32"/>
          <w:szCs w:val="32"/>
          <w:lang w:val="zh-CN"/>
        </w:rPr>
      </w:pPr>
    </w:p>
    <w:p>
      <w:pPr>
        <w:tabs>
          <w:tab w:val="left" w:pos="7791"/>
        </w:tabs>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　　四</w:t>
      </w:r>
      <w:bookmarkEnd w:id="2"/>
      <w:r>
        <w:rPr>
          <w:rFonts w:hint="eastAsia" w:ascii="黑体" w:hAnsi="黑体" w:eastAsia="黑体" w:cs="黑体"/>
          <w:snapToGrid w:val="0"/>
          <w:kern w:val="32"/>
          <w:sz w:val="32"/>
          <w:szCs w:val="32"/>
          <w:lang w:val="zh-CN"/>
        </w:rPr>
        <w:t>、政府信息公开行政复议、行政诉讼情况</w:t>
      </w:r>
    </w:p>
    <w:tbl>
      <w:tblPr>
        <w:tblStyle w:val="4"/>
        <w:tblW w:w="8472" w:type="dxa"/>
        <w:jc w:val="center"/>
        <w:tblInd w:w="0" w:type="dxa"/>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Layout w:type="fixed"/>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行政诉讼</w:t>
            </w:r>
          </w:p>
        </w:tc>
      </w:tr>
      <w:tr>
        <w:tblPrEx>
          <w:tblLayout w:type="fixed"/>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center"/>
          </w:tcPr>
          <w:p>
            <w:pPr>
              <w:jc w:val="center"/>
              <w:rPr>
                <w:rFonts w:hint="eastAsia"/>
                <w:lang w:val="zh-CN"/>
              </w:rPr>
            </w:pPr>
            <w:r>
              <w:rPr>
                <w:rFonts w:hint="eastAsia"/>
                <w:lang w:val="zh-CN"/>
              </w:rPr>
              <w:t>总计</w:t>
            </w:r>
          </w:p>
        </w:tc>
        <w:tc>
          <w:tcPr>
            <w:tcW w:w="2805" w:type="dxa"/>
            <w:gridSpan w:val="5"/>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jc w:val="center"/>
              <w:rPr>
                <w:rFonts w:hint="eastAsia"/>
                <w:lang w:val="zh-CN"/>
              </w:rPr>
            </w:pPr>
            <w:r>
              <w:rPr>
                <w:rFonts w:hint="eastAsia"/>
                <w:lang w:val="zh-CN"/>
              </w:rPr>
              <w:t>复议后起诉</w:t>
            </w:r>
          </w:p>
        </w:tc>
      </w:tr>
      <w:tr>
        <w:tblPrEx>
          <w:tblLayout w:type="fixed"/>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jc w:val="center"/>
              <w:rPr>
                <w:rFonts w:hint="eastAsia"/>
                <w:lang w:val="zh-CN"/>
              </w:rPr>
            </w:pPr>
          </w:p>
        </w:tc>
        <w:tc>
          <w:tcPr>
            <w:tcW w:w="525" w:type="dxa"/>
            <w:vMerge w:val="continue"/>
            <w:tcBorders>
              <w:left w:val="single" w:color="auto" w:sz="4" w:space="0"/>
            </w:tcBorders>
            <w:shd w:val="clear" w:color="auto" w:fill="FFFFFF"/>
            <w:noWrap w:val="0"/>
            <w:vAlign w:val="center"/>
          </w:tcPr>
          <w:p>
            <w:pPr>
              <w:jc w:val="center"/>
              <w:rPr>
                <w:rFonts w:hint="eastAsia"/>
                <w:lang w:val="zh-CN"/>
              </w:rPr>
            </w:pPr>
          </w:p>
        </w:tc>
        <w:tc>
          <w:tcPr>
            <w:tcW w:w="570" w:type="dxa"/>
            <w:vMerge w:val="continue"/>
            <w:tcBorders>
              <w:left w:val="single" w:color="auto" w:sz="4" w:space="0"/>
            </w:tcBorders>
            <w:shd w:val="clear" w:color="auto" w:fill="FFFFFF"/>
            <w:noWrap w:val="0"/>
            <w:vAlign w:val="center"/>
          </w:tcPr>
          <w:p>
            <w:pPr>
              <w:jc w:val="center"/>
              <w:rPr>
                <w:rFonts w:hint="eastAsia"/>
                <w:lang w:val="zh-CN"/>
              </w:rPr>
            </w:pPr>
          </w:p>
        </w:tc>
        <w:tc>
          <w:tcPr>
            <w:tcW w:w="495" w:type="dxa"/>
            <w:vMerge w:val="continue"/>
            <w:tcBorders>
              <w:left w:val="single" w:color="auto" w:sz="4" w:space="0"/>
            </w:tcBorders>
            <w:shd w:val="clear" w:color="auto" w:fill="FFFFFF"/>
            <w:noWrap w:val="0"/>
            <w:vAlign w:val="center"/>
          </w:tcPr>
          <w:p>
            <w:pPr>
              <w:jc w:val="center"/>
              <w:rPr>
                <w:rFonts w:hint="eastAsia"/>
                <w:lang w:val="zh-CN"/>
              </w:rPr>
            </w:pPr>
          </w:p>
        </w:tc>
        <w:tc>
          <w:tcPr>
            <w:tcW w:w="675" w:type="dxa"/>
            <w:vMerge w:val="continue"/>
            <w:tcBorders>
              <w:left w:val="single" w:color="auto" w:sz="4" w:space="0"/>
            </w:tcBorders>
            <w:shd w:val="clear" w:color="auto" w:fill="FFFFFF"/>
            <w:noWrap w:val="0"/>
            <w:textDirection w:val="tbRlV"/>
            <w:vAlign w:val="center"/>
          </w:tcPr>
          <w:p>
            <w:pPr>
              <w:jc w:val="center"/>
              <w:rPr>
                <w:rFonts w:hint="eastAsia"/>
                <w:lang w:val="zh-CN"/>
              </w:rPr>
            </w:pPr>
          </w:p>
        </w:tc>
        <w:tc>
          <w:tcPr>
            <w:tcW w:w="629"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维持</w:t>
            </w:r>
          </w:p>
        </w:tc>
        <w:tc>
          <w:tcPr>
            <w:tcW w:w="585"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纠正</w:t>
            </w:r>
          </w:p>
        </w:tc>
        <w:tc>
          <w:tcPr>
            <w:tcW w:w="540"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其他 结果</w:t>
            </w:r>
          </w:p>
        </w:tc>
        <w:tc>
          <w:tcPr>
            <w:tcW w:w="541"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尚未 审结</w:t>
            </w:r>
          </w:p>
        </w:tc>
        <w:tc>
          <w:tcPr>
            <w:tcW w:w="510"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总 计</w:t>
            </w:r>
          </w:p>
        </w:tc>
        <w:tc>
          <w:tcPr>
            <w:tcW w:w="615"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维持</w:t>
            </w:r>
          </w:p>
        </w:tc>
        <w:tc>
          <w:tcPr>
            <w:tcW w:w="615"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结果 纠正</w:t>
            </w:r>
          </w:p>
        </w:tc>
        <w:tc>
          <w:tcPr>
            <w:tcW w:w="630"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其他 结果</w:t>
            </w:r>
          </w:p>
        </w:tc>
        <w:tc>
          <w:tcPr>
            <w:tcW w:w="525" w:type="dxa"/>
            <w:tcBorders>
              <w:top w:val="single" w:color="auto" w:sz="4" w:space="0"/>
              <w:left w:val="single" w:color="auto" w:sz="4" w:space="0"/>
            </w:tcBorders>
            <w:shd w:val="clear" w:color="auto" w:fill="FFFFFF"/>
            <w:noWrap w:val="0"/>
            <w:vAlign w:val="center"/>
          </w:tcPr>
          <w:p>
            <w:pPr>
              <w:jc w:val="center"/>
              <w:rPr>
                <w:rFonts w:hint="eastAsia"/>
                <w:lang w:val="zh-CN"/>
              </w:rPr>
            </w:pPr>
            <w:r>
              <w:rPr>
                <w:rFonts w:hint="eastAsia"/>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center"/>
          </w:tcPr>
          <w:p>
            <w:pPr>
              <w:jc w:val="center"/>
              <w:rPr>
                <w:rFonts w:hint="eastAsia"/>
                <w:lang w:val="zh-CN"/>
              </w:rPr>
            </w:pPr>
            <w:r>
              <w:rPr>
                <w:rFonts w:hint="eastAsia"/>
                <w:lang w:val="zh-CN"/>
              </w:rPr>
              <w:t>总计</w:t>
            </w:r>
          </w:p>
        </w:tc>
      </w:tr>
      <w:tr>
        <w:tblPrEx>
          <w:tblLayout w:type="fixed"/>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7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9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67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8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4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41"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1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eastAsiaTheme="minorEastAsia"/>
                <w:lang w:val="en-US" w:eastAsia="zh-CN"/>
              </w:rPr>
            </w:pPr>
            <w:r>
              <w:rPr>
                <w:rFonts w:hint="eastAsia"/>
                <w:lang w:val="en-US" w:eastAsia="zh-CN"/>
              </w:rPr>
              <w:t>0</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en-US" w:eastAsia="zh-CN" w:bidi="ar-SA"/>
        </w:rPr>
        <w:t>　　五、存在问题及改进措施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bCs/>
          <w:sz w:val="32"/>
          <w:szCs w:val="32"/>
          <w:lang w:val="en-US" w:eastAsia="zh-CN"/>
        </w:rPr>
      </w:pPr>
      <w:r>
        <w:rPr>
          <w:rFonts w:hint="default" w:ascii="仿宋_GB2312" w:hAnsi="黑体" w:eastAsia="仿宋_GB2312" w:cs="仿宋_GB2312"/>
          <w:bCs/>
          <w:sz w:val="32"/>
          <w:szCs w:val="32"/>
          <w:lang w:val="en-US" w:eastAsia="zh-CN"/>
        </w:rPr>
        <w:t>一是信息公开及时性和全面性有待改进；二是信息公开内容深度和广度不够；三是信息公开业务水平有待提高。</w:t>
      </w:r>
      <w:r>
        <w:rPr>
          <w:rFonts w:hint="eastAsia" w:ascii="仿宋_GB2312" w:hAnsi="黑体"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s="仿宋_GB2312"/>
          <w:bCs/>
          <w:sz w:val="32"/>
          <w:szCs w:val="32"/>
          <w:lang w:eastAsia="zh-CN"/>
        </w:rPr>
      </w:pPr>
      <w:r>
        <w:rPr>
          <w:rFonts w:hint="default" w:ascii="仿宋_GB2312" w:hAnsi="黑体" w:eastAsia="仿宋_GB2312" w:cs="仿宋_GB2312"/>
          <w:bCs/>
          <w:sz w:val="32"/>
          <w:szCs w:val="32"/>
          <w:lang w:val="en-US" w:eastAsia="zh-CN"/>
        </w:rPr>
        <w:t>2020年，我们将从以下两个方面进一步提升政府信息公开工作水平：一是及时、准确、全面公开公众普遍关心、涉及群众切身利益的信息，从</w:t>
      </w:r>
      <w:r>
        <w:rPr>
          <w:rFonts w:hint="eastAsia" w:ascii="仿宋_GB2312" w:hAnsi="黑体" w:eastAsia="仿宋_GB2312" w:cs="仿宋_GB2312"/>
          <w:bCs/>
          <w:sz w:val="32"/>
          <w:szCs w:val="32"/>
          <w:lang w:val="en-US" w:eastAsia="zh-CN"/>
        </w:rPr>
        <w:t>“</w:t>
      </w:r>
      <w:r>
        <w:rPr>
          <w:rFonts w:hint="default" w:ascii="仿宋_GB2312" w:hAnsi="黑体" w:eastAsia="仿宋_GB2312" w:cs="仿宋_GB2312"/>
          <w:bCs/>
          <w:sz w:val="32"/>
          <w:szCs w:val="32"/>
          <w:lang w:val="en-US" w:eastAsia="zh-CN"/>
        </w:rPr>
        <w:t>要我公开</w:t>
      </w:r>
      <w:r>
        <w:rPr>
          <w:rFonts w:hint="eastAsia" w:ascii="仿宋_GB2312" w:hAnsi="黑体" w:eastAsia="仿宋_GB2312" w:cs="仿宋_GB2312"/>
          <w:bCs/>
          <w:sz w:val="32"/>
          <w:szCs w:val="32"/>
          <w:lang w:val="en-US" w:eastAsia="zh-CN"/>
        </w:rPr>
        <w:t>”</w:t>
      </w:r>
      <w:r>
        <w:rPr>
          <w:rFonts w:hint="default" w:ascii="仿宋_GB2312" w:hAnsi="黑体" w:eastAsia="仿宋_GB2312" w:cs="仿宋_GB2312"/>
          <w:bCs/>
          <w:sz w:val="32"/>
          <w:szCs w:val="32"/>
          <w:lang w:val="en-US" w:eastAsia="zh-CN"/>
        </w:rPr>
        <w:t>逐步转变为</w:t>
      </w:r>
      <w:r>
        <w:rPr>
          <w:rFonts w:hint="eastAsia" w:ascii="仿宋_GB2312" w:hAnsi="黑体" w:eastAsia="仿宋_GB2312" w:cs="仿宋_GB2312"/>
          <w:bCs/>
          <w:sz w:val="32"/>
          <w:szCs w:val="32"/>
          <w:lang w:val="en-US" w:eastAsia="zh-CN"/>
        </w:rPr>
        <w:t>“</w:t>
      </w:r>
      <w:r>
        <w:rPr>
          <w:rFonts w:hint="default" w:ascii="仿宋_GB2312" w:hAnsi="黑体" w:eastAsia="仿宋_GB2312" w:cs="仿宋_GB2312"/>
          <w:bCs/>
          <w:sz w:val="32"/>
          <w:szCs w:val="32"/>
          <w:lang w:val="en-US" w:eastAsia="zh-CN"/>
        </w:rPr>
        <w:t>我要公开</w:t>
      </w:r>
      <w:r>
        <w:rPr>
          <w:rFonts w:hint="eastAsia" w:ascii="仿宋_GB2312" w:hAnsi="黑体" w:eastAsia="仿宋_GB2312" w:cs="仿宋_GB2312"/>
          <w:bCs/>
          <w:sz w:val="32"/>
          <w:szCs w:val="32"/>
          <w:lang w:val="en-US" w:eastAsia="zh-CN"/>
        </w:rPr>
        <w:t>”</w:t>
      </w:r>
      <w:r>
        <w:rPr>
          <w:rFonts w:hint="default" w:ascii="仿宋_GB2312" w:hAnsi="黑体" w:eastAsia="仿宋_GB2312" w:cs="仿宋_GB2312"/>
          <w:bCs/>
          <w:sz w:val="32"/>
          <w:szCs w:val="32"/>
          <w:lang w:val="en-US" w:eastAsia="zh-CN"/>
        </w:rPr>
        <w:t>。二是拓展公开渠道，充分发挥政务新媒体作用，推进政务信息公开，努力使信息公开工作更好地服务于县域经济社会发展</w:t>
      </w:r>
      <w:r>
        <w:rPr>
          <w:rFonts w:hint="eastAsia" w:ascii="仿宋_GB2312" w:hAnsi="黑体" w:eastAsia="仿宋_GB2312" w:cs="仿宋_GB2312"/>
          <w:bCs/>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napToGrid w:val="0"/>
          <w:kern w:val="32"/>
          <w:sz w:val="32"/>
          <w:szCs w:val="32"/>
          <w:lang w:val="en-US" w:eastAsia="zh-CN" w:bidi="ar-SA"/>
        </w:rPr>
      </w:pPr>
      <w:r>
        <w:rPr>
          <w:rFonts w:hint="eastAsia" w:ascii="黑体" w:hAnsi="黑体" w:eastAsia="黑体" w:cs="黑体"/>
          <w:snapToGrid w:val="0"/>
          <w:kern w:val="3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本报告</w:t>
      </w:r>
      <w:r>
        <w:rPr>
          <w:rFonts w:hint="eastAsia" w:ascii="仿宋_GB2312" w:hAnsi="仿宋_GB2312" w:eastAsia="仿宋_GB2312" w:cs="仿宋_GB2312"/>
          <w:sz w:val="32"/>
          <w:szCs w:val="32"/>
        </w:rPr>
        <w:t>电子版可通过</w:t>
      </w:r>
      <w:r>
        <w:rPr>
          <w:rFonts w:hint="eastAsia" w:ascii="仿宋_GB2312" w:hAnsi="仿宋_GB2312" w:eastAsia="仿宋_GB2312" w:cs="仿宋_GB2312"/>
          <w:sz w:val="32"/>
          <w:szCs w:val="32"/>
          <w:lang w:eastAsia="zh-CN"/>
        </w:rPr>
        <w:t>宜君县</w:t>
      </w:r>
      <w:r>
        <w:rPr>
          <w:rFonts w:hint="eastAsia" w:ascii="仿宋_GB2312" w:hAnsi="仿宋_GB2312" w:eastAsia="仿宋_GB2312" w:cs="仿宋_GB2312"/>
          <w:sz w:val="32"/>
          <w:szCs w:val="32"/>
        </w:rPr>
        <w:t>人民政府门户网站下载。如对报告有任何疑问、意见，请与</w:t>
      </w:r>
      <w:r>
        <w:rPr>
          <w:rFonts w:hint="eastAsia" w:ascii="仿宋_GB2312" w:hAnsi="仿宋_GB2312" w:eastAsia="仿宋_GB2312" w:cs="仿宋_GB2312"/>
          <w:sz w:val="32"/>
          <w:szCs w:val="32"/>
          <w:lang w:eastAsia="zh-CN"/>
        </w:rPr>
        <w:t>宜君县人民政府办公室</w:t>
      </w:r>
      <w:r>
        <w:rPr>
          <w:rFonts w:hint="eastAsia" w:ascii="仿宋_GB2312" w:hAnsi="仿宋_GB2312" w:eastAsia="仿宋_GB2312" w:cs="仿宋_GB2312"/>
          <w:sz w:val="32"/>
          <w:szCs w:val="32"/>
        </w:rPr>
        <w:t>联系。通信地址：宜君县宜阳中街8号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邮政编码：727299</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电话：0919-5286229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yijunxxzx@126.com。</w:t>
      </w:r>
    </w:p>
    <w:p>
      <w:pPr>
        <w:pStyle w:val="2"/>
        <w:ind w:left="0" w:leftChars="0" w:firstLine="0" w:firstLineChars="0"/>
        <w:rPr>
          <w:rFonts w:hint="eastAsia"/>
          <w:lang w:val="en-US" w:eastAsia="zh-CN"/>
        </w:rPr>
      </w:pPr>
    </w:p>
    <w:p>
      <w:pPr>
        <w:pStyle w:val="2"/>
        <w:ind w:firstLine="4800" w:firstLineChars="1500"/>
        <w:rPr>
          <w:rFonts w:hint="eastAsia" w:hAnsi="黑体" w:cs="仿宋_GB2312"/>
          <w:bCs/>
          <w:sz w:val="32"/>
          <w:szCs w:val="32"/>
          <w:lang w:val="en-US" w:eastAsia="zh-CN"/>
        </w:rPr>
      </w:pPr>
      <w:r>
        <w:rPr>
          <w:rFonts w:hint="eastAsia" w:hAnsi="黑体" w:cs="仿宋_GB2312"/>
          <w:bCs/>
          <w:sz w:val="32"/>
          <w:szCs w:val="32"/>
          <w:lang w:val="en-US" w:eastAsia="zh-CN"/>
        </w:rPr>
        <w:t>宜君县人民政府</w:t>
      </w:r>
    </w:p>
    <w:p>
      <w:pPr>
        <w:pStyle w:val="2"/>
        <w:ind w:left="0" w:leftChars="0" w:firstLine="4800" w:firstLineChars="1500"/>
        <w:rPr>
          <w:rFonts w:hint="eastAsia" w:ascii="宋体" w:hAnsi="宋体" w:eastAsia="宋体" w:cs="宋体"/>
          <w:i w:val="0"/>
          <w:caps w:val="0"/>
          <w:color w:val="000000"/>
          <w:spacing w:val="0"/>
          <w:sz w:val="32"/>
          <w:szCs w:val="32"/>
          <w:shd w:val="clear" w:fill="FFFFFF"/>
          <w:lang w:val="en-US" w:eastAsia="zh-CN"/>
        </w:rPr>
      </w:pPr>
      <w:r>
        <w:rPr>
          <w:rFonts w:hint="eastAsia" w:hAnsi="黑体" w:cs="仿宋_GB2312"/>
          <w:bCs/>
          <w:sz w:val="32"/>
          <w:szCs w:val="32"/>
          <w:lang w:val="en-US" w:eastAsia="zh-CN"/>
        </w:rPr>
        <w:t>2020年2月19日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A0B15"/>
    <w:multiLevelType w:val="singleLevel"/>
    <w:tmpl w:val="8EEA0B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918A3"/>
    <w:rsid w:val="027661B0"/>
    <w:rsid w:val="03945C5E"/>
    <w:rsid w:val="03BC5793"/>
    <w:rsid w:val="06F0443C"/>
    <w:rsid w:val="08B61FD2"/>
    <w:rsid w:val="0ABB007E"/>
    <w:rsid w:val="0B9F72BE"/>
    <w:rsid w:val="0D044CE7"/>
    <w:rsid w:val="0E00029E"/>
    <w:rsid w:val="0EE513D4"/>
    <w:rsid w:val="10322778"/>
    <w:rsid w:val="18116FE0"/>
    <w:rsid w:val="18234886"/>
    <w:rsid w:val="1916200A"/>
    <w:rsid w:val="19A03442"/>
    <w:rsid w:val="19A23E43"/>
    <w:rsid w:val="19F82E77"/>
    <w:rsid w:val="1A175437"/>
    <w:rsid w:val="1A4B2EED"/>
    <w:rsid w:val="1A66041E"/>
    <w:rsid w:val="1AD77D43"/>
    <w:rsid w:val="1AEE58E8"/>
    <w:rsid w:val="1B032302"/>
    <w:rsid w:val="1B635875"/>
    <w:rsid w:val="1C52767F"/>
    <w:rsid w:val="1CB23B64"/>
    <w:rsid w:val="1DA703B3"/>
    <w:rsid w:val="1DC14176"/>
    <w:rsid w:val="1FC716E7"/>
    <w:rsid w:val="20C6576B"/>
    <w:rsid w:val="21517873"/>
    <w:rsid w:val="252A3A1C"/>
    <w:rsid w:val="255F7432"/>
    <w:rsid w:val="25EB0BE4"/>
    <w:rsid w:val="271D7223"/>
    <w:rsid w:val="29C7035C"/>
    <w:rsid w:val="2B9B5389"/>
    <w:rsid w:val="2CAC579D"/>
    <w:rsid w:val="2D1123A6"/>
    <w:rsid w:val="2DC97335"/>
    <w:rsid w:val="2E13055C"/>
    <w:rsid w:val="2FD125F9"/>
    <w:rsid w:val="30E548C8"/>
    <w:rsid w:val="355F4762"/>
    <w:rsid w:val="36655193"/>
    <w:rsid w:val="37505959"/>
    <w:rsid w:val="37CE4563"/>
    <w:rsid w:val="38D575BC"/>
    <w:rsid w:val="38E22B1B"/>
    <w:rsid w:val="39961ECF"/>
    <w:rsid w:val="39FE04C2"/>
    <w:rsid w:val="3A931775"/>
    <w:rsid w:val="3AD0270C"/>
    <w:rsid w:val="3AFC1D59"/>
    <w:rsid w:val="3B4943B5"/>
    <w:rsid w:val="3BCB4F9C"/>
    <w:rsid w:val="3CCA3E59"/>
    <w:rsid w:val="3D8431FF"/>
    <w:rsid w:val="3DAD3ADD"/>
    <w:rsid w:val="3EA8457C"/>
    <w:rsid w:val="3EE46AF5"/>
    <w:rsid w:val="3F806799"/>
    <w:rsid w:val="418D4D33"/>
    <w:rsid w:val="431E53C1"/>
    <w:rsid w:val="43985F72"/>
    <w:rsid w:val="45333917"/>
    <w:rsid w:val="45A77C50"/>
    <w:rsid w:val="45D44051"/>
    <w:rsid w:val="46B3696B"/>
    <w:rsid w:val="47014E9B"/>
    <w:rsid w:val="47497BAA"/>
    <w:rsid w:val="47AC534D"/>
    <w:rsid w:val="47F83A18"/>
    <w:rsid w:val="48915EAD"/>
    <w:rsid w:val="4B0151AC"/>
    <w:rsid w:val="4D50101D"/>
    <w:rsid w:val="519619F7"/>
    <w:rsid w:val="51AC53ED"/>
    <w:rsid w:val="52FD00B0"/>
    <w:rsid w:val="533905E3"/>
    <w:rsid w:val="536A00A7"/>
    <w:rsid w:val="55003B96"/>
    <w:rsid w:val="55943681"/>
    <w:rsid w:val="55C82D06"/>
    <w:rsid w:val="56981D7E"/>
    <w:rsid w:val="5747233B"/>
    <w:rsid w:val="57FD4B0F"/>
    <w:rsid w:val="59242083"/>
    <w:rsid w:val="5AD01BD5"/>
    <w:rsid w:val="5CD118CD"/>
    <w:rsid w:val="5F451D5D"/>
    <w:rsid w:val="61651B11"/>
    <w:rsid w:val="62033985"/>
    <w:rsid w:val="64243076"/>
    <w:rsid w:val="64354F22"/>
    <w:rsid w:val="65A96C7B"/>
    <w:rsid w:val="6770344E"/>
    <w:rsid w:val="68216C5A"/>
    <w:rsid w:val="686028B2"/>
    <w:rsid w:val="68882212"/>
    <w:rsid w:val="6D4678FA"/>
    <w:rsid w:val="6DF343B6"/>
    <w:rsid w:val="6EAC69AD"/>
    <w:rsid w:val="6F362404"/>
    <w:rsid w:val="6F700545"/>
    <w:rsid w:val="71407762"/>
    <w:rsid w:val="72CF66B5"/>
    <w:rsid w:val="73E04369"/>
    <w:rsid w:val="750B5E34"/>
    <w:rsid w:val="751D7326"/>
    <w:rsid w:val="754D5254"/>
    <w:rsid w:val="768F1BAE"/>
    <w:rsid w:val="76B852CA"/>
    <w:rsid w:val="77A3593E"/>
    <w:rsid w:val="77D51AC9"/>
    <w:rsid w:val="799820E4"/>
    <w:rsid w:val="79E32A48"/>
    <w:rsid w:val="7AB859C5"/>
    <w:rsid w:val="7E4E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2020-01-07T07:47:00Z</dcterms:created>
  <dc:creator>追梦</dc:creator>
  <cp:lastModifiedBy>Administrator</cp:lastModifiedBy>
  <cp:lastPrinted>2020-02-20T06:59:00Z</cp:lastPrinted>
  <dcterms:modified xsi:type="dcterms:W3CDTF">2020-04-21T03:04:43Z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