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622"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132"/>
        <w:gridCol w:w="4940"/>
        <w:gridCol w:w="2886"/>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2622" w:type="dxa"/>
            <w:gridSpan w:val="5"/>
            <w:tcBorders>
              <w:top w:val="nil"/>
              <w:left w:val="nil"/>
              <w:bottom w:val="single" w:color="auto" w:sz="4" w:space="0"/>
              <w:right w:val="nil"/>
            </w:tcBorders>
            <w:noWrap w:val="0"/>
            <w:vAlign w:val="center"/>
          </w:tcPr>
          <w:p>
            <w:pPr>
              <w:widowControl/>
              <w:spacing w:line="600" w:lineRule="exact"/>
              <w:jc w:val="left"/>
              <w:rPr>
                <w:rFonts w:hint="eastAsia" w:ascii="仿宋_GB2312" w:hAnsi="Times New Roman" w:eastAsia="仿宋_GB2312"/>
                <w:color w:val="000000"/>
                <w:kern w:val="0"/>
                <w:sz w:val="32"/>
                <w:szCs w:val="32"/>
              </w:rPr>
            </w:pPr>
            <w:r>
              <w:rPr>
                <w:rFonts w:hint="eastAsia" w:ascii="仿宋_GB2312" w:hAnsi="Times New Roman" w:eastAsia="仿宋_GB2312" w:cs="方正黑体_GBK"/>
                <w:color w:val="000000"/>
                <w:kern w:val="0"/>
                <w:sz w:val="32"/>
                <w:szCs w:val="32"/>
              </w:rPr>
              <w:t>附件</w:t>
            </w:r>
            <w:r>
              <w:rPr>
                <w:rFonts w:hint="eastAsia" w:ascii="仿宋_GB2312" w:hAnsi="Times New Roman" w:eastAsia="仿宋_GB2312"/>
                <w:color w:val="000000"/>
                <w:kern w:val="0"/>
                <w:sz w:val="32"/>
                <w:szCs w:val="32"/>
              </w:rPr>
              <w:t>1</w:t>
            </w:r>
          </w:p>
          <w:p>
            <w:pPr>
              <w:widowControl/>
              <w:spacing w:line="600" w:lineRule="exact"/>
              <w:jc w:val="left"/>
              <w:rPr>
                <w:rFonts w:hint="eastAsia" w:ascii="仿宋_GB2312" w:hAnsi="Times New Roman" w:eastAsia="仿宋_GB2312"/>
                <w:color w:val="000000"/>
                <w:kern w:val="0"/>
                <w:sz w:val="32"/>
                <w:szCs w:val="32"/>
              </w:rPr>
            </w:pPr>
          </w:p>
          <w:p>
            <w:pPr>
              <w:widowControl/>
              <w:spacing w:line="600" w:lineRule="exact"/>
              <w:jc w:val="center"/>
              <w:rPr>
                <w:rFonts w:hint="eastAsia" w:ascii="方正小标宋简体" w:hAnsi="Times New Roman" w:eastAsia="方正小标宋简体"/>
                <w:color w:val="000000"/>
                <w:kern w:val="0"/>
                <w:sz w:val="44"/>
                <w:szCs w:val="44"/>
              </w:rPr>
            </w:pPr>
            <w:bookmarkStart w:id="0" w:name="_GoBack"/>
            <w:r>
              <w:rPr>
                <w:rFonts w:hint="eastAsia" w:ascii="方正小标宋简体" w:hAnsi="Times New Roman" w:eastAsia="方正小标宋简体" w:cs="方正小标宋简体"/>
                <w:color w:val="000000"/>
                <w:kern w:val="0"/>
                <w:sz w:val="44"/>
                <w:szCs w:val="44"/>
              </w:rPr>
              <w:t>铜川市生活垃圾分类实施方案工作任务分解表</w:t>
            </w:r>
          </w:p>
          <w:bookmarkEnd w:id="0"/>
          <w:p>
            <w:pPr>
              <w:widowControl/>
              <w:spacing w:line="600" w:lineRule="exact"/>
              <w:jc w:val="center"/>
              <w:rPr>
                <w:rFonts w:ascii="Times New Roman" w:hAnsi="Times New Roman" w:eastAsia="方正小标宋简体"/>
                <w:color w:val="000000"/>
                <w:kern w:val="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方正黑体_GBK"/>
                <w:color w:val="000000"/>
                <w:kern w:val="0"/>
                <w:szCs w:val="21"/>
              </w:rPr>
            </w:pPr>
            <w:r>
              <w:rPr>
                <w:rFonts w:hint="eastAsia" w:ascii="Times New Roman" w:hAnsi="Times New Roman" w:eastAsia="方正黑体_GBK" w:cs="方正黑体_GBK"/>
                <w:color w:val="000000"/>
                <w:kern w:val="0"/>
                <w:szCs w:val="21"/>
              </w:rPr>
              <w:t>序号</w:t>
            </w:r>
          </w:p>
        </w:tc>
        <w:tc>
          <w:tcPr>
            <w:tcW w:w="6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方正黑体_GBK"/>
                <w:color w:val="000000"/>
                <w:kern w:val="0"/>
                <w:szCs w:val="21"/>
              </w:rPr>
            </w:pPr>
            <w:r>
              <w:rPr>
                <w:rFonts w:hint="eastAsia" w:ascii="Times New Roman" w:hAnsi="Times New Roman" w:eastAsia="方正黑体_GBK" w:cs="方正黑体_GBK"/>
                <w:color w:val="000000"/>
                <w:kern w:val="0"/>
                <w:szCs w:val="21"/>
              </w:rPr>
              <w:t>工作任务</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方正黑体_GBK"/>
                <w:color w:val="000000"/>
                <w:kern w:val="0"/>
                <w:szCs w:val="21"/>
              </w:rPr>
            </w:pPr>
            <w:r>
              <w:rPr>
                <w:rFonts w:hint="eastAsia" w:ascii="Times New Roman" w:hAnsi="Times New Roman" w:eastAsia="方正黑体_GBK" w:cs="方正黑体_GBK"/>
                <w:color w:val="000000"/>
                <w:kern w:val="0"/>
                <w:szCs w:val="21"/>
              </w:rPr>
              <w:t>牵头部门</w:t>
            </w:r>
          </w:p>
        </w:tc>
        <w:tc>
          <w:tcPr>
            <w:tcW w:w="3012"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方正黑体_GBK"/>
                <w:color w:val="000000"/>
                <w:kern w:val="0"/>
                <w:szCs w:val="21"/>
              </w:rPr>
            </w:pPr>
            <w:r>
              <w:rPr>
                <w:rFonts w:hint="eastAsia" w:ascii="Times New Roman" w:hAnsi="Times New Roman" w:eastAsia="方正黑体_GBK" w:cs="方正黑体_GBK"/>
                <w:color w:val="000000"/>
                <w:kern w:val="0"/>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2"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r>
              <w:rPr>
                <w:rFonts w:hint="eastAsia" w:ascii="Times New Roman" w:hAnsi="Times New Roman" w:eastAsia="方正黑体_GBK" w:cs="方正黑体_GBK"/>
                <w:color w:val="000000"/>
                <w:kern w:val="0"/>
                <w:szCs w:val="21"/>
              </w:rPr>
              <w:t>一</w:t>
            </w:r>
          </w:p>
        </w:tc>
        <w:tc>
          <w:tcPr>
            <w:tcW w:w="1132"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形成全民参与的社会氛围</w:t>
            </w:r>
          </w:p>
        </w:tc>
        <w:tc>
          <w:tcPr>
            <w:tcW w:w="4940"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将生活垃圾分类工作纳入各级党组织的工作职责，通过逐级包抓、入户宣教的形式，开创社区党建引领生活垃圾分类的新路径。</w:t>
            </w:r>
          </w:p>
        </w:tc>
        <w:tc>
          <w:tcPr>
            <w:tcW w:w="2886"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市委组织部、市直机关工委</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发挥居民主体作用，因地制宜开展“共同缔造”活动，促进社区生活垃圾分类。</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年内出台全市生活垃圾分类宣传方案，实现宣传全覆盖，上门入户宣传率100%。</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市委宣传部</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将生活垃圾分类知识纳入学前及义务教育课程体系，组织好“小手拉大手”活动。</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市教育局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各有关行业单位负责抓好本行业生活垃圾分类宣传工作。</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市级各有关行业主管单位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各区、市新区管委会每季度最少开展一次生活垃圾分类减量主题活动。</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市委宣传部</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组建生活垃圾分类志愿者队伍，开展垃圾分类志愿服务活动，宣传引导，纠正不规范投放行为。</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市委文明办、团市委</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开展公共场所生活垃圾分类劝导、监督及家庭生活垃圾分类宣教活动。</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团市委、市妇联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开展生活垃圾分类达标单位创建活动。</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市委文明办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Merge w:val="continue"/>
            <w:tcBorders>
              <w:left w:val="single" w:color="auto" w:sz="4" w:space="0"/>
              <w:right w:val="single" w:color="auto" w:sz="4" w:space="0"/>
            </w:tcBorders>
            <w:noWrap w:val="0"/>
            <w:vAlign w:val="center"/>
          </w:tcPr>
          <w:p>
            <w:pPr>
              <w:widowControl/>
              <w:spacing w:line="280" w:lineRule="exact"/>
              <w:jc w:val="center"/>
              <w:rPr>
                <w:rFonts w:hint="eastAsia" w:ascii="Times New Roman" w:hAnsi="Times New Roman" w:eastAsia="方正黑体_GBK" w:cs="方正黑体_GBK"/>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hint="eastAsia" w:ascii="Times New Roman" w:hAnsi="Times New Roman" w:eastAsia="方正黑体_GBK" w:cs="方正黑体_GBK"/>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对拒不履行分类义务的单位及个人，严格依法查处。</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olor w:val="000000"/>
                <w:kern w:val="0"/>
                <w:szCs w:val="21"/>
              </w:rPr>
            </w:pPr>
            <w:r>
              <w:rPr>
                <w:rFonts w:hint="eastAsia" w:ascii="宋体" w:hAnsi="宋体" w:cs="宋体"/>
                <w:color w:val="000000"/>
                <w:kern w:val="0"/>
                <w:szCs w:val="21"/>
              </w:rPr>
              <w:t>二</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r>
              <w:rPr>
                <w:rFonts w:hint="eastAsia" w:ascii="宋体" w:hAnsi="宋体" w:cs="宋体"/>
                <w:color w:val="000000"/>
                <w:kern w:val="0"/>
                <w:szCs w:val="21"/>
              </w:rPr>
              <w:t>示范带动促进全覆盖</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全市各级党政机关及企事业单位2019年底生活垃圾分类实现全覆盖。</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宋体"/>
                <w:color w:val="000000"/>
                <w:kern w:val="0"/>
                <w:szCs w:val="21"/>
              </w:rPr>
              <w:t>市机关事务管理服务中心、市级各有关行业单位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试点政府购买服务方式，推进居住小区生活垃圾分类工作。</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组织保障房小区开展生活垃圾分类示范小区创建活动。</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配备生活垃圾分类督导员，配合物业服务企业开展上门入户宣教。</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加大示范片区创建力度，实现示范片区内生活垃圾分类管理主体责任、分类类别及分类投放、收集、运输、处理系统“三个全覆盖”</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市城市管理执法局</w:t>
            </w: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三</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提高生活垃圾分类投放质量</w:t>
            </w: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组建生活垃圾分类宣传员、引导员、监督员“三支队伍”。</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建设智能化生活垃圾分类投放和兑换设施，实行生活垃圾分类红黑榜制度。</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市城市管理执法局</w:t>
            </w: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通过政府购买服务的方式推进生活垃圾分类工作，免费发放“二维码”生活垃圾袋，实施溯源追踪管理模式。</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b/>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市城市管理执法局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严格执行国家商品限制过度包装标准，开展农副产品、食品、礼品、化妆品等过度包装专项治理。严格落实“限塑令”，开展商场、超市、农贸市场等专项整治。</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市市场监管局、市商务局</w:t>
            </w: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开展净菜和洁净农副产品进市场、进超市行动。</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市农业农村局</w:t>
            </w: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加强快递包装回收利用体系建设，提高快递包装物回收利用率。</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宋体"/>
                <w:color w:val="000000"/>
                <w:kern w:val="0"/>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4940" w:type="dxa"/>
            <w:tcBorders>
              <w:left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夯实生活垃圾分类管理主体责任。</w:t>
            </w:r>
          </w:p>
        </w:tc>
        <w:tc>
          <w:tcPr>
            <w:tcW w:w="2886" w:type="dxa"/>
            <w:tcBorders>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widowControl/>
              <w:spacing w:line="280" w:lineRule="exact"/>
              <w:rPr>
                <w:rFonts w:hint="eastAsia" w:ascii="宋体" w:hAnsi="宋体" w:cs="方正黑体_GBK"/>
                <w:color w:val="000000"/>
                <w:kern w:val="0"/>
                <w:szCs w:val="21"/>
              </w:rPr>
            </w:pPr>
            <w:r>
              <w:rPr>
                <w:rFonts w:hint="eastAsia" w:ascii="宋体" w:hAnsi="宋体" w:cs="方正黑体_GBK"/>
                <w:color w:val="000000"/>
                <w:kern w:val="0"/>
                <w:szCs w:val="21"/>
              </w:rPr>
              <w:t>各行业主管单位、各区政府、市新区管委会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52" w:type="dxa"/>
            <w:tcBorders>
              <w:top w:val="single" w:color="auto" w:sz="4" w:space="0"/>
              <w:left w:val="single" w:color="auto" w:sz="4" w:space="0"/>
              <w:right w:val="single" w:color="auto" w:sz="4" w:space="0"/>
            </w:tcBorders>
            <w:noWrap w:val="0"/>
            <w:vAlign w:val="center"/>
          </w:tcPr>
          <w:p>
            <w:pPr>
              <w:widowControl/>
              <w:spacing w:line="280" w:lineRule="exact"/>
              <w:jc w:val="center"/>
              <w:rPr>
                <w:rFonts w:hint="eastAsia" w:ascii="宋体" w:hAnsi="宋体"/>
                <w:color w:val="000000"/>
                <w:kern w:val="0"/>
                <w:szCs w:val="21"/>
              </w:rPr>
            </w:pPr>
            <w:r>
              <w:rPr>
                <w:rFonts w:hint="eastAsia" w:ascii="宋体" w:hAnsi="宋体" w:cs="宋体"/>
                <w:color w:val="000000"/>
                <w:kern w:val="0"/>
                <w:szCs w:val="21"/>
              </w:rPr>
              <w:t>四</w:t>
            </w:r>
          </w:p>
        </w:tc>
        <w:tc>
          <w:tcPr>
            <w:tcW w:w="1132" w:type="dxa"/>
            <w:tcBorders>
              <w:top w:val="single" w:color="auto" w:sz="4" w:space="0"/>
              <w:left w:val="single" w:color="auto" w:sz="4" w:space="0"/>
              <w:right w:val="single" w:color="auto" w:sz="4" w:space="0"/>
            </w:tcBorders>
            <w:noWrap w:val="0"/>
            <w:vAlign w:val="center"/>
          </w:tcPr>
          <w:p>
            <w:pPr>
              <w:widowControl/>
              <w:spacing w:line="280" w:lineRule="exact"/>
              <w:rPr>
                <w:rFonts w:hint="eastAsia" w:ascii="宋体" w:hAnsi="宋体"/>
                <w:color w:val="000000"/>
                <w:kern w:val="0"/>
                <w:szCs w:val="21"/>
              </w:rPr>
            </w:pPr>
            <w:r>
              <w:rPr>
                <w:rFonts w:hint="eastAsia" w:ascii="宋体" w:hAnsi="宋体" w:cs="宋体"/>
                <w:color w:val="000000"/>
                <w:kern w:val="0"/>
                <w:szCs w:val="21"/>
              </w:rPr>
              <w:t>规范生活垃圾分类收集管理</w:t>
            </w:r>
          </w:p>
        </w:tc>
        <w:tc>
          <w:tcPr>
            <w:tcW w:w="4940" w:type="dxa"/>
            <w:tcBorders>
              <w:top w:val="single" w:color="auto" w:sz="4" w:space="0"/>
              <w:left w:val="single" w:color="auto" w:sz="4" w:space="0"/>
              <w:right w:val="single" w:color="auto" w:sz="4" w:space="0"/>
            </w:tcBorders>
            <w:noWrap w:val="0"/>
            <w:vAlign w:val="center"/>
          </w:tcPr>
          <w:p>
            <w:pPr>
              <w:spacing w:line="280" w:lineRule="exact"/>
              <w:jc w:val="left"/>
              <w:rPr>
                <w:rFonts w:ascii="宋体" w:hAnsi="宋体" w:cs="宋体"/>
                <w:color w:val="000000"/>
                <w:spacing w:val="-10"/>
                <w:kern w:val="0"/>
                <w:szCs w:val="21"/>
              </w:rPr>
            </w:pPr>
            <w:r>
              <w:rPr>
                <w:rFonts w:hint="eastAsia" w:ascii="宋体" w:hAnsi="宋体" w:cs="宋体"/>
                <w:color w:val="000000"/>
                <w:spacing w:val="-10"/>
                <w:kern w:val="0"/>
                <w:szCs w:val="21"/>
              </w:rPr>
              <w:t>党政机关和居住小区及公共场所按照分类要求科学配备生活垃圾分类投放设施。</w:t>
            </w:r>
          </w:p>
        </w:tc>
        <w:tc>
          <w:tcPr>
            <w:tcW w:w="2886" w:type="dxa"/>
            <w:tcBorders>
              <w:top w:val="single" w:color="auto" w:sz="4" w:space="0"/>
              <w:left w:val="single" w:color="auto" w:sz="4" w:space="0"/>
              <w:right w:val="single" w:color="auto" w:sz="4" w:space="0"/>
            </w:tcBorders>
            <w:noWrap w:val="0"/>
            <w:vAlign w:val="center"/>
          </w:tcPr>
          <w:p>
            <w:pPr>
              <w:spacing w:line="280" w:lineRule="exact"/>
              <w:rPr>
                <w:rFonts w:ascii="宋体" w:hAnsi="宋体"/>
                <w:color w:val="000000"/>
                <w:kern w:val="0"/>
                <w:szCs w:val="21"/>
              </w:rPr>
            </w:pPr>
          </w:p>
        </w:tc>
        <w:tc>
          <w:tcPr>
            <w:tcW w:w="3012" w:type="dxa"/>
            <w:tcBorders>
              <w:left w:val="single" w:color="auto" w:sz="4" w:space="0"/>
              <w:right w:val="single" w:color="auto" w:sz="4" w:space="0"/>
            </w:tcBorders>
            <w:noWrap w:val="0"/>
            <w:vAlign w:val="center"/>
          </w:tcPr>
          <w:p>
            <w:pPr>
              <w:spacing w:line="280" w:lineRule="exact"/>
              <w:jc w:val="left"/>
              <w:rPr>
                <w:rFonts w:hint="eastAsia" w:ascii="宋体" w:hAnsi="宋体"/>
                <w:color w:val="000000"/>
                <w:kern w:val="0"/>
                <w:szCs w:val="21"/>
              </w:rPr>
            </w:pPr>
            <w:r>
              <w:rPr>
                <w:rFonts w:hint="eastAsia" w:ascii="宋体" w:hAnsi="宋体" w:cs="宋体"/>
                <w:color w:val="000000"/>
                <w:kern w:val="0"/>
                <w:szCs w:val="21"/>
              </w:rPr>
              <w:t>市城市管理执法局、市机关事务服务管理中心、各有关行业主管单位、各区政府、市新区管委会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52" w:type="dxa"/>
            <w:vMerge w:val="restart"/>
            <w:tcBorders>
              <w:left w:val="single" w:color="auto" w:sz="4" w:space="0"/>
              <w:right w:val="single" w:color="auto" w:sz="4" w:space="0"/>
            </w:tcBorders>
            <w:noWrap w:val="0"/>
            <w:vAlign w:val="center"/>
          </w:tcPr>
          <w:p>
            <w:pPr>
              <w:spacing w:line="280" w:lineRule="exact"/>
              <w:jc w:val="center"/>
              <w:rPr>
                <w:rFonts w:hint="eastAsia" w:ascii="宋体" w:hAnsi="宋体"/>
                <w:color w:val="000000"/>
                <w:kern w:val="0"/>
                <w:szCs w:val="21"/>
              </w:rPr>
            </w:pPr>
            <w:r>
              <w:rPr>
                <w:rFonts w:hint="eastAsia" w:ascii="宋体" w:hAnsi="宋体"/>
                <w:color w:val="000000"/>
                <w:kern w:val="0"/>
                <w:szCs w:val="21"/>
              </w:rPr>
              <w:t>五</w:t>
            </w:r>
          </w:p>
        </w:tc>
        <w:tc>
          <w:tcPr>
            <w:tcW w:w="1132" w:type="dxa"/>
            <w:vMerge w:val="restart"/>
            <w:tcBorders>
              <w:left w:val="single" w:color="auto" w:sz="4" w:space="0"/>
              <w:right w:val="single" w:color="auto" w:sz="4" w:space="0"/>
            </w:tcBorders>
            <w:noWrap w:val="0"/>
            <w:vAlign w:val="center"/>
          </w:tcPr>
          <w:p>
            <w:pPr>
              <w:spacing w:line="280" w:lineRule="exact"/>
              <w:rPr>
                <w:rFonts w:hint="eastAsia" w:ascii="宋体" w:hAnsi="宋体"/>
                <w:bCs/>
                <w:color w:val="000000"/>
                <w:kern w:val="0"/>
                <w:szCs w:val="21"/>
              </w:rPr>
            </w:pPr>
            <w:r>
              <w:rPr>
                <w:rFonts w:hint="eastAsia" w:ascii="宋体" w:hAnsi="宋体"/>
                <w:bCs/>
                <w:color w:val="000000"/>
                <w:kern w:val="0"/>
                <w:szCs w:val="21"/>
              </w:rPr>
              <w:t>提升生活垃圾分类收运能力</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配备满足生活垃圾分类清运需求、密封性好、节能环保的专用收运车辆，统一标识标志。</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52"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olor w:val="000000"/>
                <w:kern w:val="0"/>
                <w:szCs w:val="21"/>
              </w:rPr>
            </w:pPr>
          </w:p>
        </w:tc>
        <w:tc>
          <w:tcPr>
            <w:tcW w:w="1132" w:type="dxa"/>
            <w:vMerge w:val="continue"/>
            <w:tcBorders>
              <w:left w:val="single" w:color="auto" w:sz="4" w:space="0"/>
              <w:right w:val="single" w:color="auto" w:sz="4" w:space="0"/>
            </w:tcBorders>
            <w:noWrap w:val="0"/>
            <w:vAlign w:val="center"/>
          </w:tcPr>
          <w:p>
            <w:pPr>
              <w:spacing w:line="280" w:lineRule="exact"/>
              <w:rPr>
                <w:rFonts w:hint="eastAsia" w:ascii="宋体" w:hAnsi="宋体"/>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升级改造分类转运设施，提高再生资源利用率。</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52"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olor w:val="000000"/>
                <w:kern w:val="0"/>
                <w:szCs w:val="21"/>
              </w:rPr>
            </w:pPr>
          </w:p>
        </w:tc>
        <w:tc>
          <w:tcPr>
            <w:tcW w:w="1132" w:type="dxa"/>
            <w:vMerge w:val="continue"/>
            <w:tcBorders>
              <w:left w:val="single" w:color="auto" w:sz="4" w:space="0"/>
              <w:right w:val="single" w:color="auto" w:sz="4" w:space="0"/>
            </w:tcBorders>
            <w:noWrap w:val="0"/>
            <w:vAlign w:val="center"/>
          </w:tcPr>
          <w:p>
            <w:pPr>
              <w:spacing w:line="280" w:lineRule="exact"/>
              <w:rPr>
                <w:rFonts w:hint="eastAsia" w:ascii="宋体" w:hAnsi="宋体"/>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建立厨余垃圾专业收运队伍，对居民小区厨余垃圾“统收统运”。</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52"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olor w:val="000000"/>
                <w:kern w:val="0"/>
                <w:szCs w:val="21"/>
              </w:rPr>
            </w:pPr>
          </w:p>
        </w:tc>
        <w:tc>
          <w:tcPr>
            <w:tcW w:w="1132" w:type="dxa"/>
            <w:vMerge w:val="continue"/>
            <w:tcBorders>
              <w:left w:val="single" w:color="auto" w:sz="4" w:space="0"/>
              <w:right w:val="single" w:color="auto" w:sz="4" w:space="0"/>
            </w:tcBorders>
            <w:noWrap w:val="0"/>
            <w:vAlign w:val="center"/>
          </w:tcPr>
          <w:p>
            <w:pPr>
              <w:spacing w:line="280" w:lineRule="exact"/>
              <w:rPr>
                <w:rFonts w:hint="eastAsia" w:ascii="宋体" w:hAnsi="宋体"/>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夯实生活垃圾收运监管责任。</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市生态环境局、市商务局、市城市管理执法局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652" w:type="dxa"/>
            <w:vMerge w:val="continue"/>
            <w:tcBorders>
              <w:left w:val="single" w:color="auto" w:sz="4" w:space="0"/>
              <w:right w:val="single" w:color="auto" w:sz="4" w:space="0"/>
            </w:tcBorders>
            <w:noWrap w:val="0"/>
            <w:vAlign w:val="center"/>
          </w:tcPr>
          <w:p>
            <w:pPr>
              <w:widowControl/>
              <w:spacing w:line="280" w:lineRule="exact"/>
              <w:jc w:val="left"/>
              <w:rPr>
                <w:rFonts w:ascii="宋体" w:hAnsi="宋体"/>
                <w:color w:val="000000"/>
                <w:kern w:val="0"/>
                <w:szCs w:val="21"/>
              </w:rPr>
            </w:pPr>
          </w:p>
        </w:tc>
        <w:tc>
          <w:tcPr>
            <w:tcW w:w="1132" w:type="dxa"/>
            <w:vMerge w:val="continue"/>
            <w:tcBorders>
              <w:left w:val="single" w:color="auto" w:sz="4" w:space="0"/>
              <w:right w:val="single" w:color="auto" w:sz="4" w:space="0"/>
            </w:tcBorders>
            <w:noWrap w:val="0"/>
            <w:vAlign w:val="center"/>
          </w:tcPr>
          <w:p>
            <w:pPr>
              <w:widowControl/>
              <w:spacing w:line="280" w:lineRule="exact"/>
              <w:rPr>
                <w:rFonts w:ascii="宋体" w:hAnsi="宋体"/>
                <w:b/>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加大执法力度，坚决杜绝运输环节“先分后混”“混装混运”现象。</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市生态环境局、市商务局、市城市管理执法局</w:t>
            </w:r>
          </w:p>
        </w:tc>
        <w:tc>
          <w:tcPr>
            <w:tcW w:w="3012"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各区政府、市新区管委会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olor w:val="000000"/>
                <w:kern w:val="0"/>
                <w:szCs w:val="21"/>
              </w:rPr>
            </w:pPr>
            <w:r>
              <w:rPr>
                <w:rFonts w:hint="eastAsia" w:ascii="宋体" w:hAnsi="宋体" w:cs="宋体"/>
                <w:color w:val="000000"/>
                <w:kern w:val="0"/>
                <w:szCs w:val="21"/>
              </w:rPr>
              <w:t>六</w:t>
            </w:r>
          </w:p>
        </w:tc>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r>
              <w:rPr>
                <w:rFonts w:hint="eastAsia" w:ascii="宋体" w:hAnsi="宋体" w:cs="宋体"/>
                <w:color w:val="000000"/>
                <w:kern w:val="0"/>
                <w:szCs w:val="21"/>
              </w:rPr>
              <w:t>增强生活垃圾末端处置能力</w:t>
            </w: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合理布局生活垃圾分类处理设施，编制生活垃圾分类规划。</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p>
        </w:tc>
        <w:tc>
          <w:tcPr>
            <w:tcW w:w="3012" w:type="dxa"/>
            <w:tcBorders>
              <w:left w:val="single" w:color="auto" w:sz="4" w:space="0"/>
              <w:right w:val="single" w:color="auto" w:sz="4" w:space="0"/>
            </w:tcBorders>
            <w:noWrap w:val="0"/>
            <w:vAlign w:val="center"/>
          </w:tcPr>
          <w:p>
            <w:pPr>
              <w:spacing w:line="280" w:lineRule="exact"/>
              <w:rPr>
                <w:rFonts w:hint="eastAsia" w:ascii="宋体" w:hAnsi="宋体"/>
                <w:color w:val="000000"/>
                <w:kern w:val="0"/>
                <w:szCs w:val="21"/>
              </w:rPr>
            </w:pPr>
            <w:r>
              <w:rPr>
                <w:rFonts w:hint="eastAsia" w:ascii="宋体" w:hAnsi="宋体" w:cs="宋体"/>
                <w:color w:val="000000"/>
                <w:kern w:val="0"/>
                <w:szCs w:val="21"/>
              </w:rPr>
              <w:t>市城市管理执法局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b/>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优化再生资源回收利用站（点）布局。</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p>
        </w:tc>
        <w:tc>
          <w:tcPr>
            <w:tcW w:w="3012" w:type="dxa"/>
            <w:tcBorders>
              <w:left w:val="single" w:color="auto" w:sz="4" w:space="0"/>
              <w:right w:val="single" w:color="auto" w:sz="4" w:space="0"/>
            </w:tcBorders>
            <w:noWrap w:val="0"/>
            <w:vAlign w:val="center"/>
          </w:tcPr>
          <w:p>
            <w:pPr>
              <w:spacing w:line="280" w:lineRule="exact"/>
              <w:rPr>
                <w:rFonts w:hint="eastAsia" w:ascii="宋体" w:hAnsi="宋体"/>
                <w:color w:val="000000"/>
                <w:kern w:val="0"/>
                <w:szCs w:val="21"/>
              </w:rPr>
            </w:pPr>
            <w:r>
              <w:rPr>
                <w:rFonts w:hint="eastAsia" w:ascii="宋体" w:hAnsi="宋体" w:cs="宋体"/>
                <w:color w:val="000000"/>
                <w:kern w:val="0"/>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b/>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kern w:val="0"/>
                <w:szCs w:val="21"/>
              </w:rPr>
            </w:pPr>
            <w:r>
              <w:rPr>
                <w:rFonts w:hint="eastAsia" w:ascii="宋体" w:hAnsi="宋体" w:cs="宋体"/>
                <w:kern w:val="0"/>
                <w:szCs w:val="21"/>
              </w:rPr>
              <w:t>支持鼓励安泰集团做大做强集餐厨垃圾、再生资源、有害垃圾及建筑垃圾资源化处置基地。</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p>
        </w:tc>
        <w:tc>
          <w:tcPr>
            <w:tcW w:w="3012" w:type="dxa"/>
            <w:tcBorders>
              <w:left w:val="single" w:color="auto" w:sz="4" w:space="0"/>
              <w:right w:val="single" w:color="auto" w:sz="4" w:space="0"/>
            </w:tcBorders>
            <w:noWrap w:val="0"/>
            <w:vAlign w:val="center"/>
          </w:tcPr>
          <w:p>
            <w:pPr>
              <w:spacing w:line="280" w:lineRule="exact"/>
              <w:rPr>
                <w:rFonts w:hint="eastAsia" w:ascii="宋体" w:hAnsi="宋体"/>
                <w:color w:val="000000"/>
                <w:kern w:val="0"/>
                <w:szCs w:val="21"/>
              </w:rPr>
            </w:pPr>
            <w:r>
              <w:rPr>
                <w:rFonts w:hint="eastAsia" w:ascii="宋体" w:hAnsi="宋体" w:cs="宋体"/>
                <w:color w:val="000000"/>
                <w:kern w:val="0"/>
                <w:szCs w:val="21"/>
              </w:rPr>
              <w:t>市商务局、市城市管理执法局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b/>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kern w:val="0"/>
                <w:szCs w:val="21"/>
              </w:rPr>
            </w:pPr>
            <w:r>
              <w:rPr>
                <w:rFonts w:hint="eastAsia" w:ascii="宋体" w:hAnsi="宋体" w:cs="宋体"/>
                <w:kern w:val="0"/>
                <w:szCs w:val="21"/>
              </w:rPr>
              <w:t>统筹全市生活垃圾焚烧发电项目。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cs="宋体"/>
                <w:color w:val="000000"/>
                <w:kern w:val="0"/>
                <w:szCs w:val="21"/>
              </w:rPr>
            </w:pPr>
          </w:p>
        </w:tc>
        <w:tc>
          <w:tcPr>
            <w:tcW w:w="3012" w:type="dxa"/>
            <w:tcBorders>
              <w:left w:val="single" w:color="auto" w:sz="4" w:space="0"/>
              <w:right w:val="single" w:color="auto" w:sz="4" w:space="0"/>
            </w:tcBorders>
            <w:noWrap w:val="0"/>
            <w:vAlign w:val="center"/>
          </w:tcPr>
          <w:p>
            <w:pPr>
              <w:spacing w:line="280" w:lineRule="exact"/>
              <w:rPr>
                <w:rFonts w:hint="eastAsia" w:ascii="宋体" w:hAnsi="宋体"/>
                <w:color w:val="000000"/>
                <w:kern w:val="0"/>
                <w:szCs w:val="21"/>
              </w:rPr>
            </w:pPr>
            <w:r>
              <w:rPr>
                <w:rFonts w:hint="eastAsia" w:ascii="宋体" w:hAnsi="宋体" w:cs="宋体"/>
                <w:color w:val="000000"/>
                <w:kern w:val="0"/>
                <w:szCs w:val="21"/>
              </w:rPr>
              <w:t>市发改委、市城市管理执法局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b/>
                <w:bCs/>
                <w:color w:val="000000"/>
                <w:kern w:val="0"/>
                <w:szCs w:val="21"/>
              </w:rPr>
            </w:pPr>
          </w:p>
        </w:tc>
        <w:tc>
          <w:tcPr>
            <w:tcW w:w="49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利用“互联网</w:t>
            </w:r>
            <w:r>
              <w:rPr>
                <w:rFonts w:ascii="宋体" w:hAnsi="宋体" w:cs="宋体"/>
                <w:color w:val="000000"/>
                <w:kern w:val="0"/>
                <w:szCs w:val="21"/>
              </w:rPr>
              <w:t>+</w:t>
            </w:r>
            <w:r>
              <w:rPr>
                <w:rFonts w:hint="eastAsia" w:ascii="宋体" w:hAnsi="宋体" w:cs="宋体"/>
                <w:color w:val="000000"/>
                <w:kern w:val="0"/>
                <w:szCs w:val="21"/>
              </w:rPr>
              <w:t>回收”</w:t>
            </w:r>
            <w:r>
              <w:rPr>
                <w:rFonts w:hint="eastAsia" w:ascii="宋体" w:hAnsi="宋体" w:cs="宋体"/>
                <w:color w:val="000000"/>
                <w:spacing w:val="-10"/>
                <w:kern w:val="0"/>
                <w:szCs w:val="21"/>
              </w:rPr>
              <w:t>新模式，扩大再生资源回收利用网点，全市各小区再生资源回收屋实现全覆盖。</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color w:val="000000"/>
                <w:kern w:val="0"/>
                <w:szCs w:val="21"/>
              </w:rPr>
            </w:pPr>
            <w:r>
              <w:rPr>
                <w:rFonts w:hint="eastAsia" w:ascii="宋体" w:hAnsi="宋体" w:cs="宋体"/>
                <w:color w:val="000000"/>
                <w:kern w:val="0"/>
                <w:szCs w:val="21"/>
              </w:rPr>
              <w:t>市商务局、市住建局</w:t>
            </w:r>
          </w:p>
        </w:tc>
        <w:tc>
          <w:tcPr>
            <w:tcW w:w="3012" w:type="dxa"/>
            <w:tcBorders>
              <w:left w:val="single" w:color="auto" w:sz="4" w:space="0"/>
              <w:right w:val="single" w:color="auto" w:sz="4" w:space="0"/>
            </w:tcBorders>
            <w:noWrap w:val="0"/>
            <w:vAlign w:val="center"/>
          </w:tcPr>
          <w:p>
            <w:pPr>
              <w:spacing w:line="280" w:lineRule="exact"/>
              <w:rPr>
                <w:rFonts w:hint="eastAsia" w:ascii="宋体" w:hAnsi="宋体"/>
                <w:color w:val="000000"/>
                <w:kern w:val="0"/>
                <w:szCs w:val="21"/>
              </w:rPr>
            </w:pPr>
            <w:r>
              <w:rPr>
                <w:rFonts w:hint="eastAsia" w:ascii="宋体" w:hAnsi="宋体"/>
                <w:color w:val="000000"/>
                <w:kern w:val="0"/>
                <w:szCs w:val="21"/>
              </w:rPr>
              <w:t>各区政府、市新区管委会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52C98"/>
    <w:rsid w:val="4635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2019-11-05T10:22:00Z</dcterms:created>
  <dc:creator>有关风月 却无关你我</dc:creator>
  <cp:lastModifiedBy>有关风月 却无关你我</cp:lastModifiedBy>
  <dcterms:modified xsi:type="dcterms:W3CDTF">2019-11-05T10:22:46Z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