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440" w:lineRule="exact"/>
        <w:jc w:val="left"/>
        <w:rPr>
          <w:rFonts w:eastAsia="黑体"/>
          <w:bCs/>
          <w:snapToGrid w:val="0"/>
          <w:sz w:val="32"/>
          <w:szCs w:val="32"/>
        </w:rPr>
      </w:pPr>
      <w:r>
        <w:rPr>
          <w:rFonts w:eastAsia="黑体"/>
          <w:bCs/>
          <w:snapToGrid w:val="0"/>
          <w:sz w:val="32"/>
          <w:szCs w:val="32"/>
        </w:rPr>
        <w:t>附件</w:t>
      </w:r>
    </w:p>
    <w:p>
      <w:pPr>
        <w:topLinePunct/>
        <w:spacing w:line="480" w:lineRule="exact"/>
        <w:jc w:val="center"/>
        <w:rPr>
          <w:rFonts w:eastAsia="方正小标宋简体"/>
          <w:bCs/>
          <w:snapToGrid w:val="0"/>
          <w:sz w:val="44"/>
          <w:szCs w:val="44"/>
        </w:rPr>
      </w:pPr>
      <w:bookmarkStart w:id="0" w:name="_GoBack"/>
      <w:r>
        <w:rPr>
          <w:rFonts w:eastAsia="方正小标宋简体"/>
          <w:bCs/>
          <w:snapToGrid w:val="0"/>
          <w:sz w:val="44"/>
          <w:szCs w:val="44"/>
        </w:rPr>
        <w:t>政府信息公开情况统计表</w:t>
      </w:r>
      <w:bookmarkEnd w:id="0"/>
    </w:p>
    <w:p>
      <w:pPr>
        <w:topLinePunct/>
        <w:spacing w:line="480" w:lineRule="exact"/>
        <w:jc w:val="center"/>
        <w:rPr>
          <w:rFonts w:eastAsia="楷体_GB2312"/>
          <w:snapToGrid w:val="0"/>
          <w:sz w:val="24"/>
        </w:rPr>
      </w:pPr>
      <w:r>
        <w:rPr>
          <w:rFonts w:eastAsia="楷体_GB2312"/>
          <w:snapToGrid w:val="0"/>
          <w:sz w:val="24"/>
        </w:rPr>
        <w:t>（2018年度）</w:t>
      </w:r>
    </w:p>
    <w:p>
      <w:pPr>
        <w:topLinePunct/>
        <w:spacing w:line="480" w:lineRule="exact"/>
        <w:jc w:val="left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24"/>
        </w:rPr>
        <w:t xml:space="preserve">填报单位（盖章）：宜君县人民政府       </w:t>
      </w:r>
      <w:r>
        <w:rPr>
          <w:rFonts w:hint="eastAsia" w:eastAsia="仿宋_GB2312"/>
          <w:snapToGrid w:val="0"/>
          <w:sz w:val="24"/>
          <w:lang w:val="en-US" w:eastAsia="zh-CN"/>
        </w:rPr>
        <w:t xml:space="preserve">    </w:t>
      </w:r>
      <w:r>
        <w:rPr>
          <w:rFonts w:eastAsia="仿宋_GB2312"/>
          <w:snapToGrid w:val="0"/>
          <w:sz w:val="24"/>
        </w:rPr>
        <w:t>填报日期：2019年1月</w:t>
      </w:r>
      <w:r>
        <w:rPr>
          <w:rFonts w:hint="eastAsia" w:eastAsia="仿宋_GB2312"/>
          <w:snapToGrid w:val="0"/>
          <w:sz w:val="24"/>
          <w:lang w:val="en-US" w:eastAsia="zh-CN"/>
        </w:rPr>
        <w:t>31</w:t>
      </w:r>
      <w:r>
        <w:rPr>
          <w:rFonts w:eastAsia="仿宋_GB2312"/>
          <w:snapToGrid w:val="0"/>
          <w:sz w:val="24"/>
        </w:rPr>
        <w:t>日</w:t>
      </w:r>
    </w:p>
    <w:tbl>
      <w:tblPr>
        <w:tblStyle w:val="5"/>
        <w:tblW w:w="9480" w:type="dxa"/>
        <w:jc w:val="center"/>
        <w:tblInd w:w="0" w:type="dxa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7012"/>
        <w:gridCol w:w="933"/>
        <w:gridCol w:w="1535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统　   计　   指  　 标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单 位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统 计 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一、主动公开情况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——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19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0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　　（一）主动公开政府信息数</w:t>
            </w:r>
            <w:r>
              <w:rPr>
                <w:rFonts w:eastAsia="仿宋_GB2312"/>
                <w:snapToGrid w:val="0"/>
                <w:szCs w:val="21"/>
              </w:rPr>
              <w:br w:type="textWrapping"/>
            </w:r>
            <w:r>
              <w:rPr>
                <w:rFonts w:eastAsia="仿宋_GB2312"/>
                <w:snapToGrid w:val="0"/>
                <w:szCs w:val="21"/>
              </w:rPr>
              <w:t xml:space="preserve">　　　　（不同渠道和方式公开相同信息计1条）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条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3179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　　　　其中：主动公开规范性文件数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条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280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　　　　　　　制发规范性文件总数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件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280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（二）通过不同渠道和方式公开政府信息的情况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——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　　　1.政府公报公开政府信息数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条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——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　　　2.政府网站公开政府信息数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条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11987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　　　3.政务微博公开政府信息数 </w:t>
            </w:r>
          </w:p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条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2650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　　　4.政务微信公开政府信息数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条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1200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　　　5.其他方式公开政府信息数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条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700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二、回应解读情况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——</w:t>
            </w:r>
          </w:p>
        </w:tc>
        <w:tc>
          <w:tcPr>
            <w:tcW w:w="153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19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0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　　（一）回应公众关注热点或重大舆情数</w:t>
            </w:r>
            <w:r>
              <w:rPr>
                <w:rFonts w:eastAsia="仿宋_GB2312"/>
                <w:snapToGrid w:val="0"/>
                <w:szCs w:val="21"/>
              </w:rPr>
              <w:br w:type="textWrapping"/>
            </w:r>
            <w:r>
              <w:rPr>
                <w:rFonts w:eastAsia="仿宋_GB2312"/>
                <w:snapToGrid w:val="0"/>
                <w:szCs w:val="21"/>
              </w:rPr>
              <w:t>　　　　（不同方式回应同一热点或舆情计1次）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次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（二）通过不同渠道和方式回应解读的情况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——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　　　1.参加或举办新闻发布会总次数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次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　　　　 其中：主要负责同志参加新闻发布会次数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次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　　　2.政府网站在线访谈次数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次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7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　　　　 其中：主要负责同志参加政府网站在线访谈次数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次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　　　3.政策解读稿件发布数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篇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61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　　　4.微博微信回应事件数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次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7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　　　5.其他方式回应事件数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次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三、依申请公开情况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——</w:t>
            </w:r>
          </w:p>
        </w:tc>
        <w:tc>
          <w:tcPr>
            <w:tcW w:w="153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（一）收到申请数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件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　　　1.当面申请数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件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　　　2.传真申请数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件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　　　3.网络申请数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件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　　　4.信函申请数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件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（二）申请办结数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件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　　　1.按时办结数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件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　　　2.延期办结数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件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（三）申请答复数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件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　　　1.属于已主动公开范围数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件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　　　2.同意公开答复数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件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　　　3.同意部分公开答复数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件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　　　4.不同意公开答复数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件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　　　 　其中：涉及国家秘密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件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　　　　　　　 涉及商业秘密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件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　　　　　　　 涉及个人隐私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件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　　　　　　　 危及国家安全、公共安全、经济安全和社会稳定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件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　　　　　　　 不是《条例》所指政府信息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件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　　　　　　　 法律法规规定的其他情形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件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　　　5.不属于本行政机关公开数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件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　　　6.申请信息不存在数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件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color w:val="00000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szCs w:val="21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　　　7.告知作出更改补充数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件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　　　8.告知通过其他途径办理数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件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四、行政复议数量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件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（一）维持具体行政行为数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件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（二）被依法纠错数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件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（三）其他情形数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件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五、行政诉讼数量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件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（一）维持具体行政行为或者驳回原告诉讼请求数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件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（二）被依法纠错数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件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（三）其他情形数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件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六、举报投诉数量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件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七、依申请公开信息收取的费用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万元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八、机构建设和保障经费情况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——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（一）政府信息公开工作专门机构数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个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（二）设置政府信息公开查阅点数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个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（三）从事政府信息公开工作人员数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人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　　　1.专职人员数（不包括政府公报及政府网站工作人员数）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人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　　　2.兼职人员数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人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19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0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（四）政府信息公开专项经费（不包括用于政府公报编辑管理及政府网站建设维护等方面的经费）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万元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九、政府信息公开会议和培训情况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——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（一）召开政府信息公开工作会议或专题会议数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次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（二）举办各类培训班数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次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33" w:hRule="exact"/>
          <w:jc w:val="center"/>
        </w:trPr>
        <w:tc>
          <w:tcPr>
            <w:tcW w:w="70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 xml:space="preserve">　　（三）接受培训人员数 </w:t>
            </w:r>
          </w:p>
        </w:tc>
        <w:tc>
          <w:tcPr>
            <w:tcW w:w="9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人次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eastAsia="仿宋_GB2312"/>
                <w:snapToGrid w:val="0"/>
                <w:szCs w:val="21"/>
              </w:rPr>
            </w:pPr>
            <w:r>
              <w:rPr>
                <w:rFonts w:eastAsia="仿宋_GB2312"/>
                <w:snapToGrid w:val="0"/>
                <w:szCs w:val="21"/>
              </w:rPr>
              <w:t>80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2010F"/>
    <w:rsid w:val="1D22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2019-02-01T01:56:00Z</dcterms:created>
  <dc:creator>追梦</dc:creator>
  <cp:lastModifiedBy>追梦</cp:lastModifiedBy>
  <dcterms:modified xsi:type="dcterms:W3CDTF">2019-02-01T01:56:56Z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