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ackground w:color="FFFFFF"/>
  <w:body>
    <w:p>
      <w:pPr>
        <w:spacing w:line="600" w:lineRule="exact"/>
        <w:jc w:val="center"/>
        <w:rPr>
          <w:rFonts w:ascii="仿宋_GB2312" w:cs="仿宋_GB2312"/>
          <w:bCs/>
          <w:sz w:val="32"/>
          <w:szCs w:val="32"/>
        </w:rPr>
      </w:pPr>
    </w:p>
    <w:p>
      <w:pPr>
        <w:spacing w:line="600" w:lineRule="exact"/>
        <w:jc w:val="center"/>
        <w:rPr>
          <w:rFonts w:ascii="仿宋_GB2312" w:cs="仿宋_GB2312"/>
          <w:bCs/>
          <w:sz w:val="32"/>
          <w:szCs w:val="32"/>
        </w:rPr>
      </w:pPr>
    </w:p>
    <w:p>
      <w:pPr>
        <w:spacing w:line="600" w:lineRule="exact"/>
        <w:jc w:val="center"/>
        <w:rPr>
          <w:rFonts w:ascii="仿宋_GB2312" w:cs="仿宋_GB2312"/>
          <w:bCs/>
          <w:sz w:val="32"/>
          <w:szCs w:val="32"/>
        </w:rPr>
      </w:pPr>
    </w:p>
    <w:p>
      <w:pPr>
        <w:spacing w:line="600" w:lineRule="exact"/>
        <w:jc w:val="center"/>
        <w:rPr>
          <w:rFonts w:ascii="仿宋_GB2312" w:cs="仿宋_GB2312"/>
          <w:bCs/>
          <w:sz w:val="32"/>
          <w:szCs w:val="32"/>
        </w:rPr>
      </w:pPr>
    </w:p>
    <w:p>
      <w:pPr>
        <w:spacing w:line="600" w:lineRule="exact"/>
        <w:jc w:val="center"/>
        <w:rPr>
          <w:rFonts w:ascii="仿宋_GB2312" w:cs="仿宋_GB2312"/>
          <w:bCs/>
          <w:sz w:val="32"/>
          <w:szCs w:val="32"/>
        </w:rPr>
      </w:pPr>
    </w:p>
    <w:p>
      <w:pPr>
        <w:spacing w:line="600" w:lineRule="exact"/>
        <w:jc w:val="center"/>
        <w:rPr>
          <w:rFonts w:ascii="仿宋_GB2312" w:cs="仿宋_GB2312"/>
          <w:bCs/>
          <w:sz w:val="32"/>
          <w:szCs w:val="32"/>
        </w:rPr>
      </w:pPr>
    </w:p>
    <w:p>
      <w:pPr>
        <w:spacing w:line="400" w:lineRule="exact"/>
        <w:jc w:val="center"/>
        <w:rPr>
          <w:rFonts w:ascii="仿宋_GB2312" w:cs="仿宋_GB2312"/>
          <w:bCs/>
          <w:sz w:val="32"/>
          <w:szCs w:val="32"/>
        </w:rPr>
      </w:pPr>
    </w:p>
    <w:p>
      <w:pPr>
        <w:spacing w:line="600" w:lineRule="exact"/>
        <w:jc w:val="center"/>
        <w:rPr>
          <w:rFonts w:ascii="仿宋_GB2312" w:cs="仿宋_GB2312"/>
          <w:bCs/>
          <w:sz w:val="32"/>
          <w:szCs w:val="32"/>
        </w:rPr>
      </w:pPr>
      <w:r>
        <w:rPr>
          <w:rFonts w:ascii="仿宋_GB2312" w:cs="仿宋_GB2312" w:hint="eastAsia"/>
          <w:bCs/>
          <w:sz w:val="32"/>
          <w:szCs w:val="32"/>
        </w:rPr>
        <w:t>铜王住建发〔20</w:t>
      </w:r>
      <w:r>
        <w:rPr>
          <w:rFonts w:ascii="仿宋_GB2312" w:cs="仿宋_GB2312"/>
          <w:bCs/>
          <w:sz w:val="32"/>
          <w:szCs w:val="32"/>
        </w:rPr>
        <w:t>20</w:t>
      </w:r>
      <w:r>
        <w:rPr>
          <w:rFonts w:ascii="仿宋_GB2312" w:cs="仿宋_GB2312" w:hint="eastAsia"/>
          <w:bCs/>
          <w:sz w:val="32"/>
          <w:szCs w:val="32"/>
        </w:rPr>
        <w:t>〕</w:t>
      </w:r>
      <w:r>
        <w:rPr>
          <w:rFonts w:ascii="仿宋_GB2312" w:cs="仿宋_GB2312"/>
          <w:bCs/>
          <w:sz w:val="32"/>
          <w:szCs w:val="32"/>
          <w:lang w:val="en-US" w:eastAsia="zh-CN"/>
        </w:rPr>
        <w:t>293</w:t>
      </w:r>
      <w:r>
        <w:rPr>
          <w:rFonts w:ascii="仿宋_GB2312" w:cs="仿宋_GB2312"/>
          <w:bCs/>
          <w:sz w:val="32"/>
          <w:szCs w:val="32"/>
        </w:rPr>
        <w:t>号</w:t>
      </w:r>
    </w:p>
    <w:p>
      <w:pPr>
        <w:spacing w:line="600" w:lineRule="exact"/>
        <w:jc w:val="center"/>
        <w:rPr>
          <w:rFonts w:ascii="仿宋_GB2312" w:cs="仿宋_GB2312"/>
          <w:bCs/>
          <w:sz w:val="32"/>
          <w:szCs w:val="32"/>
        </w:rPr>
      </w:pPr>
    </w:p>
    <w:p>
      <w:pPr>
        <w:spacing w:line="200" w:lineRule="exact"/>
        <w:jc w:val="center"/>
        <w:rPr>
          <w:rFonts w:ascii="仿宋_GB2312" w:cs="仿宋_GB2312"/>
          <w:bCs/>
          <w:sz w:val="32"/>
          <w:szCs w:val="32"/>
        </w:rPr>
      </w:pPr>
    </w:p>
    <w:p>
      <w:pPr>
        <w:spacing w:line="660" w:lineRule="exact"/>
        <w:jc w:val="center"/>
        <w:rPr>
          <w:rFonts w:ascii="方正小标宋简体" w:eastAsia="方正小标宋简体" w:cs="方正小标宋简体" w:hint="eastAsia"/>
          <w:sz w:val="44"/>
          <w:szCs w:val="44"/>
        </w:rPr>
      </w:pPr>
      <w:r>
        <w:rPr>
          <w:rFonts w:ascii="方正小标宋简体" w:eastAsia="方正小标宋简体" w:cs="方正小标宋简体" w:hint="eastAsia"/>
          <w:sz w:val="44"/>
          <w:szCs w:val="44"/>
        </w:rPr>
        <w:t>铜川市王益区住房和城乡建设局</w:t>
      </w:r>
    </w:p>
    <w:p>
      <w:pPr>
        <w:spacing w:line="660" w:lineRule="exact"/>
        <w:jc w:val="center"/>
        <w:rPr>
          <w:rStyle w:val="2Char"/>
          <w:rFonts w:ascii="方正小标宋简体" w:eastAsia="方正小标宋简体"/>
          <w:b w:val="0"/>
          <w:sz w:val="44"/>
          <w:szCs w:val="44"/>
        </w:rPr>
      </w:pPr>
      <w:r>
        <w:rPr>
          <w:rFonts w:ascii="方正小标宋简体" w:eastAsia="方正小标宋简体" w:cs="方正小标宋简体" w:hint="eastAsia"/>
          <w:sz w:val="44"/>
          <w:szCs w:val="44"/>
        </w:rPr>
        <w:t>关于</w:t>
      </w:r>
      <w:bookmarkStart w:id="0" w:name="_GoBack"/>
      <w:bookmarkEnd w:id="0"/>
      <w:r>
        <w:rPr>
          <w:rStyle w:val="2Char"/>
          <w:rFonts w:ascii="方正小标宋简体" w:eastAsia="方正小标宋简体" w:hint="eastAsia"/>
          <w:b w:val="0"/>
          <w:sz w:val="44"/>
          <w:szCs w:val="44"/>
        </w:rPr>
        <w:t>王益区住建系统信用体系建设推进工作</w:t>
      </w:r>
    </w:p>
    <w:p>
      <w:pPr>
        <w:spacing w:line="660" w:lineRule="exact"/>
        <w:jc w:val="center"/>
        <w:rPr>
          <w:rStyle w:val="2Char"/>
          <w:rFonts w:ascii="方正小标宋简体" w:eastAsia="方正小标宋简体"/>
          <w:b w:val="0"/>
          <w:sz w:val="44"/>
          <w:szCs w:val="44"/>
        </w:rPr>
      </w:pPr>
      <w:r>
        <w:rPr>
          <w:rStyle w:val="2Char"/>
          <w:rFonts w:ascii="方正小标宋简体" w:eastAsia="方正小标宋简体" w:hint="eastAsia"/>
          <w:b w:val="0"/>
          <w:sz w:val="44"/>
          <w:szCs w:val="44"/>
        </w:rPr>
        <w:t>实</w:t>
      </w:r>
      <w:r>
        <w:rPr>
          <w:rStyle w:val="2Char"/>
          <w:rFonts w:ascii="方正小标宋简体" w:eastAsia="方正小标宋简体"/>
          <w:b w:val="0"/>
          <w:sz w:val="44"/>
          <w:szCs w:val="44"/>
        </w:rPr>
        <w:t xml:space="preserve">  </w:t>
      </w:r>
      <w:r>
        <w:rPr>
          <w:rStyle w:val="2Char"/>
          <w:rFonts w:ascii="方正小标宋简体" w:eastAsia="方正小标宋简体" w:hint="eastAsia"/>
          <w:b w:val="0"/>
          <w:sz w:val="44"/>
          <w:szCs w:val="44"/>
        </w:rPr>
        <w:t>施</w:t>
      </w:r>
      <w:r>
        <w:rPr>
          <w:rStyle w:val="2Char"/>
          <w:rFonts w:ascii="方正小标宋简体" w:eastAsia="方正小标宋简体"/>
          <w:b w:val="0"/>
          <w:sz w:val="44"/>
          <w:szCs w:val="44"/>
        </w:rPr>
        <w:t xml:space="preserve">  </w:t>
      </w:r>
      <w:r>
        <w:rPr>
          <w:rStyle w:val="2Char"/>
          <w:rFonts w:ascii="方正小标宋简体" w:eastAsia="方正小标宋简体" w:hint="eastAsia"/>
          <w:b w:val="0"/>
          <w:sz w:val="44"/>
          <w:szCs w:val="44"/>
        </w:rPr>
        <w:t>方</w:t>
      </w:r>
      <w:r>
        <w:rPr>
          <w:rStyle w:val="2Char"/>
          <w:rFonts w:ascii="方正小标宋简体" w:eastAsia="方正小标宋简体"/>
          <w:b w:val="0"/>
          <w:sz w:val="44"/>
          <w:szCs w:val="44"/>
        </w:rPr>
        <w:t xml:space="preserve">  </w:t>
      </w:r>
      <w:r>
        <w:rPr>
          <w:rStyle w:val="2Char"/>
          <w:rFonts w:ascii="方正小标宋简体" w:eastAsia="方正小标宋简体" w:hint="eastAsia"/>
          <w:b w:val="0"/>
          <w:sz w:val="44"/>
          <w:szCs w:val="44"/>
        </w:rPr>
        <w:t>案</w:t>
      </w:r>
    </w:p>
    <w:p>
      <w:pPr>
        <w:pStyle w:val="15"/>
        <w:spacing w:line="560" w:lineRule="exact"/>
      </w:pPr>
    </w:p>
    <w:p>
      <w:pPr>
        <w:spacing w:line="570" w:lineRule="exact"/>
        <w:rPr>
          <w:rFonts w:ascii="仿宋_GB2312" w:hint="eastAsia"/>
          <w:sz w:val="32"/>
          <w:szCs w:val="32"/>
        </w:rPr>
      </w:pPr>
      <w:r>
        <w:rPr>
          <w:rFonts w:ascii="仿宋_GB2312" w:hint="eastAsia"/>
          <w:sz w:val="32"/>
          <w:szCs w:val="32"/>
        </w:rPr>
        <w:t>局机关各科室、局属各单位：</w:t>
      </w:r>
    </w:p>
    <w:p>
      <w:pPr>
        <w:pStyle w:val="15"/>
        <w:spacing w:line="570" w:lineRule="exact"/>
        <w:ind w:firstLineChars="200" w:firstLine="640"/>
        <w:rPr>
          <w:rFonts w:ascii="仿宋_GB2312" w:eastAsia="仿宋_GB2312"/>
        </w:rPr>
      </w:pPr>
      <w:r>
        <w:rPr>
          <w:rFonts w:ascii="仿宋_GB2312" w:eastAsia="仿宋_GB2312" w:hint="eastAsia"/>
        </w:rPr>
        <w:t>现将《王益区住建系统信用体系建设推进工作实施方案》印发给你们，请认真贯彻执行。</w:t>
      </w:r>
    </w:p>
    <w:p>
      <w:pPr>
        <w:pStyle w:val="16"/>
      </w:pPr>
    </w:p>
    <w:p>
      <w:pPr>
        <w:pStyle w:val="17"/>
      </w:pPr>
    </w:p>
    <w:p/>
    <w:p>
      <w:pPr>
        <w:pStyle w:val="15"/>
        <w:spacing w:line="200" w:lineRule="exact"/>
      </w:pPr>
    </w:p>
    <w:p>
      <w:pPr>
        <w:spacing w:line="540" w:lineRule="exact"/>
        <w:ind w:firstLineChars="1300" w:firstLine="4160"/>
        <w:rPr>
          <w:rFonts w:ascii="仿宋_GB2312" w:cs="宋体"/>
          <w:bCs/>
          <w:sz w:val="32"/>
          <w:szCs w:val="32"/>
        </w:rPr>
      </w:pPr>
      <w:r>
        <w:rPr>
          <w:rFonts w:ascii="仿宋_GB2312" w:cs="宋体" w:hint="eastAsia"/>
          <w:bCs/>
          <w:sz w:val="32"/>
          <w:szCs w:val="32"/>
        </w:rPr>
        <w:t>铜川市王益区住房和城乡建设局</w:t>
      </w:r>
    </w:p>
    <w:p>
      <w:pPr>
        <w:spacing w:line="540" w:lineRule="exact"/>
        <w:ind w:firstLineChars="1600" w:firstLine="5120"/>
      </w:pPr>
      <w:r>
        <w:rPr>
          <w:rFonts w:ascii="仿宋_GB2312" w:cs="宋体" w:hint="eastAsia"/>
          <w:bCs/>
          <w:sz w:val="32"/>
          <w:szCs w:val="32"/>
        </w:rPr>
        <w:t>2020年</w:t>
      </w:r>
      <w:r>
        <w:rPr>
          <w:rFonts w:ascii="仿宋_GB2312" w:cs="宋体"/>
          <w:bCs/>
          <w:sz w:val="32"/>
          <w:szCs w:val="32"/>
        </w:rPr>
        <w:t>12</w:t>
      </w:r>
      <w:r>
        <w:rPr>
          <w:rFonts w:ascii="仿宋_GB2312" w:cs="宋体" w:hint="eastAsia"/>
          <w:bCs/>
          <w:sz w:val="32"/>
          <w:szCs w:val="32"/>
        </w:rPr>
        <w:t>月3日</w:t>
      </w:r>
    </w:p>
    <w:p>
      <w:pPr>
        <w:pStyle w:val="17"/>
      </w:pPr>
    </w:p>
    <w:p>
      <w:pPr>
        <w:spacing w:line="660" w:lineRule="exact"/>
        <w:jc w:val="center"/>
        <w:rPr>
          <w:rFonts w:ascii="方正小标宋简体" w:eastAsia="方正小标宋简体"/>
          <w:sz w:val="44"/>
          <w:szCs w:val="44"/>
        </w:rPr>
      </w:pPr>
      <w:r>
        <w:rPr>
          <w:rFonts w:ascii="方正小标宋简体" w:eastAsia="方正小标宋简体" w:hint="eastAsia"/>
          <w:sz w:val="44"/>
          <w:szCs w:val="44"/>
        </w:rPr>
        <w:t>王益区住建系统信用体系建设推进工作</w:t>
      </w:r>
    </w:p>
    <w:p>
      <w:pPr>
        <w:spacing w:line="660" w:lineRule="exact"/>
        <w:jc w:val="center"/>
        <w:rPr>
          <w:rFonts w:ascii="方正小标宋简体" w:eastAsia="方正小标宋简体"/>
          <w:sz w:val="44"/>
          <w:szCs w:val="44"/>
        </w:rPr>
      </w:pPr>
      <w:r>
        <w:rPr>
          <w:rFonts w:ascii="方正小标宋简体" w:eastAsia="方正小标宋简体" w:hint="eastAsia"/>
          <w:sz w:val="44"/>
          <w:szCs w:val="44"/>
        </w:rPr>
        <w:t>实</w:t>
      </w:r>
      <w:r>
        <w:rPr>
          <w:rFonts w:ascii="方正小标宋简体" w:eastAsia="方正小标宋简体"/>
          <w:sz w:val="44"/>
          <w:szCs w:val="44"/>
        </w:rPr>
        <w:t xml:space="preserve">  </w:t>
      </w:r>
      <w:r>
        <w:rPr>
          <w:rFonts w:ascii="方正小标宋简体" w:eastAsia="方正小标宋简体" w:hint="eastAsia"/>
          <w:sz w:val="44"/>
          <w:szCs w:val="44"/>
        </w:rPr>
        <w:t>施</w:t>
      </w:r>
      <w:r>
        <w:rPr>
          <w:rFonts w:ascii="方正小标宋简体" w:eastAsia="方正小标宋简体"/>
          <w:sz w:val="44"/>
          <w:szCs w:val="44"/>
        </w:rPr>
        <w:t xml:space="preserve">  </w:t>
      </w:r>
      <w:r>
        <w:rPr>
          <w:rFonts w:ascii="方正小标宋简体" w:eastAsia="方正小标宋简体" w:hint="eastAsia"/>
          <w:sz w:val="44"/>
          <w:szCs w:val="44"/>
        </w:rPr>
        <w:t>方</w:t>
      </w:r>
      <w:r>
        <w:rPr>
          <w:rFonts w:ascii="方正小标宋简体" w:eastAsia="方正小标宋简体"/>
          <w:sz w:val="44"/>
          <w:szCs w:val="44"/>
        </w:rPr>
        <w:t xml:space="preserve">  </w:t>
      </w:r>
      <w:r>
        <w:rPr>
          <w:rFonts w:ascii="方正小标宋简体" w:eastAsia="方正小标宋简体" w:hint="eastAsia"/>
          <w:sz w:val="44"/>
          <w:szCs w:val="44"/>
        </w:rPr>
        <w:t>案</w:t>
      </w:r>
    </w:p>
    <w:p>
      <w:pPr>
        <w:pStyle w:val="15"/>
        <w:spacing w:line="400" w:lineRule="exact"/>
      </w:pPr>
    </w:p>
    <w:p>
      <w:pPr>
        <w:spacing w:line="560" w:lineRule="exact"/>
        <w:ind w:firstLineChars="200" w:firstLine="640"/>
        <w:rPr>
          <w:rFonts w:ascii="仿宋_GB2312" w:cs="宋体"/>
          <w:sz w:val="32"/>
          <w:szCs w:val="32"/>
        </w:rPr>
      </w:pPr>
      <w:r>
        <w:rPr>
          <w:rFonts w:ascii="仿宋_GB2312" w:cs="宋体" w:hint="eastAsia"/>
          <w:sz w:val="32"/>
          <w:szCs w:val="32"/>
        </w:rPr>
        <w:t>为加快住建系统社会信用体系建设工作，切实落实省市区关于社会信用体系建设的要求，结合全区社会信用体系建设年度工作目标和工作实际，特制订如下实施方案</w:t>
      </w:r>
      <w:r>
        <w:rPr>
          <w:rFonts w:ascii="仿宋_GB2312" w:cs="宋体"/>
          <w:sz w:val="32"/>
          <w:szCs w:val="32"/>
        </w:rPr>
        <w:t>。</w:t>
      </w:r>
    </w:p>
    <w:p>
      <w:pPr>
        <w:spacing w:line="560" w:lineRule="exact"/>
        <w:ind w:firstLineChars="200" w:firstLine="640"/>
        <w:rPr>
          <w:rFonts w:ascii="黑体" w:eastAsia="黑体" w:cs="宋体" w:hint="eastAsia"/>
          <w:sz w:val="32"/>
          <w:szCs w:val="32"/>
        </w:rPr>
      </w:pPr>
      <w:r>
        <w:rPr>
          <w:rFonts w:ascii="黑体" w:eastAsia="黑体" w:cs="宋体" w:hint="eastAsia"/>
          <w:sz w:val="32"/>
          <w:szCs w:val="32"/>
        </w:rPr>
        <w:t>一、指导思想</w:t>
      </w:r>
    </w:p>
    <w:p>
      <w:pPr>
        <w:spacing w:line="560" w:lineRule="exact"/>
        <w:ind w:firstLineChars="200" w:firstLine="640"/>
        <w:rPr>
          <w:rFonts w:ascii="仿宋_GB2312" w:cs="宋体"/>
          <w:sz w:val="32"/>
          <w:szCs w:val="32"/>
        </w:rPr>
      </w:pPr>
      <w:r>
        <w:rPr>
          <w:rFonts w:ascii="仿宋_GB2312" w:cs="宋体" w:hint="eastAsia"/>
          <w:sz w:val="32"/>
          <w:szCs w:val="32"/>
        </w:rPr>
        <w:t>以习近平新时代中国特色社会主义思想为指导，全面贯彻党的十九大和十九届四中、五中全会精神，以全面培育和践行社会主义核心价值观为根本，全面深化政务诚信和个人诚信建设，扎实推进信用工作，普遍增强信用意识，为全区住建事业高质量发展奠定坚实的信用基础。</w:t>
      </w:r>
    </w:p>
    <w:p>
      <w:pPr>
        <w:spacing w:line="560" w:lineRule="exact"/>
        <w:ind w:firstLineChars="200" w:firstLine="640"/>
        <w:rPr>
          <w:rFonts w:ascii="仿宋_GB2312" w:cs="宋体"/>
          <w:sz w:val="32"/>
          <w:szCs w:val="32"/>
        </w:rPr>
      </w:pPr>
      <w:r>
        <w:rPr>
          <w:rFonts w:ascii="黑体" w:eastAsia="黑体" w:cs="宋体" w:hint="eastAsia"/>
          <w:sz w:val="32"/>
          <w:szCs w:val="32"/>
        </w:rPr>
        <w:t>二、工作目标</w:t>
      </w:r>
    </w:p>
    <w:p>
      <w:pPr>
        <w:spacing w:line="560" w:lineRule="exact"/>
        <w:ind w:firstLineChars="200" w:firstLine="640"/>
        <w:rPr>
          <w:rFonts w:ascii="仿宋_GB2312" w:cs="宋体"/>
          <w:sz w:val="32"/>
          <w:szCs w:val="32"/>
        </w:rPr>
      </w:pPr>
      <w:r>
        <w:rPr>
          <w:rFonts w:ascii="仿宋_GB2312" w:cs="宋体" w:hint="eastAsia"/>
          <w:sz w:val="32"/>
          <w:szCs w:val="32"/>
        </w:rPr>
        <w:t>以创建信用建设示范区为目标，以贯彻落实《社会信用体系建设规划纲要(2014-2020年</w:t>
      </w:r>
      <w:r>
        <w:rPr>
          <w:rFonts w:ascii="仿宋_GB2312" w:cs="宋体" w:hint="eastAsia"/>
          <w:sz w:val="32"/>
          <w:szCs w:val="32"/>
          <w:lang w:eastAsia="zh-CN"/>
        </w:rPr>
        <w:t>）</w:t>
      </w:r>
      <w:r>
        <w:rPr>
          <w:rFonts w:ascii="仿宋_GB2312" w:cs="宋体" w:hint="eastAsia"/>
          <w:sz w:val="32"/>
          <w:szCs w:val="32"/>
        </w:rPr>
        <w:t>》为主线，以住建系统政务诚信和个人诚信建设为重点，以应用为导向，以服务为关键，进一步加强信用信息记录、归集、共享和应用;进一步增加信用服务的范围、方式和途径;进一步建立完善信用联合奖惩机制，切实加</w:t>
      </w:r>
      <w:r>
        <w:rPr>
          <w:rFonts w:ascii="仿宋_GB2312" w:cs="宋体" w:hint="eastAsia"/>
          <w:spacing w:val="10"/>
          <w:sz w:val="32"/>
          <w:szCs w:val="32"/>
        </w:rPr>
        <w:t>强住建领域信用体系建设，全面提高全社会诚信意识和信用水平</w:t>
      </w:r>
      <w:r>
        <w:rPr>
          <w:rFonts w:ascii="仿宋_GB2312" w:cs="宋体" w:hint="eastAsia"/>
          <w:sz w:val="32"/>
          <w:szCs w:val="32"/>
        </w:rPr>
        <w:t>。</w:t>
      </w:r>
    </w:p>
    <w:p>
      <w:pPr>
        <w:spacing w:line="560" w:lineRule="exact"/>
        <w:ind w:firstLineChars="200" w:firstLine="640"/>
        <w:rPr>
          <w:rFonts w:ascii="黑体" w:eastAsia="黑体" w:cs="宋体" w:hint="eastAsia"/>
          <w:sz w:val="32"/>
          <w:szCs w:val="32"/>
        </w:rPr>
      </w:pPr>
      <w:r>
        <w:rPr>
          <w:rFonts w:ascii="黑体" w:eastAsia="黑体" w:cs="宋体" w:hint="eastAsia"/>
          <w:sz w:val="32"/>
          <w:szCs w:val="32"/>
        </w:rPr>
        <w:t>三、组织领导</w:t>
      </w:r>
    </w:p>
    <w:p>
      <w:pPr>
        <w:spacing w:line="560" w:lineRule="exact"/>
        <w:ind w:firstLineChars="200" w:firstLine="640"/>
        <w:rPr>
          <w:rFonts w:ascii="仿宋_GB2312" w:cs="宋体"/>
          <w:sz w:val="32"/>
          <w:szCs w:val="32"/>
        </w:rPr>
      </w:pPr>
      <w:r>
        <w:rPr>
          <w:rFonts w:ascii="仿宋_GB2312" w:cs="宋体" w:hint="eastAsia"/>
          <w:sz w:val="32"/>
          <w:szCs w:val="32"/>
        </w:rPr>
        <w:t>建立王益区住建系统信用体系建设推进工作领导小组，由局长任组长，副局长任副组长，局机关各科室、局属单位负责人为成员。领导小组下设信用体系建设管理办公室，由</w:t>
      </w:r>
      <w:r>
        <w:rPr>
          <w:rFonts w:ascii="仿宋_GB2312" w:cs="宋体" w:hint="eastAsia"/>
          <w:sz w:val="32"/>
          <w:szCs w:val="32"/>
          <w:lang w:val="en-US" w:eastAsia="zh-CN"/>
        </w:rPr>
        <w:t>郭乐乐</w:t>
      </w:r>
      <w:r>
        <w:rPr>
          <w:rFonts w:ascii="仿宋_GB2312" w:cs="宋体" w:hint="eastAsia"/>
          <w:sz w:val="32"/>
          <w:szCs w:val="32"/>
        </w:rPr>
        <w:t>乐同志担任办公室主任，</w:t>
      </w:r>
      <w:r>
        <w:rPr>
          <w:rFonts w:ascii="仿宋_GB2312" w:cs="宋体" w:hint="eastAsia"/>
          <w:sz w:val="32"/>
          <w:szCs w:val="32"/>
          <w:lang w:val="en-US" w:eastAsia="zh-CN"/>
        </w:rPr>
        <w:t>郭东平、陈挺同志担任办公室副主任，</w:t>
      </w:r>
      <w:r>
        <w:rPr>
          <w:rFonts w:ascii="仿宋_GB2312" w:cs="宋体" w:hint="eastAsia"/>
          <w:sz w:val="32"/>
          <w:szCs w:val="32"/>
        </w:rPr>
        <w:t>工作人员为各科室具体负责工作同志。信用体系建</w:t>
      </w:r>
      <w:r>
        <w:rPr>
          <w:rFonts w:ascii="仿宋_GB2312" w:cs="宋体" w:hint="eastAsia"/>
          <w:sz w:val="32"/>
          <w:szCs w:val="32"/>
          <w:lang w:val="en-US" w:eastAsia="zh-CN"/>
        </w:rPr>
        <w:t>设</w:t>
      </w:r>
      <w:r>
        <w:rPr>
          <w:rFonts w:ascii="仿宋_GB2312" w:cs="宋体" w:hint="eastAsia"/>
          <w:sz w:val="32"/>
          <w:szCs w:val="32"/>
        </w:rPr>
        <w:t>管理办公室是住建系统信用体系建设</w:t>
      </w:r>
      <w:r>
        <w:rPr>
          <w:rFonts w:ascii="仿宋_GB2312" w:cs="宋体" w:hint="eastAsia"/>
          <w:sz w:val="32"/>
          <w:szCs w:val="32"/>
          <w:lang w:val="en-US" w:eastAsia="zh-CN"/>
        </w:rPr>
        <w:t>签</w:t>
      </w:r>
      <w:r>
        <w:rPr>
          <w:rFonts w:ascii="仿宋_GB2312" w:cs="宋体" w:hint="eastAsia"/>
          <w:sz w:val="32"/>
          <w:szCs w:val="32"/>
        </w:rPr>
        <w:t>头部门</w:t>
      </w:r>
      <w:r>
        <w:rPr>
          <w:rFonts w:ascii="仿宋_GB2312" w:cs="宋体" w:hint="eastAsia"/>
          <w:sz w:val="32"/>
          <w:szCs w:val="32"/>
          <w:lang w:eastAsia="zh-CN"/>
        </w:rPr>
        <w:t>，</w:t>
      </w:r>
      <w:r>
        <w:rPr>
          <w:rFonts w:ascii="仿宋_GB2312" w:cs="宋体" w:hint="eastAsia"/>
          <w:sz w:val="32"/>
          <w:szCs w:val="32"/>
        </w:rPr>
        <w:t>局机关各科室及各局属单位为成员单位。信用体系建设管理办公室要加强对各成员单位社会信用体系建设工作的指导、督促、检查和信息发布。</w:t>
      </w:r>
    </w:p>
    <w:p>
      <w:pPr>
        <w:spacing w:line="560" w:lineRule="exact"/>
        <w:ind w:firstLineChars="200" w:firstLine="640"/>
        <w:rPr>
          <w:rFonts w:ascii="黑体" w:eastAsia="黑体" w:cs="宋体" w:hint="eastAsia"/>
          <w:sz w:val="32"/>
          <w:szCs w:val="32"/>
        </w:rPr>
      </w:pPr>
      <w:r>
        <w:rPr>
          <w:rFonts w:ascii="黑体" w:eastAsia="黑体" w:cs="宋体" w:hint="eastAsia"/>
          <w:sz w:val="32"/>
          <w:szCs w:val="32"/>
        </w:rPr>
        <w:t>四、工作目标</w:t>
      </w:r>
    </w:p>
    <w:p>
      <w:pPr>
        <w:spacing w:line="560" w:lineRule="exact"/>
        <w:ind w:firstLineChars="200" w:firstLine="640"/>
        <w:rPr>
          <w:rFonts w:ascii="仿宋_GB2312" w:cs="宋体"/>
          <w:sz w:val="32"/>
          <w:szCs w:val="32"/>
        </w:rPr>
      </w:pPr>
      <w:r>
        <w:rPr>
          <w:rFonts w:ascii="仿宋_GB2312" w:cs="宋体" w:hint="eastAsia"/>
          <w:sz w:val="32"/>
          <w:szCs w:val="32"/>
        </w:rPr>
        <w:t>(一)推进监督管理体系建设。按照行业监管职责，将监督管理体系建设统一纳入公共信息信用平台监管，建立住建系统诚信信用信息记录和公示管理工作办公会议制度，按照工作阶段需要，组织定期或不定期召开办公会，听取各科室、各局属单位信用信息的采集、整理、报送记录情况、存在问题、下步工作计划等，对上报的信用信息进行审定，并作出相关决议或决定。</w:t>
      </w:r>
    </w:p>
    <w:p>
      <w:pPr>
        <w:spacing w:line="560" w:lineRule="exact"/>
        <w:ind w:firstLineChars="200" w:firstLine="640"/>
        <w:rPr>
          <w:rFonts w:ascii="仿宋_GB2312" w:cs="宋体"/>
          <w:sz w:val="32"/>
          <w:szCs w:val="32"/>
        </w:rPr>
      </w:pPr>
      <w:r>
        <w:rPr>
          <w:rFonts w:ascii="仿宋_GB2312" w:cs="宋体" w:hint="eastAsia"/>
          <w:sz w:val="32"/>
          <w:szCs w:val="32"/>
        </w:rPr>
        <w:t>(二)建立健全行业信用制度规范。根据国家和省市区的相关规定，结合工作实际，各科室研究制定关于本行业的信用信息管理和应用、信用奖惩等方面的制度规范。</w:t>
      </w:r>
    </w:p>
    <w:p>
      <w:pPr>
        <w:spacing w:line="560" w:lineRule="exact"/>
        <w:ind w:firstLineChars="200" w:firstLine="640"/>
        <w:rPr>
          <w:rFonts w:ascii="仿宋_GB2312" w:cs="宋体"/>
          <w:sz w:val="32"/>
          <w:szCs w:val="32"/>
        </w:rPr>
      </w:pPr>
      <w:r>
        <w:rPr>
          <w:rFonts w:ascii="仿宋_GB2312" w:cs="宋体" w:hint="eastAsia"/>
          <w:sz w:val="32"/>
          <w:szCs w:val="32"/>
        </w:rPr>
        <w:t>(三)建立完善公共信用信息平台。做好与省市区公共信息信</w:t>
      </w:r>
      <w:r>
        <w:rPr>
          <w:rFonts w:ascii="仿宋_GB2312" w:cs="宋体" w:hint="eastAsia"/>
          <w:spacing w:val="10"/>
          <w:sz w:val="32"/>
          <w:szCs w:val="32"/>
        </w:rPr>
        <w:t>用平台管理支撑系统的对接，及时进行信用信息的更新上传工作</w:t>
      </w:r>
      <w:r>
        <w:rPr>
          <w:rFonts w:ascii="仿宋_GB2312" w:cs="宋体" w:hint="eastAsia"/>
          <w:sz w:val="32"/>
          <w:szCs w:val="32"/>
        </w:rPr>
        <w:t>。</w:t>
      </w:r>
    </w:p>
    <w:p>
      <w:pPr>
        <w:spacing w:line="560" w:lineRule="exact"/>
        <w:ind w:firstLineChars="200" w:firstLine="640"/>
        <w:rPr>
          <w:rFonts w:ascii="黑体" w:eastAsia="黑体" w:cs="宋体" w:hint="eastAsia"/>
          <w:sz w:val="32"/>
          <w:szCs w:val="32"/>
        </w:rPr>
      </w:pPr>
      <w:r>
        <w:rPr>
          <w:rFonts w:ascii="黑体" w:eastAsia="黑体" w:cs="宋体" w:hint="eastAsia"/>
          <w:sz w:val="32"/>
          <w:szCs w:val="32"/>
        </w:rPr>
        <w:t>五、责任分工</w:t>
      </w:r>
    </w:p>
    <w:p>
      <w:pPr>
        <w:spacing w:line="560" w:lineRule="exact"/>
        <w:ind w:firstLineChars="200" w:firstLine="640"/>
        <w:rPr>
          <w:rFonts w:ascii="仿宋_GB2312" w:cs="宋体"/>
          <w:sz w:val="32"/>
          <w:szCs w:val="32"/>
          <w:lang w:val="en-US" w:eastAsia="zh-CN"/>
        </w:rPr>
      </w:pPr>
      <w:r>
        <w:rPr>
          <w:rFonts w:ascii="仿宋_GB2312" w:cs="宋体" w:hint="eastAsia"/>
          <w:sz w:val="32"/>
          <w:szCs w:val="32"/>
        </w:rPr>
        <w:t>(一)高度重视信用体系建设。根据区信用办要求，加强对信用体系建设工作的组织领导，制定住建系统信用工作实施方案，落实信用管理制度，进一步细化工作职责，明确</w:t>
      </w:r>
      <w:r>
        <w:rPr>
          <w:rFonts w:ascii="仿宋_GB2312" w:cs="宋体" w:hint="eastAsia"/>
          <w:sz w:val="32"/>
          <w:szCs w:val="32"/>
          <w:lang w:val="en-US" w:eastAsia="zh-CN"/>
        </w:rPr>
        <w:t>目标任务。（责任单位：局办公室）</w:t>
      </w:r>
    </w:p>
    <w:p>
      <w:pPr>
        <w:spacing w:line="560" w:lineRule="exact"/>
        <w:ind w:firstLineChars="200" w:firstLine="640"/>
        <w:rPr>
          <w:rFonts w:ascii="仿宋_GB2312" w:cs="宋体"/>
          <w:sz w:val="32"/>
          <w:szCs w:val="32"/>
        </w:rPr>
      </w:pPr>
      <w:r>
        <w:rPr>
          <w:rFonts w:ascii="仿宋_GB2312" w:cs="宋体"/>
          <w:sz w:val="32"/>
          <w:szCs w:val="32"/>
        </w:rPr>
        <w:t>（二）</w:t>
      </w:r>
      <w:r>
        <w:rPr>
          <w:rFonts w:ascii="仿宋_GB2312" w:cs="宋体" w:hint="eastAsia"/>
          <w:sz w:val="32"/>
          <w:szCs w:val="32"/>
        </w:rPr>
        <w:t>加强政务诚信建设。深化推进政务</w:t>
      </w:r>
      <w:r>
        <w:rPr>
          <w:rFonts w:ascii="仿宋_GB2312" w:cs="宋体" w:hint="eastAsia"/>
          <w:sz w:val="32"/>
          <w:szCs w:val="32"/>
          <w:lang w:val="en-US" w:eastAsia="zh-CN"/>
        </w:rPr>
        <w:t>公开，及时更新发布</w:t>
      </w:r>
      <w:r>
        <w:rPr>
          <w:rFonts w:ascii="仿宋_GB2312" w:cs="宋体" w:hint="eastAsia"/>
          <w:sz w:val="32"/>
          <w:szCs w:val="32"/>
        </w:rPr>
        <w:t>政务信息，增强部门公信力。加强重点领域诚信建设，严格依法依规开展政府采购、招标投标、招商引</w:t>
      </w:r>
      <w:r>
        <w:rPr>
          <w:rFonts w:ascii="仿宋_GB2312" w:cs="宋体" w:hint="eastAsia"/>
          <w:sz w:val="32"/>
          <w:szCs w:val="32"/>
          <w:lang w:val="en-US" w:eastAsia="zh-CN"/>
        </w:rPr>
        <w:t>资</w:t>
      </w:r>
      <w:r>
        <w:rPr>
          <w:rFonts w:ascii="仿宋_GB2312" w:cs="宋体" w:hint="eastAsia"/>
          <w:sz w:val="32"/>
          <w:szCs w:val="32"/>
        </w:rPr>
        <w:t>等工作，对相对人实施信用审查，充分体现公开、公平、公正。(责任单位:机关各科室、局属各单位)</w:t>
      </w:r>
    </w:p>
    <w:p>
      <w:pPr>
        <w:spacing w:line="560" w:lineRule="exact"/>
        <w:ind w:firstLineChars="200" w:firstLine="640"/>
        <w:rPr>
          <w:rFonts w:ascii="仿宋_GB2312" w:cs="宋体"/>
          <w:sz w:val="32"/>
          <w:szCs w:val="32"/>
        </w:rPr>
      </w:pPr>
      <w:r>
        <w:rPr>
          <w:rFonts w:ascii="仿宋_GB2312" w:cs="宋体" w:hint="eastAsia"/>
          <w:sz w:val="32"/>
          <w:szCs w:val="32"/>
        </w:rPr>
        <w:t>(三)加强个人诚信建设。深入开展公务人员诚信教育，将信用建设纳入执法人员培训课程，积极选</w:t>
      </w:r>
      <w:r>
        <w:rPr>
          <w:rFonts w:ascii="仿宋_GB2312" w:cs="宋体" w:hint="eastAsia"/>
          <w:sz w:val="32"/>
          <w:szCs w:val="32"/>
          <w:lang w:val="en-US" w:eastAsia="zh-CN"/>
        </w:rPr>
        <w:t>出</w:t>
      </w:r>
      <w:r>
        <w:rPr>
          <w:rFonts w:ascii="仿宋_GB2312" w:cs="宋体" w:hint="eastAsia"/>
          <w:sz w:val="32"/>
          <w:szCs w:val="32"/>
        </w:rPr>
        <w:t>住建系统个人诚实守信典型案例，扩大示范效应和榜样价值，切实增强公务人员诚信行政的自觉性和主动性。(责任单位:局办公室、局属各单位)</w:t>
      </w:r>
    </w:p>
    <w:p>
      <w:pPr>
        <w:spacing w:line="560" w:lineRule="exact"/>
        <w:ind w:firstLineChars="200" w:firstLine="640"/>
        <w:rPr>
          <w:rFonts w:ascii="仿宋_GB2312" w:cs="宋体"/>
          <w:sz w:val="32"/>
          <w:szCs w:val="32"/>
        </w:rPr>
      </w:pPr>
      <w:r>
        <w:rPr>
          <w:rFonts w:ascii="仿宋_GB2312" w:cs="宋体" w:hint="eastAsia"/>
          <w:sz w:val="32"/>
          <w:szCs w:val="32"/>
        </w:rPr>
        <w:t>(四)个人荣誉表彰信息、单位荣誉表彰信息作出统计后上传至公共信息信用平台(责任单位:局办公室)</w:t>
      </w:r>
    </w:p>
    <w:p>
      <w:pPr>
        <w:spacing w:line="560" w:lineRule="exact"/>
        <w:ind w:firstLineChars="200" w:firstLine="640"/>
        <w:rPr>
          <w:rFonts w:ascii="仿宋_GB2312" w:cs="宋体"/>
          <w:sz w:val="32"/>
          <w:szCs w:val="32"/>
        </w:rPr>
      </w:pPr>
      <w:r>
        <w:rPr>
          <w:rFonts w:ascii="仿宋_GB2312" w:cs="宋体" w:hint="eastAsia"/>
          <w:sz w:val="32"/>
          <w:szCs w:val="32"/>
        </w:rPr>
        <w:t>(五)对双随机结果信息作出统计后上传公共信息信用平台(责任单位:城市管理科、城乡建设科、保障性住房管理中心、城市管理执法大队)</w:t>
      </w:r>
    </w:p>
    <w:p>
      <w:pPr>
        <w:spacing w:line="560" w:lineRule="exact"/>
        <w:ind w:firstLineChars="200" w:firstLine="640"/>
        <w:rPr>
          <w:rFonts w:ascii="仿宋_GB2312" w:cs="宋体"/>
          <w:sz w:val="32"/>
          <w:szCs w:val="32"/>
          <w:lang w:val="en-US" w:eastAsia="zh-CN"/>
        </w:rPr>
      </w:pPr>
      <w:r>
        <w:rPr>
          <w:rFonts w:ascii="仿宋_GB2312" w:cs="宋体" w:hint="eastAsia"/>
          <w:sz w:val="32"/>
          <w:szCs w:val="32"/>
        </w:rPr>
        <w:t>(六)</w:t>
      </w:r>
      <w:r>
        <w:rPr>
          <w:rFonts w:ascii="仿宋_GB2312" w:cs="宋体" w:hint="eastAsia"/>
          <w:sz w:val="32"/>
          <w:szCs w:val="32"/>
          <w:lang w:val="en-US" w:eastAsia="zh-CN"/>
        </w:rPr>
        <w:t>对政府采购信息上传至公共信息信用平台（责任单位：机关各科室，局属各单位）</w:t>
      </w:r>
    </w:p>
    <w:p>
      <w:pPr>
        <w:spacing w:line="560" w:lineRule="exact"/>
        <w:ind w:firstLineChars="200" w:firstLine="640"/>
        <w:rPr>
          <w:rFonts w:ascii="仿宋_GB2312" w:cs="宋体"/>
          <w:sz w:val="32"/>
          <w:szCs w:val="32"/>
        </w:rPr>
      </w:pPr>
      <w:r>
        <w:rPr>
          <w:rFonts w:ascii="仿宋_GB2312" w:cs="宋体" w:hint="eastAsia"/>
          <w:sz w:val="32"/>
          <w:szCs w:val="32"/>
        </w:rPr>
        <w:t>(七)对城镇廉租住房保障审批信息作出统计后上传至公共信息信用平台(责任单位:保障性住房管理中心)</w:t>
      </w:r>
    </w:p>
    <w:p>
      <w:pPr>
        <w:spacing w:line="560" w:lineRule="exact"/>
        <w:ind w:firstLineChars="200" w:firstLine="640"/>
        <w:rPr>
          <w:rFonts w:ascii="仿宋_GB2312" w:cs="宋体"/>
          <w:sz w:val="32"/>
          <w:szCs w:val="32"/>
        </w:rPr>
      </w:pPr>
      <w:r>
        <w:rPr>
          <w:rFonts w:ascii="仿宋_GB2312" w:cs="宋体" w:hint="eastAsia"/>
          <w:sz w:val="32"/>
          <w:szCs w:val="32"/>
        </w:rPr>
        <w:t>(八)对建筑企业信用、安全生产等信息作出统计后上传至公共信息信用平台。(责任单位:城乡建设科)</w:t>
      </w:r>
    </w:p>
    <w:p>
      <w:pPr>
        <w:spacing w:line="560" w:lineRule="exact"/>
        <w:ind w:firstLineChars="200" w:firstLine="640"/>
        <w:rPr>
          <w:rFonts w:ascii="仿宋_GB2312" w:cs="宋体"/>
          <w:sz w:val="32"/>
          <w:szCs w:val="32"/>
        </w:rPr>
      </w:pPr>
      <w:r>
        <w:rPr>
          <w:rFonts w:ascii="仿宋_GB2312" w:cs="宋体" w:hint="eastAsia"/>
          <w:sz w:val="32"/>
          <w:szCs w:val="32"/>
        </w:rPr>
        <w:t>(九)全面落实“双公示”数据报送工作。严格执行“行政许可和行政处罚信息7日双公示”制度，准确地归集、报送数据，不断提升数据归集成效。(责任单位:城市管理科、城市建设科、保障性住房管理中心、城市管理执法大队、市政园林工程管理所、环卫所)</w:t>
      </w:r>
    </w:p>
    <w:p>
      <w:pPr>
        <w:spacing w:line="560" w:lineRule="exact"/>
        <w:ind w:firstLineChars="200" w:firstLine="640"/>
        <w:rPr>
          <w:rFonts w:ascii="仿宋_GB2312" w:cs="宋体"/>
          <w:sz w:val="32"/>
          <w:szCs w:val="32"/>
        </w:rPr>
      </w:pPr>
      <w:r>
        <w:rPr>
          <w:rFonts w:ascii="仿宋_GB2312" w:cs="宋体" w:hint="eastAsia"/>
          <w:sz w:val="32"/>
          <w:szCs w:val="32"/>
        </w:rPr>
        <w:t>(十)开展跨部门联动奖惩行动。在停车秩序、渣土运输车辆、户外广告等重点执法管理领域，推进信用制度化建设，深入开展跨部门联动奖惩行动，加强与公安、自然资源、环保等部门的沟通联系，及时报送执法管理过程中的联合教励和联合惩戒典型案例，进一步营造诚信、自律、守信、互信的社会信用环境。(责任单位:城市管理科、城市管理执法大队)</w:t>
      </w:r>
    </w:p>
    <w:p>
      <w:pPr>
        <w:spacing w:line="560" w:lineRule="exact"/>
        <w:ind w:firstLineChars="200" w:firstLine="640"/>
        <w:rPr>
          <w:rFonts w:ascii="仿宋_GB2312" w:cs="宋体"/>
          <w:sz w:val="32"/>
          <w:szCs w:val="32"/>
        </w:rPr>
      </w:pPr>
      <w:r>
        <w:rPr>
          <w:rFonts w:ascii="仿宋_GB2312" w:cs="宋体" w:hint="eastAsia"/>
          <w:sz w:val="32"/>
          <w:szCs w:val="32"/>
        </w:rPr>
        <w:t>(十一)开展诚信宣传活动。突出诚信主题，开展“诚信活动周”、“安全生产月”、“12.4”全国法制宣传日等公益活动，加强诚信文化建设，营造全社会重信用的浓厚氛围。(责任单位:机关各科室、局属各单位)</w:t>
      </w:r>
    </w:p>
    <w:p>
      <w:pPr>
        <w:spacing w:line="560" w:lineRule="exact"/>
        <w:ind w:firstLineChars="200" w:firstLine="640"/>
        <w:rPr>
          <w:rFonts w:ascii="仿宋_GB2312" w:cs="宋体"/>
          <w:sz w:val="32"/>
          <w:szCs w:val="32"/>
        </w:rPr>
      </w:pPr>
      <w:r>
        <w:rPr>
          <w:rFonts w:ascii="仿宋_GB2312" w:cs="宋体" w:hint="eastAsia"/>
          <w:sz w:val="32"/>
          <w:szCs w:val="32"/>
        </w:rPr>
        <w:t>(十二)加强诚信教育培训。定期组织相关人员信用专业知识的培训，提高专业素质水平。各科室、局属单位要利用各种有利时机，加强对涉及企业信用体系建设重要性的教育宣传，提高企业做好诚信工作的主动性和自觉性。(责任单位:机关各科室、局属各单位)</w:t>
      </w:r>
    </w:p>
    <w:p>
      <w:pPr>
        <w:spacing w:line="560" w:lineRule="exact"/>
        <w:ind w:firstLineChars="200" w:firstLine="640"/>
        <w:rPr>
          <w:rFonts w:ascii="黑体" w:eastAsia="黑体" w:cs="宋体" w:hint="eastAsia"/>
          <w:sz w:val="32"/>
          <w:szCs w:val="32"/>
        </w:rPr>
      </w:pPr>
      <w:r>
        <w:rPr>
          <w:rFonts w:ascii="黑体" w:eastAsia="黑体" w:cs="宋体" w:hint="eastAsia"/>
          <w:sz w:val="32"/>
          <w:szCs w:val="32"/>
        </w:rPr>
        <w:t>六、做好信用信息发布工作</w:t>
      </w:r>
    </w:p>
    <w:p>
      <w:pPr>
        <w:spacing w:line="560" w:lineRule="exact"/>
        <w:ind w:firstLineChars="200" w:firstLine="640"/>
        <w:rPr>
          <w:rFonts w:ascii="仿宋_GB2312" w:cs="宋体"/>
          <w:sz w:val="32"/>
          <w:szCs w:val="32"/>
        </w:rPr>
      </w:pPr>
      <w:r>
        <w:rPr>
          <w:rFonts w:ascii="仿宋_GB2312" w:cs="宋体" w:hint="eastAsia"/>
          <w:sz w:val="32"/>
          <w:szCs w:val="32"/>
        </w:rPr>
        <w:t>(一)信息发布原则。在信息发布之前，各科室、局属单位上报的信息需经分管领导签字认可。原则上各科室、局属单位产生的信用信息(含纸质和电子版)应在7个工作日内报局信用体系建设管理办公室。各科室、各单位负</w:t>
      </w:r>
      <w:r>
        <w:rPr>
          <w:rFonts w:ascii="仿宋_GB2312" w:cs="宋体" w:hint="eastAsia"/>
          <w:sz w:val="32"/>
          <w:szCs w:val="32"/>
          <w:lang w:val="en-US" w:eastAsia="zh-CN"/>
        </w:rPr>
        <w:t>责</w:t>
      </w:r>
      <w:r>
        <w:rPr>
          <w:rFonts w:ascii="仿宋_GB2312" w:cs="宋体" w:hint="eastAsia"/>
          <w:sz w:val="32"/>
          <w:szCs w:val="32"/>
        </w:rPr>
        <w:t>将信用信息报公共信息信用平台。</w:t>
      </w:r>
    </w:p>
    <w:p>
      <w:pPr>
        <w:spacing w:line="560" w:lineRule="exact"/>
        <w:ind w:firstLineChars="200" w:firstLine="640"/>
        <w:rPr>
          <w:rFonts w:ascii="仿宋_GB2312" w:cs="宋体"/>
          <w:sz w:val="32"/>
          <w:szCs w:val="32"/>
        </w:rPr>
      </w:pPr>
      <w:r>
        <w:rPr>
          <w:rFonts w:ascii="仿宋_GB2312" w:cs="宋体" w:hint="eastAsia"/>
          <w:sz w:val="32"/>
          <w:szCs w:val="32"/>
        </w:rPr>
        <w:t>(二)信息上传和报送。各科室、各单位要高度重视信用信息上传与报送工作，明确专人具体做好相关信息上传与报送工作，各科室、各单位产生的信用信息(含行政许可信息)不及时上传及报送、影响我局信用信息建设的，由此产生的后果由相关科室、单位自行承担。</w:t>
      </w:r>
    </w:p>
    <w:p>
      <w:pPr>
        <w:spacing w:line="560" w:lineRule="exact"/>
        <w:ind w:firstLineChars="200" w:firstLine="640"/>
        <w:rPr>
          <w:rFonts w:ascii="黑体" w:eastAsia="黑体" w:cs="宋体" w:hint="eastAsia"/>
          <w:sz w:val="32"/>
          <w:szCs w:val="32"/>
        </w:rPr>
      </w:pPr>
      <w:r>
        <w:rPr>
          <w:rFonts w:ascii="黑体" w:eastAsia="黑体" w:cs="宋体" w:hint="eastAsia"/>
          <w:sz w:val="32"/>
          <w:szCs w:val="32"/>
        </w:rPr>
        <w:t>七、加强信用体系建设监督考核</w:t>
      </w:r>
    </w:p>
    <w:p>
      <w:pPr>
        <w:spacing w:line="560" w:lineRule="exact"/>
        <w:ind w:firstLineChars="200" w:firstLine="640"/>
      </w:pPr>
      <w:r>
        <w:rPr>
          <w:rFonts w:ascii="仿宋_GB2312" w:cs="宋体" w:hint="eastAsia"/>
          <w:sz w:val="32"/>
          <w:szCs w:val="32"/>
        </w:rPr>
        <w:t>监督考核。将信用体系建设工作作为我局日常考核的</w:t>
      </w:r>
      <w:r>
        <w:rPr>
          <w:rFonts w:ascii="仿宋_GB2312" w:cs="宋体" w:hint="eastAsia"/>
          <w:sz w:val="32"/>
          <w:szCs w:val="32"/>
          <w:lang w:val="en-US" w:eastAsia="zh-CN"/>
        </w:rPr>
        <w:t>一</w:t>
      </w:r>
      <w:r>
        <w:rPr>
          <w:rFonts w:ascii="仿宋_GB2312" w:cs="宋体" w:hint="eastAsia"/>
          <w:sz w:val="32"/>
          <w:szCs w:val="32"/>
        </w:rPr>
        <w:t>项重要指标。对表现突出、成绩显著的单位和个人，优先考虑评先评优;对因工作不积极、不主动、推诿扯皮，影响我局信用体系建设工作成效的，对相关责任人员进行问责。</w:t>
      </w:r>
    </w:p>
    <w:p>
      <w:pPr>
        <w:spacing w:line="660" w:lineRule="exact"/>
        <w:jc w:val="center"/>
        <w:rPr>
          <w:rFonts w:ascii="仿宋" w:eastAsia="仿宋"/>
          <w:sz w:val="32"/>
          <w:szCs w:val="32"/>
        </w:rPr>
      </w:pPr>
    </w:p>
    <w:p>
      <w:pPr>
        <w:pStyle w:val="15"/>
      </w:pPr>
    </w:p>
    <w:p>
      <w:pPr>
        <w:pStyle w:val="16"/>
      </w:pPr>
    </w:p>
    <w:p>
      <w:pPr>
        <w:spacing w:line="660" w:lineRule="exact"/>
        <w:jc w:val="center"/>
      </w:pPr>
    </w:p>
    <w:tbl>
      <w:tblPr>
        <w:tblpPr w:leftFromText="180" w:rightFromText="180" w:vertAnchor="text" w:horzAnchor="page" w:tblpX="1701" w:tblpY="793"/>
        <w:tblOverlap w:val="nev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820"/>
      </w:tblGrid>
      <w:tr>
        <w:tc>
          <w:tcPr>
            <w:tcW w:w="8820" w:type="dxa"/>
            <w:tcBorders>
              <w:left w:val="nil"/>
              <w:right w:val="nil"/>
            </w:tcBorders>
          </w:tcPr>
          <w:p>
            <w:pPr>
              <w:pStyle w:val="15"/>
              <w:pBdr>
                <w:top w:val="none" w:sz="0" w:space="0" w:color="auto"/>
                <w:left w:val="none" w:sz="0" w:space="0" w:color="auto"/>
                <w:bottom w:val="none" w:sz="0" w:space="0" w:color="auto"/>
                <w:right w:val="none" w:sz="0" w:space="0" w:color="auto"/>
              </w:pBdr>
              <w:rPr>
                <w:rFonts w:ascii="仿宋_GB2312" w:eastAsia="仿宋_GB2312" w:hint="eastAsia"/>
              </w:rPr>
            </w:pPr>
            <w:r>
              <w:rPr>
                <w:rFonts w:ascii="仿宋_GB2312" w:eastAsia="仿宋_GB2312" w:hint="eastAsia"/>
              </w:rPr>
              <w:t xml:space="preserve"> 抄送：区信用建设领导小组办。</w:t>
            </w:r>
          </w:p>
        </w:tc>
      </w:tr>
    </w:tbl>
    <w:p>
      <w:pPr>
        <w:pStyle w:val="15"/>
        <w:spacing w:line="160" w:lineRule="exact"/>
      </w:pPr>
    </w:p>
    <w:sectPr>
      <w:footerReference w:type="default" r:id="rId2"/>
      <w:footerReference w:type="even" r:id="rId3"/>
      <w:pgSz w:w="11907" w:h="16840"/>
      <w:pgMar w:top="2098" w:right="1474" w:bottom="1985" w:left="1588" w:header="851" w:footer="992" w:gutter="0"/>
      <w:pgNumType w:fmt="numberInDash"/>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080E0000" w:usb2="00000000" w:usb3="00000000" w:csb0="00040001" w:csb1="00000000"/>
  </w:font>
  <w:font w:name="仿宋_GB2312">
    <w:panose1 w:val="02010609030101010101"/>
    <w:charset w:val="86"/>
    <w:family w:val="modern"/>
    <w:pitch w:val="variable"/>
    <w:sig w:usb0="00000001" w:usb1="080E0000" w:usb2="00000000" w:usb3="00000000" w:csb0="00040000" w:csb1="00000000"/>
  </w:font>
  <w:font w:name="方正小标宋简体">
    <w:altName w:val="黑体"/>
    <w:panose1 w:val="00000000000000000000"/>
    <w:charset w:val="86"/>
    <w:family w:val="script"/>
    <w:pitch w:val="variable"/>
    <w:sig w:usb0="00000000" w:usb1="00000000" w:usb2="00000010" w:usb3="00000000" w:csb0="00040000" w:csb1="00000000"/>
  </w:font>
  <w:font w:name="黑体">
    <w:panose1 w:val="02010609060101010101"/>
    <w:charset w:val="86"/>
    <w:family w:val="auto"/>
    <w:pitch w:val="variable"/>
    <w:sig w:usb0="800002BF" w:usb1="38CF7CFA" w:usb2="00000016" w:usb3="00000000" w:csb0="00040001" w:csb1="00000000"/>
  </w:font>
  <w:font w:name="仿宋">
    <w:panose1 w:val="02010609060101010101"/>
    <w:charset w:val="86"/>
    <w:family w:val="auto"/>
    <w:pitch w:val="variable"/>
    <w:sig w:usb0="800002BF" w:usb1="38CF7CFA" w:usb2="00000016" w:usb3="00000000" w:csb0="00040001" w:csb1="00000000"/>
  </w:font>
  <w:font w:name="Times New Roman">
    <w:panose1 w:val="02020603050405020304"/>
    <w:charset w:val="86"/>
    <w:family w:val="auto"/>
    <w:pitch w:val="variable"/>
    <w:sig w:usb0="00007A87" w:usb1="80000000" w:usb2="00000008" w:usb3="00000000" w:csb0="400001FF" w:csb1="FFFF0000"/>
  </w:font>
  <w:font w:name="Calibri">
    <w:panose1 w:val="020F0502020204030204"/>
    <w:charset w:val="00"/>
    <w:family w:val="swiss"/>
    <w:pitch w:val="variable"/>
    <w:sig w:usb0="A00002EF" w:usb1="4000207B" w:usb2="00000000" w:usb3="00000000" w:csb0="2000009F" w:csb1="00000000"/>
  </w:font>
  <w:font w:name="Arial">
    <w:panose1 w:val="020B0604020202020204"/>
    <w:charset w:val="01"/>
    <w:family w:val="swiss"/>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20"/>
      <w:framePr w:w="0" w:hRule="auto" w:wrap="around" w:vAnchor="text" w:hAnchor="margin" w:xAlign="outside" w:y="-819" w:anchorLock="0"/>
      <w:pBdr>
        <w:top w:val="none" w:sz="0" w:space="0" w:color="auto"/>
        <w:left w:val="none" w:sz="0" w:space="0" w:color="auto"/>
        <w:bottom w:val="none" w:sz="0" w:space="0" w:color="auto"/>
        <w:right w:val="none" w:sz="0" w:space="0" w:color="auto"/>
      </w:pBdr>
      <w:tabs>
        <w:tab w:val="center" w:pos="4153"/>
        <w:tab w:val="right" w:pos="8306"/>
      </w:tabs>
      <w:rPr>
        <w:rFonts w:ascii="宋体" w:eastAsia="宋体" w:hint="eastAsia"/>
        <w:sz w:val="28"/>
        <w:szCs w:val="28"/>
      </w:rPr>
    </w:pPr>
    <w:r>
      <w:rPr>
        <w:rStyle w:val="23"/>
        <w:rFonts w:ascii="宋体" w:eastAsia="宋体" w:hint="eastAsia"/>
        <w:sz w:val="28"/>
        <w:szCs w:val="28"/>
      </w:rPr>
      <w:fldChar w:fldCharType="begin"/>
    </w:r>
    <w:r>
      <w:rPr>
        <w:rStyle w:val="23"/>
        <w:rFonts w:ascii="宋体" w:eastAsia="宋体" w:hint="eastAsia"/>
        <w:sz w:val="28"/>
        <w:szCs w:val="28"/>
      </w:rPr>
      <w:instrText>Page</w:instrText>
    </w:r>
    <w:r>
      <w:rPr>
        <w:rStyle w:val="23"/>
        <w:rFonts w:ascii="宋体" w:eastAsia="宋体" w:hint="eastAsia"/>
        <w:sz w:val="28"/>
        <w:szCs w:val="28"/>
      </w:rPr>
      <w:fldChar w:fldCharType="separate"/>
    </w:r>
    <w:r>
      <w:rPr>
        <w:rStyle w:val="23"/>
        <w:rFonts w:ascii="宋体" w:eastAsia="宋体" w:hint="eastAsia"/>
        <w:sz w:val="28"/>
        <w:szCs w:val="28"/>
      </w:rPr>
      <w:t>- 2 -</w:t>
    </w:r>
    <w:r>
      <w:rPr>
        <w:rStyle w:val="23"/>
        <w:rFonts w:ascii="宋体" w:eastAsia="宋体" w:hint="eastAsia"/>
        <w:sz w:val="28"/>
        <w:szCs w:val="28"/>
      </w:rPr>
      <w:fldChar w:fldCharType="end"/>
    </w:r>
  </w:p>
  <w:p>
    <w:pPr>
      <w:pStyle w:val="20"/>
      <w:tabs>
        <w:tab w:val="center" w:pos="4153"/>
        <w:tab w:val="right" w:pos="8306"/>
      </w:tabs>
      <w:ind w:right="360" w:firstLine="360"/>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20"/>
      <w:framePr w:w="0" w:hRule="auto" w:wrap="around" w:vAnchor="text" w:hAnchor="margin" w:xAlign="outside" w:y="1" w:anchorLock="0"/>
      <w:tabs>
        <w:tab w:val="center" w:pos="4153"/>
        <w:tab w:val="right" w:pos="8306"/>
      </w:tabs>
    </w:pPr>
    <w:r>
      <w:rPr>
        <w:rStyle w:val="23"/>
      </w:rPr>
      <w:fldChar w:fldCharType="begin"/>
    </w:r>
    <w:r>
      <w:rPr>
        <w:rStyle w:val="23"/>
      </w:rPr>
      <w:instrText>Page</w:instrText>
    </w:r>
    <w:r>
      <w:rPr>
        <w:rStyle w:val="23"/>
      </w:rPr>
      <w:fldChar w:fldCharType="separate"/>
    </w:r>
    <w:r>
      <w:rPr>
        <w:rStyle w:val="23"/>
      </w:rPr>
      <w:t>- 1 -</w:t>
    </w:r>
    <w:r>
      <w:rPr>
        <w:rStyle w:val="23"/>
      </w:rPr>
      <w:fldChar w:fldCharType="end"/>
    </w:r>
  </w:p>
  <w:p>
    <w:pPr>
      <w:pStyle w:val="20"/>
      <w:framePr w:w="0" w:hRule="auto" w:wrap="around" w:vAnchor="text" w:hAnchor="margin" w:xAlign="center" w:y="1" w:anchorLock="0"/>
      <w:tabs>
        <w:tab w:val="center" w:pos="4153"/>
        <w:tab w:val="right" w:pos="8306"/>
      </w:tabs>
      <w:ind w:right="360" w:firstLine="360"/>
    </w:pPr>
    <w:r>
      <w:rPr>
        <w:rStyle w:val="23"/>
      </w:rPr>
      <w:fldChar w:fldCharType="begin"/>
    </w:r>
    <w:r>
      <w:rPr>
        <w:rStyle w:val="23"/>
      </w:rPr>
      <w:instrText>Page</w:instrText>
    </w:r>
    <w:r>
      <w:fldChar w:fldCharType="separate"/>
    </w:r>
    <w:r>
      <w:rPr>
        <w:rStyle w:val="23"/>
      </w:rPr>
      <w:t>- 1 -</w:t>
    </w:r>
    <w:r>
      <w:fldChar w:fldCharType="end"/>
    </w:r>
  </w:p>
  <w:p>
    <w:pPr>
      <w:pStyle w:val="20"/>
      <w:tabs>
        <w:tab w:val="center" w:pos="4153"/>
        <w:tab w:val="right" w:pos="8306"/>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Times New Roman" w:eastAsia="仿宋_GB2312" w:cs="Times New Roman" w:hAnsi="Times New Roman"/>
      <w:kern w:val="2"/>
      <w:sz w:val="21"/>
      <w:lang w:val="en-US" w:eastAsia="zh-CN" w:bidi="ar-SA"/>
    </w:rPr>
  </w:style>
  <w:style w:type="paragraph" w:styleId="2">
    <w:name w:val="heading 2"/>
    <w:next w:val="0"/>
    <w:link w:val="2Char"/>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1"/>
    </w:pPr>
    <w:rPr>
      <w:rFonts w:ascii="宋体" w:eastAsia="宋体" w:cs="Times New Roman"/>
      <w:b/>
      <w:snapToGrid/>
      <w:color w:val="auto"/>
      <w:spacing w:val="0"/>
      <w:w w:val="100"/>
      <w:kern w:val="0"/>
      <w:position w:val="0"/>
      <w:sz w:val="36"/>
      <w:szCs w:val="21"/>
      <w:u w:val="none" w:color="auto"/>
      <w:vertAlign w:val="baseline"/>
      <w:lang w:val="en-US" w:eastAsia="zh-CN" w:bidi="ar-SA"/>
    </w:rPr>
  </w:style>
  <w:style w:type="character" w:customStyle="1" w:styleId="2Char">
    <w:name w:val="heading 2 Char"/>
    <w:basedOn w:val="10"/>
    <w:link w:val="2"/>
    <w:rPr>
      <w:rFonts w:ascii="宋体" w:eastAsia="宋体" w:cs="Times New Roman"/>
      <w:b/>
      <w:snapToGrid/>
      <w:color w:val="auto"/>
      <w:spacing w:val="0"/>
      <w:w w:val="100"/>
      <w:kern w:val="0"/>
      <w:position w:val="0"/>
      <w:sz w:val="36"/>
      <w:szCs w:val="21"/>
      <w:u w:val="none" w:color="auto"/>
      <w:vertAlign w:val="baseline"/>
      <w:lang w:val="en-US" w:eastAsia="zh-CN" w:bidi="ar-SA"/>
    </w:rPr>
  </w:style>
  <w:style w:type="character" w:default="1" w:styleId="10">
    <w:name w:val="Default Paragraph Font"/>
  </w:style>
  <w:style w:type="paragraph" w:styleId="15">
    <w:name w:val="Body Text"/>
    <w:basedOn w:val="0"/>
    <w:next w:val="16"/>
    <w:pPr>
      <w:widowControl w:val="0"/>
      <w:jc w:val="both"/>
    </w:pPr>
    <w:rPr>
      <w:rFonts w:ascii="Calibri" w:eastAsia="宋体" w:cs="Times New Roman" w:hAnsi="Calibri"/>
      <w:kern w:val="2"/>
      <w:sz w:val="32"/>
      <w:szCs w:val="24"/>
      <w:lang w:val="en-US" w:eastAsia="zh-CN" w:bidi="ar-SA"/>
    </w:rPr>
  </w:style>
  <w:style w:type="paragraph" w:styleId="16">
    <w:name w:val="Normal (Web)"/>
    <w:basedOn w:val="0"/>
    <w:next w:val="17"/>
    <w:pPr>
      <w:widowControl w:val="0"/>
      <w:spacing w:before="100" w:beforeAutospacing="1" w:after="100" w:afterAutospacing="1"/>
    </w:pPr>
    <w:rPr>
      <w:rFonts w:ascii="Times New Roman" w:eastAsia="宋体" w:cs="Times New Roman" w:hAnsi="Times New Roman"/>
      <w:sz w:val="24"/>
      <w:lang w:val="en-US" w:eastAsia="zh-CN" w:bidi="ar-SA"/>
    </w:rPr>
  </w:style>
  <w:style w:type="paragraph" w:styleId="17">
    <w:name w:val="Date"/>
    <w:basedOn w:val="0"/>
    <w:next w:val="0"/>
    <w:pPr>
      <w:ind w:leftChars="2500" w:left="2500"/>
    </w:pPr>
  </w:style>
  <w:style w:type="paragraph" w:styleId="18">
    <w:name w:val="Body Text 3"/>
    <w:basedOn w:val="0"/>
    <w:next w:val="19"/>
    <w:pPr>
      <w:spacing w:after="120"/>
    </w:pPr>
    <w:rPr>
      <w:sz w:val="16"/>
      <w:szCs w:val="16"/>
    </w:rPr>
  </w:style>
  <w:style w:type="paragraph" w:customStyle="1" w:styleId="19">
    <w:name w:val="Char1"/>
    <w:pPr>
      <w:widowControl w:val="0"/>
      <w:tabs>
        <w:tab w:val="left" w:pos="840"/>
      </w:tabs>
      <w:ind w:left="840" w:hanging="420"/>
      <w:jc w:val="both"/>
    </w:pPr>
    <w:rPr>
      <w:rFonts w:ascii="Times New Roman" w:eastAsia="仿宋_GB2312" w:cs="Times New Roman" w:hAnsi="Times New Roman"/>
      <w:kern w:val="2"/>
      <w:sz w:val="24"/>
      <w:szCs w:val="30"/>
      <w:lang w:val="en-US" w:eastAsia="zh-CN" w:bidi="ar-SA"/>
    </w:rPr>
  </w:style>
  <w:style w:type="paragraph" w:styleId="20">
    <w:name w:val="footer"/>
    <w:basedOn w:val="0"/>
    <w:pPr>
      <w:tabs>
        <w:tab w:val="center" w:pos="4153"/>
        <w:tab w:val="right" w:pos="8306"/>
      </w:tabs>
      <w:snapToGrid w:val="0"/>
      <w:jc w:val="left"/>
    </w:pPr>
    <w:rPr>
      <w:sz w:val="18"/>
      <w:szCs w:val="18"/>
    </w:rPr>
  </w:style>
  <w:style w:type="paragraph" w:styleId="21">
    <w:name w:val="header"/>
    <w:basedOn w:val="0"/>
    <w:pPr>
      <w:tabs>
        <w:tab w:val="center" w:pos="4153"/>
        <w:tab w:val="right" w:pos="8306"/>
      </w:tabs>
      <w:snapToGrid w:val="0"/>
    </w:pPr>
    <w:rPr>
      <w:sz w:val="18"/>
    </w:rPr>
  </w:style>
  <w:style w:type="character" w:styleId="22">
    <w:name w:val="Strong"/>
    <w:rPr>
      <w:b/>
    </w:rPr>
  </w:style>
  <w:style w:type="character" w:styleId="23">
    <w:name w:val="page number"/>
    <w:basedOn w:val="10"/>
  </w:style>
  <w:style w:type="character" w:styleId="24">
    <w:name w:val="Hyperlink"/>
    <w:rPr>
      <w:color w:val="0000FF"/>
      <w:u w:val="single"/>
    </w:rPr>
  </w:style>
  <w:style w:type="character" w:customStyle="1" w:styleId="25">
    <w:name w:val="font01"/>
    <w:basedOn w:val="10"/>
    <w:rPr>
      <w:rFonts w:ascii="Times New Roman" w:cs="Times New Roman" w:hAnsi="Times New Roman"/>
      <w:color w:val="000000"/>
      <w:sz w:val="24"/>
      <w:szCs w:val="24"/>
      <w:u w:val="none"/>
    </w:rPr>
  </w:style>
  <w:style w:type="character" w:customStyle="1" w:styleId="26">
    <w:name w:val="font11"/>
    <w:basedOn w:val="10"/>
    <w:rPr>
      <w:rFonts w:ascii="仿宋_GB2312" w:eastAsia="仿宋_GB2312" w:cs="仿宋_GB2312"/>
      <w:color w:val="000000"/>
      <w:sz w:val="24"/>
      <w:szCs w:val="24"/>
      <w:u w:val="none"/>
    </w:rPr>
  </w:style>
  <w:style w:type="paragraph" w:customStyle="1" w:styleId="27">
    <w:name w:val="文本"/>
    <w:next w:val="0"/>
    <w:pPr>
      <w:widowControl w:val="0"/>
      <w:spacing w:line="360" w:lineRule="auto"/>
      <w:ind w:firstLineChars="200" w:firstLine="200"/>
    </w:pPr>
    <w:rPr>
      <w:rFonts w:ascii="宋体" w:eastAsia="宋体" w:cs="Times New Roman"/>
      <w:spacing w:val="4"/>
      <w:kern w:val="2"/>
      <w:sz w:val="24"/>
      <w:szCs w:val="24"/>
      <w:lang w:val="en-US" w:eastAsia="zh-CN" w:bidi="ar-SA"/>
    </w:rPr>
  </w:style>
  <w:style w:type="paragraph" w:customStyle="1" w:styleId="28">
    <w:name w:val="列出段落1"/>
    <w:next w:val="18"/>
    <w:pPr>
      <w:widowControl w:val="0"/>
      <w:spacing w:before="100" w:beforeAutospacing="1" w:after="100" w:afterAutospacing="1" w:line="180" w:lineRule="atLeast"/>
      <w:ind w:firstLineChars="200" w:firstLine="200"/>
    </w:pPr>
    <w:rPr>
      <w:rFonts w:ascii="Calibri" w:eastAsia="宋体" w:cs="Arial" w:hAnsi="Calibri"/>
      <w:kern w:val="2"/>
      <w:sz w:val="21"/>
      <w:szCs w:val="2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38</TotalTime>
  <Application>Yozo_Office</Application>
  <Pages>6</Pages>
  <Words>2459</Words>
  <Characters>2482</Characters>
  <Lines>132</Lines>
  <Paragraphs>40</Paragraphs>
  <CharactersWithSpaces>2495</CharactersWithSpaces>
  <Company>nh</Company>
</Properties>
</file>

<file path=docProps/core.xml><?xml version="1.0" encoding="utf-8"?>
<cp:coreProperties xmlns:cp="http://schemas.openxmlformats.org/package/2006/metadata/core-properties" xmlns:dc="http://purl.org/dc/elements/1.1/" xmlns:dcterms="http://purl.org/dc/terms/" xmlns:xsi="http://www.w3.org/2001/XMLSchema-instance">
  <dc:title>区委常委会会议材料</dc:title>
  <dc:creator>lenovo</dc:creator>
  <cp:lastModifiedBy>lenovo</cp:lastModifiedBy>
  <cp:revision>18</cp:revision>
  <cp:lastPrinted>2020-12-07T02:45:05Z</cp:lastPrinted>
  <dcterms:created xsi:type="dcterms:W3CDTF">2019-09-10T06:01:00Z</dcterms:created>
  <dcterms:modified xsi:type="dcterms:W3CDTF">2020-12-07T02:46:01Z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2052-11.1.0.9740</vt:lpwstr>
  </property>
</Properties>
</file>