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hint="eastAsia" w:ascii="方正小标宋简体" w:hAnsi="宋体" w:eastAsia="方正小标宋简体" w:cs="宋体"/>
          <w:bCs/>
          <w:snapToGrid w:val="0"/>
          <w:sz w:val="44"/>
          <w:szCs w:val="44"/>
        </w:rPr>
      </w:pPr>
      <w:r>
        <w:rPr>
          <w:rFonts w:hint="eastAsia" w:ascii="方正小标宋简体" w:hAnsi="宋体" w:eastAsia="方正小标宋简体" w:cs="宋体"/>
          <w:bCs/>
          <w:snapToGrid w:val="0"/>
          <w:sz w:val="44"/>
          <w:szCs w:val="44"/>
          <w:lang w:eastAsia="zh-CN"/>
        </w:rPr>
        <w:t>王益区医疗保障局</w:t>
      </w:r>
      <w:r>
        <w:rPr>
          <w:rFonts w:hint="eastAsia" w:ascii="方正小标宋简体" w:hAnsi="宋体" w:eastAsia="方正小标宋简体" w:cs="宋体"/>
          <w:bCs/>
          <w:snapToGrid w:val="0"/>
          <w:sz w:val="44"/>
          <w:szCs w:val="44"/>
        </w:rPr>
        <w:t>政府信息公开工作年度报告</w:t>
      </w:r>
    </w:p>
    <w:p>
      <w:pPr>
        <w:pStyle w:val="2"/>
        <w:rPr>
          <w:rFonts w:hint="eastAsia"/>
        </w:rPr>
      </w:pPr>
    </w:p>
    <w:p>
      <w:pPr>
        <w:keepNext w:val="0"/>
        <w:keepLines w:val="0"/>
        <w:pageBreakBefore w:val="0"/>
        <w:widowControl w:val="0"/>
        <w:kinsoku/>
        <w:wordWrap/>
        <w:overflowPunct/>
        <w:topLinePunct/>
        <w:autoSpaceDE/>
        <w:autoSpaceDN/>
        <w:bidi w:val="0"/>
        <w:adjustRightInd/>
        <w:snapToGrid/>
        <w:spacing w:line="560" w:lineRule="exact"/>
        <w:ind w:firstLine="909" w:firstLineChars="300"/>
        <w:jc w:val="both"/>
        <w:textAlignment w:val="auto"/>
        <w:rPr>
          <w:rFonts w:hint="eastAsia" w:ascii="仿宋" w:hAnsi="仿宋" w:eastAsia="仿宋" w:cs="仿宋"/>
          <w:spacing w:val="-51"/>
          <w:sz w:val="30"/>
          <w:szCs w:val="30"/>
        </w:rPr>
      </w:pPr>
      <w:r>
        <w:rPr>
          <w:rFonts w:hint="eastAsia" w:ascii="仿宋" w:hAnsi="仿宋" w:eastAsia="仿宋" w:cs="仿宋"/>
          <w:spacing w:val="-51"/>
          <w:sz w:val="30"/>
          <w:szCs w:val="30"/>
        </w:rPr>
        <w:t>根据《中华人民共和国政府信息公开条例》（以下简称条例）和《铜川市王益区人民政府信息公开规定》，现公布铜川市王益区医疗保障局2019年政府信息公开工作年度报告。本报告由总体情况，主动公开政府信息情况，收到和处理政府信息公开申请情况，政府信息公开行政复议、行政诉讼情况，存在的主要问题及改进情况，其他需要报告的事项六部分组成。</w:t>
      </w:r>
    </w:p>
    <w:p>
      <w:pPr>
        <w:pStyle w:val="2"/>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spacing w:val="-51"/>
        </w:rPr>
      </w:pPr>
      <w:r>
        <w:rPr>
          <w:rFonts w:hint="eastAsia"/>
          <w:spacing w:val="-51"/>
        </w:rPr>
        <w:t>本报告中所列数据的统计期限自2019年</w:t>
      </w:r>
      <w:r>
        <w:rPr>
          <w:rFonts w:hint="eastAsia"/>
          <w:spacing w:val="-51"/>
          <w:lang w:val="en-US" w:eastAsia="zh-CN"/>
        </w:rPr>
        <w:t>3</w:t>
      </w:r>
      <w:r>
        <w:rPr>
          <w:rFonts w:hint="eastAsia"/>
          <w:spacing w:val="-51"/>
        </w:rPr>
        <w:t>月1</w:t>
      </w:r>
      <w:r>
        <w:rPr>
          <w:rFonts w:hint="eastAsia"/>
          <w:spacing w:val="-51"/>
          <w:lang w:val="en-US" w:eastAsia="zh-CN"/>
        </w:rPr>
        <w:t>4</w:t>
      </w:r>
      <w:r>
        <w:rPr>
          <w:rFonts w:hint="eastAsia"/>
          <w:spacing w:val="-51"/>
        </w:rPr>
        <w:t>日起至2019年12月31日止。</w:t>
      </w:r>
    </w:p>
    <w:p>
      <w:pPr>
        <w:numPr>
          <w:ilvl w:val="0"/>
          <w:numId w:val="0"/>
        </w:numPr>
        <w:tabs>
          <w:tab w:val="left" w:pos="7791"/>
        </w:tabs>
        <w:ind w:firstLine="850" w:firstLineChars="200"/>
        <w:rPr>
          <w:rFonts w:hint="eastAsia" w:ascii="黑体" w:hAnsi="黑体" w:eastAsia="黑体" w:cs="黑体"/>
          <w:snapToGrid w:val="0"/>
          <w:kern w:val="32"/>
          <w:sz w:val="32"/>
          <w:szCs w:val="32"/>
          <w:lang w:val="zh-CN"/>
        </w:rPr>
      </w:pPr>
      <w:r>
        <w:rPr>
          <w:rFonts w:hint="eastAsia" w:ascii="黑体" w:hAnsi="黑体" w:eastAsia="黑体" w:cs="黑体"/>
          <w:snapToGrid w:val="0"/>
          <w:kern w:val="32"/>
          <w:sz w:val="32"/>
          <w:szCs w:val="32"/>
          <w:lang w:val="zh-CN"/>
        </w:rPr>
        <w:t>一、总体情况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0" w:firstLineChars="200"/>
        <w:textAlignment w:val="auto"/>
        <w:rPr>
          <w:rFonts w:hint="eastAsia"/>
          <w:spacing w:val="-45"/>
          <w:lang w:val="zh-CN"/>
        </w:rPr>
      </w:pPr>
      <w:r>
        <w:rPr>
          <w:rFonts w:hint="eastAsia"/>
          <w:spacing w:val="-45"/>
          <w:lang w:val="zh-CN"/>
        </w:rPr>
        <w:t>  </w:t>
      </w:r>
      <w:r>
        <w:rPr>
          <w:rFonts w:hint="eastAsia"/>
          <w:spacing w:val="-45"/>
          <w:lang w:val="en-US" w:eastAsia="zh-CN"/>
        </w:rPr>
        <w:t xml:space="preserve">  2019年，我局政府信息公开工作认真贯彻落实《条例》和全区政府信息公开工作部署，紧紧围绕区委、区政府中心工作，立足医保工作实际，以加强和扩大服务公开范围，增强办事透明度，提高办事效率和服务质量为重点，突出公开重点，深化公开内容，理顺公开流程，完善公开渠道，各项工作取得明显成效。 一</w:t>
      </w:r>
      <w:r>
        <w:rPr>
          <w:rFonts w:hint="eastAsia"/>
          <w:spacing w:val="-45"/>
          <w:lang w:val="zh-CN"/>
        </w:rPr>
        <w:t>是明确专人管理政务公开专栏，设立一名分管领导和一名干部专项负责，严格执行“先审查，后公开”的工作要求，确保医保类业务信息及局机关制度公开的发布安全正确。为创造“医保促发展，人人做贡献"的浓厚氛围。</w:t>
      </w:r>
      <w:r>
        <w:rPr>
          <w:rFonts w:hint="eastAsia"/>
          <w:spacing w:val="-45"/>
          <w:lang w:val="en-US" w:eastAsia="zh-CN"/>
        </w:rPr>
        <w:t>二</w:t>
      </w:r>
      <w:r>
        <w:rPr>
          <w:rFonts w:hint="eastAsia"/>
          <w:spacing w:val="-45"/>
          <w:lang w:val="zh-CN"/>
        </w:rPr>
        <w:t>是发布《关于印发王益区开展打击欺诈骗取医疗保障基金专项治理行动方案的通知》的工作方案。进一步完善医疗保障治理体系，确保医保基金安全，促进制度公平可持续。切实推进了打击欺诈骗保工作的进行。三是通过区政府门户网站公开信息，全面介绍了医疗保障局机构设置、主要职责、主要领导信息简介及分工、部门相关文件等信息，实现了政务透明，服务群众监督。</w:t>
      </w:r>
    </w:p>
    <w:p>
      <w:pPr>
        <w:tabs>
          <w:tab w:val="left" w:pos="7791"/>
        </w:tabs>
        <w:rPr>
          <w:rFonts w:hint="eastAsia" w:ascii="黑体" w:hAnsi="黑体" w:eastAsia="黑体" w:cs="黑体"/>
          <w:snapToGrid w:val="0"/>
          <w:kern w:val="32"/>
          <w:sz w:val="32"/>
          <w:szCs w:val="32"/>
          <w:lang w:val="zh-CN"/>
        </w:rPr>
      </w:pPr>
      <w:bookmarkStart w:id="0" w:name="bookmark28"/>
    </w:p>
    <w:p>
      <w:pPr>
        <w:tabs>
          <w:tab w:val="left" w:pos="7791"/>
        </w:tabs>
        <w:ind w:firstLine="850" w:firstLineChars="200"/>
        <w:rPr>
          <w:rFonts w:hint="eastAsia" w:ascii="黑体" w:hAnsi="黑体" w:eastAsia="黑体" w:cs="黑体"/>
          <w:snapToGrid w:val="0"/>
          <w:kern w:val="32"/>
          <w:sz w:val="32"/>
          <w:szCs w:val="32"/>
          <w:lang w:val="zh-CN"/>
        </w:rPr>
      </w:pPr>
      <w:r>
        <w:rPr>
          <w:rFonts w:hint="eastAsia" w:ascii="黑体" w:hAnsi="黑体" w:eastAsia="黑体" w:cs="黑体"/>
          <w:snapToGrid w:val="0"/>
          <w:kern w:val="32"/>
          <w:sz w:val="32"/>
          <w:szCs w:val="32"/>
          <w:lang w:val="zh-CN"/>
        </w:rPr>
        <w:t>二</w:t>
      </w:r>
      <w:bookmarkEnd w:id="0"/>
      <w:r>
        <w:rPr>
          <w:rFonts w:hint="eastAsia" w:ascii="黑体" w:hAnsi="黑体" w:eastAsia="黑体" w:cs="黑体"/>
          <w:snapToGrid w:val="0"/>
          <w:kern w:val="32"/>
          <w:sz w:val="32"/>
          <w:szCs w:val="32"/>
          <w:lang w:val="zh-CN"/>
        </w:rPr>
        <w:t>、主动公开政府信息情况</w:t>
      </w:r>
    </w:p>
    <w:tbl>
      <w:tblPr>
        <w:tblStyle w:val="5"/>
        <w:tblW w:w="0" w:type="auto"/>
        <w:jc w:val="center"/>
        <w:tblLayout w:type="fixed"/>
        <w:tblCellMar>
          <w:top w:w="0" w:type="dxa"/>
          <w:left w:w="10" w:type="dxa"/>
          <w:bottom w:w="0" w:type="dxa"/>
          <w:right w:w="10" w:type="dxa"/>
        </w:tblCellMar>
      </w:tblPr>
      <w:tblGrid>
        <w:gridCol w:w="2192"/>
        <w:gridCol w:w="2238"/>
        <w:gridCol w:w="2372"/>
        <w:gridCol w:w="2018"/>
      </w:tblGrid>
      <w:tr>
        <w:tblPrEx>
          <w:tblCellMar>
            <w:top w:w="0" w:type="dxa"/>
            <w:left w:w="10" w:type="dxa"/>
            <w:bottom w:w="0" w:type="dxa"/>
            <w:right w:w="10" w:type="dxa"/>
          </w:tblCellMar>
        </w:tblPrEx>
        <w:trPr>
          <w:trHeight w:val="633" w:hRule="exact"/>
          <w:jc w:val="center"/>
        </w:trPr>
        <w:tc>
          <w:tcPr>
            <w:tcW w:w="8820" w:type="dxa"/>
            <w:gridSpan w:val="4"/>
            <w:tcBorders>
              <w:top w:val="single" w:color="auto" w:sz="4" w:space="0"/>
              <w:left w:val="single" w:color="auto" w:sz="4" w:space="0"/>
              <w:righ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第二十条第（一）项</w:t>
            </w:r>
          </w:p>
        </w:tc>
      </w:tr>
      <w:tr>
        <w:tblPrEx>
          <w:tblCellMar>
            <w:top w:w="0" w:type="dxa"/>
            <w:left w:w="10" w:type="dxa"/>
            <w:bottom w:w="0" w:type="dxa"/>
            <w:right w:w="10" w:type="dxa"/>
          </w:tblCellMar>
        </w:tblPrEx>
        <w:trPr>
          <w:trHeight w:val="610" w:hRule="exact"/>
          <w:jc w:val="center"/>
        </w:trPr>
        <w:tc>
          <w:tcPr>
            <w:tcW w:w="2192" w:type="dxa"/>
            <w:tcBorders>
              <w:top w:val="single" w:color="auto" w:sz="4" w:space="0"/>
              <w:lef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信息内容</w:t>
            </w:r>
          </w:p>
        </w:tc>
        <w:tc>
          <w:tcPr>
            <w:tcW w:w="2238" w:type="dxa"/>
            <w:tcBorders>
              <w:top w:val="single" w:color="auto" w:sz="4" w:space="0"/>
              <w:lef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本年新制作数量</w:t>
            </w:r>
          </w:p>
        </w:tc>
        <w:tc>
          <w:tcPr>
            <w:tcW w:w="2372" w:type="dxa"/>
            <w:tcBorders>
              <w:top w:val="single" w:color="auto" w:sz="4" w:space="0"/>
              <w:lef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本年新公开数量</w:t>
            </w:r>
          </w:p>
        </w:tc>
        <w:tc>
          <w:tcPr>
            <w:tcW w:w="2018" w:type="dxa"/>
            <w:tcBorders>
              <w:top w:val="single" w:color="auto" w:sz="4" w:space="0"/>
              <w:left w:val="single" w:color="auto" w:sz="4" w:space="0"/>
              <w:righ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对外公开总数量</w:t>
            </w:r>
          </w:p>
        </w:tc>
      </w:tr>
      <w:tr>
        <w:tblPrEx>
          <w:tblCellMar>
            <w:top w:w="0" w:type="dxa"/>
            <w:left w:w="10" w:type="dxa"/>
            <w:bottom w:w="0" w:type="dxa"/>
            <w:right w:w="10" w:type="dxa"/>
          </w:tblCellMar>
        </w:tblPrEx>
        <w:trPr>
          <w:trHeight w:val="484" w:hRule="exact"/>
          <w:jc w:val="center"/>
        </w:trPr>
        <w:tc>
          <w:tcPr>
            <w:tcW w:w="2192" w:type="dxa"/>
            <w:tcBorders>
              <w:top w:val="single" w:color="auto" w:sz="4" w:space="0"/>
              <w:left w:val="single" w:color="auto" w:sz="4" w:space="0"/>
            </w:tcBorders>
            <w:shd w:val="clear" w:color="auto" w:fill="FFFFFF"/>
            <w:noWrap w:val="0"/>
            <w:vAlign w:val="top"/>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规章</w:t>
            </w:r>
          </w:p>
        </w:tc>
        <w:tc>
          <w:tcPr>
            <w:tcW w:w="2238" w:type="dxa"/>
            <w:tcBorders>
              <w:top w:val="single" w:color="auto" w:sz="4" w:space="0"/>
              <w:left w:val="single" w:color="auto" w:sz="4" w:space="0"/>
            </w:tcBorders>
            <w:shd w:val="clear" w:color="auto" w:fill="FFFFFF"/>
            <w:noWrap w:val="0"/>
            <w:vAlign w:val="top"/>
          </w:tcPr>
          <w:p>
            <w:pPr>
              <w:autoSpaceDE w:val="0"/>
              <w:autoSpaceDN w:val="0"/>
              <w:ind w:firstLine="630" w:firstLineChars="20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2372" w:type="dxa"/>
            <w:tcBorders>
              <w:top w:val="single" w:color="auto" w:sz="4" w:space="0"/>
              <w:left w:val="single" w:color="auto" w:sz="4" w:space="0"/>
            </w:tcBorders>
            <w:shd w:val="clear" w:color="auto" w:fill="FFFFFF"/>
            <w:noWrap w:val="0"/>
            <w:vAlign w:val="top"/>
          </w:tcPr>
          <w:p>
            <w:pPr>
              <w:autoSpaceDE w:val="0"/>
              <w:autoSpaceDN w:val="0"/>
              <w:ind w:firstLine="630" w:firstLineChars="20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2018" w:type="dxa"/>
            <w:tcBorders>
              <w:top w:val="single" w:color="auto" w:sz="4" w:space="0"/>
              <w:left w:val="single" w:color="auto" w:sz="4" w:space="0"/>
              <w:right w:val="single" w:color="auto" w:sz="4" w:space="0"/>
            </w:tcBorders>
            <w:shd w:val="clear" w:color="auto" w:fill="FFFFFF"/>
            <w:noWrap w:val="0"/>
            <w:vAlign w:val="top"/>
          </w:tcPr>
          <w:p>
            <w:pPr>
              <w:autoSpaceDE w:val="0"/>
              <w:autoSpaceDN w:val="0"/>
              <w:ind w:firstLine="630" w:firstLineChars="20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规范性文件</w:t>
            </w:r>
          </w:p>
        </w:tc>
        <w:tc>
          <w:tcPr>
            <w:tcW w:w="2238" w:type="dxa"/>
            <w:tcBorders>
              <w:top w:val="single" w:color="auto" w:sz="4" w:space="0"/>
              <w:left w:val="single" w:color="auto" w:sz="4" w:space="0"/>
            </w:tcBorders>
            <w:shd w:val="clear" w:color="auto" w:fill="FFFFFF"/>
            <w:noWrap w:val="0"/>
            <w:vAlign w:val="top"/>
          </w:tcPr>
          <w:p>
            <w:pPr>
              <w:autoSpaceDE w:val="0"/>
              <w:autoSpaceDN w:val="0"/>
              <w:ind w:firstLine="630" w:firstLineChars="20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2372" w:type="dxa"/>
            <w:tcBorders>
              <w:top w:val="single" w:color="auto" w:sz="4" w:space="0"/>
              <w:left w:val="single" w:color="auto" w:sz="4" w:space="0"/>
            </w:tcBorders>
            <w:shd w:val="clear" w:color="auto" w:fill="FFFFFF"/>
            <w:noWrap w:val="0"/>
            <w:vAlign w:val="top"/>
          </w:tcPr>
          <w:p>
            <w:pPr>
              <w:autoSpaceDE w:val="0"/>
              <w:autoSpaceDN w:val="0"/>
              <w:ind w:firstLine="630" w:firstLineChars="20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2018" w:type="dxa"/>
            <w:tcBorders>
              <w:top w:val="single" w:color="auto" w:sz="4" w:space="0"/>
              <w:left w:val="single" w:color="auto" w:sz="4" w:space="0"/>
              <w:right w:val="single" w:color="auto" w:sz="4" w:space="0"/>
            </w:tcBorders>
            <w:shd w:val="clear" w:color="auto" w:fill="FFFFFF"/>
            <w:noWrap w:val="0"/>
            <w:vAlign w:val="top"/>
          </w:tcPr>
          <w:p>
            <w:pPr>
              <w:autoSpaceDE w:val="0"/>
              <w:autoSpaceDN w:val="0"/>
              <w:ind w:firstLine="630" w:firstLineChars="20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CellMar>
            <w:top w:w="0" w:type="dxa"/>
            <w:left w:w="10" w:type="dxa"/>
            <w:bottom w:w="0" w:type="dxa"/>
            <w:right w:w="10" w:type="dxa"/>
          </w:tblCellMar>
        </w:tblPrEx>
        <w:trPr>
          <w:trHeight w:val="493" w:hRule="exact"/>
          <w:jc w:val="center"/>
        </w:trPr>
        <w:tc>
          <w:tcPr>
            <w:tcW w:w="8820" w:type="dxa"/>
            <w:gridSpan w:val="4"/>
            <w:tcBorders>
              <w:top w:val="single" w:color="auto" w:sz="4" w:space="0"/>
              <w:left w:val="single" w:color="auto" w:sz="4" w:space="0"/>
              <w:righ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第二十条第（五）项</w:t>
            </w:r>
          </w:p>
        </w:tc>
      </w:tr>
      <w:tr>
        <w:tblPrEx>
          <w:tblCellMar>
            <w:top w:w="0" w:type="dxa"/>
            <w:left w:w="10" w:type="dxa"/>
            <w:bottom w:w="0" w:type="dxa"/>
            <w:right w:w="10" w:type="dxa"/>
          </w:tblCellMar>
        </w:tblPrEx>
        <w:trPr>
          <w:trHeight w:val="618" w:hRule="exact"/>
          <w:jc w:val="center"/>
        </w:trPr>
        <w:tc>
          <w:tcPr>
            <w:tcW w:w="2192" w:type="dxa"/>
            <w:tcBorders>
              <w:top w:val="single" w:color="auto" w:sz="4" w:space="0"/>
              <w:lef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信息内容</w:t>
            </w:r>
          </w:p>
        </w:tc>
        <w:tc>
          <w:tcPr>
            <w:tcW w:w="2238" w:type="dxa"/>
            <w:tcBorders>
              <w:top w:val="single" w:color="auto" w:sz="4" w:space="0"/>
              <w:lef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上一年项目数量</w:t>
            </w:r>
          </w:p>
        </w:tc>
        <w:tc>
          <w:tcPr>
            <w:tcW w:w="2372" w:type="dxa"/>
            <w:tcBorders>
              <w:top w:val="single" w:color="auto" w:sz="4" w:space="0"/>
              <w:lef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本年增/减</w:t>
            </w:r>
          </w:p>
        </w:tc>
        <w:tc>
          <w:tcPr>
            <w:tcW w:w="2018" w:type="dxa"/>
            <w:tcBorders>
              <w:top w:val="single" w:color="auto" w:sz="4" w:space="0"/>
              <w:left w:val="single" w:color="auto" w:sz="4" w:space="0"/>
              <w:righ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处理决定数量</w:t>
            </w:r>
          </w:p>
        </w:tc>
      </w:tr>
      <w:tr>
        <w:tblPrEx>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noWrap w:val="0"/>
            <w:vAlign w:val="top"/>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行政许可</w:t>
            </w:r>
          </w:p>
        </w:tc>
        <w:tc>
          <w:tcPr>
            <w:tcW w:w="2238" w:type="dxa"/>
            <w:tcBorders>
              <w:top w:val="single" w:color="auto" w:sz="4" w:space="0"/>
              <w:left w:val="single" w:color="auto" w:sz="4" w:space="0"/>
            </w:tcBorders>
            <w:shd w:val="clear" w:color="auto" w:fill="FFFFFF"/>
            <w:noWrap w:val="0"/>
            <w:vAlign w:val="top"/>
          </w:tcPr>
          <w:p>
            <w:pPr>
              <w:autoSpaceDE w:val="0"/>
              <w:autoSpaceDN w:val="0"/>
              <w:ind w:firstLine="630" w:firstLineChars="20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2372" w:type="dxa"/>
            <w:tcBorders>
              <w:top w:val="single" w:color="auto" w:sz="4" w:space="0"/>
              <w:left w:val="single" w:color="auto" w:sz="4" w:space="0"/>
            </w:tcBorders>
            <w:shd w:val="clear" w:color="auto" w:fill="FFFFFF"/>
            <w:noWrap w:val="0"/>
            <w:vAlign w:val="top"/>
          </w:tcPr>
          <w:p>
            <w:pPr>
              <w:autoSpaceDE w:val="0"/>
              <w:autoSpaceDN w:val="0"/>
              <w:ind w:firstLine="630" w:firstLineChars="20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2018" w:type="dxa"/>
            <w:tcBorders>
              <w:top w:val="single" w:color="auto" w:sz="4" w:space="0"/>
              <w:left w:val="single" w:color="auto" w:sz="4" w:space="0"/>
              <w:right w:val="single" w:color="auto" w:sz="4" w:space="0"/>
            </w:tcBorders>
            <w:shd w:val="clear" w:color="auto" w:fill="FFFFFF"/>
            <w:noWrap w:val="0"/>
            <w:vAlign w:val="top"/>
          </w:tcPr>
          <w:p>
            <w:pPr>
              <w:autoSpaceDE w:val="0"/>
              <w:autoSpaceDN w:val="0"/>
              <w:ind w:firstLine="630" w:firstLineChars="20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CellMar>
            <w:top w:w="0" w:type="dxa"/>
            <w:left w:w="10" w:type="dxa"/>
            <w:bottom w:w="0" w:type="dxa"/>
            <w:right w:w="10" w:type="dxa"/>
          </w:tblCellMar>
        </w:tblPrEx>
        <w:trPr>
          <w:trHeight w:val="484" w:hRule="exact"/>
          <w:jc w:val="center"/>
        </w:trPr>
        <w:tc>
          <w:tcPr>
            <w:tcW w:w="2192" w:type="dxa"/>
            <w:tcBorders>
              <w:top w:val="single" w:color="auto" w:sz="4" w:space="0"/>
              <w:left w:val="single" w:color="auto" w:sz="4" w:space="0"/>
            </w:tcBorders>
            <w:shd w:val="clear" w:color="auto" w:fill="FFFFFF"/>
            <w:noWrap w:val="0"/>
            <w:vAlign w:val="bottom"/>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其他对外管理服务事项</w:t>
            </w:r>
          </w:p>
        </w:tc>
        <w:tc>
          <w:tcPr>
            <w:tcW w:w="2238" w:type="dxa"/>
            <w:tcBorders>
              <w:top w:val="single" w:color="auto" w:sz="4" w:space="0"/>
              <w:left w:val="single" w:color="auto" w:sz="4" w:space="0"/>
            </w:tcBorders>
            <w:shd w:val="clear" w:color="auto" w:fill="FFFFFF"/>
            <w:noWrap w:val="0"/>
            <w:vAlign w:val="top"/>
          </w:tcPr>
          <w:p>
            <w:pPr>
              <w:autoSpaceDE w:val="0"/>
              <w:autoSpaceDN w:val="0"/>
              <w:ind w:firstLine="630" w:firstLineChars="20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2372" w:type="dxa"/>
            <w:tcBorders>
              <w:top w:val="single" w:color="auto" w:sz="4" w:space="0"/>
              <w:left w:val="single" w:color="auto" w:sz="4" w:space="0"/>
            </w:tcBorders>
            <w:shd w:val="clear" w:color="auto" w:fill="FFFFFF"/>
            <w:noWrap w:val="0"/>
            <w:vAlign w:val="top"/>
          </w:tcPr>
          <w:p>
            <w:pPr>
              <w:autoSpaceDE w:val="0"/>
              <w:autoSpaceDN w:val="0"/>
              <w:ind w:firstLine="630" w:firstLineChars="20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2018" w:type="dxa"/>
            <w:tcBorders>
              <w:top w:val="single" w:color="auto" w:sz="4" w:space="0"/>
              <w:left w:val="single" w:color="auto" w:sz="4" w:space="0"/>
              <w:right w:val="single" w:color="auto" w:sz="4" w:space="0"/>
            </w:tcBorders>
            <w:shd w:val="clear" w:color="auto" w:fill="FFFFFF"/>
            <w:noWrap w:val="0"/>
            <w:vAlign w:val="top"/>
          </w:tcPr>
          <w:p>
            <w:pPr>
              <w:autoSpaceDE w:val="0"/>
              <w:autoSpaceDN w:val="0"/>
              <w:ind w:firstLine="630" w:firstLineChars="20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CellMar>
            <w:top w:w="0" w:type="dxa"/>
            <w:left w:w="10" w:type="dxa"/>
            <w:bottom w:w="0" w:type="dxa"/>
            <w:right w:w="10" w:type="dxa"/>
          </w:tblCellMar>
        </w:tblPrEx>
        <w:trPr>
          <w:trHeight w:val="501" w:hRule="exact"/>
          <w:jc w:val="center"/>
        </w:trPr>
        <w:tc>
          <w:tcPr>
            <w:tcW w:w="8820" w:type="dxa"/>
            <w:gridSpan w:val="4"/>
            <w:tcBorders>
              <w:top w:val="single" w:color="auto" w:sz="4" w:space="0"/>
              <w:left w:val="single" w:color="auto" w:sz="4" w:space="0"/>
              <w:righ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第二十条第（六）项</w:t>
            </w:r>
          </w:p>
        </w:tc>
      </w:tr>
      <w:tr>
        <w:tblPrEx>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信息内容</w:t>
            </w:r>
          </w:p>
        </w:tc>
        <w:tc>
          <w:tcPr>
            <w:tcW w:w="2238" w:type="dxa"/>
            <w:tcBorders>
              <w:top w:val="single" w:color="auto" w:sz="4" w:space="0"/>
              <w:lef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上一年项目数量</w:t>
            </w:r>
          </w:p>
        </w:tc>
        <w:tc>
          <w:tcPr>
            <w:tcW w:w="2372" w:type="dxa"/>
            <w:tcBorders>
              <w:top w:val="single" w:color="auto" w:sz="4" w:space="0"/>
              <w:lef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本年增/减</w:t>
            </w:r>
          </w:p>
        </w:tc>
        <w:tc>
          <w:tcPr>
            <w:tcW w:w="2018" w:type="dxa"/>
            <w:tcBorders>
              <w:top w:val="single" w:color="auto" w:sz="4" w:space="0"/>
              <w:left w:val="single" w:color="auto" w:sz="4" w:space="0"/>
              <w:righ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处理决定数量</w:t>
            </w:r>
          </w:p>
        </w:tc>
      </w:tr>
      <w:tr>
        <w:tblPrEx>
          <w:tblCellMar>
            <w:top w:w="0" w:type="dxa"/>
            <w:left w:w="10" w:type="dxa"/>
            <w:bottom w:w="0" w:type="dxa"/>
            <w:right w:w="10" w:type="dxa"/>
          </w:tblCellMar>
        </w:tblPrEx>
        <w:trPr>
          <w:trHeight w:val="484" w:hRule="exact"/>
          <w:jc w:val="center"/>
        </w:trPr>
        <w:tc>
          <w:tcPr>
            <w:tcW w:w="2192" w:type="dxa"/>
            <w:tcBorders>
              <w:top w:val="single" w:color="auto" w:sz="4" w:space="0"/>
              <w:left w:val="single" w:color="auto" w:sz="4" w:space="0"/>
            </w:tcBorders>
            <w:shd w:val="clear" w:color="auto" w:fill="FFFFFF"/>
            <w:noWrap w:val="0"/>
            <w:vAlign w:val="bottom"/>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行政处罚</w:t>
            </w:r>
          </w:p>
        </w:tc>
        <w:tc>
          <w:tcPr>
            <w:tcW w:w="2238" w:type="dxa"/>
            <w:tcBorders>
              <w:top w:val="single" w:color="auto" w:sz="4" w:space="0"/>
              <w:left w:val="single" w:color="auto" w:sz="4" w:space="0"/>
            </w:tcBorders>
            <w:shd w:val="clear" w:color="auto" w:fill="FFFFFF"/>
            <w:noWrap w:val="0"/>
            <w:vAlign w:val="top"/>
          </w:tcPr>
          <w:p>
            <w:pPr>
              <w:autoSpaceDE w:val="0"/>
              <w:autoSpaceDN w:val="0"/>
              <w:ind w:firstLine="630" w:firstLineChars="20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2372" w:type="dxa"/>
            <w:tcBorders>
              <w:top w:val="single" w:color="auto" w:sz="4" w:space="0"/>
              <w:left w:val="single" w:color="auto" w:sz="4" w:space="0"/>
            </w:tcBorders>
            <w:shd w:val="clear" w:color="auto" w:fill="FFFFFF"/>
            <w:noWrap w:val="0"/>
            <w:vAlign w:val="top"/>
          </w:tcPr>
          <w:p>
            <w:pPr>
              <w:autoSpaceDE w:val="0"/>
              <w:autoSpaceDN w:val="0"/>
              <w:ind w:firstLine="630" w:firstLineChars="20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2018" w:type="dxa"/>
            <w:tcBorders>
              <w:top w:val="single" w:color="auto" w:sz="4" w:space="0"/>
              <w:left w:val="single" w:color="auto" w:sz="4" w:space="0"/>
              <w:right w:val="single" w:color="auto" w:sz="4" w:space="0"/>
            </w:tcBorders>
            <w:shd w:val="clear" w:color="auto" w:fill="FFFFFF"/>
            <w:noWrap w:val="0"/>
            <w:vAlign w:val="top"/>
          </w:tcPr>
          <w:p>
            <w:pPr>
              <w:autoSpaceDE w:val="0"/>
              <w:autoSpaceDN w:val="0"/>
              <w:ind w:firstLine="630" w:firstLineChars="20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CellMar>
            <w:top w:w="0" w:type="dxa"/>
            <w:left w:w="10" w:type="dxa"/>
            <w:bottom w:w="0" w:type="dxa"/>
            <w:right w:w="10" w:type="dxa"/>
          </w:tblCellMar>
        </w:tblPrEx>
        <w:trPr>
          <w:trHeight w:val="501" w:hRule="exact"/>
          <w:jc w:val="center"/>
        </w:trPr>
        <w:tc>
          <w:tcPr>
            <w:tcW w:w="2192" w:type="dxa"/>
            <w:tcBorders>
              <w:top w:val="single" w:color="auto" w:sz="4" w:space="0"/>
              <w:left w:val="single" w:color="auto" w:sz="4" w:space="0"/>
            </w:tcBorders>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行政强制</w:t>
            </w:r>
          </w:p>
        </w:tc>
        <w:tc>
          <w:tcPr>
            <w:tcW w:w="2238" w:type="dxa"/>
            <w:tcBorders>
              <w:top w:val="single" w:color="auto" w:sz="4" w:space="0"/>
              <w:left w:val="single" w:color="auto" w:sz="4" w:space="0"/>
            </w:tcBorders>
            <w:shd w:val="clear" w:color="auto" w:fill="FFFFFF"/>
            <w:noWrap w:val="0"/>
            <w:vAlign w:val="top"/>
          </w:tcPr>
          <w:p>
            <w:pPr>
              <w:autoSpaceDE w:val="0"/>
              <w:autoSpaceDN w:val="0"/>
              <w:ind w:firstLine="630" w:firstLineChars="20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2372" w:type="dxa"/>
            <w:tcBorders>
              <w:top w:val="single" w:color="auto" w:sz="4" w:space="0"/>
              <w:left w:val="single" w:color="auto" w:sz="4" w:space="0"/>
            </w:tcBorders>
            <w:shd w:val="clear" w:color="auto" w:fill="FFFFFF"/>
            <w:noWrap w:val="0"/>
            <w:vAlign w:val="top"/>
          </w:tcPr>
          <w:p>
            <w:pPr>
              <w:autoSpaceDE w:val="0"/>
              <w:autoSpaceDN w:val="0"/>
              <w:ind w:firstLine="630" w:firstLineChars="20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2018" w:type="dxa"/>
            <w:tcBorders>
              <w:top w:val="single" w:color="auto" w:sz="4" w:space="0"/>
              <w:left w:val="single" w:color="auto" w:sz="4" w:space="0"/>
              <w:right w:val="single" w:color="auto" w:sz="4" w:space="0"/>
            </w:tcBorders>
            <w:shd w:val="clear" w:color="auto" w:fill="FFFFFF"/>
            <w:noWrap w:val="0"/>
            <w:vAlign w:val="top"/>
          </w:tcPr>
          <w:p>
            <w:pPr>
              <w:autoSpaceDE w:val="0"/>
              <w:autoSpaceDN w:val="0"/>
              <w:ind w:firstLine="630" w:firstLineChars="20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CellMar>
            <w:top w:w="0" w:type="dxa"/>
            <w:left w:w="10" w:type="dxa"/>
            <w:bottom w:w="0" w:type="dxa"/>
            <w:right w:w="10" w:type="dxa"/>
          </w:tblCellMar>
        </w:tblPrEx>
        <w:trPr>
          <w:trHeight w:val="493" w:hRule="exact"/>
          <w:jc w:val="center"/>
        </w:trPr>
        <w:tc>
          <w:tcPr>
            <w:tcW w:w="8820" w:type="dxa"/>
            <w:gridSpan w:val="4"/>
            <w:tcBorders>
              <w:top w:val="single" w:color="auto" w:sz="4" w:space="0"/>
              <w:left w:val="single" w:color="auto" w:sz="4" w:space="0"/>
              <w:righ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第二十条第（八）项</w:t>
            </w:r>
          </w:p>
        </w:tc>
      </w:tr>
      <w:tr>
        <w:tblPrEx>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信息内容</w:t>
            </w:r>
          </w:p>
        </w:tc>
        <w:tc>
          <w:tcPr>
            <w:tcW w:w="2238" w:type="dxa"/>
            <w:tcBorders>
              <w:top w:val="single" w:color="auto" w:sz="4" w:space="0"/>
              <w:lef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上一年项目数量</w:t>
            </w:r>
          </w:p>
        </w:tc>
        <w:tc>
          <w:tcPr>
            <w:tcW w:w="4390" w:type="dxa"/>
            <w:gridSpan w:val="2"/>
            <w:tcBorders>
              <w:top w:val="single" w:color="auto" w:sz="4" w:space="0"/>
              <w:left w:val="single" w:color="auto" w:sz="4" w:space="0"/>
              <w:righ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本年增/减</w:t>
            </w:r>
          </w:p>
        </w:tc>
      </w:tr>
      <w:tr>
        <w:tblPrEx>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行政事业性收费</w:t>
            </w:r>
          </w:p>
        </w:tc>
        <w:tc>
          <w:tcPr>
            <w:tcW w:w="2238" w:type="dxa"/>
            <w:tcBorders>
              <w:top w:val="single" w:color="auto" w:sz="4" w:space="0"/>
              <w:left w:val="single" w:color="auto" w:sz="4" w:space="0"/>
            </w:tcBorders>
            <w:shd w:val="clear" w:color="auto" w:fill="FFFFFF"/>
            <w:noWrap w:val="0"/>
            <w:vAlign w:val="top"/>
          </w:tcPr>
          <w:p>
            <w:pPr>
              <w:autoSpaceDE w:val="0"/>
              <w:autoSpaceDN w:val="0"/>
              <w:ind w:firstLine="630" w:firstLineChars="20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4390" w:type="dxa"/>
            <w:gridSpan w:val="2"/>
            <w:tcBorders>
              <w:top w:val="single" w:color="auto" w:sz="4" w:space="0"/>
              <w:left w:val="single" w:color="auto" w:sz="4" w:space="0"/>
              <w:right w:val="single" w:color="auto" w:sz="4" w:space="0"/>
            </w:tcBorders>
            <w:shd w:val="clear" w:color="auto" w:fill="FFFFFF"/>
            <w:noWrap w:val="0"/>
            <w:vAlign w:val="top"/>
          </w:tcPr>
          <w:p>
            <w:pPr>
              <w:autoSpaceDE w:val="0"/>
              <w:autoSpaceDN w:val="0"/>
              <w:ind w:firstLine="630" w:firstLineChars="20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CellMar>
            <w:top w:w="0" w:type="dxa"/>
            <w:left w:w="10" w:type="dxa"/>
            <w:bottom w:w="0" w:type="dxa"/>
            <w:right w:w="10" w:type="dxa"/>
          </w:tblCellMar>
        </w:tblPrEx>
        <w:trPr>
          <w:trHeight w:val="493" w:hRule="exact"/>
          <w:jc w:val="center"/>
        </w:trPr>
        <w:tc>
          <w:tcPr>
            <w:tcW w:w="8820" w:type="dxa"/>
            <w:gridSpan w:val="4"/>
            <w:tcBorders>
              <w:top w:val="single" w:color="auto" w:sz="4" w:space="0"/>
              <w:left w:val="single" w:color="auto" w:sz="4" w:space="0"/>
              <w:righ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第二十条第（九）项</w:t>
            </w:r>
          </w:p>
        </w:tc>
      </w:tr>
      <w:tr>
        <w:tblPrEx>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信息内容</w:t>
            </w:r>
          </w:p>
        </w:tc>
        <w:tc>
          <w:tcPr>
            <w:tcW w:w="2238" w:type="dxa"/>
            <w:tcBorders>
              <w:top w:val="single" w:color="auto" w:sz="4" w:space="0"/>
              <w:lef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采购项目数量</w:t>
            </w:r>
          </w:p>
        </w:tc>
        <w:tc>
          <w:tcPr>
            <w:tcW w:w="4390" w:type="dxa"/>
            <w:gridSpan w:val="2"/>
            <w:tcBorders>
              <w:top w:val="single" w:color="auto" w:sz="4" w:space="0"/>
              <w:left w:val="single" w:color="auto" w:sz="4" w:space="0"/>
              <w:righ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采购总金额</w:t>
            </w:r>
          </w:p>
        </w:tc>
      </w:tr>
      <w:tr>
        <w:tblPrEx>
          <w:tblCellMar>
            <w:top w:w="0" w:type="dxa"/>
            <w:left w:w="10" w:type="dxa"/>
            <w:bottom w:w="0" w:type="dxa"/>
            <w:right w:w="10" w:type="dxa"/>
          </w:tblCellMar>
        </w:tblPrEx>
        <w:trPr>
          <w:trHeight w:val="508" w:hRule="exact"/>
          <w:jc w:val="center"/>
        </w:trPr>
        <w:tc>
          <w:tcPr>
            <w:tcW w:w="2192"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政府集中釆购</w:t>
            </w:r>
          </w:p>
        </w:tc>
        <w:tc>
          <w:tcPr>
            <w:tcW w:w="2238" w:type="dxa"/>
            <w:tcBorders>
              <w:top w:val="single" w:color="auto" w:sz="4" w:space="0"/>
              <w:left w:val="single" w:color="auto" w:sz="4" w:space="0"/>
              <w:bottom w:val="single" w:color="auto" w:sz="4" w:space="0"/>
            </w:tcBorders>
            <w:shd w:val="clear" w:color="auto" w:fill="FFFFFF"/>
            <w:noWrap w:val="0"/>
            <w:vAlign w:val="top"/>
          </w:tcPr>
          <w:p>
            <w:pPr>
              <w:autoSpaceDE w:val="0"/>
              <w:autoSpaceDN w:val="0"/>
              <w:ind w:firstLine="630" w:firstLineChars="20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4390"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autoSpaceDE w:val="0"/>
              <w:autoSpaceDN w:val="0"/>
              <w:ind w:firstLine="630" w:firstLineChars="20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bl>
    <w:p>
      <w:pPr>
        <w:spacing w:line="1" w:lineRule="exact"/>
        <w:rPr>
          <w:sz w:val="2"/>
          <w:szCs w:val="2"/>
        </w:rPr>
        <w:sectPr>
          <w:footerReference r:id="rId3" w:type="default"/>
          <w:footerReference r:id="rId4" w:type="even"/>
          <w:pgSz w:w="11907" w:h="16840"/>
          <w:pgMar w:top="2098" w:right="1474" w:bottom="1985" w:left="1588" w:header="567" w:footer="1644" w:gutter="0"/>
          <w:pgNumType w:fmt="numberInDash" w:start="4"/>
          <w:cols w:space="720" w:num="1"/>
          <w:docGrid w:type="linesAndChars" w:linePitch="579" w:charSpace="21686"/>
        </w:sectPr>
      </w:pPr>
    </w:p>
    <w:p>
      <w:pPr>
        <w:tabs>
          <w:tab w:val="left" w:pos="7791"/>
        </w:tabs>
        <w:ind w:firstLine="425" w:firstLineChars="100"/>
        <w:rPr>
          <w:rFonts w:hint="eastAsia" w:ascii="黑体" w:hAnsi="黑体" w:eastAsia="黑体" w:cs="黑体"/>
          <w:snapToGrid w:val="0"/>
          <w:kern w:val="32"/>
          <w:sz w:val="32"/>
          <w:szCs w:val="32"/>
          <w:lang w:val="zh-CN"/>
        </w:rPr>
      </w:pPr>
      <w:bookmarkStart w:id="1" w:name="bookmark29"/>
      <w:r>
        <w:rPr>
          <w:rFonts w:hint="eastAsia" w:ascii="黑体" w:hAnsi="黑体" w:eastAsia="黑体" w:cs="黑体"/>
          <w:snapToGrid w:val="0"/>
          <w:kern w:val="32"/>
          <w:sz w:val="32"/>
          <w:szCs w:val="32"/>
          <w:lang w:val="zh-CN"/>
        </w:rPr>
        <w:t>三</w:t>
      </w:r>
      <w:bookmarkEnd w:id="1"/>
      <w:r>
        <w:rPr>
          <w:rFonts w:hint="eastAsia" w:ascii="黑体" w:hAnsi="黑体" w:eastAsia="黑体" w:cs="黑体"/>
          <w:snapToGrid w:val="0"/>
          <w:kern w:val="32"/>
          <w:sz w:val="32"/>
          <w:szCs w:val="32"/>
          <w:lang w:val="zh-CN"/>
        </w:rPr>
        <w:t>、收到和处理政府信息公开申请情况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92"/>
        <w:gridCol w:w="1468"/>
        <w:gridCol w:w="2741"/>
        <w:gridCol w:w="705"/>
        <w:gridCol w:w="570"/>
        <w:gridCol w:w="570"/>
        <w:gridCol w:w="555"/>
        <w:gridCol w:w="570"/>
        <w:gridCol w:w="525"/>
        <w:gridCol w:w="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3" w:hRule="exact"/>
          <w:jc w:val="center"/>
        </w:trPr>
        <w:tc>
          <w:tcPr>
            <w:tcW w:w="4801" w:type="dxa"/>
            <w:gridSpan w:val="3"/>
            <w:vMerge w:val="restart"/>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lang w:val="zh-CN"/>
              </w:rPr>
              <w:t>（本列数据的勾稽关系为：第一项加第二项之和， 等于第三项加第四项之和）</w:t>
            </w:r>
          </w:p>
        </w:tc>
        <w:tc>
          <w:tcPr>
            <w:tcW w:w="3963" w:type="dxa"/>
            <w:gridSpan w:val="7"/>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exact"/>
          <w:jc w:val="center"/>
        </w:trPr>
        <w:tc>
          <w:tcPr>
            <w:tcW w:w="4801" w:type="dxa"/>
            <w:gridSpan w:val="3"/>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705" w:type="dxa"/>
            <w:vMerge w:val="restart"/>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自然人</w:t>
            </w:r>
          </w:p>
        </w:tc>
        <w:tc>
          <w:tcPr>
            <w:tcW w:w="2790" w:type="dxa"/>
            <w:gridSpan w:val="5"/>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法人或其他组织</w:t>
            </w:r>
          </w:p>
        </w:tc>
        <w:tc>
          <w:tcPr>
            <w:tcW w:w="468" w:type="dxa"/>
            <w:vMerge w:val="restart"/>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03" w:hRule="exact"/>
          <w:jc w:val="center"/>
        </w:trPr>
        <w:tc>
          <w:tcPr>
            <w:tcW w:w="4801" w:type="dxa"/>
            <w:gridSpan w:val="3"/>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705"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商业 企业</w:t>
            </w:r>
          </w:p>
        </w:tc>
        <w:tc>
          <w:tcPr>
            <w:tcW w:w="570" w:type="dxa"/>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科研 机构</w:t>
            </w:r>
          </w:p>
        </w:tc>
        <w:tc>
          <w:tcPr>
            <w:tcW w:w="555" w:type="dxa"/>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社会 公益 组织</w:t>
            </w:r>
          </w:p>
        </w:tc>
        <w:tc>
          <w:tcPr>
            <w:tcW w:w="570" w:type="dxa"/>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法律 服务 机构</w:t>
            </w:r>
          </w:p>
        </w:tc>
        <w:tc>
          <w:tcPr>
            <w:tcW w:w="525" w:type="dxa"/>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其他</w:t>
            </w:r>
          </w:p>
        </w:tc>
        <w:tc>
          <w:tcPr>
            <w:tcW w:w="468" w:type="dxa"/>
            <w:vMerge w:val="continue"/>
            <w:shd w:val="clear" w:color="auto" w:fill="FFFFFF"/>
            <w:noWrap w:val="0"/>
            <w:vAlign w:val="center"/>
          </w:tcPr>
          <w:p>
            <w:pPr>
              <w:autoSpaceDE w:val="0"/>
              <w:autoSpaceDN w:val="0"/>
              <w:jc w:val="center"/>
              <w:rPr>
                <w:rFonts w:hint="eastAsia" w:ascii="宋体" w:hAnsi="宋体" w:cs="宋体"/>
                <w:snapToGrid w:val="0"/>
                <w:kern w:val="3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4801" w:type="dxa"/>
            <w:gridSpan w:val="3"/>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一、本年新收政府信息公开申请数量</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6" w:hRule="exact"/>
          <w:jc w:val="center"/>
        </w:trPr>
        <w:tc>
          <w:tcPr>
            <w:tcW w:w="4801" w:type="dxa"/>
            <w:gridSpan w:val="3"/>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二、上年结转政府信息公开申请数量</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8" w:hRule="exact"/>
          <w:jc w:val="center"/>
        </w:trPr>
        <w:tc>
          <w:tcPr>
            <w:tcW w:w="592" w:type="dxa"/>
            <w:vMerge w:val="restart"/>
            <w:shd w:val="clear" w:color="auto" w:fill="FFFFFF"/>
            <w:noWrap w:val="0"/>
            <w:textDirection w:val="tbRlV"/>
            <w:vAlign w:val="center"/>
          </w:tcPr>
          <w:p>
            <w:pPr>
              <w:autoSpaceDE w:val="0"/>
              <w:autoSpaceDN w:val="0"/>
              <w:jc w:val="center"/>
              <w:rPr>
                <w:rFonts w:hint="eastAsia" w:ascii="宋体" w:hAnsi="宋体" w:cs="宋体"/>
                <w:snapToGrid w:val="0"/>
                <w:spacing w:val="2"/>
                <w:kern w:val="32"/>
                <w:szCs w:val="21"/>
                <w:lang w:val="zh-CN"/>
              </w:rPr>
            </w:pPr>
            <w:r>
              <w:rPr>
                <w:rFonts w:hint="eastAsia" w:ascii="宋体" w:hAnsi="宋体" w:cs="宋体"/>
                <w:snapToGrid w:val="0"/>
                <w:kern w:val="32"/>
                <w:szCs w:val="21"/>
                <w:lang w:val="zh-CN"/>
              </w:rPr>
              <w:t>三、本年度办理结果</w:t>
            </w:r>
          </w:p>
        </w:tc>
        <w:tc>
          <w:tcPr>
            <w:tcW w:w="4209" w:type="dxa"/>
            <w:gridSpan w:val="2"/>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（一）予以公开</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4"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4209" w:type="dxa"/>
            <w:gridSpan w:val="2"/>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lang w:val="zh-CN"/>
              </w:rPr>
              <w:t>（二）部分公开（区分处理的，只计这一情形，不计其他情形）</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restart"/>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（三）不予公开</w:t>
            </w: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lang w:eastAsia="en-US"/>
              </w:rPr>
              <w:t>1.</w:t>
            </w:r>
            <w:r>
              <w:rPr>
                <w:rFonts w:hint="eastAsia" w:ascii="宋体" w:hAnsi="宋体" w:cs="宋体"/>
                <w:snapToGrid w:val="0"/>
                <w:kern w:val="32"/>
                <w:szCs w:val="21"/>
                <w:lang w:val="zh-CN"/>
              </w:rPr>
              <w:t>属于国家秘密</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1"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spacing w:val="-6"/>
                <w:kern w:val="32"/>
                <w:szCs w:val="21"/>
              </w:rPr>
              <w:t>2.</w:t>
            </w:r>
            <w:r>
              <w:rPr>
                <w:rFonts w:hint="eastAsia" w:ascii="宋体" w:hAnsi="宋体" w:cs="宋体"/>
                <w:snapToGrid w:val="0"/>
                <w:spacing w:val="-6"/>
                <w:kern w:val="32"/>
                <w:szCs w:val="21"/>
                <w:lang w:val="zh-CN"/>
              </w:rPr>
              <w:t>其他法律行政法规禁止公开</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9"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rPr>
              <w:t>3.</w:t>
            </w:r>
            <w:r>
              <w:rPr>
                <w:rFonts w:hint="eastAsia" w:ascii="宋体" w:hAnsi="宋体" w:cs="宋体"/>
                <w:snapToGrid w:val="0"/>
                <w:kern w:val="32"/>
                <w:szCs w:val="21"/>
                <w:lang w:val="zh-CN"/>
              </w:rPr>
              <w:t>危及“三安全一稳定”</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lang w:val="zh-CN"/>
              </w:rPr>
              <w:t>4</w:t>
            </w:r>
            <w:r>
              <w:rPr>
                <w:rFonts w:hint="eastAsia" w:ascii="宋体" w:hAnsi="宋体" w:cs="宋体"/>
                <w:snapToGrid w:val="0"/>
                <w:kern w:val="32"/>
                <w:szCs w:val="21"/>
              </w:rPr>
              <w:t>.</w:t>
            </w:r>
            <w:r>
              <w:rPr>
                <w:rFonts w:hint="eastAsia" w:ascii="宋体" w:hAnsi="宋体" w:cs="宋体"/>
                <w:snapToGrid w:val="0"/>
                <w:kern w:val="32"/>
                <w:szCs w:val="21"/>
                <w:lang w:val="zh-CN"/>
              </w:rPr>
              <w:t>保护第三方合法权益</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rPr>
              <w:t>5.</w:t>
            </w:r>
            <w:r>
              <w:rPr>
                <w:rFonts w:hint="eastAsia" w:ascii="宋体" w:hAnsi="宋体" w:cs="宋体"/>
                <w:snapToGrid w:val="0"/>
                <w:kern w:val="32"/>
                <w:szCs w:val="21"/>
                <w:lang w:val="zh-CN"/>
              </w:rPr>
              <w:t>属于三类内部事务信息</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lang w:eastAsia="en-US"/>
              </w:rPr>
              <w:t>6.</w:t>
            </w:r>
            <w:r>
              <w:rPr>
                <w:rFonts w:hint="eastAsia" w:ascii="宋体" w:hAnsi="宋体" w:cs="宋体"/>
                <w:snapToGrid w:val="0"/>
                <w:kern w:val="32"/>
                <w:szCs w:val="21"/>
                <w:lang w:val="zh-CN"/>
              </w:rPr>
              <w:t>属于四类过程性信息</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lang w:eastAsia="en-US"/>
              </w:rPr>
              <w:t>7.</w:t>
            </w:r>
            <w:r>
              <w:rPr>
                <w:rFonts w:hint="eastAsia" w:ascii="宋体" w:hAnsi="宋体" w:cs="宋体"/>
                <w:snapToGrid w:val="0"/>
                <w:kern w:val="32"/>
                <w:szCs w:val="21"/>
                <w:lang w:val="zh-CN"/>
              </w:rPr>
              <w:t>属于行政执法案卷</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lang w:eastAsia="en-US"/>
              </w:rPr>
              <w:t>8.</w:t>
            </w:r>
            <w:r>
              <w:rPr>
                <w:rFonts w:hint="eastAsia" w:ascii="宋体" w:hAnsi="宋体" w:cs="宋体"/>
                <w:snapToGrid w:val="0"/>
                <w:kern w:val="32"/>
                <w:szCs w:val="21"/>
                <w:lang w:val="zh-CN"/>
              </w:rPr>
              <w:t>属于行政查询事项</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6"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restart"/>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（四）无法提供</w:t>
            </w: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spacing w:val="-6"/>
                <w:kern w:val="32"/>
                <w:szCs w:val="21"/>
              </w:rPr>
              <w:t>1.</w:t>
            </w:r>
            <w:r>
              <w:rPr>
                <w:rFonts w:hint="eastAsia" w:ascii="宋体" w:hAnsi="宋体" w:cs="宋体"/>
                <w:snapToGrid w:val="0"/>
                <w:spacing w:val="-6"/>
                <w:kern w:val="32"/>
                <w:szCs w:val="21"/>
                <w:lang w:val="zh-CN"/>
              </w:rPr>
              <w:t>本机关不掌握相关政府信息</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1"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spacing w:val="-6"/>
                <w:kern w:val="32"/>
                <w:szCs w:val="21"/>
              </w:rPr>
              <w:t>2.</w:t>
            </w:r>
            <w:r>
              <w:rPr>
                <w:rFonts w:hint="eastAsia" w:ascii="宋体" w:hAnsi="宋体" w:cs="宋体"/>
                <w:snapToGrid w:val="0"/>
                <w:spacing w:val="-6"/>
                <w:kern w:val="32"/>
                <w:szCs w:val="21"/>
                <w:lang w:val="zh-CN"/>
              </w:rPr>
              <w:t>没有现成信息需要另行制作</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8"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rPr>
              <w:t>3.</w:t>
            </w:r>
            <w:r>
              <w:rPr>
                <w:rFonts w:hint="eastAsia" w:ascii="宋体" w:hAnsi="宋体" w:cs="宋体"/>
                <w:snapToGrid w:val="0"/>
                <w:kern w:val="32"/>
                <w:szCs w:val="21"/>
                <w:lang w:val="zh-CN"/>
              </w:rPr>
              <w:t>补正后申请内容仍不明确</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8"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restart"/>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（五）不予处理</w:t>
            </w:r>
          </w:p>
        </w:tc>
        <w:tc>
          <w:tcPr>
            <w:tcW w:w="2741" w:type="dxa"/>
            <w:shd w:val="clear" w:color="auto" w:fill="FFFFFF"/>
            <w:noWrap w:val="0"/>
            <w:vAlign w:val="top"/>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lang w:eastAsia="en-US"/>
              </w:rPr>
              <w:t>1.</w:t>
            </w:r>
            <w:r>
              <w:rPr>
                <w:rFonts w:hint="eastAsia" w:ascii="宋体" w:hAnsi="宋体" w:cs="宋体"/>
                <w:snapToGrid w:val="0"/>
                <w:kern w:val="32"/>
                <w:szCs w:val="21"/>
                <w:lang w:val="zh-CN"/>
              </w:rPr>
              <w:t>信访举报投诉类申请</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8"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top"/>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lang w:eastAsia="en-US"/>
              </w:rPr>
              <w:t>2.</w:t>
            </w:r>
            <w:r>
              <w:rPr>
                <w:rFonts w:hint="eastAsia" w:ascii="宋体" w:hAnsi="宋体" w:cs="宋体"/>
                <w:snapToGrid w:val="0"/>
                <w:kern w:val="32"/>
                <w:szCs w:val="21"/>
                <w:lang w:val="zh-CN"/>
              </w:rPr>
              <w:t>重复申请</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8"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top"/>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lang w:eastAsia="en-US"/>
              </w:rPr>
              <w:t>3.</w:t>
            </w:r>
            <w:r>
              <w:rPr>
                <w:rFonts w:hint="eastAsia" w:ascii="宋体" w:hAnsi="宋体" w:cs="宋体"/>
                <w:snapToGrid w:val="0"/>
                <w:kern w:val="32"/>
                <w:szCs w:val="21"/>
                <w:lang w:val="zh-CN"/>
              </w:rPr>
              <w:t>要求提供公开出版物</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9"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top"/>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rPr>
              <w:t>4.</w:t>
            </w:r>
            <w:r>
              <w:rPr>
                <w:rFonts w:hint="eastAsia" w:ascii="宋体" w:hAnsi="宋体" w:cs="宋体"/>
                <w:snapToGrid w:val="0"/>
                <w:kern w:val="32"/>
                <w:szCs w:val="21"/>
                <w:lang w:val="zh-CN"/>
              </w:rPr>
              <w:t>无正当理由大量反复申请</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9"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top"/>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rPr>
              <w:t>5.</w:t>
            </w:r>
            <w:r>
              <w:rPr>
                <w:rFonts w:hint="eastAsia" w:ascii="宋体" w:hAnsi="宋体" w:cs="宋体"/>
                <w:snapToGrid w:val="0"/>
                <w:kern w:val="32"/>
                <w:szCs w:val="21"/>
                <w:lang w:val="zh-CN"/>
              </w:rPr>
              <w:t>要求行政机关确认或重新出具已获取信息</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center"/>
              <w:rPr>
                <w:rFonts w:hint="default"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4"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4209" w:type="dxa"/>
            <w:gridSpan w:val="2"/>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（六）其他处理</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8"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4209" w:type="dxa"/>
            <w:gridSpan w:val="2"/>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（七）总计</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4801" w:type="dxa"/>
            <w:gridSpan w:val="3"/>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四、结转下年度继续办理</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bl>
    <w:p>
      <w:pPr>
        <w:tabs>
          <w:tab w:val="left" w:pos="7791"/>
        </w:tabs>
        <w:ind w:firstLine="637" w:firstLineChars="150"/>
        <w:rPr>
          <w:rFonts w:hint="eastAsia" w:ascii="黑体" w:hAnsi="黑体" w:eastAsia="黑体" w:cs="黑体"/>
          <w:snapToGrid w:val="0"/>
          <w:kern w:val="32"/>
          <w:sz w:val="32"/>
          <w:szCs w:val="32"/>
          <w:lang w:val="zh-CN"/>
        </w:rPr>
      </w:pPr>
      <w:bookmarkStart w:id="2" w:name="bookmark30"/>
      <w:r>
        <w:rPr>
          <w:rFonts w:hint="eastAsia" w:ascii="黑体" w:hAnsi="黑体" w:eastAsia="黑体" w:cs="黑体"/>
          <w:snapToGrid w:val="0"/>
          <w:kern w:val="32"/>
          <w:sz w:val="32"/>
          <w:szCs w:val="32"/>
          <w:lang w:val="zh-CN"/>
        </w:rPr>
        <w:t>四</w:t>
      </w:r>
      <w:bookmarkEnd w:id="2"/>
      <w:r>
        <w:rPr>
          <w:rFonts w:hint="eastAsia" w:ascii="黑体" w:hAnsi="黑体" w:eastAsia="黑体" w:cs="黑体"/>
          <w:snapToGrid w:val="0"/>
          <w:kern w:val="32"/>
          <w:sz w:val="32"/>
          <w:szCs w:val="32"/>
          <w:lang w:val="zh-CN"/>
        </w:rPr>
        <w:t>、政府信息公开行政复议、行政诉讼情况</w:t>
      </w:r>
    </w:p>
    <w:tbl>
      <w:tblPr>
        <w:tblStyle w:val="5"/>
        <w:tblW w:w="0" w:type="auto"/>
        <w:jc w:val="center"/>
        <w:tblLayout w:type="fixed"/>
        <w:tblCellMar>
          <w:top w:w="0" w:type="dxa"/>
          <w:left w:w="10" w:type="dxa"/>
          <w:bottom w:w="0" w:type="dxa"/>
          <w:right w:w="10" w:type="dxa"/>
        </w:tblCellMar>
      </w:tblPr>
      <w:tblGrid>
        <w:gridCol w:w="566"/>
        <w:gridCol w:w="525"/>
        <w:gridCol w:w="570"/>
        <w:gridCol w:w="495"/>
        <w:gridCol w:w="675"/>
        <w:gridCol w:w="629"/>
        <w:gridCol w:w="585"/>
        <w:gridCol w:w="540"/>
        <w:gridCol w:w="541"/>
        <w:gridCol w:w="510"/>
        <w:gridCol w:w="615"/>
        <w:gridCol w:w="615"/>
        <w:gridCol w:w="630"/>
        <w:gridCol w:w="525"/>
        <w:gridCol w:w="451"/>
      </w:tblGrid>
      <w:tr>
        <w:tblPrEx>
          <w:tblCellMar>
            <w:top w:w="0" w:type="dxa"/>
            <w:left w:w="10" w:type="dxa"/>
            <w:bottom w:w="0" w:type="dxa"/>
            <w:right w:w="10" w:type="dxa"/>
          </w:tblCellMar>
        </w:tblPrEx>
        <w:trPr>
          <w:trHeight w:val="461" w:hRule="exact"/>
          <w:jc w:val="center"/>
        </w:trPr>
        <w:tc>
          <w:tcPr>
            <w:tcW w:w="2831" w:type="dxa"/>
            <w:gridSpan w:val="5"/>
            <w:tcBorders>
              <w:top w:val="single" w:color="auto" w:sz="4" w:space="0"/>
              <w:lef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行政复议</w:t>
            </w:r>
          </w:p>
        </w:tc>
        <w:tc>
          <w:tcPr>
            <w:tcW w:w="5641" w:type="dxa"/>
            <w:gridSpan w:val="10"/>
            <w:tcBorders>
              <w:top w:val="single" w:color="auto" w:sz="4" w:space="0"/>
              <w:left w:val="single" w:color="auto" w:sz="4" w:space="0"/>
              <w:righ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行政诉讼</w:t>
            </w:r>
          </w:p>
        </w:tc>
      </w:tr>
      <w:tr>
        <w:tblPrEx>
          <w:tblCellMar>
            <w:top w:w="0" w:type="dxa"/>
            <w:left w:w="10" w:type="dxa"/>
            <w:bottom w:w="0" w:type="dxa"/>
            <w:right w:w="10" w:type="dxa"/>
          </w:tblCellMar>
        </w:tblPrEx>
        <w:trPr>
          <w:trHeight w:val="461" w:hRule="exact"/>
          <w:jc w:val="center"/>
        </w:trPr>
        <w:tc>
          <w:tcPr>
            <w:tcW w:w="566" w:type="dxa"/>
            <w:vMerge w:val="restart"/>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结果 维持</w:t>
            </w:r>
          </w:p>
        </w:tc>
        <w:tc>
          <w:tcPr>
            <w:tcW w:w="525" w:type="dxa"/>
            <w:vMerge w:val="restart"/>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结果 纠正</w:t>
            </w:r>
          </w:p>
        </w:tc>
        <w:tc>
          <w:tcPr>
            <w:tcW w:w="570" w:type="dxa"/>
            <w:vMerge w:val="restart"/>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其他 结果</w:t>
            </w:r>
          </w:p>
        </w:tc>
        <w:tc>
          <w:tcPr>
            <w:tcW w:w="495" w:type="dxa"/>
            <w:vMerge w:val="restart"/>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尚未 审结</w:t>
            </w:r>
          </w:p>
        </w:tc>
        <w:tc>
          <w:tcPr>
            <w:tcW w:w="675" w:type="dxa"/>
            <w:vMerge w:val="restart"/>
            <w:tcBorders>
              <w:top w:val="single" w:color="auto" w:sz="4" w:space="0"/>
              <w:left w:val="single" w:color="auto" w:sz="4" w:space="0"/>
            </w:tcBorders>
            <w:shd w:val="clear" w:color="auto" w:fill="FFFFFF"/>
            <w:noWrap w:val="0"/>
            <w:textDirection w:val="tbRlV"/>
            <w:vAlign w:val="bottom"/>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总计</w:t>
            </w:r>
          </w:p>
        </w:tc>
        <w:tc>
          <w:tcPr>
            <w:tcW w:w="2805" w:type="dxa"/>
            <w:gridSpan w:val="5"/>
            <w:tcBorders>
              <w:top w:val="single" w:color="auto" w:sz="4" w:space="0"/>
              <w:lef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未经复议直接起诉</w:t>
            </w:r>
          </w:p>
        </w:tc>
        <w:tc>
          <w:tcPr>
            <w:tcW w:w="2836" w:type="dxa"/>
            <w:gridSpan w:val="5"/>
            <w:tcBorders>
              <w:top w:val="single" w:color="auto" w:sz="4" w:space="0"/>
              <w:left w:val="single" w:color="auto" w:sz="4" w:space="0"/>
              <w:righ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复议后起诉</w:t>
            </w:r>
          </w:p>
        </w:tc>
      </w:tr>
      <w:tr>
        <w:tblPrEx>
          <w:tblCellMar>
            <w:top w:w="0" w:type="dxa"/>
            <w:left w:w="10" w:type="dxa"/>
            <w:bottom w:w="0" w:type="dxa"/>
            <w:right w:w="10" w:type="dxa"/>
          </w:tblCellMar>
        </w:tblPrEx>
        <w:trPr>
          <w:trHeight w:val="850" w:hRule="exact"/>
          <w:jc w:val="center"/>
        </w:trPr>
        <w:tc>
          <w:tcPr>
            <w:tcW w:w="566" w:type="dxa"/>
            <w:vMerge w:val="continue"/>
            <w:tcBorders>
              <w:left w:val="single" w:color="auto" w:sz="4" w:space="0"/>
            </w:tcBorders>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525" w:type="dxa"/>
            <w:vMerge w:val="continue"/>
            <w:tcBorders>
              <w:left w:val="single" w:color="auto" w:sz="4" w:space="0"/>
            </w:tcBorders>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570" w:type="dxa"/>
            <w:vMerge w:val="continue"/>
            <w:tcBorders>
              <w:left w:val="single" w:color="auto" w:sz="4" w:space="0"/>
            </w:tcBorders>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495" w:type="dxa"/>
            <w:vMerge w:val="continue"/>
            <w:tcBorders>
              <w:left w:val="single" w:color="auto" w:sz="4" w:space="0"/>
            </w:tcBorders>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675" w:type="dxa"/>
            <w:vMerge w:val="continue"/>
            <w:tcBorders>
              <w:left w:val="single" w:color="auto" w:sz="4" w:space="0"/>
            </w:tcBorders>
            <w:shd w:val="clear" w:color="auto" w:fill="FFFFFF"/>
            <w:noWrap w:val="0"/>
            <w:textDirection w:val="tbRlV"/>
            <w:vAlign w:val="bottom"/>
          </w:tcPr>
          <w:p>
            <w:pPr>
              <w:autoSpaceDE w:val="0"/>
              <w:autoSpaceDN w:val="0"/>
              <w:jc w:val="left"/>
              <w:rPr>
                <w:rFonts w:hint="eastAsia" w:ascii="宋体" w:hAnsi="宋体" w:cs="宋体"/>
                <w:snapToGrid w:val="0"/>
                <w:kern w:val="32"/>
                <w:szCs w:val="21"/>
                <w:lang w:val="zh-CN"/>
              </w:rPr>
            </w:pPr>
          </w:p>
        </w:tc>
        <w:tc>
          <w:tcPr>
            <w:tcW w:w="629" w:type="dxa"/>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结果 维持</w:t>
            </w:r>
          </w:p>
        </w:tc>
        <w:tc>
          <w:tcPr>
            <w:tcW w:w="585" w:type="dxa"/>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结果 纠正</w:t>
            </w:r>
          </w:p>
        </w:tc>
        <w:tc>
          <w:tcPr>
            <w:tcW w:w="540" w:type="dxa"/>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其他 结果</w:t>
            </w:r>
          </w:p>
        </w:tc>
        <w:tc>
          <w:tcPr>
            <w:tcW w:w="541" w:type="dxa"/>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尚未 审结</w:t>
            </w:r>
          </w:p>
        </w:tc>
        <w:tc>
          <w:tcPr>
            <w:tcW w:w="510" w:type="dxa"/>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总 计</w:t>
            </w:r>
          </w:p>
        </w:tc>
        <w:tc>
          <w:tcPr>
            <w:tcW w:w="615" w:type="dxa"/>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结果 维持</w:t>
            </w:r>
          </w:p>
        </w:tc>
        <w:tc>
          <w:tcPr>
            <w:tcW w:w="615" w:type="dxa"/>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结果 纠正</w:t>
            </w:r>
          </w:p>
        </w:tc>
        <w:tc>
          <w:tcPr>
            <w:tcW w:w="630" w:type="dxa"/>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其他 结果</w:t>
            </w:r>
          </w:p>
        </w:tc>
        <w:tc>
          <w:tcPr>
            <w:tcW w:w="525" w:type="dxa"/>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尚未 审结</w:t>
            </w:r>
          </w:p>
        </w:tc>
        <w:tc>
          <w:tcPr>
            <w:tcW w:w="451" w:type="dxa"/>
            <w:tcBorders>
              <w:top w:val="single" w:color="auto" w:sz="4" w:space="0"/>
              <w:left w:val="single" w:color="auto" w:sz="4" w:space="0"/>
              <w:right w:val="single" w:color="auto" w:sz="4" w:space="0"/>
            </w:tcBorders>
            <w:shd w:val="clear" w:color="auto" w:fill="FFFFFF"/>
            <w:noWrap w:val="0"/>
            <w:textDirection w:val="tbRlV"/>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总计</w:t>
            </w:r>
          </w:p>
        </w:tc>
      </w:tr>
      <w:tr>
        <w:tblPrEx>
          <w:tblCellMar>
            <w:top w:w="0" w:type="dxa"/>
            <w:left w:w="10" w:type="dxa"/>
            <w:bottom w:w="0" w:type="dxa"/>
            <w:right w:w="10" w:type="dxa"/>
          </w:tblCellMar>
        </w:tblPrEx>
        <w:trPr>
          <w:trHeight w:val="516" w:hRule="exact"/>
          <w:jc w:val="center"/>
        </w:trPr>
        <w:tc>
          <w:tcPr>
            <w:tcW w:w="566"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p>
        </w:tc>
        <w:tc>
          <w:tcPr>
            <w:tcW w:w="525"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p>
        </w:tc>
        <w:tc>
          <w:tcPr>
            <w:tcW w:w="570"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p>
        </w:tc>
        <w:tc>
          <w:tcPr>
            <w:tcW w:w="495"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p>
        </w:tc>
        <w:tc>
          <w:tcPr>
            <w:tcW w:w="675"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629"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p>
        </w:tc>
        <w:tc>
          <w:tcPr>
            <w:tcW w:w="585"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p>
        </w:tc>
        <w:tc>
          <w:tcPr>
            <w:tcW w:w="540"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p>
        </w:tc>
        <w:tc>
          <w:tcPr>
            <w:tcW w:w="541"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p>
        </w:tc>
        <w:tc>
          <w:tcPr>
            <w:tcW w:w="510"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615"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p>
        </w:tc>
        <w:tc>
          <w:tcPr>
            <w:tcW w:w="615"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p>
        </w:tc>
        <w:tc>
          <w:tcPr>
            <w:tcW w:w="630"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p>
        </w:tc>
        <w:tc>
          <w:tcPr>
            <w:tcW w:w="525"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p>
        </w:tc>
        <w:tc>
          <w:tcPr>
            <w:tcW w:w="45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bl>
    <w:p>
      <w:pPr>
        <w:spacing w:after="259" w:line="1" w:lineRule="exact"/>
      </w:pPr>
    </w:p>
    <w:p>
      <w:pPr>
        <w:pStyle w:val="7"/>
        <w:tabs>
          <w:tab w:val="left" w:pos="1210"/>
        </w:tabs>
        <w:spacing w:line="240" w:lineRule="auto"/>
        <w:ind w:firstLine="578"/>
        <w:jc w:val="left"/>
        <w:rPr>
          <w:rFonts w:hint="eastAsia" w:ascii="黑体" w:hAnsi="黑体" w:eastAsia="黑体" w:cs="黑体"/>
          <w:sz w:val="32"/>
          <w:szCs w:val="32"/>
        </w:rPr>
      </w:pPr>
      <w:bookmarkStart w:id="3" w:name="bookmark31"/>
      <w:r>
        <w:rPr>
          <w:rFonts w:hint="eastAsia" w:ascii="黑体" w:hAnsi="黑体" w:eastAsia="黑体" w:cs="黑体"/>
          <w:snapToGrid w:val="0"/>
          <w:kern w:val="32"/>
          <w:sz w:val="32"/>
          <w:szCs w:val="32"/>
          <w:lang w:val="zh-CN" w:eastAsia="zh-CN" w:bidi="ar-SA"/>
        </w:rPr>
        <w:t>五</w:t>
      </w:r>
      <w:bookmarkEnd w:id="3"/>
      <w:r>
        <w:rPr>
          <w:rFonts w:hint="eastAsia" w:ascii="黑体" w:hAnsi="黑体" w:eastAsia="黑体" w:cs="黑体"/>
          <w:snapToGrid w:val="0"/>
          <w:kern w:val="32"/>
          <w:sz w:val="32"/>
          <w:szCs w:val="32"/>
          <w:lang w:val="zh-CN" w:eastAsia="zh-CN" w:bidi="ar-SA"/>
        </w:rPr>
        <w:t>、存在的主要问题及改进情况</w:t>
      </w:r>
    </w:p>
    <w:p>
      <w:pPr>
        <w:pStyle w:val="7"/>
        <w:tabs>
          <w:tab w:val="left" w:pos="1210"/>
        </w:tabs>
        <w:spacing w:line="240" w:lineRule="auto"/>
        <w:ind w:firstLine="578"/>
        <w:jc w:val="left"/>
        <w:rPr>
          <w:rFonts w:hint="eastAsia" w:ascii="仿宋" w:hAnsi="仿宋" w:eastAsia="仿宋" w:cs="仿宋"/>
          <w:snapToGrid w:val="0"/>
          <w:kern w:val="32"/>
          <w:sz w:val="32"/>
          <w:szCs w:val="32"/>
          <w:lang w:val="zh-CN" w:eastAsia="zh-CN" w:bidi="ar-SA"/>
        </w:rPr>
      </w:pPr>
      <w:bookmarkStart w:id="4" w:name="bookmark32"/>
      <w:r>
        <w:rPr>
          <w:rFonts w:hint="eastAsia" w:ascii="仿宋" w:hAnsi="仿宋" w:eastAsia="仿宋" w:cs="仿宋"/>
          <w:snapToGrid w:val="0"/>
          <w:kern w:val="32"/>
          <w:sz w:val="32"/>
          <w:szCs w:val="32"/>
          <w:lang w:val="en-US" w:eastAsia="zh-CN" w:bidi="ar-SA"/>
        </w:rPr>
        <w:t>2</w:t>
      </w:r>
      <w:r>
        <w:rPr>
          <w:rFonts w:hint="eastAsia" w:ascii="仿宋" w:hAnsi="仿宋" w:eastAsia="仿宋" w:cs="仿宋"/>
          <w:snapToGrid w:val="0"/>
          <w:kern w:val="32"/>
          <w:sz w:val="32"/>
          <w:szCs w:val="32"/>
          <w:lang w:val="zh-CN" w:eastAsia="zh-CN" w:bidi="ar-SA"/>
        </w:rPr>
        <w:t>019年，在国家、省市医疗保障局的正确领导和指导下，王益区医疗保障局的政府信息公开工作进一步规范，但信息公开的广度、深度与社会需求、公众期待还存在一定差距，信息公开内容有待拓展。二是新媒体开发利用有待加强。目前仅在王益区人民政府门户网站公开信息，在信息公开的时效性、公开内容的丰富性以及与公众的互动</w:t>
      </w:r>
      <w:bookmarkEnd w:id="4"/>
      <w:r>
        <w:rPr>
          <w:rFonts w:hint="eastAsia" w:ascii="仿宋" w:hAnsi="仿宋" w:eastAsia="仿宋" w:cs="仿宋"/>
          <w:snapToGrid w:val="0"/>
          <w:kern w:val="32"/>
          <w:sz w:val="32"/>
          <w:szCs w:val="32"/>
          <w:lang w:val="zh-CN" w:eastAsia="zh-CN" w:bidi="ar-SA"/>
        </w:rPr>
        <w:t>、以及其他需要报告的事项性上有所欠缺。</w:t>
      </w:r>
    </w:p>
    <w:p>
      <w:pPr>
        <w:pStyle w:val="7"/>
        <w:tabs>
          <w:tab w:val="left" w:pos="1210"/>
        </w:tabs>
        <w:spacing w:line="240" w:lineRule="auto"/>
        <w:ind w:firstLine="578"/>
        <w:jc w:val="left"/>
        <w:rPr>
          <w:rFonts w:hint="eastAsia" w:ascii="仿宋" w:hAnsi="仿宋" w:eastAsia="仿宋" w:cs="仿宋"/>
          <w:snapToGrid w:val="0"/>
          <w:kern w:val="32"/>
          <w:sz w:val="32"/>
          <w:szCs w:val="32"/>
          <w:lang w:val="zh-CN" w:eastAsia="zh-CN" w:bidi="ar-SA"/>
        </w:rPr>
      </w:pPr>
      <w:r>
        <w:rPr>
          <w:rFonts w:hint="eastAsia" w:ascii="仿宋" w:hAnsi="仿宋" w:eastAsia="仿宋" w:cs="仿宋"/>
          <w:snapToGrid w:val="0"/>
          <w:kern w:val="32"/>
          <w:sz w:val="32"/>
          <w:szCs w:val="32"/>
          <w:lang w:val="zh-CN" w:eastAsia="zh-CN" w:bidi="ar-SA"/>
        </w:rPr>
        <w:t>2020年，王益区医疗保障局将从以下三个方面着手，努力推动政府信息公开工作再上新台阶。一是不断完善信息发布内容。按照“公开为常态，不公开为例外”的原则，进一步完善信息公开目录，提高公开信息的针对性。二是拓宽信息发布渠道。继续发挥政府网站、报纸、广播、电视、出版物等传统媒体的优势，正面引导公众舆论，掌握话语主动权。进一步探索新媒体、 新信息技术的应用，建立信息共享平台，扩大信息公开覆盖面，提高信息公开影响力。三是加强政府信息公开队伍建设。强化对全系统政府信息公开工作的指导和管理，增强工作人员责任意识，适时开展政府信息公开培训，提高工作人员公开意识和工作能力，不断提升全系统政府信息公开工作水平。</w:t>
      </w:r>
    </w:p>
    <w:p>
      <w:pPr>
        <w:pStyle w:val="7"/>
        <w:numPr>
          <w:ilvl w:val="0"/>
          <w:numId w:val="1"/>
        </w:numPr>
        <w:tabs>
          <w:tab w:val="left" w:pos="1210"/>
        </w:tabs>
        <w:spacing w:line="240" w:lineRule="auto"/>
        <w:ind w:firstLine="578"/>
        <w:jc w:val="left"/>
        <w:rPr>
          <w:rFonts w:hint="eastAsia" w:ascii="仿宋" w:hAnsi="仿宋" w:eastAsia="仿宋" w:cs="仿宋"/>
          <w:snapToGrid w:val="0"/>
          <w:kern w:val="32"/>
          <w:sz w:val="32"/>
          <w:szCs w:val="32"/>
          <w:lang w:val="zh-CN" w:eastAsia="zh-CN" w:bidi="ar-SA"/>
        </w:rPr>
      </w:pPr>
      <w:r>
        <w:rPr>
          <w:rFonts w:hint="eastAsia" w:ascii="仿宋" w:hAnsi="仿宋" w:eastAsia="仿宋" w:cs="仿宋"/>
          <w:snapToGrid w:val="0"/>
          <w:kern w:val="32"/>
          <w:sz w:val="32"/>
          <w:szCs w:val="32"/>
          <w:lang w:val="zh-CN" w:eastAsia="zh-CN" w:bidi="ar-SA"/>
        </w:rPr>
        <w:t>其他需要报告的事项</w:t>
      </w:r>
    </w:p>
    <w:p>
      <w:pPr>
        <w:pStyle w:val="7"/>
        <w:numPr>
          <w:numId w:val="0"/>
        </w:numPr>
        <w:tabs>
          <w:tab w:val="left" w:pos="1210"/>
        </w:tabs>
        <w:spacing w:line="240" w:lineRule="auto"/>
        <w:jc w:val="left"/>
        <w:rPr>
          <w:rFonts w:hint="eastAsia" w:ascii="仿宋" w:hAnsi="仿宋" w:eastAsia="仿宋" w:cs="仿宋"/>
          <w:snapToGrid w:val="0"/>
          <w:kern w:val="32"/>
          <w:sz w:val="32"/>
          <w:szCs w:val="32"/>
          <w:lang w:val="en-US" w:eastAsia="zh-CN" w:bidi="ar-SA"/>
        </w:rPr>
      </w:pPr>
      <w:r>
        <w:rPr>
          <w:rFonts w:hint="eastAsia" w:ascii="仿宋" w:hAnsi="仿宋" w:eastAsia="仿宋" w:cs="仿宋"/>
          <w:snapToGrid w:val="0"/>
          <w:kern w:val="32"/>
          <w:sz w:val="32"/>
          <w:szCs w:val="32"/>
          <w:lang w:val="en-US" w:eastAsia="zh-CN" w:bidi="ar-SA"/>
        </w:rPr>
        <w:t xml:space="preserve">     政府信息公开审查过程中未出现审查不细、不严造成的不良影响。</w:t>
      </w:r>
    </w:p>
    <w:p>
      <w:pPr>
        <w:pStyle w:val="7"/>
        <w:numPr>
          <w:numId w:val="0"/>
        </w:numPr>
        <w:tabs>
          <w:tab w:val="left" w:pos="1210"/>
        </w:tabs>
        <w:spacing w:line="240" w:lineRule="auto"/>
        <w:ind w:firstLine="850" w:firstLineChars="200"/>
        <w:jc w:val="left"/>
        <w:rPr>
          <w:rFonts w:hint="default" w:ascii="仿宋" w:hAnsi="仿宋" w:eastAsia="仿宋" w:cs="仿宋"/>
          <w:snapToGrid w:val="0"/>
          <w:kern w:val="32"/>
          <w:sz w:val="32"/>
          <w:szCs w:val="32"/>
          <w:lang w:val="en-US" w:eastAsia="zh-CN" w:bidi="ar-SA"/>
        </w:rPr>
      </w:pPr>
      <w:r>
        <w:rPr>
          <w:rFonts w:hint="eastAsia" w:ascii="仿宋" w:hAnsi="仿宋" w:eastAsia="仿宋" w:cs="仿宋"/>
          <w:snapToGrid w:val="0"/>
          <w:kern w:val="32"/>
          <w:sz w:val="32"/>
          <w:szCs w:val="32"/>
          <w:lang w:val="en-US" w:eastAsia="zh-CN" w:bidi="ar-SA"/>
        </w:rPr>
        <w:t>如对本报告有任何疑问，可与铜川市王益区医疗保障局联系（地址：铜川市王益区七一路24号 电话：0919-2181015传真：0919-2181015）</w:t>
      </w:r>
    </w:p>
    <w:p>
      <w:pPr>
        <w:pStyle w:val="7"/>
        <w:numPr>
          <w:numId w:val="0"/>
        </w:numPr>
        <w:tabs>
          <w:tab w:val="left" w:pos="1210"/>
        </w:tabs>
        <w:spacing w:line="240" w:lineRule="auto"/>
        <w:jc w:val="left"/>
        <w:rPr>
          <w:rFonts w:hint="eastAsia" w:ascii="仿宋" w:hAnsi="仿宋" w:eastAsia="仿宋" w:cs="仿宋"/>
          <w:snapToGrid w:val="0"/>
          <w:kern w:val="32"/>
          <w:sz w:val="32"/>
          <w:szCs w:val="32"/>
          <w:lang w:val="en-US" w:eastAsia="zh-CN" w:bidi="ar-SA"/>
        </w:rPr>
      </w:pPr>
    </w:p>
    <w:p>
      <w:pPr>
        <w:pStyle w:val="7"/>
        <w:numPr>
          <w:numId w:val="0"/>
        </w:numPr>
        <w:tabs>
          <w:tab w:val="left" w:pos="1210"/>
        </w:tabs>
        <w:spacing w:line="240" w:lineRule="auto"/>
        <w:jc w:val="left"/>
        <w:rPr>
          <w:rFonts w:hint="eastAsia" w:ascii="仿宋" w:hAnsi="仿宋" w:eastAsia="仿宋" w:cs="仿宋"/>
          <w:snapToGrid w:val="0"/>
          <w:kern w:val="32"/>
          <w:sz w:val="32"/>
          <w:szCs w:val="32"/>
          <w:lang w:val="en-US" w:eastAsia="zh-CN" w:bidi="ar-SA"/>
        </w:rPr>
      </w:pPr>
    </w:p>
    <w:p>
      <w:pPr>
        <w:pStyle w:val="7"/>
        <w:numPr>
          <w:numId w:val="0"/>
        </w:numPr>
        <w:tabs>
          <w:tab w:val="left" w:pos="1210"/>
        </w:tabs>
        <w:spacing w:line="240" w:lineRule="auto"/>
        <w:jc w:val="left"/>
        <w:rPr>
          <w:rFonts w:hint="eastAsia" w:ascii="仿宋" w:hAnsi="仿宋" w:eastAsia="仿宋" w:cs="仿宋"/>
          <w:snapToGrid w:val="0"/>
          <w:kern w:val="32"/>
          <w:sz w:val="32"/>
          <w:szCs w:val="32"/>
          <w:lang w:val="en-US" w:eastAsia="zh-CN" w:bidi="ar-SA"/>
        </w:rPr>
      </w:pPr>
    </w:p>
    <w:p>
      <w:pPr>
        <w:pStyle w:val="7"/>
        <w:numPr>
          <w:numId w:val="0"/>
        </w:numPr>
        <w:tabs>
          <w:tab w:val="left" w:pos="1210"/>
        </w:tabs>
        <w:spacing w:line="240" w:lineRule="auto"/>
        <w:jc w:val="left"/>
        <w:rPr>
          <w:rFonts w:hint="eastAsia" w:ascii="仿宋" w:hAnsi="仿宋" w:eastAsia="仿宋" w:cs="仿宋"/>
          <w:snapToGrid w:val="0"/>
          <w:kern w:val="32"/>
          <w:sz w:val="32"/>
          <w:szCs w:val="32"/>
          <w:lang w:val="en-US" w:eastAsia="zh-CN" w:bidi="ar-SA"/>
        </w:rPr>
      </w:pPr>
    </w:p>
    <w:p>
      <w:pPr>
        <w:pStyle w:val="7"/>
        <w:numPr>
          <w:numId w:val="0"/>
        </w:numPr>
        <w:tabs>
          <w:tab w:val="left" w:pos="1210"/>
        </w:tabs>
        <w:spacing w:line="240" w:lineRule="auto"/>
        <w:jc w:val="left"/>
        <w:rPr>
          <w:rFonts w:hint="eastAsia" w:ascii="仿宋" w:hAnsi="仿宋" w:eastAsia="仿宋" w:cs="仿宋"/>
          <w:snapToGrid w:val="0"/>
          <w:kern w:val="32"/>
          <w:sz w:val="32"/>
          <w:szCs w:val="32"/>
          <w:lang w:val="en-US" w:eastAsia="zh-CN" w:bidi="ar-SA"/>
        </w:rPr>
      </w:pPr>
    </w:p>
    <w:p>
      <w:pPr>
        <w:pStyle w:val="7"/>
        <w:numPr>
          <w:numId w:val="0"/>
        </w:numPr>
        <w:tabs>
          <w:tab w:val="left" w:pos="1210"/>
        </w:tabs>
        <w:spacing w:line="240" w:lineRule="auto"/>
        <w:jc w:val="right"/>
        <w:rPr>
          <w:rFonts w:hint="eastAsia" w:ascii="仿宋" w:hAnsi="仿宋" w:eastAsia="仿宋" w:cs="仿宋"/>
          <w:snapToGrid w:val="0"/>
          <w:kern w:val="32"/>
          <w:sz w:val="32"/>
          <w:szCs w:val="32"/>
          <w:lang w:val="en-US" w:eastAsia="zh-CN" w:bidi="ar-SA"/>
        </w:rPr>
      </w:pPr>
      <w:r>
        <w:rPr>
          <w:rFonts w:hint="eastAsia" w:ascii="仿宋" w:hAnsi="仿宋" w:eastAsia="仿宋" w:cs="仿宋"/>
          <w:snapToGrid w:val="0"/>
          <w:kern w:val="32"/>
          <w:sz w:val="32"/>
          <w:szCs w:val="32"/>
          <w:lang w:val="en-US" w:eastAsia="zh-CN" w:bidi="ar-SA"/>
        </w:rPr>
        <w:t>王益区医疗保障局</w:t>
      </w:r>
    </w:p>
    <w:p>
      <w:pPr>
        <w:pStyle w:val="7"/>
        <w:numPr>
          <w:numId w:val="0"/>
        </w:numPr>
        <w:tabs>
          <w:tab w:val="left" w:pos="1210"/>
        </w:tabs>
        <w:spacing w:line="240" w:lineRule="auto"/>
        <w:jc w:val="right"/>
        <w:rPr>
          <w:rFonts w:hint="default" w:ascii="仿宋" w:hAnsi="仿宋" w:eastAsia="仿宋" w:cs="仿宋"/>
          <w:snapToGrid w:val="0"/>
          <w:kern w:val="32"/>
          <w:sz w:val="32"/>
          <w:szCs w:val="32"/>
          <w:lang w:val="en-US" w:eastAsia="zh-CN" w:bidi="ar-SA"/>
        </w:rPr>
      </w:pPr>
      <w:r>
        <w:rPr>
          <w:rFonts w:hint="eastAsia" w:ascii="仿宋" w:hAnsi="仿宋" w:eastAsia="仿宋" w:cs="仿宋"/>
          <w:snapToGrid w:val="0"/>
          <w:kern w:val="32"/>
          <w:sz w:val="32"/>
          <w:szCs w:val="32"/>
          <w:lang w:val="en-US" w:eastAsia="zh-CN" w:bidi="ar-SA"/>
        </w:rPr>
        <w:t>2020年1月15</w:t>
      </w:r>
      <w:bookmarkStart w:id="5" w:name="_GoBack"/>
      <w:bookmarkEnd w:id="5"/>
      <w:r>
        <w:rPr>
          <w:rFonts w:hint="eastAsia" w:ascii="仿宋" w:hAnsi="仿宋" w:eastAsia="仿宋" w:cs="仿宋"/>
          <w:snapToGrid w:val="0"/>
          <w:kern w:val="32"/>
          <w:sz w:val="32"/>
          <w:szCs w:val="32"/>
          <w:lang w:val="en-US" w:eastAsia="zh-CN" w:bidi="ar-SA"/>
        </w:rPr>
        <w:t>日</w:t>
      </w:r>
    </w:p>
    <w:p/>
    <w:sectPr>
      <w:footerReference r:id="rId5" w:type="default"/>
      <w:footerReference r:id="rId6" w:type="even"/>
      <w:pgSz w:w="11907" w:h="16840"/>
      <w:pgMar w:top="2098" w:right="1474" w:bottom="1985" w:left="1588" w:header="567" w:footer="1644" w:gutter="0"/>
      <w:pgNumType w:fmt="numberInDash" w:start="5"/>
      <w:cols w:space="720" w:num="1"/>
      <w:docGrid w:type="linesAndChars" w:linePitch="579" w:charSpace="21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Fonts w:hint="default"/>
        <w:lang w:val="en-US"/>
      </w:rPr>
    </w:pPr>
    <w:r>
      <w:rPr>
        <w:sz w:val="18"/>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lang w:val="en-US" w:eastAsia="zh-CN"/>
                            </w:rPr>
                          </w:pPr>
                          <w:r>
                            <w:rPr>
                              <w:rFonts w:hint="eastAsia"/>
                              <w:lang w:val="en-US" w:eastAsia="zh-CN"/>
                            </w:rPr>
                            <w:t>1</w:t>
                          </w:r>
                        </w:p>
                        <w:p>
                          <w:pPr>
                            <w:pStyle w:val="3"/>
                            <w:rPr>
                              <w:rFonts w:hint="default"/>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dF6DCAgAA1g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enw8hfOGjAORfOFrIAH3up68yHcTS+Sq/SJEgGo6sgifI8mBXzJBgV8dkw&#10;P83n8zz+6PzFyaRuypIJF6+fkjj5sy7s57Xr72FOjORN6dy5lIxeLedcow2BKS385xCG5B+YhY/T&#10;8Gqo6klJ8SCJLgfjoBilZ0FSJMNgfBalQRSPL8ej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R0XoM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lang w:val="en-US" w:eastAsia="zh-CN"/>
                      </w:rPr>
                    </w:pPr>
                    <w:r>
                      <w:rPr>
                        <w:rFonts w:hint="eastAsia"/>
                        <w:lang w:val="en-US" w:eastAsia="zh-CN"/>
                      </w:rPr>
                      <w:t>1</w:t>
                    </w:r>
                  </w:p>
                  <w:p>
                    <w:pPr>
                      <w:pStyle w:val="3"/>
                      <w:rPr>
                        <w:rFonts w:hint="default"/>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posOffset>-69215</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- 6 -</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5.45pt;margin-top:0pt;height:144pt;width:144pt;mso-position-horizontal-relative:margin;mso-wrap-style:none;z-index:251661312;mso-width-relative:page;mso-height-relative:page;" filled="f" stroked="f" coordsize="21600,21600" o:gfxdata="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LNXTdQAAAAI&#10;AQAADwAAAAAAAAABACAAAAAiAAAAZHJzL2Rvd25yZXYueG1sUEsBAhQAFAAAAAgAh07iQMGajgyu&#10;AQAASwMAAA4AAAAAAAAAAQAgAAAAIwEAAGRycy9lMm9Eb2MueG1sUEsFBgAAAAAGAAYAWQEAAEMF&#10;AAAAAA==&#10;">
              <v:fill on="f" focussize="0,0"/>
              <v:stroke on="f"/>
              <v:imagedata o:title=""/>
              <o:lock v:ext="edit" aspectratio="f"/>
              <v:textbox inset="0mm,0mm,0mm,0mm" style="mso-fit-shape-to-text:t;">
                <w:txbxContent>
                  <w:p>
                    <w:pPr>
                      <w:pStyle w:val="3"/>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- 6 -</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27280"/>
    <w:multiLevelType w:val="singleLevel"/>
    <w:tmpl w:val="4D92728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9E2A2E"/>
    <w:rsid w:val="02E84768"/>
    <w:rsid w:val="049E2A2E"/>
    <w:rsid w:val="15590DF9"/>
    <w:rsid w:val="24FA4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spacing w:line="360" w:lineRule="auto"/>
      <w:ind w:firstLine="420"/>
    </w:pPr>
    <w:rPr>
      <w:rFonts w:ascii="仿宋_GB2312" w:eastAsia="仿宋_GB2312" w:cs="仿宋_GB2312"/>
      <w:kern w:val="0"/>
      <w:sz w:val="30"/>
      <w:szCs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Body text|1"/>
    <w:basedOn w:val="1"/>
    <w:qFormat/>
    <w:uiPriority w:val="0"/>
    <w:pPr>
      <w:widowControl w:val="0"/>
      <w:shd w:val="clear" w:color="auto" w:fill="auto"/>
      <w:spacing w:line="442"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2020-01-16T13:04:00Z</dcterms:created>
  <dc:creator>Administrator</dc:creator>
  <cp:lastModifiedBy>Administrator</cp:lastModifiedBy>
  <cp:lastPrinted>2020-01-17T03:03:15Z</cp:lastPrinted>
  <dcterms:modified xsi:type="dcterms:W3CDTF">2020-01-17T03:09:00Z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