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660" w:lineRule="exact"/>
        <w:jc w:val="center"/>
        <w:rPr>
          <w:rFonts w:ascii="方正小标宋_GBK" w:hAnsi="方正小标宋_GBK" w:eastAsia="方正小标宋_GBK" w:cs="方正小标宋_GBK"/>
          <w:bCs/>
          <w:snapToGrid w:val="0"/>
          <w:sz w:val="44"/>
          <w:szCs w:val="44"/>
        </w:rPr>
      </w:pPr>
      <w:r>
        <w:rPr>
          <w:rFonts w:hint="eastAsia" w:ascii="方正小标宋_GBK" w:hAnsi="方正小标宋_GBK" w:eastAsia="方正小标宋_GBK" w:cs="方正小标宋_GBK"/>
          <w:bCs/>
          <w:snapToGrid w:val="0"/>
          <w:sz w:val="44"/>
          <w:szCs w:val="44"/>
        </w:rPr>
        <w:t>铜川市王益区对外经济合作中心</w:t>
      </w:r>
    </w:p>
    <w:p>
      <w:pPr>
        <w:topLinePunct/>
        <w:spacing w:line="660" w:lineRule="exact"/>
        <w:jc w:val="center"/>
        <w:rPr>
          <w:rFonts w:ascii="方正小标宋简体" w:hAnsi="宋体" w:eastAsia="方正小标宋简体" w:cs="宋体"/>
          <w:bCs/>
          <w:snapToGrid w:val="0"/>
          <w:sz w:val="44"/>
          <w:szCs w:val="44"/>
        </w:rPr>
      </w:pPr>
      <w:r>
        <w:rPr>
          <w:rFonts w:hint="eastAsia" w:ascii="方正小标宋_GBK" w:hAnsi="方正小标宋_GBK" w:eastAsia="方正小标宋_GBK" w:cs="方正小标宋_GBK"/>
          <w:bCs/>
          <w:snapToGrid w:val="0"/>
          <w:sz w:val="44"/>
          <w:szCs w:val="44"/>
        </w:rPr>
        <w:t>2019年政府信息公开工作年度报告</w:t>
      </w:r>
    </w:p>
    <w:p>
      <w:pPr>
        <w:tabs>
          <w:tab w:val="left" w:pos="7791"/>
        </w:tabs>
        <w:ind w:firstLine="646" w:firstLineChars="202"/>
        <w:rPr>
          <w:rFonts w:ascii="黑体" w:hAnsi="黑体" w:eastAsia="黑体" w:cs="黑体"/>
          <w:snapToGrid w:val="0"/>
          <w:kern w:val="32"/>
          <w:sz w:val="32"/>
          <w:szCs w:val="32"/>
          <w:lang w:val="zh-CN"/>
        </w:rPr>
      </w:pPr>
      <w:r>
        <w:rPr>
          <w:rFonts w:hint="eastAsia" w:ascii="黑体" w:hAnsi="黑体" w:eastAsia="黑体" w:cs="黑体"/>
          <w:snapToGrid w:val="0"/>
          <w:kern w:val="32"/>
          <w:sz w:val="32"/>
          <w:szCs w:val="32"/>
        </w:rPr>
        <w:t>一、</w:t>
      </w:r>
      <w:r>
        <w:rPr>
          <w:rFonts w:hint="eastAsia" w:ascii="黑体" w:hAnsi="黑体" w:eastAsia="黑体" w:cs="黑体"/>
          <w:snapToGrid w:val="0"/>
          <w:kern w:val="32"/>
          <w:sz w:val="32"/>
          <w:szCs w:val="32"/>
          <w:lang w:val="zh-CN"/>
        </w:rPr>
        <w:t>总体情况</w:t>
      </w:r>
    </w:p>
    <w:p>
      <w:pPr>
        <w:widowControl/>
        <w:ind w:right="225" w:firstLine="640" w:firstLineChars="200"/>
        <w:jc w:val="left"/>
        <w:outlineLvl w:val="0"/>
        <w:rPr>
          <w:rFonts w:ascii="仿宋_GB2312" w:eastAsia="仿宋_GB2312"/>
          <w:sz w:val="32"/>
          <w:szCs w:val="32"/>
          <w:lang w:val="zh-CN"/>
        </w:rPr>
      </w:pPr>
      <w:r>
        <w:rPr>
          <w:rFonts w:hint="eastAsia" w:ascii="仿宋_GB2312" w:hAnsi="仿宋_GB2312" w:eastAsia="仿宋_GB2312" w:cs="仿宋_GB2312"/>
          <w:sz w:val="32"/>
          <w:szCs w:val="32"/>
        </w:rPr>
        <w:t>一是发布《铜川市王益区人民政府办公室关于印发《铜川市王益区组团参加第四届丝绸之路国际博览会暨中国东西部合作与投资贸易洽谈会工作方案》的通知》等各类招商工作方案，</w:t>
      </w:r>
      <w:r>
        <w:rPr>
          <w:rFonts w:hint="eastAsia" w:ascii="仿宋_GB2312" w:eastAsia="仿宋_GB2312"/>
          <w:sz w:val="32"/>
          <w:szCs w:val="32"/>
          <w:lang w:val="zh-CN"/>
        </w:rPr>
        <w:t>取得了引资金、推项目、捕信息、交客商、做宣传的效果，</w:t>
      </w:r>
      <w:r>
        <w:rPr>
          <w:rFonts w:hint="eastAsia" w:ascii="仿宋_GB2312" w:hAnsi="仿宋_GB2312" w:eastAsia="仿宋_GB2312" w:cs="仿宋_GB2312"/>
          <w:sz w:val="32"/>
          <w:szCs w:val="32"/>
        </w:rPr>
        <w:t>切实推进了招商工作的进行。二是通过区政府门户网站公开信息，全面介绍了对外经济合作中心部门机构设置、主要职责、主要领导信息简介及分工、部门相关文件等信息，实现了政务透明，服务群众监督。三是明确专人，管理“王益招商”微信公众号，严格执行“先审查，后公开”的工作要求，确保招商信息发布安全正确。四是及时发布对外经济合作中心最新工作动态及招商信息。五是在区政府门户网站公布2018年部门决算及“三公”经费支出情况，推进财政资金信息公开。六是充分利用实地调研、外出走访、会展招商等活动机会，大力推进招商引资工作，</w:t>
      </w:r>
      <w:r>
        <w:rPr>
          <w:rFonts w:hint="eastAsia" w:ascii="仿宋_GB2312" w:eastAsia="仿宋_GB2312"/>
          <w:sz w:val="32"/>
          <w:szCs w:val="32"/>
          <w:lang w:val="zh-CN"/>
        </w:rPr>
        <w:t>充分激发全民参与招商积极性和主动性，营造了</w:t>
      </w:r>
      <w:r>
        <w:rPr>
          <w:rFonts w:ascii="仿宋_GB2312" w:eastAsia="仿宋_GB2312"/>
          <w:sz w:val="32"/>
          <w:szCs w:val="32"/>
          <w:lang w:val="zh-CN"/>
        </w:rPr>
        <w:t>“</w:t>
      </w:r>
      <w:r>
        <w:rPr>
          <w:rFonts w:hint="eastAsia" w:ascii="仿宋_GB2312" w:eastAsia="仿宋_GB2312"/>
          <w:sz w:val="32"/>
          <w:szCs w:val="32"/>
          <w:lang w:val="zh-CN"/>
        </w:rPr>
        <w:t>招商促发展，人人做贡献</w:t>
      </w:r>
      <w:r>
        <w:rPr>
          <w:rFonts w:ascii="仿宋_GB2312" w:eastAsia="仿宋_GB2312"/>
          <w:sz w:val="32"/>
          <w:szCs w:val="32"/>
          <w:lang w:val="zh-CN"/>
        </w:rPr>
        <w:t>”</w:t>
      </w:r>
      <w:r>
        <w:rPr>
          <w:rFonts w:hint="eastAsia" w:ascii="仿宋_GB2312" w:eastAsia="仿宋_GB2312"/>
          <w:sz w:val="32"/>
          <w:szCs w:val="32"/>
          <w:lang w:val="zh-CN"/>
        </w:rPr>
        <w:t>的浓厚氛围。</w:t>
      </w:r>
    </w:p>
    <w:p>
      <w:pPr>
        <w:tabs>
          <w:tab w:val="left" w:pos="7791"/>
        </w:tabs>
        <w:ind w:firstLine="646" w:firstLineChars="202"/>
        <w:rPr>
          <w:rFonts w:hint="eastAsia" w:ascii="黑体" w:hAnsi="黑体" w:eastAsia="黑体" w:cs="黑体"/>
          <w:snapToGrid w:val="0"/>
          <w:kern w:val="32"/>
          <w:sz w:val="32"/>
          <w:szCs w:val="32"/>
          <w:lang w:val="zh-CN"/>
        </w:rPr>
      </w:pPr>
    </w:p>
    <w:p>
      <w:pPr>
        <w:tabs>
          <w:tab w:val="left" w:pos="7791"/>
        </w:tabs>
        <w:ind w:firstLine="646" w:firstLineChars="202"/>
        <w:rPr>
          <w:rFonts w:hint="eastAsia" w:ascii="黑体" w:hAnsi="黑体" w:eastAsia="黑体" w:cs="黑体"/>
          <w:snapToGrid w:val="0"/>
          <w:kern w:val="32"/>
          <w:sz w:val="32"/>
          <w:szCs w:val="32"/>
          <w:lang w:val="zh-CN"/>
        </w:rPr>
      </w:pPr>
    </w:p>
    <w:p>
      <w:pPr>
        <w:tabs>
          <w:tab w:val="left" w:pos="7791"/>
        </w:tabs>
        <w:ind w:firstLine="646" w:firstLineChars="202"/>
        <w:rPr>
          <w:rFonts w:hint="eastAsia" w:ascii="黑体" w:hAnsi="黑体" w:eastAsia="黑体" w:cs="黑体"/>
          <w:snapToGrid w:val="0"/>
          <w:kern w:val="32"/>
          <w:sz w:val="32"/>
          <w:szCs w:val="32"/>
          <w:lang w:val="zh-CN"/>
        </w:rPr>
      </w:pPr>
    </w:p>
    <w:p>
      <w:pPr>
        <w:tabs>
          <w:tab w:val="left" w:pos="7791"/>
        </w:tabs>
        <w:ind w:firstLine="646" w:firstLineChars="202"/>
      </w:pPr>
      <w:bookmarkStart w:id="3" w:name="_GoBack"/>
      <w:bookmarkEnd w:id="3"/>
      <w:r>
        <w:rPr>
          <w:rFonts w:hint="eastAsia" w:ascii="黑体" w:hAnsi="黑体" w:eastAsia="黑体" w:cs="黑体"/>
          <w:snapToGrid w:val="0"/>
          <w:kern w:val="32"/>
          <w:sz w:val="32"/>
          <w:szCs w:val="32"/>
          <w:lang w:val="zh-CN"/>
        </w:rPr>
        <w:t>二、主动公开政府信息情况</w:t>
      </w:r>
    </w:p>
    <w:p/>
    <w:tbl>
      <w:tblPr>
        <w:tblStyle w:val="6"/>
        <w:tblW w:w="0" w:type="auto"/>
        <w:jc w:val="center"/>
        <w:tblLayout w:type="fixed"/>
        <w:tblCellMar>
          <w:top w:w="0" w:type="dxa"/>
          <w:left w:w="10" w:type="dxa"/>
          <w:bottom w:w="0" w:type="dxa"/>
          <w:right w:w="10" w:type="dxa"/>
        </w:tblCellMar>
      </w:tblPr>
      <w:tblGrid>
        <w:gridCol w:w="2192"/>
        <w:gridCol w:w="2238"/>
        <w:gridCol w:w="2372"/>
        <w:gridCol w:w="2018"/>
      </w:tblGrid>
      <w:tr>
        <w:tblPrEx>
          <w:tblCellMar>
            <w:top w:w="0" w:type="dxa"/>
            <w:left w:w="10" w:type="dxa"/>
            <w:bottom w:w="0" w:type="dxa"/>
            <w:right w:w="10" w:type="dxa"/>
          </w:tblCellMar>
        </w:tblPrEx>
        <w:trPr>
          <w:trHeight w:val="633" w:hRule="exact"/>
          <w:jc w:val="center"/>
        </w:trPr>
        <w:tc>
          <w:tcPr>
            <w:tcW w:w="8820" w:type="dxa"/>
            <w:gridSpan w:val="4"/>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第二十条第（一）项</w:t>
            </w:r>
          </w:p>
        </w:tc>
      </w:tr>
      <w:tr>
        <w:tblPrEx>
          <w:tblCellMar>
            <w:top w:w="0" w:type="dxa"/>
            <w:left w:w="10" w:type="dxa"/>
            <w:bottom w:w="0" w:type="dxa"/>
            <w:right w:w="10" w:type="dxa"/>
          </w:tblCellMar>
        </w:tblPrEx>
        <w:trPr>
          <w:trHeight w:val="610" w:hRule="exact"/>
          <w:jc w:val="center"/>
        </w:trPr>
        <w:tc>
          <w:tcPr>
            <w:tcW w:w="2192" w:type="dxa"/>
            <w:tcBorders>
              <w:top w:val="single" w:color="auto" w:sz="4" w:space="0"/>
              <w:lef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本年新制作数量</w:t>
            </w:r>
          </w:p>
        </w:tc>
        <w:tc>
          <w:tcPr>
            <w:tcW w:w="2372" w:type="dxa"/>
            <w:tcBorders>
              <w:top w:val="single" w:color="auto" w:sz="4" w:space="0"/>
              <w:lef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本年新公开数量</w:t>
            </w:r>
          </w:p>
        </w:tc>
        <w:tc>
          <w:tcPr>
            <w:tcW w:w="2018" w:type="dxa"/>
            <w:tcBorders>
              <w:top w:val="single" w:color="auto" w:sz="4" w:space="0"/>
              <w:left w:val="single" w:color="auto" w:sz="4" w:space="0"/>
              <w:righ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对外公开总数量</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规章</w:t>
            </w:r>
          </w:p>
        </w:tc>
        <w:tc>
          <w:tcPr>
            <w:tcW w:w="2238" w:type="dxa"/>
            <w:tcBorders>
              <w:top w:val="single" w:color="auto" w:sz="4" w:space="0"/>
              <w:lef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c>
          <w:tcPr>
            <w:tcW w:w="2372" w:type="dxa"/>
            <w:tcBorders>
              <w:top w:val="single" w:color="auto" w:sz="4" w:space="0"/>
              <w:lef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c>
          <w:tcPr>
            <w:tcW w:w="2018" w:type="dxa"/>
            <w:tcBorders>
              <w:top w:val="single" w:color="auto" w:sz="4" w:space="0"/>
              <w:left w:val="single" w:color="auto" w:sz="4" w:space="0"/>
              <w:righ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规范性文件</w:t>
            </w:r>
          </w:p>
        </w:tc>
        <w:tc>
          <w:tcPr>
            <w:tcW w:w="2238" w:type="dxa"/>
            <w:tcBorders>
              <w:top w:val="single" w:color="auto" w:sz="4" w:space="0"/>
              <w:lef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c>
          <w:tcPr>
            <w:tcW w:w="2372" w:type="dxa"/>
            <w:tcBorders>
              <w:top w:val="single" w:color="auto" w:sz="4" w:space="0"/>
              <w:lef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c>
          <w:tcPr>
            <w:tcW w:w="2018" w:type="dxa"/>
            <w:tcBorders>
              <w:top w:val="single" w:color="auto" w:sz="4" w:space="0"/>
              <w:left w:val="single" w:color="auto" w:sz="4" w:space="0"/>
              <w:righ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第二十条第（五）项</w:t>
            </w:r>
          </w:p>
        </w:tc>
      </w:tr>
      <w:tr>
        <w:tblPrEx>
          <w:tblCellMar>
            <w:top w:w="0" w:type="dxa"/>
            <w:left w:w="10" w:type="dxa"/>
            <w:bottom w:w="0" w:type="dxa"/>
            <w:right w:w="10" w:type="dxa"/>
          </w:tblCellMar>
        </w:tblPrEx>
        <w:trPr>
          <w:trHeight w:val="618" w:hRule="exact"/>
          <w:jc w:val="center"/>
        </w:trPr>
        <w:tc>
          <w:tcPr>
            <w:tcW w:w="2192" w:type="dxa"/>
            <w:tcBorders>
              <w:top w:val="single" w:color="auto" w:sz="4" w:space="0"/>
              <w:lef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2372" w:type="dxa"/>
            <w:tcBorders>
              <w:top w:val="single" w:color="auto" w:sz="4" w:space="0"/>
              <w:lef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本年增/减</w:t>
            </w:r>
          </w:p>
        </w:tc>
        <w:tc>
          <w:tcPr>
            <w:tcW w:w="2018" w:type="dxa"/>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处理决定数量</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行政许可</w:t>
            </w:r>
          </w:p>
        </w:tc>
        <w:tc>
          <w:tcPr>
            <w:tcW w:w="2238" w:type="dxa"/>
            <w:tcBorders>
              <w:top w:val="single" w:color="auto" w:sz="4" w:space="0"/>
              <w:lef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c>
          <w:tcPr>
            <w:tcW w:w="2372" w:type="dxa"/>
            <w:tcBorders>
              <w:top w:val="single" w:color="auto" w:sz="4" w:space="0"/>
              <w:lef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c>
          <w:tcPr>
            <w:tcW w:w="2018" w:type="dxa"/>
            <w:tcBorders>
              <w:top w:val="single" w:color="auto" w:sz="4" w:space="0"/>
              <w:left w:val="single" w:color="auto" w:sz="4" w:space="0"/>
              <w:righ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vAlign w:val="bottom"/>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其他对外管理服务事项</w:t>
            </w:r>
          </w:p>
        </w:tc>
        <w:tc>
          <w:tcPr>
            <w:tcW w:w="2238" w:type="dxa"/>
            <w:tcBorders>
              <w:top w:val="single" w:color="auto" w:sz="4" w:space="0"/>
              <w:lef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c>
          <w:tcPr>
            <w:tcW w:w="2372" w:type="dxa"/>
            <w:tcBorders>
              <w:top w:val="single" w:color="auto" w:sz="4" w:space="0"/>
              <w:lef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c>
          <w:tcPr>
            <w:tcW w:w="2018" w:type="dxa"/>
            <w:tcBorders>
              <w:top w:val="single" w:color="auto" w:sz="4" w:space="0"/>
              <w:left w:val="single" w:color="auto" w:sz="4" w:space="0"/>
              <w:righ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r>
      <w:tr>
        <w:tblPrEx>
          <w:tblCellMar>
            <w:top w:w="0" w:type="dxa"/>
            <w:left w:w="10" w:type="dxa"/>
            <w:bottom w:w="0" w:type="dxa"/>
            <w:right w:w="10" w:type="dxa"/>
          </w:tblCellMar>
        </w:tblPrEx>
        <w:trPr>
          <w:trHeight w:val="501" w:hRule="exact"/>
          <w:jc w:val="center"/>
        </w:trPr>
        <w:tc>
          <w:tcPr>
            <w:tcW w:w="8820" w:type="dxa"/>
            <w:gridSpan w:val="4"/>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第二十条第（六）项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2372" w:type="dxa"/>
            <w:tcBorders>
              <w:top w:val="single" w:color="auto" w:sz="4" w:space="0"/>
              <w:lef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本年增/减</w:t>
            </w:r>
          </w:p>
        </w:tc>
        <w:tc>
          <w:tcPr>
            <w:tcW w:w="2018" w:type="dxa"/>
            <w:tcBorders>
              <w:top w:val="single" w:color="auto" w:sz="4" w:space="0"/>
              <w:left w:val="single" w:color="auto" w:sz="4" w:space="0"/>
              <w:righ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处理决定数量</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vAlign w:val="bottom"/>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行政处罚</w:t>
            </w:r>
          </w:p>
        </w:tc>
        <w:tc>
          <w:tcPr>
            <w:tcW w:w="2238" w:type="dxa"/>
            <w:tcBorders>
              <w:top w:val="single" w:color="auto" w:sz="4" w:space="0"/>
              <w:lef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c>
          <w:tcPr>
            <w:tcW w:w="2372" w:type="dxa"/>
            <w:tcBorders>
              <w:top w:val="single" w:color="auto" w:sz="4" w:space="0"/>
              <w:lef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c>
          <w:tcPr>
            <w:tcW w:w="2018" w:type="dxa"/>
            <w:tcBorders>
              <w:top w:val="single" w:color="auto" w:sz="4" w:space="0"/>
              <w:left w:val="single" w:color="auto" w:sz="4" w:space="0"/>
              <w:righ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r>
      <w:tr>
        <w:tblPrEx>
          <w:tblCellMar>
            <w:top w:w="0" w:type="dxa"/>
            <w:left w:w="10" w:type="dxa"/>
            <w:bottom w:w="0" w:type="dxa"/>
            <w:right w:w="10" w:type="dxa"/>
          </w:tblCellMar>
        </w:tblPrEx>
        <w:trPr>
          <w:trHeight w:val="501" w:hRule="exact"/>
          <w:jc w:val="center"/>
        </w:trPr>
        <w:tc>
          <w:tcPr>
            <w:tcW w:w="2192" w:type="dxa"/>
            <w:tcBorders>
              <w:top w:val="single" w:color="auto" w:sz="4" w:space="0"/>
              <w:left w:val="single" w:color="auto" w:sz="4" w:space="0"/>
            </w:tcBorders>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行政强制</w:t>
            </w:r>
          </w:p>
        </w:tc>
        <w:tc>
          <w:tcPr>
            <w:tcW w:w="2238" w:type="dxa"/>
            <w:tcBorders>
              <w:top w:val="single" w:color="auto" w:sz="4" w:space="0"/>
              <w:lef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c>
          <w:tcPr>
            <w:tcW w:w="2372" w:type="dxa"/>
            <w:tcBorders>
              <w:top w:val="single" w:color="auto" w:sz="4" w:space="0"/>
              <w:lef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c>
          <w:tcPr>
            <w:tcW w:w="2018" w:type="dxa"/>
            <w:tcBorders>
              <w:top w:val="single" w:color="auto" w:sz="4" w:space="0"/>
              <w:left w:val="single" w:color="auto" w:sz="4" w:space="0"/>
              <w:righ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第二十条第（八）项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4390" w:type="dxa"/>
            <w:gridSpan w:val="2"/>
            <w:tcBorders>
              <w:top w:val="single" w:color="auto" w:sz="4" w:space="0"/>
              <w:left w:val="single" w:color="auto" w:sz="4" w:space="0"/>
              <w:righ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本年增/减</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行政事业性收费</w:t>
            </w:r>
          </w:p>
        </w:tc>
        <w:tc>
          <w:tcPr>
            <w:tcW w:w="2238" w:type="dxa"/>
            <w:tcBorders>
              <w:top w:val="single" w:color="auto" w:sz="4" w:space="0"/>
              <w:lef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c>
          <w:tcPr>
            <w:tcW w:w="4390" w:type="dxa"/>
            <w:gridSpan w:val="2"/>
            <w:tcBorders>
              <w:top w:val="single" w:color="auto" w:sz="4" w:space="0"/>
              <w:left w:val="single" w:color="auto" w:sz="4" w:space="0"/>
              <w:righ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第二十条第（九）项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采购项目数量</w:t>
            </w:r>
          </w:p>
        </w:tc>
        <w:tc>
          <w:tcPr>
            <w:tcW w:w="4390" w:type="dxa"/>
            <w:gridSpan w:val="2"/>
            <w:tcBorders>
              <w:top w:val="single" w:color="auto" w:sz="4" w:space="0"/>
              <w:left w:val="single" w:color="auto" w:sz="4" w:space="0"/>
              <w:righ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采购总金额</w:t>
            </w:r>
          </w:p>
        </w:tc>
      </w:tr>
      <w:tr>
        <w:tblPrEx>
          <w:tblCellMar>
            <w:top w:w="0" w:type="dxa"/>
            <w:left w:w="10" w:type="dxa"/>
            <w:bottom w:w="0" w:type="dxa"/>
            <w:right w:w="10" w:type="dxa"/>
          </w:tblCellMar>
        </w:tblPrEx>
        <w:trPr>
          <w:trHeight w:val="508" w:hRule="exact"/>
          <w:jc w:val="center"/>
        </w:trPr>
        <w:tc>
          <w:tcPr>
            <w:tcW w:w="2192" w:type="dxa"/>
            <w:tcBorders>
              <w:top w:val="single" w:color="auto" w:sz="4" w:space="0"/>
              <w:left w:val="single" w:color="auto" w:sz="4" w:space="0"/>
              <w:bottom w:val="single" w:color="auto" w:sz="4" w:space="0"/>
            </w:tcBorders>
            <w:shd w:val="clear" w:color="auto" w:fill="FFFFFF"/>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政府集中釆购</w:t>
            </w:r>
          </w:p>
        </w:tc>
        <w:tc>
          <w:tcPr>
            <w:tcW w:w="2238" w:type="dxa"/>
            <w:tcBorders>
              <w:top w:val="single" w:color="auto" w:sz="4" w:space="0"/>
              <w:left w:val="single" w:color="auto" w:sz="4" w:space="0"/>
              <w:bottom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c>
          <w:tcPr>
            <w:tcW w:w="4390" w:type="dxa"/>
            <w:gridSpan w:val="2"/>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ind w:firstLine="420" w:firstLineChars="200"/>
              <w:jc w:val="left"/>
              <w:rPr>
                <w:rFonts w:ascii="宋体" w:hAnsi="宋体" w:cs="宋体"/>
                <w:snapToGrid w:val="0"/>
                <w:kern w:val="32"/>
                <w:szCs w:val="21"/>
              </w:rPr>
            </w:pPr>
            <w:r>
              <w:rPr>
                <w:rFonts w:hint="eastAsia" w:ascii="宋体" w:hAnsi="宋体" w:cs="宋体"/>
                <w:snapToGrid w:val="0"/>
                <w:kern w:val="32"/>
                <w:szCs w:val="21"/>
              </w:rPr>
              <w:t>0</w:t>
            </w:r>
          </w:p>
        </w:tc>
      </w:tr>
    </w:tbl>
    <w:p>
      <w:pPr>
        <w:tabs>
          <w:tab w:val="left" w:pos="7791"/>
        </w:tabs>
        <w:ind w:firstLine="640" w:firstLineChars="200"/>
        <w:rPr>
          <w:rFonts w:ascii="黑体" w:hAnsi="黑体" w:eastAsia="黑体" w:cs="黑体"/>
          <w:snapToGrid w:val="0"/>
          <w:kern w:val="32"/>
          <w:sz w:val="32"/>
          <w:szCs w:val="32"/>
          <w:lang w:val="zh-CN"/>
        </w:rPr>
      </w:pPr>
      <w:bookmarkStart w:id="0" w:name="bookmark29"/>
      <w:r>
        <w:rPr>
          <w:rFonts w:hint="eastAsia" w:ascii="黑体" w:hAnsi="黑体" w:eastAsia="黑体" w:cs="黑体"/>
          <w:snapToGrid w:val="0"/>
          <w:kern w:val="32"/>
          <w:sz w:val="32"/>
          <w:szCs w:val="32"/>
          <w:lang w:val="zh-CN"/>
        </w:rPr>
        <w:t>三</w:t>
      </w:r>
      <w:bookmarkEnd w:id="0"/>
      <w:r>
        <w:rPr>
          <w:rFonts w:hint="eastAsia" w:ascii="黑体" w:hAnsi="黑体" w:eastAsia="黑体" w:cs="黑体"/>
          <w:snapToGrid w:val="0"/>
          <w:kern w:val="32"/>
          <w:sz w:val="32"/>
          <w:szCs w:val="32"/>
          <w:lang w:val="zh-CN"/>
        </w:rPr>
        <w:t>、收到和处理政府信息公开申请情况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92"/>
        <w:gridCol w:w="1468"/>
        <w:gridCol w:w="2741"/>
        <w:gridCol w:w="705"/>
        <w:gridCol w:w="570"/>
        <w:gridCol w:w="570"/>
        <w:gridCol w:w="555"/>
        <w:gridCol w:w="570"/>
        <w:gridCol w:w="52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3" w:hRule="exact"/>
          <w:jc w:val="center"/>
        </w:trPr>
        <w:tc>
          <w:tcPr>
            <w:tcW w:w="4801" w:type="dxa"/>
            <w:gridSpan w:val="3"/>
            <w:vMerge w:val="restart"/>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lang w:val="zh-CN"/>
              </w:rPr>
              <w:t>（本列数据的勾稽关系为：第一项加第二项之和， 等于第三项加第四项之和）</w:t>
            </w:r>
          </w:p>
        </w:tc>
        <w:tc>
          <w:tcPr>
            <w:tcW w:w="3963" w:type="dxa"/>
            <w:gridSpan w:val="7"/>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4801" w:type="dxa"/>
            <w:gridSpan w:val="3"/>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705" w:type="dxa"/>
            <w:vMerge w:val="restart"/>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自然人</w:t>
            </w:r>
          </w:p>
        </w:tc>
        <w:tc>
          <w:tcPr>
            <w:tcW w:w="2790" w:type="dxa"/>
            <w:gridSpan w:val="5"/>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法人或其他组织</w:t>
            </w:r>
          </w:p>
        </w:tc>
        <w:tc>
          <w:tcPr>
            <w:tcW w:w="468" w:type="dxa"/>
            <w:vMerge w:val="restart"/>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3" w:hRule="exact"/>
          <w:jc w:val="center"/>
        </w:trPr>
        <w:tc>
          <w:tcPr>
            <w:tcW w:w="4801" w:type="dxa"/>
            <w:gridSpan w:val="3"/>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705"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570" w:type="dxa"/>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商业 企业</w:t>
            </w:r>
          </w:p>
        </w:tc>
        <w:tc>
          <w:tcPr>
            <w:tcW w:w="570" w:type="dxa"/>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科研 机构</w:t>
            </w:r>
          </w:p>
        </w:tc>
        <w:tc>
          <w:tcPr>
            <w:tcW w:w="555" w:type="dxa"/>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社会 公益 组织</w:t>
            </w:r>
          </w:p>
        </w:tc>
        <w:tc>
          <w:tcPr>
            <w:tcW w:w="570" w:type="dxa"/>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法律 服务 机构</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其他</w:t>
            </w:r>
          </w:p>
        </w:tc>
        <w:tc>
          <w:tcPr>
            <w:tcW w:w="468" w:type="dxa"/>
            <w:vMerge w:val="continue"/>
            <w:shd w:val="clear" w:color="auto" w:fill="FFFFFF"/>
            <w:vAlign w:val="center"/>
          </w:tcPr>
          <w:p>
            <w:pPr>
              <w:autoSpaceDE w:val="0"/>
              <w:autoSpaceDN w:val="0"/>
              <w:jc w:val="center"/>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4801" w:type="dxa"/>
            <w:gridSpan w:val="3"/>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一、本年新收政府信息公开申请数量</w:t>
            </w:r>
          </w:p>
        </w:tc>
        <w:tc>
          <w:tcPr>
            <w:tcW w:w="705" w:type="dxa"/>
            <w:shd w:val="clear" w:color="auto" w:fill="FFFFFF"/>
          </w:tcPr>
          <w:p>
            <w:pPr>
              <w:autoSpaceDE w:val="0"/>
              <w:autoSpaceDN w:val="0"/>
              <w:jc w:val="left"/>
              <w:rPr>
                <w:rFonts w:ascii="宋体" w:hAnsi="宋体" w:cs="宋体"/>
                <w:snapToGrid w:val="0"/>
                <w:kern w:val="32"/>
                <w:szCs w:val="21"/>
              </w:rPr>
            </w:pPr>
            <w:r>
              <w:rPr>
                <w:rFonts w:hint="eastAsia" w:ascii="宋体" w:hAnsi="宋体" w:cs="宋体"/>
                <w:snapToGrid w:val="0"/>
                <w:kern w:val="32"/>
                <w:szCs w:val="21"/>
              </w:rPr>
              <w:t>0</w:t>
            </w: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tcW w:w="4801" w:type="dxa"/>
            <w:gridSpan w:val="3"/>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二、上年结转政府信息公开申请数量</w:t>
            </w:r>
          </w:p>
        </w:tc>
        <w:tc>
          <w:tcPr>
            <w:tcW w:w="705" w:type="dxa"/>
            <w:shd w:val="clear" w:color="auto" w:fill="FFFFFF"/>
          </w:tcPr>
          <w:p>
            <w:pPr>
              <w:autoSpaceDE w:val="0"/>
              <w:autoSpaceDN w:val="0"/>
              <w:jc w:val="left"/>
              <w:rPr>
                <w:rFonts w:ascii="宋体" w:hAnsi="宋体" w:cs="宋体"/>
                <w:snapToGrid w:val="0"/>
                <w:kern w:val="32"/>
                <w:szCs w:val="21"/>
              </w:rPr>
            </w:pPr>
            <w:r>
              <w:rPr>
                <w:rFonts w:hint="eastAsia" w:ascii="宋体" w:hAnsi="宋体" w:cs="宋体"/>
                <w:snapToGrid w:val="0"/>
                <w:kern w:val="32"/>
                <w:szCs w:val="21"/>
              </w:rPr>
              <w:t>0</w:t>
            </w: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8" w:hRule="exact"/>
          <w:jc w:val="center"/>
        </w:trPr>
        <w:tc>
          <w:tcPr>
            <w:tcW w:w="592" w:type="dxa"/>
            <w:vMerge w:val="restart"/>
            <w:shd w:val="clear" w:color="auto" w:fill="FFFFFF"/>
            <w:textDirection w:val="tbRlV"/>
            <w:vAlign w:val="center"/>
          </w:tcPr>
          <w:p>
            <w:pPr>
              <w:autoSpaceDE w:val="0"/>
              <w:autoSpaceDN w:val="0"/>
              <w:jc w:val="center"/>
              <w:rPr>
                <w:rFonts w:ascii="宋体" w:hAnsi="宋体" w:cs="宋体"/>
                <w:snapToGrid w:val="0"/>
                <w:spacing w:val="2"/>
                <w:kern w:val="32"/>
                <w:szCs w:val="21"/>
                <w:lang w:val="zh-CN"/>
              </w:rPr>
            </w:pPr>
            <w:r>
              <w:rPr>
                <w:rFonts w:hint="eastAsia" w:ascii="宋体" w:hAnsi="宋体" w:cs="宋体"/>
                <w:snapToGrid w:val="0"/>
                <w:kern w:val="32"/>
                <w:szCs w:val="21"/>
                <w:lang w:val="zh-CN"/>
              </w:rPr>
              <w:t>三、本年度办理结果</w:t>
            </w:r>
          </w:p>
        </w:tc>
        <w:tc>
          <w:tcPr>
            <w:tcW w:w="4209" w:type="dxa"/>
            <w:gridSpan w:val="2"/>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（一）予以公开</w:t>
            </w:r>
          </w:p>
        </w:tc>
        <w:tc>
          <w:tcPr>
            <w:tcW w:w="70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4209" w:type="dxa"/>
            <w:gridSpan w:val="2"/>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lang w:val="zh-CN"/>
              </w:rPr>
              <w:t>（二）部分公开（区分处理的，只计这一情形，不计其他情形）</w:t>
            </w:r>
          </w:p>
        </w:tc>
        <w:tc>
          <w:tcPr>
            <w:tcW w:w="70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restart"/>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（三）不予公开</w:t>
            </w: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lang w:eastAsia="en-US"/>
              </w:rPr>
              <w:t>1.</w:t>
            </w:r>
            <w:r>
              <w:rPr>
                <w:rFonts w:hint="eastAsia" w:ascii="宋体" w:hAnsi="宋体" w:cs="宋体"/>
                <w:snapToGrid w:val="0"/>
                <w:kern w:val="32"/>
                <w:szCs w:val="21"/>
                <w:lang w:val="zh-CN"/>
              </w:rPr>
              <w:t>属于国家秘密</w:t>
            </w:r>
          </w:p>
        </w:tc>
        <w:tc>
          <w:tcPr>
            <w:tcW w:w="70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spacing w:val="-6"/>
                <w:kern w:val="32"/>
                <w:szCs w:val="21"/>
              </w:rPr>
              <w:t>2.</w:t>
            </w:r>
            <w:r>
              <w:rPr>
                <w:rFonts w:hint="eastAsia" w:ascii="宋体" w:hAnsi="宋体" w:cs="宋体"/>
                <w:snapToGrid w:val="0"/>
                <w:spacing w:val="-6"/>
                <w:kern w:val="32"/>
                <w:szCs w:val="21"/>
                <w:lang w:val="zh-CN"/>
              </w:rPr>
              <w:t>其他法律行政法规禁止公开</w:t>
            </w:r>
          </w:p>
        </w:tc>
        <w:tc>
          <w:tcPr>
            <w:tcW w:w="70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9"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rPr>
              <w:t>3.</w:t>
            </w:r>
            <w:r>
              <w:rPr>
                <w:rFonts w:hint="eastAsia" w:ascii="宋体" w:hAnsi="宋体" w:cs="宋体"/>
                <w:snapToGrid w:val="0"/>
                <w:kern w:val="32"/>
                <w:szCs w:val="21"/>
                <w:lang w:val="zh-CN"/>
              </w:rPr>
              <w:t>危及“三安全一稳定”</w:t>
            </w:r>
          </w:p>
        </w:tc>
        <w:tc>
          <w:tcPr>
            <w:tcW w:w="70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lang w:val="zh-CN"/>
              </w:rPr>
              <w:t>4</w:t>
            </w:r>
            <w:r>
              <w:rPr>
                <w:rFonts w:hint="eastAsia" w:ascii="宋体" w:hAnsi="宋体" w:cs="宋体"/>
                <w:snapToGrid w:val="0"/>
                <w:kern w:val="32"/>
                <w:szCs w:val="21"/>
              </w:rPr>
              <w:t>.</w:t>
            </w:r>
            <w:r>
              <w:rPr>
                <w:rFonts w:hint="eastAsia" w:ascii="宋体" w:hAnsi="宋体" w:cs="宋体"/>
                <w:snapToGrid w:val="0"/>
                <w:kern w:val="32"/>
                <w:szCs w:val="21"/>
                <w:lang w:val="zh-CN"/>
              </w:rPr>
              <w:t>保护第三方合法权益</w:t>
            </w:r>
          </w:p>
        </w:tc>
        <w:tc>
          <w:tcPr>
            <w:tcW w:w="70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rPr>
              <w:t>5.</w:t>
            </w:r>
            <w:r>
              <w:rPr>
                <w:rFonts w:hint="eastAsia" w:ascii="宋体" w:hAnsi="宋体" w:cs="宋体"/>
                <w:snapToGrid w:val="0"/>
                <w:kern w:val="32"/>
                <w:szCs w:val="21"/>
                <w:lang w:val="zh-CN"/>
              </w:rPr>
              <w:t>属于三类内部事务信息</w:t>
            </w:r>
          </w:p>
        </w:tc>
        <w:tc>
          <w:tcPr>
            <w:tcW w:w="70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lang w:eastAsia="en-US"/>
              </w:rPr>
              <w:t>6.</w:t>
            </w:r>
            <w:r>
              <w:rPr>
                <w:rFonts w:hint="eastAsia" w:ascii="宋体" w:hAnsi="宋体" w:cs="宋体"/>
                <w:snapToGrid w:val="0"/>
                <w:kern w:val="32"/>
                <w:szCs w:val="21"/>
                <w:lang w:val="zh-CN"/>
              </w:rPr>
              <w:t>属于四类过程性信息</w:t>
            </w:r>
          </w:p>
        </w:tc>
        <w:tc>
          <w:tcPr>
            <w:tcW w:w="70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lang w:eastAsia="en-US"/>
              </w:rPr>
              <w:t>7.</w:t>
            </w:r>
            <w:r>
              <w:rPr>
                <w:rFonts w:hint="eastAsia" w:ascii="宋体" w:hAnsi="宋体" w:cs="宋体"/>
                <w:snapToGrid w:val="0"/>
                <w:kern w:val="32"/>
                <w:szCs w:val="21"/>
                <w:lang w:val="zh-CN"/>
              </w:rPr>
              <w:t>属于行政执法案卷</w:t>
            </w:r>
          </w:p>
        </w:tc>
        <w:tc>
          <w:tcPr>
            <w:tcW w:w="70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lang w:eastAsia="en-US"/>
              </w:rPr>
              <w:t>8.</w:t>
            </w:r>
            <w:r>
              <w:rPr>
                <w:rFonts w:hint="eastAsia" w:ascii="宋体" w:hAnsi="宋体" w:cs="宋体"/>
                <w:snapToGrid w:val="0"/>
                <w:kern w:val="32"/>
                <w:szCs w:val="21"/>
                <w:lang w:val="zh-CN"/>
              </w:rPr>
              <w:t>属于行政查询事项</w:t>
            </w:r>
          </w:p>
        </w:tc>
        <w:tc>
          <w:tcPr>
            <w:tcW w:w="70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6"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restart"/>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（四）无法提供</w:t>
            </w: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spacing w:val="-6"/>
                <w:kern w:val="32"/>
                <w:szCs w:val="21"/>
              </w:rPr>
              <w:t>1.</w:t>
            </w:r>
            <w:r>
              <w:rPr>
                <w:rFonts w:hint="eastAsia" w:ascii="宋体" w:hAnsi="宋体" w:cs="宋体"/>
                <w:snapToGrid w:val="0"/>
                <w:spacing w:val="-6"/>
                <w:kern w:val="32"/>
                <w:szCs w:val="21"/>
                <w:lang w:val="zh-CN"/>
              </w:rPr>
              <w:t>本机关不掌握相关政府信息</w:t>
            </w:r>
          </w:p>
        </w:tc>
        <w:tc>
          <w:tcPr>
            <w:tcW w:w="70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1"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spacing w:val="-6"/>
                <w:kern w:val="32"/>
                <w:szCs w:val="21"/>
              </w:rPr>
              <w:t>2.</w:t>
            </w:r>
            <w:r>
              <w:rPr>
                <w:rFonts w:hint="eastAsia" w:ascii="宋体" w:hAnsi="宋体" w:cs="宋体"/>
                <w:snapToGrid w:val="0"/>
                <w:spacing w:val="-6"/>
                <w:kern w:val="32"/>
                <w:szCs w:val="21"/>
                <w:lang w:val="zh-CN"/>
              </w:rPr>
              <w:t>没有现成信息需要另行制作</w:t>
            </w:r>
          </w:p>
        </w:tc>
        <w:tc>
          <w:tcPr>
            <w:tcW w:w="70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8"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rPr>
              <w:t>3.</w:t>
            </w:r>
            <w:r>
              <w:rPr>
                <w:rFonts w:hint="eastAsia" w:ascii="宋体" w:hAnsi="宋体" w:cs="宋体"/>
                <w:snapToGrid w:val="0"/>
                <w:kern w:val="32"/>
                <w:szCs w:val="21"/>
                <w:lang w:val="zh-CN"/>
              </w:rPr>
              <w:t>补正后申请内容仍不明确</w:t>
            </w:r>
          </w:p>
        </w:tc>
        <w:tc>
          <w:tcPr>
            <w:tcW w:w="70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restart"/>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（五）不予处理</w:t>
            </w:r>
          </w:p>
        </w:tc>
        <w:tc>
          <w:tcPr>
            <w:tcW w:w="2741" w:type="dxa"/>
            <w:shd w:val="clear" w:color="auto" w:fill="FFFFFF"/>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lang w:eastAsia="en-US"/>
              </w:rPr>
              <w:t>1.</w:t>
            </w:r>
            <w:r>
              <w:rPr>
                <w:rFonts w:hint="eastAsia" w:ascii="宋体" w:hAnsi="宋体" w:cs="宋体"/>
                <w:snapToGrid w:val="0"/>
                <w:kern w:val="32"/>
                <w:szCs w:val="21"/>
                <w:lang w:val="zh-CN"/>
              </w:rPr>
              <w:t>信访举报投诉类申请</w:t>
            </w:r>
          </w:p>
        </w:tc>
        <w:tc>
          <w:tcPr>
            <w:tcW w:w="70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lang w:eastAsia="en-US"/>
              </w:rPr>
              <w:t>2.</w:t>
            </w:r>
            <w:r>
              <w:rPr>
                <w:rFonts w:hint="eastAsia" w:ascii="宋体" w:hAnsi="宋体" w:cs="宋体"/>
                <w:snapToGrid w:val="0"/>
                <w:kern w:val="32"/>
                <w:szCs w:val="21"/>
                <w:lang w:val="zh-CN"/>
              </w:rPr>
              <w:t>重复申请</w:t>
            </w:r>
          </w:p>
        </w:tc>
        <w:tc>
          <w:tcPr>
            <w:tcW w:w="70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lang w:eastAsia="en-US"/>
              </w:rPr>
              <w:t>3.</w:t>
            </w:r>
            <w:r>
              <w:rPr>
                <w:rFonts w:hint="eastAsia" w:ascii="宋体" w:hAnsi="宋体" w:cs="宋体"/>
                <w:snapToGrid w:val="0"/>
                <w:kern w:val="32"/>
                <w:szCs w:val="21"/>
                <w:lang w:val="zh-CN"/>
              </w:rPr>
              <w:t>要求提供公开出版物</w:t>
            </w:r>
          </w:p>
        </w:tc>
        <w:tc>
          <w:tcPr>
            <w:tcW w:w="70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9"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rPr>
              <w:t>4.</w:t>
            </w:r>
            <w:r>
              <w:rPr>
                <w:rFonts w:hint="eastAsia" w:ascii="宋体" w:hAnsi="宋体" w:cs="宋体"/>
                <w:snapToGrid w:val="0"/>
                <w:kern w:val="32"/>
                <w:szCs w:val="21"/>
                <w:lang w:val="zh-CN"/>
              </w:rPr>
              <w:t>无正当理由大量反复申请</w:t>
            </w:r>
          </w:p>
        </w:tc>
        <w:tc>
          <w:tcPr>
            <w:tcW w:w="70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rPr>
              <w:t>5.</w:t>
            </w:r>
            <w:r>
              <w:rPr>
                <w:rFonts w:hint="eastAsia" w:ascii="宋体" w:hAnsi="宋体" w:cs="宋体"/>
                <w:snapToGrid w:val="0"/>
                <w:kern w:val="32"/>
                <w:szCs w:val="21"/>
                <w:lang w:val="zh-CN"/>
              </w:rPr>
              <w:t>要求行政机关确认或重新出具已获取信息</w:t>
            </w:r>
          </w:p>
        </w:tc>
        <w:tc>
          <w:tcPr>
            <w:tcW w:w="70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4209" w:type="dxa"/>
            <w:gridSpan w:val="2"/>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（六）其他处理</w:t>
            </w:r>
          </w:p>
        </w:tc>
        <w:tc>
          <w:tcPr>
            <w:tcW w:w="70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8"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4209" w:type="dxa"/>
            <w:gridSpan w:val="2"/>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（七）总计</w:t>
            </w:r>
          </w:p>
        </w:tc>
        <w:tc>
          <w:tcPr>
            <w:tcW w:w="705" w:type="dxa"/>
            <w:shd w:val="clear" w:color="auto" w:fill="FFFFFF"/>
          </w:tcPr>
          <w:p>
            <w:pPr>
              <w:autoSpaceDE w:val="0"/>
              <w:autoSpaceDN w:val="0"/>
              <w:jc w:val="left"/>
              <w:rPr>
                <w:rFonts w:ascii="宋体" w:hAnsi="宋体" w:cs="宋体"/>
                <w:snapToGrid w:val="0"/>
                <w:kern w:val="32"/>
                <w:szCs w:val="21"/>
              </w:rPr>
            </w:pPr>
            <w:r>
              <w:rPr>
                <w:rFonts w:hint="eastAsia" w:ascii="宋体" w:hAnsi="宋体" w:cs="宋体"/>
                <w:snapToGrid w:val="0"/>
                <w:kern w:val="32"/>
                <w:szCs w:val="21"/>
              </w:rPr>
              <w:t>0</w:t>
            </w: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4801" w:type="dxa"/>
            <w:gridSpan w:val="3"/>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四、结转下年度继续办理</w:t>
            </w:r>
          </w:p>
        </w:tc>
        <w:tc>
          <w:tcPr>
            <w:tcW w:w="705" w:type="dxa"/>
            <w:shd w:val="clear" w:color="auto" w:fill="FFFFFF"/>
          </w:tcPr>
          <w:p>
            <w:pPr>
              <w:autoSpaceDE w:val="0"/>
              <w:autoSpaceDN w:val="0"/>
              <w:jc w:val="left"/>
              <w:rPr>
                <w:rFonts w:ascii="宋体" w:hAnsi="宋体" w:cs="宋体"/>
                <w:snapToGrid w:val="0"/>
                <w:kern w:val="32"/>
                <w:szCs w:val="21"/>
              </w:rPr>
            </w:pPr>
            <w:r>
              <w:rPr>
                <w:rFonts w:hint="eastAsia" w:ascii="宋体" w:hAnsi="宋体" w:cs="宋体"/>
                <w:snapToGrid w:val="0"/>
                <w:kern w:val="32"/>
                <w:szCs w:val="21"/>
              </w:rPr>
              <w:t>0</w:t>
            </w: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55" w:type="dxa"/>
            <w:shd w:val="clear" w:color="auto" w:fill="FFFFFF"/>
          </w:tcPr>
          <w:p>
            <w:pPr>
              <w:autoSpaceDE w:val="0"/>
              <w:autoSpaceDN w:val="0"/>
              <w:jc w:val="left"/>
              <w:rPr>
                <w:rFonts w:ascii="宋体" w:hAnsi="宋体" w:cs="宋体"/>
                <w:snapToGrid w:val="0"/>
                <w:kern w:val="32"/>
                <w:szCs w:val="21"/>
                <w:lang w:val="zh-CN"/>
              </w:rPr>
            </w:pPr>
          </w:p>
        </w:tc>
        <w:tc>
          <w:tcPr>
            <w:tcW w:w="570" w:type="dxa"/>
            <w:shd w:val="clear" w:color="auto" w:fill="FFFFFF"/>
          </w:tcPr>
          <w:p>
            <w:pPr>
              <w:autoSpaceDE w:val="0"/>
              <w:autoSpaceDN w:val="0"/>
              <w:jc w:val="left"/>
              <w:rPr>
                <w:rFonts w:ascii="宋体" w:hAnsi="宋体" w:cs="宋体"/>
                <w:snapToGrid w:val="0"/>
                <w:kern w:val="32"/>
                <w:szCs w:val="21"/>
                <w:lang w:val="zh-CN"/>
              </w:rPr>
            </w:pPr>
          </w:p>
        </w:tc>
        <w:tc>
          <w:tcPr>
            <w:tcW w:w="525" w:type="dxa"/>
            <w:shd w:val="clear" w:color="auto" w:fill="FFFFFF"/>
          </w:tcPr>
          <w:p>
            <w:pPr>
              <w:autoSpaceDE w:val="0"/>
              <w:autoSpaceDN w:val="0"/>
              <w:jc w:val="left"/>
              <w:rPr>
                <w:rFonts w:ascii="宋体" w:hAnsi="宋体" w:cs="宋体"/>
                <w:snapToGrid w:val="0"/>
                <w:kern w:val="32"/>
                <w:szCs w:val="21"/>
                <w:lang w:val="zh-CN"/>
              </w:rPr>
            </w:pPr>
          </w:p>
        </w:tc>
        <w:tc>
          <w:tcPr>
            <w:tcW w:w="468" w:type="dxa"/>
            <w:shd w:val="clear" w:color="auto" w:fill="FFFFFF"/>
          </w:tcPr>
          <w:p>
            <w:pPr>
              <w:autoSpaceDE w:val="0"/>
              <w:autoSpaceDN w:val="0"/>
              <w:jc w:val="left"/>
              <w:rPr>
                <w:rFonts w:ascii="宋体" w:hAnsi="宋体" w:cs="宋体"/>
                <w:snapToGrid w:val="0"/>
                <w:kern w:val="32"/>
                <w:szCs w:val="21"/>
                <w:lang w:val="zh-CN"/>
              </w:rPr>
            </w:pPr>
          </w:p>
        </w:tc>
      </w:tr>
    </w:tbl>
    <w:p>
      <w:pPr>
        <w:tabs>
          <w:tab w:val="left" w:pos="7791"/>
        </w:tabs>
        <w:ind w:firstLine="640" w:firstLineChars="200"/>
        <w:rPr>
          <w:rFonts w:ascii="黑体" w:hAnsi="黑体" w:eastAsia="黑体" w:cs="黑体"/>
          <w:snapToGrid w:val="0"/>
          <w:kern w:val="32"/>
          <w:sz w:val="32"/>
          <w:szCs w:val="32"/>
          <w:lang w:val="zh-CN"/>
        </w:rPr>
      </w:pPr>
      <w:bookmarkStart w:id="1" w:name="bookmark30"/>
      <w:r>
        <w:rPr>
          <w:rFonts w:hint="eastAsia" w:ascii="黑体" w:hAnsi="黑体" w:eastAsia="黑体" w:cs="黑体"/>
          <w:snapToGrid w:val="0"/>
          <w:kern w:val="32"/>
          <w:sz w:val="32"/>
          <w:szCs w:val="32"/>
          <w:lang w:val="zh-CN"/>
        </w:rPr>
        <w:t>四</w:t>
      </w:r>
      <w:bookmarkEnd w:id="1"/>
      <w:r>
        <w:rPr>
          <w:rFonts w:hint="eastAsia" w:ascii="黑体" w:hAnsi="黑体" w:eastAsia="黑体" w:cs="黑体"/>
          <w:snapToGrid w:val="0"/>
          <w:kern w:val="32"/>
          <w:sz w:val="32"/>
          <w:szCs w:val="32"/>
          <w:lang w:val="zh-CN"/>
        </w:rPr>
        <w:t>、政府信息公开行政复议、行政诉讼情况</w:t>
      </w:r>
    </w:p>
    <w:tbl>
      <w:tblPr>
        <w:tblStyle w:val="6"/>
        <w:tblW w:w="0" w:type="auto"/>
        <w:jc w:val="center"/>
        <w:tblLayout w:type="fixed"/>
        <w:tblCellMar>
          <w:top w:w="0" w:type="dxa"/>
          <w:left w:w="10" w:type="dxa"/>
          <w:bottom w:w="0" w:type="dxa"/>
          <w:right w:w="10" w:type="dxa"/>
        </w:tblCellMar>
      </w:tblPr>
      <w:tblGrid>
        <w:gridCol w:w="566"/>
        <w:gridCol w:w="525"/>
        <w:gridCol w:w="570"/>
        <w:gridCol w:w="495"/>
        <w:gridCol w:w="675"/>
        <w:gridCol w:w="629"/>
        <w:gridCol w:w="585"/>
        <w:gridCol w:w="540"/>
        <w:gridCol w:w="541"/>
        <w:gridCol w:w="510"/>
        <w:gridCol w:w="615"/>
        <w:gridCol w:w="615"/>
        <w:gridCol w:w="630"/>
        <w:gridCol w:w="525"/>
        <w:gridCol w:w="451"/>
      </w:tblGrid>
      <w:tr>
        <w:tblPrEx>
          <w:tblCellMar>
            <w:top w:w="0" w:type="dxa"/>
            <w:left w:w="10" w:type="dxa"/>
            <w:bottom w:w="0" w:type="dxa"/>
            <w:right w:w="10" w:type="dxa"/>
          </w:tblCellMar>
        </w:tblPrEx>
        <w:trPr>
          <w:trHeight w:val="461" w:hRule="exact"/>
          <w:jc w:val="center"/>
        </w:trPr>
        <w:tc>
          <w:tcPr>
            <w:tcW w:w="2831" w:type="dxa"/>
            <w:gridSpan w:val="5"/>
            <w:tcBorders>
              <w:top w:val="single" w:color="auto" w:sz="4" w:space="0"/>
              <w:lef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行政复议</w:t>
            </w:r>
          </w:p>
        </w:tc>
        <w:tc>
          <w:tcPr>
            <w:tcW w:w="5641" w:type="dxa"/>
            <w:gridSpan w:val="10"/>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行政诉讼</w:t>
            </w:r>
          </w:p>
        </w:tc>
      </w:tr>
      <w:tr>
        <w:tblPrEx>
          <w:tblCellMar>
            <w:top w:w="0" w:type="dxa"/>
            <w:left w:w="10" w:type="dxa"/>
            <w:bottom w:w="0" w:type="dxa"/>
            <w:right w:w="10" w:type="dxa"/>
          </w:tblCellMar>
        </w:tblPrEx>
        <w:trPr>
          <w:trHeight w:val="461" w:hRule="exact"/>
          <w:jc w:val="center"/>
        </w:trPr>
        <w:tc>
          <w:tcPr>
            <w:tcW w:w="566" w:type="dxa"/>
            <w:vMerge w:val="restart"/>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525" w:type="dxa"/>
            <w:vMerge w:val="restart"/>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570" w:type="dxa"/>
            <w:vMerge w:val="restart"/>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495" w:type="dxa"/>
            <w:vMerge w:val="restart"/>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675" w:type="dxa"/>
            <w:vMerge w:val="restart"/>
            <w:tcBorders>
              <w:top w:val="single" w:color="auto" w:sz="4" w:space="0"/>
              <w:left w:val="single" w:color="auto" w:sz="4" w:space="0"/>
            </w:tcBorders>
            <w:shd w:val="clear" w:color="auto" w:fill="FFFFFF"/>
            <w:textDirection w:val="tbRlV"/>
            <w:vAlign w:val="bottom"/>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总计</w:t>
            </w:r>
          </w:p>
        </w:tc>
        <w:tc>
          <w:tcPr>
            <w:tcW w:w="2805" w:type="dxa"/>
            <w:gridSpan w:val="5"/>
            <w:tcBorders>
              <w:top w:val="single" w:color="auto" w:sz="4" w:space="0"/>
              <w:lef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未经复议直接起诉</w:t>
            </w:r>
          </w:p>
        </w:tc>
        <w:tc>
          <w:tcPr>
            <w:tcW w:w="2836" w:type="dxa"/>
            <w:gridSpan w:val="5"/>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复议后起诉</w:t>
            </w:r>
          </w:p>
        </w:tc>
      </w:tr>
      <w:tr>
        <w:tblPrEx>
          <w:tblCellMar>
            <w:top w:w="0" w:type="dxa"/>
            <w:left w:w="10" w:type="dxa"/>
            <w:bottom w:w="0" w:type="dxa"/>
            <w:right w:w="10" w:type="dxa"/>
          </w:tblCellMar>
        </w:tblPrEx>
        <w:trPr>
          <w:trHeight w:val="850" w:hRule="exact"/>
          <w:jc w:val="center"/>
        </w:trPr>
        <w:tc>
          <w:tcPr>
            <w:tcW w:w="566" w:type="dxa"/>
            <w:vMerge w:val="continue"/>
            <w:tcBorders>
              <w:left w:val="single" w:color="auto" w:sz="4" w:space="0"/>
            </w:tcBorders>
            <w:shd w:val="clear" w:color="auto" w:fill="FFFFFF"/>
            <w:vAlign w:val="center"/>
          </w:tcPr>
          <w:p>
            <w:pPr>
              <w:autoSpaceDE w:val="0"/>
              <w:autoSpaceDN w:val="0"/>
              <w:jc w:val="left"/>
              <w:rPr>
                <w:rFonts w:ascii="宋体" w:hAnsi="宋体" w:cs="宋体"/>
                <w:snapToGrid w:val="0"/>
                <w:kern w:val="32"/>
                <w:szCs w:val="21"/>
                <w:lang w:val="zh-CN"/>
              </w:rPr>
            </w:pPr>
          </w:p>
        </w:tc>
        <w:tc>
          <w:tcPr>
            <w:tcW w:w="525" w:type="dxa"/>
            <w:vMerge w:val="continue"/>
            <w:tcBorders>
              <w:left w:val="single" w:color="auto" w:sz="4" w:space="0"/>
            </w:tcBorders>
            <w:shd w:val="clear" w:color="auto" w:fill="FFFFFF"/>
            <w:vAlign w:val="center"/>
          </w:tcPr>
          <w:p>
            <w:pPr>
              <w:autoSpaceDE w:val="0"/>
              <w:autoSpaceDN w:val="0"/>
              <w:jc w:val="left"/>
              <w:rPr>
                <w:rFonts w:ascii="宋体" w:hAnsi="宋体" w:cs="宋体"/>
                <w:snapToGrid w:val="0"/>
                <w:kern w:val="32"/>
                <w:szCs w:val="21"/>
                <w:lang w:val="zh-CN"/>
              </w:rPr>
            </w:pPr>
          </w:p>
        </w:tc>
        <w:tc>
          <w:tcPr>
            <w:tcW w:w="570" w:type="dxa"/>
            <w:vMerge w:val="continue"/>
            <w:tcBorders>
              <w:left w:val="single" w:color="auto" w:sz="4" w:space="0"/>
            </w:tcBorders>
            <w:shd w:val="clear" w:color="auto" w:fill="FFFFFF"/>
            <w:vAlign w:val="center"/>
          </w:tcPr>
          <w:p>
            <w:pPr>
              <w:autoSpaceDE w:val="0"/>
              <w:autoSpaceDN w:val="0"/>
              <w:jc w:val="left"/>
              <w:rPr>
                <w:rFonts w:ascii="宋体" w:hAnsi="宋体" w:cs="宋体"/>
                <w:snapToGrid w:val="0"/>
                <w:kern w:val="32"/>
                <w:szCs w:val="21"/>
                <w:lang w:val="zh-CN"/>
              </w:rPr>
            </w:pPr>
          </w:p>
        </w:tc>
        <w:tc>
          <w:tcPr>
            <w:tcW w:w="495" w:type="dxa"/>
            <w:vMerge w:val="continue"/>
            <w:tcBorders>
              <w:left w:val="single" w:color="auto" w:sz="4" w:space="0"/>
            </w:tcBorders>
            <w:shd w:val="clear" w:color="auto" w:fill="FFFFFF"/>
            <w:vAlign w:val="center"/>
          </w:tcPr>
          <w:p>
            <w:pPr>
              <w:autoSpaceDE w:val="0"/>
              <w:autoSpaceDN w:val="0"/>
              <w:jc w:val="left"/>
              <w:rPr>
                <w:rFonts w:ascii="宋体" w:hAnsi="宋体" w:cs="宋体"/>
                <w:snapToGrid w:val="0"/>
                <w:kern w:val="32"/>
                <w:szCs w:val="21"/>
                <w:lang w:val="zh-CN"/>
              </w:rPr>
            </w:pPr>
          </w:p>
        </w:tc>
        <w:tc>
          <w:tcPr>
            <w:tcW w:w="675" w:type="dxa"/>
            <w:vMerge w:val="continue"/>
            <w:tcBorders>
              <w:left w:val="single" w:color="auto" w:sz="4" w:space="0"/>
            </w:tcBorders>
            <w:shd w:val="clear" w:color="auto" w:fill="FFFFFF"/>
            <w:textDirection w:val="tbRlV"/>
            <w:vAlign w:val="bottom"/>
          </w:tcPr>
          <w:p>
            <w:pPr>
              <w:autoSpaceDE w:val="0"/>
              <w:autoSpaceDN w:val="0"/>
              <w:jc w:val="left"/>
              <w:rPr>
                <w:rFonts w:ascii="宋体" w:hAnsi="宋体" w:cs="宋体"/>
                <w:snapToGrid w:val="0"/>
                <w:kern w:val="32"/>
                <w:szCs w:val="21"/>
                <w:lang w:val="zh-CN"/>
              </w:rPr>
            </w:pPr>
          </w:p>
        </w:tc>
        <w:tc>
          <w:tcPr>
            <w:tcW w:w="629"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585"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540"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541"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510"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总 计</w:t>
            </w:r>
          </w:p>
        </w:tc>
        <w:tc>
          <w:tcPr>
            <w:tcW w:w="615"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615"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630"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525"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451" w:type="dxa"/>
            <w:tcBorders>
              <w:top w:val="single" w:color="auto" w:sz="4" w:space="0"/>
              <w:left w:val="single" w:color="auto" w:sz="4" w:space="0"/>
              <w:right w:val="single" w:color="auto" w:sz="4" w:space="0"/>
            </w:tcBorders>
            <w:shd w:val="clear" w:color="auto" w:fill="FFFFFF"/>
            <w:textDirection w:val="tbRlV"/>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总计</w:t>
            </w:r>
          </w:p>
        </w:tc>
      </w:tr>
      <w:tr>
        <w:tblPrEx>
          <w:tblCellMar>
            <w:top w:w="0" w:type="dxa"/>
            <w:left w:w="10" w:type="dxa"/>
            <w:bottom w:w="0" w:type="dxa"/>
            <w:right w:w="10" w:type="dxa"/>
          </w:tblCellMar>
        </w:tblPrEx>
        <w:trPr>
          <w:trHeight w:val="516" w:hRule="exact"/>
          <w:jc w:val="center"/>
        </w:trPr>
        <w:tc>
          <w:tcPr>
            <w:tcW w:w="566" w:type="dxa"/>
            <w:tcBorders>
              <w:top w:val="single" w:color="auto" w:sz="4" w:space="0"/>
              <w:left w:val="single" w:color="auto" w:sz="4" w:space="0"/>
              <w:bottom w:val="single" w:color="auto" w:sz="4" w:space="0"/>
            </w:tcBorders>
            <w:shd w:val="clear" w:color="auto" w:fill="FFFFFF"/>
          </w:tcPr>
          <w:p>
            <w:pPr>
              <w:autoSpaceDE w:val="0"/>
              <w:autoSpaceDN w:val="0"/>
              <w:jc w:val="left"/>
              <w:rPr>
                <w:rFonts w:ascii="宋体" w:hAnsi="宋体" w:cs="宋体"/>
                <w:snapToGrid w:val="0"/>
                <w:kern w:val="32"/>
                <w:szCs w:val="21"/>
              </w:rPr>
            </w:pPr>
            <w:r>
              <w:rPr>
                <w:rFonts w:hint="eastAsia" w:ascii="宋体" w:hAnsi="宋体" w:cs="宋体"/>
                <w:snapToGrid w:val="0"/>
                <w:kern w:val="32"/>
                <w:szCs w:val="21"/>
              </w:rPr>
              <w:t>0</w:t>
            </w:r>
          </w:p>
        </w:tc>
        <w:tc>
          <w:tcPr>
            <w:tcW w:w="525" w:type="dxa"/>
            <w:tcBorders>
              <w:top w:val="single" w:color="auto" w:sz="4" w:space="0"/>
              <w:left w:val="single" w:color="auto" w:sz="4" w:space="0"/>
              <w:bottom w:val="single" w:color="auto" w:sz="4" w:space="0"/>
            </w:tcBorders>
            <w:shd w:val="clear" w:color="auto" w:fill="FFFFFF"/>
          </w:tcPr>
          <w:p>
            <w:pPr>
              <w:autoSpaceDE w:val="0"/>
              <w:autoSpaceDN w:val="0"/>
              <w:jc w:val="left"/>
              <w:rPr>
                <w:rFonts w:ascii="宋体" w:hAnsi="宋体" w:cs="宋体"/>
                <w:snapToGrid w:val="0"/>
                <w:kern w:val="32"/>
                <w:szCs w:val="21"/>
              </w:rPr>
            </w:pPr>
            <w:r>
              <w:rPr>
                <w:rFonts w:hint="eastAsia" w:ascii="宋体" w:hAnsi="宋体" w:cs="宋体"/>
                <w:snapToGrid w:val="0"/>
                <w:kern w:val="32"/>
                <w:szCs w:val="21"/>
              </w:rPr>
              <w:t>0</w:t>
            </w:r>
          </w:p>
        </w:tc>
        <w:tc>
          <w:tcPr>
            <w:tcW w:w="570" w:type="dxa"/>
            <w:tcBorders>
              <w:top w:val="single" w:color="auto" w:sz="4" w:space="0"/>
              <w:left w:val="single" w:color="auto" w:sz="4" w:space="0"/>
              <w:bottom w:val="single" w:color="auto" w:sz="4" w:space="0"/>
            </w:tcBorders>
            <w:shd w:val="clear" w:color="auto" w:fill="FFFFFF"/>
          </w:tcPr>
          <w:p>
            <w:pPr>
              <w:autoSpaceDE w:val="0"/>
              <w:autoSpaceDN w:val="0"/>
              <w:jc w:val="left"/>
              <w:rPr>
                <w:rFonts w:ascii="宋体" w:hAnsi="宋体" w:cs="宋体"/>
                <w:snapToGrid w:val="0"/>
                <w:kern w:val="32"/>
                <w:szCs w:val="21"/>
              </w:rPr>
            </w:pPr>
            <w:r>
              <w:rPr>
                <w:rFonts w:hint="eastAsia" w:ascii="宋体" w:hAnsi="宋体" w:cs="宋体"/>
                <w:snapToGrid w:val="0"/>
                <w:kern w:val="32"/>
                <w:szCs w:val="21"/>
              </w:rPr>
              <w:t>0</w:t>
            </w:r>
          </w:p>
        </w:tc>
        <w:tc>
          <w:tcPr>
            <w:tcW w:w="495" w:type="dxa"/>
            <w:tcBorders>
              <w:top w:val="single" w:color="auto" w:sz="4" w:space="0"/>
              <w:left w:val="single" w:color="auto" w:sz="4" w:space="0"/>
              <w:bottom w:val="single" w:color="auto" w:sz="4" w:space="0"/>
            </w:tcBorders>
            <w:shd w:val="clear" w:color="auto" w:fill="FFFFFF"/>
          </w:tcPr>
          <w:p>
            <w:pPr>
              <w:autoSpaceDE w:val="0"/>
              <w:autoSpaceDN w:val="0"/>
              <w:jc w:val="left"/>
              <w:rPr>
                <w:rFonts w:ascii="宋体" w:hAnsi="宋体" w:cs="宋体"/>
                <w:snapToGrid w:val="0"/>
                <w:kern w:val="32"/>
                <w:szCs w:val="21"/>
              </w:rPr>
            </w:pPr>
            <w:r>
              <w:rPr>
                <w:rFonts w:hint="eastAsia" w:ascii="宋体" w:hAnsi="宋体" w:cs="宋体"/>
                <w:snapToGrid w:val="0"/>
                <w:kern w:val="32"/>
                <w:szCs w:val="21"/>
              </w:rPr>
              <w:t>0</w:t>
            </w:r>
          </w:p>
        </w:tc>
        <w:tc>
          <w:tcPr>
            <w:tcW w:w="675" w:type="dxa"/>
            <w:tcBorders>
              <w:top w:val="single" w:color="auto" w:sz="4" w:space="0"/>
              <w:left w:val="single" w:color="auto" w:sz="4" w:space="0"/>
              <w:bottom w:val="single" w:color="auto" w:sz="4" w:space="0"/>
            </w:tcBorders>
            <w:shd w:val="clear" w:color="auto" w:fill="FFFFFF"/>
          </w:tcPr>
          <w:p>
            <w:pPr>
              <w:autoSpaceDE w:val="0"/>
              <w:autoSpaceDN w:val="0"/>
              <w:jc w:val="left"/>
              <w:rPr>
                <w:rFonts w:ascii="宋体" w:hAnsi="宋体" w:cs="宋体"/>
                <w:snapToGrid w:val="0"/>
                <w:kern w:val="32"/>
                <w:szCs w:val="21"/>
              </w:rPr>
            </w:pPr>
            <w:r>
              <w:rPr>
                <w:rFonts w:hint="eastAsia" w:ascii="宋体" w:hAnsi="宋体" w:cs="宋体"/>
                <w:snapToGrid w:val="0"/>
                <w:kern w:val="32"/>
                <w:szCs w:val="21"/>
              </w:rPr>
              <w:t>0</w:t>
            </w:r>
          </w:p>
        </w:tc>
        <w:tc>
          <w:tcPr>
            <w:tcW w:w="629" w:type="dxa"/>
            <w:tcBorders>
              <w:top w:val="single" w:color="auto" w:sz="4" w:space="0"/>
              <w:left w:val="single" w:color="auto" w:sz="4" w:space="0"/>
              <w:bottom w:val="single" w:color="auto" w:sz="4" w:space="0"/>
            </w:tcBorders>
            <w:shd w:val="clear" w:color="auto" w:fill="FFFFFF"/>
          </w:tcPr>
          <w:p>
            <w:pPr>
              <w:autoSpaceDE w:val="0"/>
              <w:autoSpaceDN w:val="0"/>
              <w:jc w:val="left"/>
              <w:rPr>
                <w:rFonts w:ascii="宋体" w:hAnsi="宋体" w:cs="宋体"/>
                <w:snapToGrid w:val="0"/>
                <w:kern w:val="32"/>
                <w:szCs w:val="21"/>
              </w:rPr>
            </w:pPr>
            <w:r>
              <w:rPr>
                <w:rFonts w:hint="eastAsia" w:ascii="宋体" w:hAnsi="宋体" w:cs="宋体"/>
                <w:snapToGrid w:val="0"/>
                <w:kern w:val="32"/>
                <w:szCs w:val="21"/>
              </w:rPr>
              <w:t>0</w:t>
            </w:r>
          </w:p>
        </w:tc>
        <w:tc>
          <w:tcPr>
            <w:tcW w:w="585" w:type="dxa"/>
            <w:tcBorders>
              <w:top w:val="single" w:color="auto" w:sz="4" w:space="0"/>
              <w:left w:val="single" w:color="auto" w:sz="4" w:space="0"/>
              <w:bottom w:val="single" w:color="auto" w:sz="4" w:space="0"/>
            </w:tcBorders>
            <w:shd w:val="clear" w:color="auto" w:fill="FFFFFF"/>
          </w:tcPr>
          <w:p>
            <w:pPr>
              <w:autoSpaceDE w:val="0"/>
              <w:autoSpaceDN w:val="0"/>
              <w:jc w:val="left"/>
              <w:rPr>
                <w:rFonts w:ascii="宋体" w:hAnsi="宋体" w:cs="宋体"/>
                <w:snapToGrid w:val="0"/>
                <w:kern w:val="32"/>
                <w:szCs w:val="21"/>
              </w:rPr>
            </w:pPr>
            <w:r>
              <w:rPr>
                <w:rFonts w:hint="eastAsia" w:ascii="宋体" w:hAnsi="宋体" w:cs="宋体"/>
                <w:snapToGrid w:val="0"/>
                <w:kern w:val="32"/>
                <w:szCs w:val="21"/>
              </w:rPr>
              <w:t>0</w:t>
            </w:r>
          </w:p>
        </w:tc>
        <w:tc>
          <w:tcPr>
            <w:tcW w:w="540" w:type="dxa"/>
            <w:tcBorders>
              <w:top w:val="single" w:color="auto" w:sz="4" w:space="0"/>
              <w:left w:val="single" w:color="auto" w:sz="4" w:space="0"/>
              <w:bottom w:val="single" w:color="auto" w:sz="4" w:space="0"/>
            </w:tcBorders>
            <w:shd w:val="clear" w:color="auto" w:fill="FFFFFF"/>
          </w:tcPr>
          <w:p>
            <w:pPr>
              <w:autoSpaceDE w:val="0"/>
              <w:autoSpaceDN w:val="0"/>
              <w:jc w:val="left"/>
              <w:rPr>
                <w:rFonts w:ascii="宋体" w:hAnsi="宋体" w:cs="宋体"/>
                <w:snapToGrid w:val="0"/>
                <w:kern w:val="32"/>
                <w:szCs w:val="21"/>
              </w:rPr>
            </w:pPr>
            <w:r>
              <w:rPr>
                <w:rFonts w:hint="eastAsia" w:ascii="宋体" w:hAnsi="宋体" w:cs="宋体"/>
                <w:snapToGrid w:val="0"/>
                <w:kern w:val="32"/>
                <w:szCs w:val="21"/>
              </w:rPr>
              <w:t>0</w:t>
            </w:r>
          </w:p>
        </w:tc>
        <w:tc>
          <w:tcPr>
            <w:tcW w:w="541" w:type="dxa"/>
            <w:tcBorders>
              <w:top w:val="single" w:color="auto" w:sz="4" w:space="0"/>
              <w:left w:val="single" w:color="auto" w:sz="4" w:space="0"/>
              <w:bottom w:val="single" w:color="auto" w:sz="4" w:space="0"/>
            </w:tcBorders>
            <w:shd w:val="clear" w:color="auto" w:fill="FFFFFF"/>
          </w:tcPr>
          <w:p>
            <w:pPr>
              <w:autoSpaceDE w:val="0"/>
              <w:autoSpaceDN w:val="0"/>
              <w:jc w:val="left"/>
              <w:rPr>
                <w:rFonts w:ascii="宋体" w:hAnsi="宋体" w:cs="宋体"/>
                <w:snapToGrid w:val="0"/>
                <w:kern w:val="32"/>
                <w:szCs w:val="21"/>
              </w:rPr>
            </w:pPr>
            <w:r>
              <w:rPr>
                <w:rFonts w:hint="eastAsia" w:ascii="宋体" w:hAnsi="宋体" w:cs="宋体"/>
                <w:snapToGrid w:val="0"/>
                <w:kern w:val="32"/>
                <w:szCs w:val="21"/>
              </w:rPr>
              <w:t>0</w:t>
            </w:r>
          </w:p>
        </w:tc>
        <w:tc>
          <w:tcPr>
            <w:tcW w:w="510" w:type="dxa"/>
            <w:tcBorders>
              <w:top w:val="single" w:color="auto" w:sz="4" w:space="0"/>
              <w:left w:val="single" w:color="auto" w:sz="4" w:space="0"/>
              <w:bottom w:val="single" w:color="auto" w:sz="4" w:space="0"/>
            </w:tcBorders>
            <w:shd w:val="clear" w:color="auto" w:fill="FFFFFF"/>
          </w:tcPr>
          <w:p>
            <w:pPr>
              <w:autoSpaceDE w:val="0"/>
              <w:autoSpaceDN w:val="0"/>
              <w:jc w:val="left"/>
              <w:rPr>
                <w:rFonts w:ascii="宋体" w:hAnsi="宋体" w:cs="宋体"/>
                <w:snapToGrid w:val="0"/>
                <w:kern w:val="32"/>
                <w:szCs w:val="21"/>
              </w:rPr>
            </w:pPr>
            <w:r>
              <w:rPr>
                <w:rFonts w:hint="eastAsia" w:ascii="宋体" w:hAnsi="宋体" w:cs="宋体"/>
                <w:snapToGrid w:val="0"/>
                <w:kern w:val="32"/>
                <w:szCs w:val="21"/>
              </w:rPr>
              <w:t>0</w:t>
            </w:r>
          </w:p>
        </w:tc>
        <w:tc>
          <w:tcPr>
            <w:tcW w:w="615" w:type="dxa"/>
            <w:tcBorders>
              <w:top w:val="single" w:color="auto" w:sz="4" w:space="0"/>
              <w:left w:val="single" w:color="auto" w:sz="4" w:space="0"/>
              <w:bottom w:val="single" w:color="auto" w:sz="4" w:space="0"/>
            </w:tcBorders>
            <w:shd w:val="clear" w:color="auto" w:fill="FFFFFF"/>
          </w:tcPr>
          <w:p>
            <w:pPr>
              <w:autoSpaceDE w:val="0"/>
              <w:autoSpaceDN w:val="0"/>
              <w:jc w:val="left"/>
              <w:rPr>
                <w:rFonts w:ascii="宋体" w:hAnsi="宋体" w:cs="宋体"/>
                <w:snapToGrid w:val="0"/>
                <w:kern w:val="32"/>
                <w:szCs w:val="21"/>
              </w:rPr>
            </w:pPr>
            <w:r>
              <w:rPr>
                <w:rFonts w:hint="eastAsia" w:ascii="宋体" w:hAnsi="宋体" w:cs="宋体"/>
                <w:snapToGrid w:val="0"/>
                <w:kern w:val="32"/>
                <w:szCs w:val="21"/>
              </w:rPr>
              <w:t>0</w:t>
            </w:r>
          </w:p>
        </w:tc>
        <w:tc>
          <w:tcPr>
            <w:tcW w:w="615" w:type="dxa"/>
            <w:tcBorders>
              <w:top w:val="single" w:color="auto" w:sz="4" w:space="0"/>
              <w:left w:val="single" w:color="auto" w:sz="4" w:space="0"/>
              <w:bottom w:val="single" w:color="auto" w:sz="4" w:space="0"/>
            </w:tcBorders>
            <w:shd w:val="clear" w:color="auto" w:fill="FFFFFF"/>
          </w:tcPr>
          <w:p>
            <w:pPr>
              <w:autoSpaceDE w:val="0"/>
              <w:autoSpaceDN w:val="0"/>
              <w:jc w:val="left"/>
              <w:rPr>
                <w:rFonts w:ascii="宋体" w:hAnsi="宋体" w:cs="宋体"/>
                <w:snapToGrid w:val="0"/>
                <w:kern w:val="32"/>
                <w:szCs w:val="21"/>
              </w:rPr>
            </w:pPr>
            <w:r>
              <w:rPr>
                <w:rFonts w:hint="eastAsia" w:ascii="宋体" w:hAnsi="宋体" w:cs="宋体"/>
                <w:snapToGrid w:val="0"/>
                <w:kern w:val="32"/>
                <w:szCs w:val="21"/>
              </w:rPr>
              <w:t>0</w:t>
            </w:r>
          </w:p>
        </w:tc>
        <w:tc>
          <w:tcPr>
            <w:tcW w:w="630" w:type="dxa"/>
            <w:tcBorders>
              <w:top w:val="single" w:color="auto" w:sz="4" w:space="0"/>
              <w:left w:val="single" w:color="auto" w:sz="4" w:space="0"/>
              <w:bottom w:val="single" w:color="auto" w:sz="4" w:space="0"/>
            </w:tcBorders>
            <w:shd w:val="clear" w:color="auto" w:fill="FFFFFF"/>
          </w:tcPr>
          <w:p>
            <w:pPr>
              <w:autoSpaceDE w:val="0"/>
              <w:autoSpaceDN w:val="0"/>
              <w:jc w:val="left"/>
              <w:rPr>
                <w:rFonts w:ascii="宋体" w:hAnsi="宋体" w:cs="宋体"/>
                <w:snapToGrid w:val="0"/>
                <w:kern w:val="32"/>
                <w:szCs w:val="21"/>
              </w:rPr>
            </w:pPr>
            <w:r>
              <w:rPr>
                <w:rFonts w:hint="eastAsia" w:ascii="宋体" w:hAnsi="宋体" w:cs="宋体"/>
                <w:snapToGrid w:val="0"/>
                <w:kern w:val="32"/>
                <w:szCs w:val="21"/>
              </w:rPr>
              <w:t>0</w:t>
            </w:r>
          </w:p>
        </w:tc>
        <w:tc>
          <w:tcPr>
            <w:tcW w:w="525" w:type="dxa"/>
            <w:tcBorders>
              <w:top w:val="single" w:color="auto" w:sz="4" w:space="0"/>
              <w:left w:val="single" w:color="auto" w:sz="4" w:space="0"/>
              <w:bottom w:val="single" w:color="auto" w:sz="4" w:space="0"/>
            </w:tcBorders>
            <w:shd w:val="clear" w:color="auto" w:fill="FFFFFF"/>
          </w:tcPr>
          <w:p>
            <w:pPr>
              <w:autoSpaceDE w:val="0"/>
              <w:autoSpaceDN w:val="0"/>
              <w:jc w:val="left"/>
              <w:rPr>
                <w:rFonts w:ascii="宋体" w:hAnsi="宋体" w:cs="宋体"/>
                <w:snapToGrid w:val="0"/>
                <w:kern w:val="32"/>
                <w:szCs w:val="21"/>
              </w:rPr>
            </w:pPr>
            <w:r>
              <w:rPr>
                <w:rFonts w:hint="eastAsia" w:ascii="宋体" w:hAnsi="宋体" w:cs="宋体"/>
                <w:snapToGrid w:val="0"/>
                <w:kern w:val="32"/>
                <w:szCs w:val="21"/>
              </w:rPr>
              <w:t>0</w:t>
            </w:r>
          </w:p>
        </w:tc>
        <w:tc>
          <w:tcPr>
            <w:tcW w:w="451"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jc w:val="left"/>
              <w:rPr>
                <w:rFonts w:ascii="宋体" w:hAnsi="宋体" w:cs="宋体"/>
                <w:snapToGrid w:val="0"/>
                <w:kern w:val="32"/>
                <w:szCs w:val="21"/>
              </w:rPr>
            </w:pPr>
            <w:r>
              <w:rPr>
                <w:rFonts w:hint="eastAsia" w:ascii="宋体" w:hAnsi="宋体" w:cs="宋体"/>
                <w:snapToGrid w:val="0"/>
                <w:kern w:val="32"/>
                <w:szCs w:val="21"/>
              </w:rPr>
              <w:t>0</w:t>
            </w:r>
          </w:p>
        </w:tc>
      </w:tr>
    </w:tbl>
    <w:p>
      <w:pPr>
        <w:ind w:firstLine="640" w:firstLineChars="200"/>
        <w:rPr>
          <w:rFonts w:ascii="黑体" w:hAnsi="黑体" w:eastAsia="黑体" w:cs="黑体"/>
          <w:sz w:val="32"/>
          <w:szCs w:val="32"/>
          <w:lang w:val="zh-CN"/>
        </w:rPr>
      </w:pPr>
      <w:bookmarkStart w:id="2" w:name="bookmark31"/>
      <w:r>
        <w:rPr>
          <w:rFonts w:hint="eastAsia" w:ascii="黑体" w:hAnsi="黑体" w:eastAsia="黑体" w:cs="黑体"/>
          <w:sz w:val="32"/>
          <w:szCs w:val="32"/>
          <w:lang w:val="zh-CN"/>
        </w:rPr>
        <w:t>五</w:t>
      </w:r>
      <w:bookmarkEnd w:id="2"/>
      <w:r>
        <w:rPr>
          <w:rFonts w:hint="eastAsia" w:ascii="黑体" w:hAnsi="黑体" w:eastAsia="黑体" w:cs="黑体"/>
          <w:sz w:val="32"/>
          <w:szCs w:val="32"/>
          <w:lang w:val="zh-CN"/>
        </w:rPr>
        <w:t>、存在的主要问题及改进情况</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王益区对外经济合作中心的政府信息公开工作进一步规范，但信息公开的广度、深度与社会需求、公众期待还存在一定差距：一是信息公开内容有待拓展。目前公开的招商信息偏少，缺乏群众互动性。二是新媒体开发利用有待加强。我中心目前仅开通微信公众号，在信息公开的时效性、公开内容的丰富性以及与公众的互动性上有所欠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王益区对外经济合作中心将从以下三个方面着手，努力推动政府信息公开工作再上新台阶。一是不断完善信息发布内容。按照“公开为常态，不公开为例外”的原则，进一步完善信息公开目录，提高公开信息的针对性，逐步增加各类招商投资信息及政策指标数据，为广大客商及社会组织提供更好的咨询服务。二是拓宽信息发布渠道。继续发挥政府网站、报纸、广播、电视、出版物等传统媒体的优势，建立信息共享平台，扩大信息公开覆盖面，提高信息公开影响力和群众知晓度。三是加强政府信息公开队伍建设。增强招商工作人员责任意识，适时开展政府信息公开培训，提高工作人员公开意识和工作能力，不断提升中心政府信息公开工作水平。</w:t>
      </w:r>
    </w:p>
    <w:p>
      <w:pPr>
        <w:ind w:firstLine="640" w:firstLineChars="200"/>
        <w:rPr>
          <w:rFonts w:ascii="黑体" w:hAnsi="黑体" w:eastAsia="黑体" w:cs="黑体"/>
          <w:sz w:val="32"/>
          <w:szCs w:val="32"/>
        </w:rPr>
      </w:pPr>
      <w:r>
        <w:rPr>
          <w:rFonts w:hint="eastAsia" w:ascii="黑体" w:hAnsi="黑体" w:eastAsia="黑体" w:cs="黑体"/>
          <w:sz w:val="32"/>
          <w:szCs w:val="32"/>
          <w:lang w:val="zh-CN"/>
        </w:rPr>
        <w:t>六、其他需要报告的事项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政府信息公开审查过程中未出现因审查不细、不严造成的负面影响。</w:t>
      </w:r>
    </w:p>
    <w:p>
      <w:pPr>
        <w:pStyle w:val="2"/>
        <w:rPr>
          <w:rFonts w:hAnsi="仿宋_GB2312"/>
          <w:sz w:val="32"/>
          <w:szCs w:val="32"/>
        </w:rPr>
      </w:pPr>
    </w:p>
    <w:p>
      <w:pPr>
        <w:pStyle w:val="2"/>
        <w:ind w:firstLine="3520" w:firstLineChars="1100"/>
        <w:rPr>
          <w:rFonts w:hAnsi="仿宋_GB2312"/>
          <w:sz w:val="32"/>
          <w:szCs w:val="32"/>
        </w:rPr>
      </w:pPr>
      <w:r>
        <w:rPr>
          <w:rFonts w:hint="eastAsia" w:hAnsi="仿宋_GB2312"/>
          <w:sz w:val="32"/>
          <w:szCs w:val="32"/>
        </w:rPr>
        <w:t>铜川市王益区对外经济合作中心</w:t>
      </w:r>
    </w:p>
    <w:p>
      <w:pPr>
        <w:pStyle w:val="2"/>
        <w:ind w:firstLine="4480" w:firstLineChars="1400"/>
        <w:rPr>
          <w:rFonts w:hAnsi="仿宋_GB2312"/>
          <w:sz w:val="32"/>
          <w:szCs w:val="32"/>
        </w:rPr>
      </w:pPr>
      <w:r>
        <w:rPr>
          <w:rFonts w:hint="eastAsia" w:hAnsi="仿宋_GB2312"/>
          <w:sz w:val="32"/>
          <w:szCs w:val="32"/>
        </w:rPr>
        <w:t>2020年1月14日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7EF2CC6"/>
    <w:rsid w:val="00175233"/>
    <w:rsid w:val="00CD0757"/>
    <w:rsid w:val="00D15BE0"/>
    <w:rsid w:val="17DF2DB5"/>
    <w:rsid w:val="31413841"/>
    <w:rsid w:val="77EF2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360" w:lineRule="auto"/>
      <w:ind w:firstLine="420"/>
    </w:pPr>
    <w:rPr>
      <w:rFonts w:ascii="仿宋_GB2312" w:eastAsia="仿宋_GB2312" w:cs="仿宋_GB2312"/>
      <w:kern w:val="0"/>
      <w:sz w:val="30"/>
      <w:szCs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customStyle="1" w:styleId="8">
    <w:name w:val="Body text|1"/>
    <w:basedOn w:val="1"/>
    <w:qFormat/>
    <w:uiPriority w:val="0"/>
    <w:pPr>
      <w:spacing w:line="442" w:lineRule="auto"/>
      <w:ind w:firstLine="400"/>
    </w:pPr>
    <w:rPr>
      <w:rFonts w:ascii="宋体" w:hAnsi="宋体" w:cs="宋体"/>
      <w:sz w:val="28"/>
      <w:szCs w:val="28"/>
      <w:lang w:val="zh-TW" w:eastAsia="zh-TW" w:bidi="zh-TW"/>
    </w:rPr>
  </w:style>
  <w:style w:type="character" w:customStyle="1" w:styleId="9">
    <w:name w:val="页眉 Char"/>
    <w:basedOn w:val="7"/>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314</Words>
  <Characters>1792</Characters>
  <Lines>14</Lines>
  <Paragraphs>4</Paragraphs>
  <TotalTime>15</TotalTime>
  <ScaleCrop>false</ScaleCrop>
  <LinksUpToDate>false</LinksUpToDate>
  <CharactersWithSpaces>2102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2020-01-14T07:57:00Z</dcterms:created>
  <dc:creator>A</dc:creator>
  <cp:lastModifiedBy>Flame.</cp:lastModifiedBy>
  <cp:lastPrinted>2020-01-15T06:14:46Z</cp:lastPrinted>
  <dcterms:modified xsi:type="dcterms:W3CDTF">2020-01-15T06:14:51Z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