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黑体" w:eastAsia="黑体"/>
          <w:sz w:val="32"/>
        </w:rPr>
      </w:pPr>
      <w:r>
        <w:rPr>
          <w:rFonts w:hint="eastAsia" w:ascii="黑体" w:hAnsi="黑体" w:eastAsia="黑体"/>
          <w:sz w:val="32"/>
        </w:rPr>
        <w:t>附件3</w:t>
      </w:r>
      <w:bookmarkStart w:id="0" w:name="_GoBack"/>
      <w:bookmarkEnd w:id="0"/>
    </w:p>
    <w:p>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铜川市</w:t>
      </w:r>
      <w:r>
        <w:rPr>
          <w:rFonts w:hint="eastAsia" w:ascii="方正小标宋简体" w:eastAsia="方正小标宋简体"/>
          <w:sz w:val="44"/>
          <w:szCs w:val="44"/>
          <w:lang w:eastAsia="zh-CN"/>
        </w:rPr>
        <w:t>王益</w:t>
      </w:r>
      <w:r>
        <w:rPr>
          <w:rFonts w:hint="eastAsia" w:ascii="方正小标宋简体" w:eastAsia="方正小标宋简体"/>
          <w:sz w:val="44"/>
          <w:szCs w:val="44"/>
        </w:rPr>
        <w:t>区社会公益事业建设领域政府信息公开工作任务分解表</w:t>
      </w:r>
    </w:p>
    <w:tbl>
      <w:tblPr>
        <w:tblStyle w:val="2"/>
        <w:tblW w:w="14834" w:type="dxa"/>
        <w:jc w:val="center"/>
        <w:tblInd w:w="-612" w:type="dxa"/>
        <w:tblLayout w:type="fixed"/>
        <w:tblCellMar>
          <w:top w:w="0" w:type="dxa"/>
          <w:left w:w="108" w:type="dxa"/>
          <w:bottom w:w="0" w:type="dxa"/>
          <w:right w:w="108" w:type="dxa"/>
        </w:tblCellMar>
      </w:tblPr>
      <w:tblGrid>
        <w:gridCol w:w="845"/>
        <w:gridCol w:w="1628"/>
        <w:gridCol w:w="7598"/>
        <w:gridCol w:w="1447"/>
        <w:gridCol w:w="2533"/>
        <w:gridCol w:w="783"/>
      </w:tblGrid>
      <w:tr>
        <w:tblPrEx>
          <w:tblLayout w:type="fixed"/>
          <w:tblCellMar>
            <w:top w:w="0" w:type="dxa"/>
            <w:left w:w="108" w:type="dxa"/>
            <w:bottom w:w="0" w:type="dxa"/>
            <w:right w:w="108" w:type="dxa"/>
          </w:tblCellMar>
        </w:tblPrEx>
        <w:trPr>
          <w:trHeight w:val="292" w:hRule="atLeast"/>
          <w:jc w:val="center"/>
        </w:trPr>
        <w:tc>
          <w:tcPr>
            <w:tcW w:w="845" w:type="dxa"/>
            <w:tcBorders>
              <w:top w:val="single" w:color="000000" w:sz="4" w:space="0"/>
              <w:left w:val="single" w:color="000000" w:sz="4" w:space="0"/>
              <w:bottom w:val="single" w:color="000000" w:sz="4" w:space="0"/>
              <w:right w:val="single" w:color="auto" w:sz="4" w:space="0"/>
            </w:tcBorders>
            <w:noWrap w:val="0"/>
            <w:vAlign w:val="top"/>
          </w:tcPr>
          <w:p>
            <w:pPr>
              <w:spacing w:line="500" w:lineRule="exact"/>
              <w:jc w:val="center"/>
              <w:rPr>
                <w:rFonts w:hint="eastAsia" w:ascii="仿宋_GB2312" w:hAnsi="楷体" w:eastAsia="仿宋_GB2312"/>
                <w:b/>
                <w:sz w:val="28"/>
                <w:szCs w:val="28"/>
              </w:rPr>
            </w:pPr>
            <w:r>
              <w:rPr>
                <w:rFonts w:hint="eastAsia" w:ascii="仿宋_GB2312" w:hAnsi="楷体" w:eastAsia="仿宋_GB2312"/>
                <w:b/>
                <w:sz w:val="28"/>
                <w:szCs w:val="28"/>
              </w:rPr>
              <w:t>序号</w:t>
            </w:r>
          </w:p>
        </w:tc>
        <w:tc>
          <w:tcPr>
            <w:tcW w:w="1628" w:type="dxa"/>
            <w:tcBorders>
              <w:top w:val="single" w:color="000000" w:sz="4" w:space="0"/>
              <w:left w:val="single" w:color="auto" w:sz="4" w:space="0"/>
              <w:bottom w:val="single" w:color="000000" w:sz="4" w:space="0"/>
              <w:right w:val="single" w:color="000000" w:sz="4" w:space="0"/>
            </w:tcBorders>
            <w:noWrap w:val="0"/>
            <w:vAlign w:val="top"/>
          </w:tcPr>
          <w:p>
            <w:pPr>
              <w:spacing w:line="500" w:lineRule="exact"/>
              <w:jc w:val="center"/>
              <w:rPr>
                <w:rFonts w:hint="eastAsia" w:ascii="仿宋_GB2312" w:hAnsi="楷体" w:eastAsia="仿宋_GB2312"/>
                <w:b/>
                <w:sz w:val="28"/>
                <w:szCs w:val="28"/>
              </w:rPr>
            </w:pPr>
            <w:r>
              <w:rPr>
                <w:rFonts w:hint="eastAsia" w:ascii="仿宋_GB2312" w:hAnsi="楷体" w:eastAsia="仿宋_GB2312"/>
                <w:b/>
                <w:sz w:val="28"/>
                <w:szCs w:val="28"/>
              </w:rPr>
              <w:t>公开领域</w:t>
            </w:r>
          </w:p>
        </w:tc>
        <w:tc>
          <w:tcPr>
            <w:tcW w:w="7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500" w:lineRule="exact"/>
              <w:jc w:val="center"/>
              <w:rPr>
                <w:rFonts w:hint="eastAsia" w:ascii="仿宋_GB2312" w:hAnsi="楷体" w:eastAsia="仿宋_GB2312"/>
                <w:b/>
                <w:sz w:val="28"/>
                <w:szCs w:val="28"/>
              </w:rPr>
            </w:pPr>
            <w:r>
              <w:rPr>
                <w:rFonts w:hint="eastAsia" w:ascii="仿宋_GB2312" w:hAnsi="楷体" w:eastAsia="仿宋_GB2312"/>
                <w:b/>
                <w:sz w:val="28"/>
                <w:szCs w:val="28"/>
              </w:rPr>
              <w:t>公开内容</w:t>
            </w:r>
          </w:p>
        </w:tc>
        <w:tc>
          <w:tcPr>
            <w:tcW w:w="1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500" w:lineRule="exact"/>
              <w:jc w:val="center"/>
              <w:rPr>
                <w:rFonts w:hint="eastAsia" w:ascii="仿宋_GB2312" w:hAnsi="楷体" w:eastAsia="仿宋_GB2312"/>
                <w:b/>
                <w:sz w:val="28"/>
                <w:szCs w:val="28"/>
              </w:rPr>
            </w:pPr>
            <w:r>
              <w:rPr>
                <w:rFonts w:hint="eastAsia" w:ascii="仿宋_GB2312" w:hAnsi="楷体" w:eastAsia="仿宋_GB2312"/>
                <w:b/>
                <w:sz w:val="28"/>
                <w:szCs w:val="28"/>
              </w:rPr>
              <w:t>牵头单位</w:t>
            </w:r>
          </w:p>
        </w:tc>
        <w:tc>
          <w:tcPr>
            <w:tcW w:w="2533" w:type="dxa"/>
            <w:tcBorders>
              <w:top w:val="single" w:color="000000" w:sz="4" w:space="0"/>
              <w:left w:val="single" w:color="000000" w:sz="4" w:space="0"/>
              <w:right w:val="single" w:color="auto" w:sz="4" w:space="0"/>
            </w:tcBorders>
            <w:noWrap w:val="0"/>
            <w:tcMar>
              <w:top w:w="0" w:type="dxa"/>
              <w:left w:w="108" w:type="dxa"/>
              <w:bottom w:w="0" w:type="dxa"/>
              <w:right w:w="108" w:type="dxa"/>
            </w:tcMar>
            <w:vAlign w:val="center"/>
          </w:tcPr>
          <w:p>
            <w:pPr>
              <w:widowControl/>
              <w:shd w:val="clear" w:color="000000" w:fill="FFFFFF"/>
              <w:spacing w:line="500" w:lineRule="exact"/>
              <w:jc w:val="center"/>
              <w:rPr>
                <w:rFonts w:hint="eastAsia" w:ascii="仿宋_GB2312" w:hAnsi="楷体" w:eastAsia="仿宋_GB2312"/>
                <w:b/>
                <w:sz w:val="28"/>
                <w:szCs w:val="28"/>
              </w:rPr>
            </w:pPr>
            <w:r>
              <w:rPr>
                <w:rFonts w:hint="eastAsia" w:ascii="仿宋_GB2312" w:hAnsi="楷体" w:eastAsia="仿宋_GB2312"/>
                <w:b/>
                <w:sz w:val="28"/>
                <w:szCs w:val="28"/>
              </w:rPr>
              <w:t>责任单位</w:t>
            </w:r>
          </w:p>
        </w:tc>
        <w:tc>
          <w:tcPr>
            <w:tcW w:w="783" w:type="dxa"/>
            <w:tcBorders>
              <w:top w:val="single" w:color="000000" w:sz="4" w:space="0"/>
              <w:left w:val="single" w:color="auto" w:sz="4" w:space="0"/>
              <w:right w:val="single" w:color="000000" w:sz="4" w:space="0"/>
            </w:tcBorders>
            <w:noWrap w:val="0"/>
            <w:vAlign w:val="center"/>
          </w:tcPr>
          <w:p>
            <w:pPr>
              <w:widowControl/>
              <w:shd w:val="clear" w:color="000000" w:fill="FFFFFF"/>
              <w:spacing w:line="500" w:lineRule="exact"/>
              <w:jc w:val="center"/>
              <w:rPr>
                <w:rFonts w:hint="eastAsia" w:ascii="仿宋_GB2312" w:hAnsi="楷体" w:eastAsia="仿宋_GB2312"/>
                <w:b/>
                <w:sz w:val="28"/>
                <w:szCs w:val="28"/>
              </w:rPr>
            </w:pPr>
            <w:r>
              <w:rPr>
                <w:rFonts w:hint="eastAsia" w:ascii="仿宋_GB2312" w:hAnsi="楷体" w:eastAsia="仿宋_GB2312"/>
                <w:b/>
                <w:sz w:val="28"/>
                <w:szCs w:val="28"/>
              </w:rPr>
              <w:t>备注</w:t>
            </w:r>
          </w:p>
        </w:tc>
      </w:tr>
      <w:tr>
        <w:tblPrEx>
          <w:tblLayout w:type="fixed"/>
          <w:tblCellMar>
            <w:top w:w="0" w:type="dxa"/>
            <w:left w:w="108" w:type="dxa"/>
            <w:bottom w:w="0" w:type="dxa"/>
            <w:right w:w="108" w:type="dxa"/>
          </w:tblCellMar>
        </w:tblPrEx>
        <w:trPr>
          <w:trHeight w:val="656" w:hRule="atLeast"/>
          <w:jc w:val="center"/>
        </w:trPr>
        <w:tc>
          <w:tcPr>
            <w:tcW w:w="845"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1</w:t>
            </w:r>
          </w:p>
        </w:tc>
        <w:tc>
          <w:tcPr>
            <w:tcW w:w="1628"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脱贫攻坚领域</w:t>
            </w:r>
          </w:p>
        </w:tc>
        <w:tc>
          <w:tcPr>
            <w:tcW w:w="7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00" w:lineRule="exact"/>
              <w:jc w:val="left"/>
              <w:rPr>
                <w:rFonts w:hint="eastAsia" w:ascii="仿宋_GB2312" w:eastAsia="仿宋_GB2312"/>
                <w:color w:val="333333"/>
                <w:w w:val="90"/>
                <w:shd w:val="clear" w:color="000000" w:fill="FFFFFF"/>
              </w:rPr>
            </w:pPr>
            <w:r>
              <w:rPr>
                <w:rFonts w:hint="eastAsia" w:ascii="仿宋_GB2312" w:eastAsia="仿宋_GB2312"/>
                <w:w w:val="90"/>
              </w:rPr>
              <w:t>及时公开扶贫政策，扶贫规划，扶贫项目名称、资金来源、实施期限、预期目标、实施结果、实施单位及责任人、举报电话、检查验收结果等信息，向特定区域特定群体公开贫困识别、贫困退出、扶贫资金分配和使用情况、帮扶责任人、扶贫成效等信息。</w:t>
            </w:r>
          </w:p>
        </w:tc>
        <w:tc>
          <w:tcPr>
            <w:tcW w:w="1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40" w:lineRule="exact"/>
              <w:jc w:val="center"/>
              <w:rPr>
                <w:rFonts w:hint="eastAsia" w:ascii="仿宋_GB2312" w:eastAsia="仿宋_GB2312"/>
                <w:w w:val="90"/>
              </w:rPr>
            </w:pPr>
            <w:r>
              <w:rPr>
                <w:rFonts w:hint="eastAsia" w:ascii="仿宋_GB2312" w:eastAsia="仿宋_GB2312"/>
                <w:w w:val="90"/>
              </w:rPr>
              <w:t>区扶贫局</w:t>
            </w:r>
          </w:p>
        </w:tc>
        <w:tc>
          <w:tcPr>
            <w:tcW w:w="2533"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shd w:val="clear" w:color="000000" w:fill="FFFFFF"/>
              <w:spacing w:line="240" w:lineRule="exact"/>
              <w:jc w:val="left"/>
              <w:rPr>
                <w:rFonts w:ascii="宋体"/>
                <w:sz w:val="20"/>
              </w:rPr>
            </w:pPr>
            <w:r>
              <w:rPr>
                <w:rFonts w:hint="eastAsia" w:ascii="仿宋_GB2312" w:eastAsia="仿宋_GB2312"/>
                <w:color w:val="333333"/>
                <w:w w:val="90"/>
                <w:shd w:val="clear" w:color="000000" w:fill="FFFFFF"/>
              </w:rPr>
              <w:t>各镇</w:t>
            </w:r>
            <w:r>
              <w:rPr>
                <w:rFonts w:hint="eastAsia" w:ascii="仿宋_GB2312" w:eastAsia="仿宋_GB2312"/>
                <w:color w:val="333333"/>
                <w:w w:val="90"/>
                <w:shd w:val="clear" w:color="000000" w:fill="FFFFFF"/>
                <w:lang w:eastAsia="zh-CN"/>
              </w:rPr>
              <w:t>办、</w:t>
            </w:r>
            <w:r>
              <w:rPr>
                <w:rFonts w:hint="eastAsia" w:ascii="仿宋_GB2312" w:eastAsia="仿宋_GB2312"/>
                <w:color w:val="333333"/>
                <w:w w:val="90"/>
                <w:shd w:val="clear" w:color="000000" w:fill="FFFFFF"/>
              </w:rPr>
              <w:t>区教科体局等部门</w:t>
            </w:r>
          </w:p>
        </w:tc>
        <w:tc>
          <w:tcPr>
            <w:tcW w:w="783" w:type="dxa"/>
            <w:tcBorders>
              <w:top w:val="single" w:color="000000" w:sz="4" w:space="0"/>
              <w:left w:val="single" w:color="auto" w:sz="4" w:space="0"/>
              <w:bottom w:val="single" w:color="auto" w:sz="4" w:space="0"/>
              <w:right w:val="single" w:color="000000" w:sz="4" w:space="0"/>
            </w:tcBorders>
            <w:noWrap w:val="0"/>
            <w:vAlign w:val="center"/>
          </w:tcPr>
          <w:p>
            <w:pPr>
              <w:widowControl/>
              <w:shd w:val="clear" w:color="000000" w:fill="FFFFFF"/>
              <w:spacing w:line="240" w:lineRule="exact"/>
              <w:jc w:val="left"/>
              <w:rPr>
                <w:rFonts w:ascii="宋体"/>
                <w:sz w:val="20"/>
              </w:rPr>
            </w:pPr>
          </w:p>
        </w:tc>
      </w:tr>
      <w:tr>
        <w:tblPrEx>
          <w:tblLayout w:type="fixed"/>
          <w:tblCellMar>
            <w:top w:w="0" w:type="dxa"/>
            <w:left w:w="108" w:type="dxa"/>
            <w:bottom w:w="0" w:type="dxa"/>
            <w:right w:w="108" w:type="dxa"/>
          </w:tblCellMar>
        </w:tblPrEx>
        <w:trPr>
          <w:trHeight w:val="1408" w:hRule="atLeast"/>
          <w:jc w:val="center"/>
        </w:trPr>
        <w:tc>
          <w:tcPr>
            <w:tcW w:w="845"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2</w:t>
            </w:r>
          </w:p>
        </w:tc>
        <w:tc>
          <w:tcPr>
            <w:tcW w:w="1628"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社会救助和社会</w:t>
            </w:r>
          </w:p>
          <w:p>
            <w:pPr>
              <w:spacing w:line="240" w:lineRule="exact"/>
              <w:jc w:val="center"/>
              <w:rPr>
                <w:rFonts w:hint="eastAsia" w:ascii="仿宋_GB2312" w:eastAsia="仿宋_GB2312"/>
                <w:w w:val="90"/>
              </w:rPr>
            </w:pPr>
            <w:r>
              <w:rPr>
                <w:rFonts w:hint="eastAsia" w:ascii="仿宋_GB2312" w:eastAsia="仿宋_GB2312"/>
                <w:w w:val="90"/>
              </w:rPr>
              <w:t>福利领域</w:t>
            </w:r>
          </w:p>
        </w:tc>
        <w:tc>
          <w:tcPr>
            <w:tcW w:w="7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00" w:lineRule="exact"/>
              <w:jc w:val="left"/>
              <w:rPr>
                <w:rFonts w:hint="eastAsia" w:ascii="仿宋_GB2312" w:hAnsi="仿宋_GB2312" w:eastAsia="仿宋_GB2312"/>
                <w:w w:val="90"/>
              </w:rPr>
            </w:pPr>
            <w:r>
              <w:rPr>
                <w:rFonts w:hint="eastAsia" w:ascii="仿宋_GB2312" w:hAnsi="仿宋_GB2312" w:eastAsia="仿宋_GB2312"/>
                <w:w w:val="90"/>
              </w:rPr>
              <w:t>重点围绕城乡低保、特困人员救助供养、受灾人员救助、医疗救助、教育救助、住房救助、就业救助、临时救助、老年人福利、残疾人福利、儿童福利、孤儿基本生活保障、计划生育特殊困难家庭扶助等事项，全面公开救助对象认定程序、救助标准，福利补贴申领及申请审批程序等相关政策，有针对性地公开救助款物的管理使用、福利补贴发放等情况。</w:t>
            </w:r>
            <w:r>
              <w:rPr>
                <w:rFonts w:ascii="仿宋_GB2312" w:hAnsi="仿宋_GB2312" w:eastAsia="仿宋_GB2312"/>
                <w:w w:val="90"/>
              </w:rPr>
              <w:t>做好养老服务业发展相关政策、养老机构服务内容和收费标准、残疾人两项补贴发放程序的公开。做好困境儿童保障、农村留守儿童关爱保护、孤儿高等教育生活保障等政策公开。</w:t>
            </w:r>
            <w:r>
              <w:rPr>
                <w:rFonts w:hint="eastAsia" w:ascii="仿宋_GB2312" w:hAnsi="仿宋_GB2312" w:eastAsia="仿宋_GB2312"/>
                <w:w w:val="90"/>
              </w:rPr>
              <w:t>公开中要保护好相关人员个人隐私。</w:t>
            </w:r>
          </w:p>
        </w:tc>
        <w:tc>
          <w:tcPr>
            <w:tcW w:w="1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40" w:lineRule="exact"/>
              <w:jc w:val="center"/>
              <w:rPr>
                <w:rFonts w:hint="eastAsia" w:ascii="仿宋_GB2312" w:eastAsia="仿宋_GB2312"/>
                <w:w w:val="90"/>
              </w:rPr>
            </w:pPr>
            <w:r>
              <w:rPr>
                <w:rFonts w:hint="eastAsia" w:ascii="仿宋_GB2312" w:eastAsia="仿宋_GB2312"/>
                <w:w w:val="90"/>
              </w:rPr>
              <w:t>区民政局</w:t>
            </w:r>
          </w:p>
        </w:tc>
        <w:tc>
          <w:tcPr>
            <w:tcW w:w="253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shd w:val="clear" w:color="000000" w:fill="FFFFFF"/>
              <w:spacing w:line="240" w:lineRule="exact"/>
              <w:jc w:val="left"/>
              <w:rPr>
                <w:rFonts w:ascii="宋体"/>
                <w:sz w:val="20"/>
              </w:rPr>
            </w:pPr>
            <w:r>
              <w:rPr>
                <w:rFonts w:hint="eastAsia" w:ascii="仿宋_GB2312" w:eastAsia="仿宋_GB2312"/>
                <w:color w:val="333333"/>
                <w:w w:val="90"/>
                <w:shd w:val="clear" w:color="000000" w:fill="FFFFFF"/>
              </w:rPr>
              <w:t>各镇</w:t>
            </w:r>
            <w:r>
              <w:rPr>
                <w:rFonts w:hint="eastAsia" w:ascii="仿宋_GB2312" w:eastAsia="仿宋_GB2312"/>
                <w:color w:val="333333"/>
                <w:w w:val="90"/>
                <w:shd w:val="clear" w:color="000000" w:fill="FFFFFF"/>
                <w:lang w:eastAsia="zh-CN"/>
              </w:rPr>
              <w:t>办</w:t>
            </w:r>
            <w:r>
              <w:rPr>
                <w:rFonts w:hint="eastAsia" w:ascii="仿宋_GB2312" w:eastAsia="仿宋_GB2312"/>
                <w:color w:val="333333"/>
                <w:w w:val="90"/>
                <w:shd w:val="clear" w:color="000000" w:fill="FFFFFF"/>
              </w:rPr>
              <w:t>、区卫</w:t>
            </w:r>
            <w:r>
              <w:rPr>
                <w:rFonts w:hint="eastAsia" w:ascii="仿宋_GB2312" w:eastAsia="仿宋_GB2312"/>
                <w:color w:val="333333"/>
                <w:w w:val="90"/>
                <w:shd w:val="clear" w:color="000000" w:fill="FFFFFF"/>
                <w:lang w:eastAsia="zh-CN"/>
              </w:rPr>
              <w:t>健</w:t>
            </w:r>
            <w:r>
              <w:rPr>
                <w:rFonts w:hint="eastAsia" w:ascii="仿宋_GB2312" w:eastAsia="仿宋_GB2312"/>
                <w:color w:val="333333"/>
                <w:w w:val="90"/>
                <w:shd w:val="clear" w:color="000000" w:fill="FFFFFF"/>
              </w:rPr>
              <w:t>局、区教科体局、区住建局、区人社局</w:t>
            </w:r>
            <w:r>
              <w:rPr>
                <w:rFonts w:hint="eastAsia" w:ascii="仿宋_GB2312" w:eastAsia="仿宋_GB2312"/>
                <w:color w:val="333333"/>
                <w:w w:val="90"/>
                <w:shd w:val="clear" w:color="000000" w:fill="FFFFFF"/>
                <w:lang w:eastAsia="zh-CN"/>
              </w:rPr>
              <w:t>、区退役军人事务局</w:t>
            </w:r>
            <w:r>
              <w:rPr>
                <w:rFonts w:hint="eastAsia" w:ascii="仿宋_GB2312" w:eastAsia="仿宋_GB2312"/>
                <w:color w:val="333333"/>
                <w:w w:val="90"/>
                <w:shd w:val="clear" w:color="000000" w:fill="FFFFFF"/>
              </w:rPr>
              <w:t>等部门</w:t>
            </w:r>
          </w:p>
        </w:tc>
        <w:tc>
          <w:tcPr>
            <w:tcW w:w="783" w:type="dxa"/>
            <w:tcBorders>
              <w:top w:val="single" w:color="auto" w:sz="4" w:space="0"/>
              <w:left w:val="single" w:color="auto" w:sz="4" w:space="0"/>
              <w:bottom w:val="single" w:color="auto" w:sz="4" w:space="0"/>
              <w:right w:val="single" w:color="000000" w:sz="4" w:space="0"/>
            </w:tcBorders>
            <w:noWrap w:val="0"/>
            <w:vAlign w:val="center"/>
          </w:tcPr>
          <w:p>
            <w:pPr>
              <w:widowControl/>
              <w:shd w:val="clear" w:color="000000" w:fill="FFFFFF"/>
              <w:spacing w:line="240" w:lineRule="exact"/>
              <w:jc w:val="left"/>
              <w:rPr>
                <w:rFonts w:ascii="宋体"/>
                <w:sz w:val="20"/>
              </w:rPr>
            </w:pPr>
          </w:p>
        </w:tc>
      </w:tr>
      <w:tr>
        <w:tblPrEx>
          <w:tblLayout w:type="fixed"/>
          <w:tblCellMar>
            <w:top w:w="0" w:type="dxa"/>
            <w:left w:w="108" w:type="dxa"/>
            <w:bottom w:w="0" w:type="dxa"/>
            <w:right w:w="108" w:type="dxa"/>
          </w:tblCellMar>
        </w:tblPrEx>
        <w:trPr>
          <w:trHeight w:val="928" w:hRule="atLeast"/>
          <w:jc w:val="center"/>
        </w:trPr>
        <w:tc>
          <w:tcPr>
            <w:tcW w:w="845"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3</w:t>
            </w:r>
          </w:p>
        </w:tc>
        <w:tc>
          <w:tcPr>
            <w:tcW w:w="1628"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教育领域</w:t>
            </w:r>
          </w:p>
        </w:tc>
        <w:tc>
          <w:tcPr>
            <w:tcW w:w="7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00" w:lineRule="exact"/>
              <w:jc w:val="left"/>
              <w:rPr>
                <w:rFonts w:hint="eastAsia" w:ascii="仿宋_GB2312" w:hAnsi="仿宋_GB2312" w:eastAsia="仿宋_GB2312"/>
                <w:w w:val="90"/>
              </w:rPr>
            </w:pPr>
            <w:r>
              <w:rPr>
                <w:rFonts w:hint="eastAsia" w:ascii="仿宋_GB2312" w:hAnsi="仿宋_GB2312" w:eastAsia="仿宋_GB2312"/>
                <w:w w:val="90"/>
              </w:rPr>
              <w:t>重点做好义务教育、学前教育、特殊教育、职业教育、高等教育等方面的信息；公开相关政策、发展规划、经费投入和使用、困难学生资助实施情况等信息；做好义务教育控辍保学、县域义务教育均衡发展等工作进展情况公开。推动民办学校办学资质、办学质量、招生范围和收费等信息公开。</w:t>
            </w:r>
            <w:r>
              <w:rPr>
                <w:rFonts w:ascii="仿宋_GB2312" w:hAnsi="仿宋_GB2312" w:eastAsia="仿宋_GB2312"/>
                <w:w w:val="90"/>
              </w:rPr>
              <w:t>按年度公开全区技工院校中具有招生资质的院校名单及招生专业和技工院校资助管理相关政策。</w:t>
            </w:r>
          </w:p>
        </w:tc>
        <w:tc>
          <w:tcPr>
            <w:tcW w:w="1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40" w:lineRule="exact"/>
              <w:jc w:val="center"/>
              <w:rPr>
                <w:rFonts w:hint="eastAsia" w:ascii="仿宋_GB2312" w:eastAsia="仿宋_GB2312"/>
                <w:w w:val="90"/>
              </w:rPr>
            </w:pPr>
            <w:r>
              <w:rPr>
                <w:rFonts w:hint="eastAsia" w:ascii="仿宋_GB2312" w:eastAsia="仿宋_GB2312"/>
                <w:w w:val="90"/>
              </w:rPr>
              <w:t>区教科体局</w:t>
            </w:r>
          </w:p>
        </w:tc>
        <w:tc>
          <w:tcPr>
            <w:tcW w:w="253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shd w:val="clear" w:color="000000" w:fill="FFFFFF"/>
              <w:spacing w:line="240" w:lineRule="exact"/>
              <w:jc w:val="left"/>
              <w:rPr>
                <w:rFonts w:ascii="宋体"/>
                <w:sz w:val="20"/>
              </w:rPr>
            </w:pPr>
            <w:r>
              <w:rPr>
                <w:rFonts w:hint="eastAsia" w:ascii="仿宋_GB2312" w:eastAsia="仿宋_GB2312"/>
                <w:color w:val="333333"/>
                <w:w w:val="90"/>
                <w:shd w:val="clear" w:color="000000" w:fill="FFFFFF"/>
              </w:rPr>
              <w:t>各镇</w:t>
            </w:r>
            <w:r>
              <w:rPr>
                <w:rFonts w:hint="eastAsia" w:ascii="仿宋_GB2312" w:eastAsia="仿宋_GB2312"/>
                <w:color w:val="333333"/>
                <w:w w:val="90"/>
                <w:shd w:val="clear" w:color="000000" w:fill="FFFFFF"/>
                <w:lang w:eastAsia="zh-CN"/>
              </w:rPr>
              <w:t>办、</w:t>
            </w:r>
            <w:r>
              <w:rPr>
                <w:rFonts w:hint="eastAsia" w:ascii="仿宋_GB2312" w:eastAsia="仿宋_GB2312"/>
                <w:color w:val="333333"/>
                <w:w w:val="90"/>
                <w:shd w:val="clear" w:color="000000" w:fill="FFFFFF"/>
              </w:rPr>
              <w:t>区级各相关部门</w:t>
            </w:r>
          </w:p>
        </w:tc>
        <w:tc>
          <w:tcPr>
            <w:tcW w:w="783" w:type="dxa"/>
            <w:tcBorders>
              <w:top w:val="single" w:color="auto" w:sz="4" w:space="0"/>
              <w:left w:val="single" w:color="auto" w:sz="4" w:space="0"/>
              <w:bottom w:val="single" w:color="auto" w:sz="4" w:space="0"/>
              <w:right w:val="single" w:color="000000" w:sz="4" w:space="0"/>
            </w:tcBorders>
            <w:noWrap w:val="0"/>
            <w:vAlign w:val="center"/>
          </w:tcPr>
          <w:p>
            <w:pPr>
              <w:widowControl/>
              <w:shd w:val="clear" w:color="000000" w:fill="FFFFFF"/>
              <w:spacing w:line="240" w:lineRule="exact"/>
              <w:jc w:val="left"/>
              <w:rPr>
                <w:rFonts w:ascii="宋体"/>
                <w:sz w:val="20"/>
              </w:rPr>
            </w:pPr>
          </w:p>
        </w:tc>
      </w:tr>
      <w:tr>
        <w:tblPrEx>
          <w:tblLayout w:type="fixed"/>
          <w:tblCellMar>
            <w:top w:w="0" w:type="dxa"/>
            <w:left w:w="108" w:type="dxa"/>
            <w:bottom w:w="0" w:type="dxa"/>
            <w:right w:w="108" w:type="dxa"/>
          </w:tblCellMar>
        </w:tblPrEx>
        <w:trPr>
          <w:trHeight w:val="768" w:hRule="atLeast"/>
          <w:jc w:val="center"/>
        </w:trPr>
        <w:tc>
          <w:tcPr>
            <w:tcW w:w="845"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4</w:t>
            </w:r>
          </w:p>
        </w:tc>
        <w:tc>
          <w:tcPr>
            <w:tcW w:w="1628"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基本医疗卫生</w:t>
            </w:r>
          </w:p>
          <w:p>
            <w:pPr>
              <w:spacing w:line="240" w:lineRule="exact"/>
              <w:jc w:val="center"/>
              <w:rPr>
                <w:rFonts w:hint="eastAsia" w:ascii="仿宋_GB2312" w:eastAsia="仿宋_GB2312"/>
                <w:w w:val="90"/>
              </w:rPr>
            </w:pPr>
            <w:r>
              <w:rPr>
                <w:rFonts w:hint="eastAsia" w:ascii="仿宋_GB2312" w:eastAsia="仿宋_GB2312"/>
                <w:w w:val="90"/>
              </w:rPr>
              <w:t>领域</w:t>
            </w:r>
          </w:p>
        </w:tc>
        <w:tc>
          <w:tcPr>
            <w:tcW w:w="7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00" w:lineRule="exact"/>
              <w:jc w:val="left"/>
              <w:rPr>
                <w:rFonts w:hint="eastAsia" w:ascii="仿宋_GB2312" w:hAnsi="仿宋_GB2312" w:eastAsia="仿宋_GB2312"/>
                <w:w w:val="90"/>
              </w:rPr>
            </w:pPr>
            <w:r>
              <w:rPr>
                <w:rFonts w:hint="eastAsia" w:ascii="仿宋_GB2312" w:hAnsi="仿宋_GB2312" w:eastAsia="仿宋_GB2312"/>
                <w:w w:val="90"/>
              </w:rPr>
              <w:t>重点公开重大疾病预防控制、国家免疫规划、突发公共卫生事件、传染病疫情及防控等信息；进一步深化细化我区重点传染病专防策略，加强源头管控，公开健康防治信息。</w:t>
            </w:r>
          </w:p>
          <w:p>
            <w:pPr>
              <w:widowControl/>
              <w:shd w:val="clear" w:color="000000" w:fill="FFFFFF"/>
              <w:spacing w:line="200" w:lineRule="exact"/>
              <w:jc w:val="left"/>
              <w:rPr>
                <w:rFonts w:hint="eastAsia" w:ascii="仿宋_GB2312" w:hAnsi="仿宋_GB2312" w:eastAsia="仿宋_GB2312"/>
                <w:w w:val="90"/>
              </w:rPr>
            </w:pPr>
            <w:r>
              <w:rPr>
                <w:rFonts w:hint="eastAsia" w:ascii="仿宋_GB2312" w:hAnsi="仿宋_GB2312" w:eastAsia="仿宋_GB2312"/>
                <w:w w:val="90"/>
              </w:rPr>
              <w:t>区级卫计部门定期发布法定传染病疫情信息，每月发布健康提示信息。做好疾病应急救助、健康扶贫政策落实情况公开。</w:t>
            </w:r>
            <w:r>
              <w:rPr>
                <w:rFonts w:ascii="仿宋_GB2312" w:hAnsi="仿宋_GB2312" w:eastAsia="仿宋_GB2312"/>
                <w:w w:val="90"/>
              </w:rPr>
              <w:t>及时公开行政许可、监督检查、行政处罚、信用评级、风险评级等监管信息，完善推广企业“黑名单”制度。</w:t>
            </w:r>
          </w:p>
        </w:tc>
        <w:tc>
          <w:tcPr>
            <w:tcW w:w="1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40" w:lineRule="exact"/>
              <w:jc w:val="center"/>
              <w:rPr>
                <w:rFonts w:hint="eastAsia" w:ascii="仿宋_GB2312" w:eastAsia="仿宋_GB2312"/>
                <w:w w:val="90"/>
              </w:rPr>
            </w:pPr>
            <w:r>
              <w:rPr>
                <w:rFonts w:hint="eastAsia" w:ascii="仿宋_GB2312" w:eastAsia="仿宋_GB2312"/>
                <w:w w:val="90"/>
              </w:rPr>
              <w:t>区卫</w:t>
            </w:r>
            <w:r>
              <w:rPr>
                <w:rFonts w:hint="eastAsia" w:ascii="仿宋_GB2312" w:eastAsia="仿宋_GB2312"/>
                <w:w w:val="90"/>
                <w:lang w:eastAsia="zh-CN"/>
              </w:rPr>
              <w:t>健</w:t>
            </w:r>
            <w:r>
              <w:rPr>
                <w:rFonts w:hint="eastAsia" w:ascii="仿宋_GB2312" w:eastAsia="仿宋_GB2312"/>
                <w:w w:val="90"/>
              </w:rPr>
              <w:t>局</w:t>
            </w:r>
          </w:p>
        </w:tc>
        <w:tc>
          <w:tcPr>
            <w:tcW w:w="253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shd w:val="clear" w:color="000000" w:fill="FFFFFF"/>
              <w:spacing w:line="240" w:lineRule="exact"/>
              <w:jc w:val="left"/>
              <w:rPr>
                <w:rFonts w:hint="eastAsia" w:ascii="仿宋_GB2312" w:eastAsia="仿宋_GB2312"/>
                <w:color w:val="333333"/>
                <w:w w:val="90"/>
                <w:shd w:val="clear" w:color="000000" w:fill="FFFFFF"/>
              </w:rPr>
            </w:pPr>
            <w:r>
              <w:rPr>
                <w:rFonts w:hint="eastAsia" w:ascii="仿宋_GB2312" w:eastAsia="仿宋_GB2312"/>
                <w:color w:val="333333"/>
                <w:w w:val="90"/>
                <w:shd w:val="clear" w:color="000000" w:fill="FFFFFF"/>
              </w:rPr>
              <w:t>各镇</w:t>
            </w:r>
            <w:r>
              <w:rPr>
                <w:rFonts w:hint="eastAsia" w:ascii="仿宋_GB2312" w:eastAsia="仿宋_GB2312"/>
                <w:color w:val="333333"/>
                <w:w w:val="90"/>
                <w:shd w:val="clear" w:color="000000" w:fill="FFFFFF"/>
                <w:lang w:eastAsia="zh-CN"/>
              </w:rPr>
              <w:t>办</w:t>
            </w:r>
            <w:r>
              <w:rPr>
                <w:rFonts w:hint="eastAsia" w:ascii="仿宋_GB2312" w:eastAsia="仿宋_GB2312"/>
                <w:color w:val="333333"/>
                <w:w w:val="90"/>
                <w:shd w:val="clear" w:color="000000" w:fill="FFFFFF"/>
              </w:rPr>
              <w:t>、区人社局、区市场监管局</w:t>
            </w:r>
            <w:r>
              <w:rPr>
                <w:rFonts w:hint="eastAsia" w:ascii="仿宋_GB2312" w:eastAsia="仿宋_GB2312"/>
                <w:color w:val="333333"/>
                <w:w w:val="90"/>
                <w:shd w:val="clear" w:color="000000" w:fill="FFFFFF"/>
                <w:lang w:eastAsia="zh-CN"/>
              </w:rPr>
              <w:t>、区医保局</w:t>
            </w:r>
            <w:r>
              <w:rPr>
                <w:rFonts w:hint="eastAsia" w:ascii="仿宋_GB2312" w:eastAsia="仿宋_GB2312"/>
                <w:color w:val="333333"/>
                <w:w w:val="90"/>
                <w:shd w:val="clear" w:color="000000" w:fill="FFFFFF"/>
              </w:rPr>
              <w:t>等部门</w:t>
            </w:r>
          </w:p>
        </w:tc>
        <w:tc>
          <w:tcPr>
            <w:tcW w:w="783" w:type="dxa"/>
            <w:tcBorders>
              <w:top w:val="single" w:color="auto" w:sz="4" w:space="0"/>
              <w:left w:val="single" w:color="auto" w:sz="4" w:space="0"/>
              <w:bottom w:val="single" w:color="auto" w:sz="4" w:space="0"/>
              <w:right w:val="single" w:color="000000" w:sz="4" w:space="0"/>
            </w:tcBorders>
            <w:noWrap w:val="0"/>
            <w:vAlign w:val="center"/>
          </w:tcPr>
          <w:p>
            <w:pPr>
              <w:widowControl/>
              <w:shd w:val="clear" w:color="000000" w:fill="FFFFFF"/>
              <w:spacing w:line="240" w:lineRule="exact"/>
              <w:jc w:val="left"/>
              <w:rPr>
                <w:rFonts w:ascii="宋体"/>
                <w:sz w:val="20"/>
              </w:rPr>
            </w:pPr>
          </w:p>
        </w:tc>
      </w:tr>
      <w:tr>
        <w:tblPrEx>
          <w:tblLayout w:type="fixed"/>
          <w:tblCellMar>
            <w:top w:w="0" w:type="dxa"/>
            <w:left w:w="108" w:type="dxa"/>
            <w:bottom w:w="0" w:type="dxa"/>
            <w:right w:w="108" w:type="dxa"/>
          </w:tblCellMar>
        </w:tblPrEx>
        <w:trPr>
          <w:trHeight w:val="944" w:hRule="atLeast"/>
          <w:jc w:val="center"/>
        </w:trPr>
        <w:tc>
          <w:tcPr>
            <w:tcW w:w="845"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5</w:t>
            </w:r>
          </w:p>
        </w:tc>
        <w:tc>
          <w:tcPr>
            <w:tcW w:w="1628"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环境保护领域</w:t>
            </w:r>
          </w:p>
        </w:tc>
        <w:tc>
          <w:tcPr>
            <w:tcW w:w="7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00" w:lineRule="exact"/>
              <w:jc w:val="left"/>
              <w:rPr>
                <w:rFonts w:hint="eastAsia" w:ascii="仿宋_GB2312" w:eastAsia="仿宋_GB2312"/>
                <w:w w:val="90"/>
              </w:rPr>
            </w:pPr>
            <w:r>
              <w:rPr>
                <w:rFonts w:hint="eastAsia" w:ascii="仿宋_GB2312" w:eastAsia="仿宋_GB2312"/>
                <w:w w:val="90"/>
              </w:rPr>
              <w:t>公开大气污染防治、水污染防治、土壤污染管控和修复等信息，空气、水质等环境质量信息，重点公开环境污染防治和生态保护政策措施、实施效果，污染源监测及减排，建设项目环境影响评价审批，重大环境污染和生态破坏事件调查处理，环境保护执法监管、投诉处理等信息。统筹做好重污染天气期间信息发布、舆情引导等工作，及时发布大范围重污染天气预警提示信息。及时公开矿山企业矿山地质环境保护与土地复垦方案、方案实施情况抽查结果等信息。建立健全环保信息强制性披露制度。</w:t>
            </w:r>
          </w:p>
        </w:tc>
        <w:tc>
          <w:tcPr>
            <w:tcW w:w="1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40" w:lineRule="exact"/>
              <w:jc w:val="center"/>
              <w:rPr>
                <w:rFonts w:hint="eastAsia" w:ascii="仿宋_GB2312" w:eastAsia="仿宋_GB2312"/>
                <w:w w:val="90"/>
              </w:rPr>
            </w:pPr>
            <w:r>
              <w:rPr>
                <w:rFonts w:hint="eastAsia" w:ascii="仿宋_GB2312" w:eastAsia="仿宋_GB2312"/>
                <w:color w:val="333333"/>
                <w:w w:val="90"/>
                <w:szCs w:val="21"/>
                <w:shd w:val="clear" w:color="000000" w:fill="FFFFFF"/>
              </w:rPr>
              <w:t>区</w:t>
            </w:r>
            <w:r>
              <w:rPr>
                <w:rFonts w:hint="eastAsia" w:ascii="仿宋_GB2312" w:eastAsia="仿宋_GB2312"/>
                <w:color w:val="333333"/>
                <w:w w:val="90"/>
                <w:szCs w:val="21"/>
                <w:shd w:val="clear" w:color="000000" w:fill="FFFFFF"/>
                <w:lang w:eastAsia="zh-CN"/>
              </w:rPr>
              <w:t>生态环境分</w:t>
            </w:r>
            <w:r>
              <w:rPr>
                <w:rFonts w:hint="eastAsia" w:ascii="仿宋_GB2312" w:eastAsia="仿宋_GB2312"/>
                <w:color w:val="333333"/>
                <w:w w:val="90"/>
                <w:szCs w:val="21"/>
                <w:shd w:val="clear" w:color="000000" w:fill="FFFFFF"/>
              </w:rPr>
              <w:t>局</w:t>
            </w:r>
          </w:p>
        </w:tc>
        <w:tc>
          <w:tcPr>
            <w:tcW w:w="253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shd w:val="clear" w:color="000000" w:fill="FFFFFF"/>
              <w:spacing w:line="240" w:lineRule="exact"/>
              <w:jc w:val="left"/>
              <w:rPr>
                <w:rFonts w:ascii="宋体"/>
                <w:sz w:val="20"/>
              </w:rPr>
            </w:pPr>
            <w:r>
              <w:rPr>
                <w:rFonts w:hint="eastAsia" w:ascii="仿宋_GB2312" w:eastAsia="仿宋_GB2312"/>
                <w:color w:val="333333"/>
                <w:w w:val="90"/>
                <w:shd w:val="clear" w:color="000000" w:fill="FFFFFF"/>
              </w:rPr>
              <w:t>各镇</w:t>
            </w:r>
            <w:r>
              <w:rPr>
                <w:rFonts w:hint="eastAsia" w:ascii="仿宋_GB2312" w:eastAsia="仿宋_GB2312"/>
                <w:color w:val="333333"/>
                <w:w w:val="90"/>
                <w:shd w:val="clear" w:color="000000" w:fill="FFFFFF"/>
                <w:lang w:eastAsia="zh-CN"/>
              </w:rPr>
              <w:t>办、</w:t>
            </w:r>
            <w:r>
              <w:rPr>
                <w:rFonts w:hint="eastAsia" w:ascii="仿宋_GB2312" w:eastAsia="仿宋_GB2312"/>
                <w:color w:val="333333"/>
                <w:w w:val="90"/>
                <w:shd w:val="clear" w:color="000000" w:fill="FFFFFF"/>
              </w:rPr>
              <w:t>区</w:t>
            </w:r>
            <w:r>
              <w:rPr>
                <w:rFonts w:hint="eastAsia" w:ascii="仿宋_GB2312" w:eastAsia="仿宋_GB2312"/>
                <w:color w:val="333333"/>
                <w:w w:val="90"/>
                <w:shd w:val="clear" w:color="000000" w:fill="FFFFFF"/>
                <w:lang w:eastAsia="zh-CN"/>
              </w:rPr>
              <w:t>自然资源</w:t>
            </w:r>
            <w:r>
              <w:rPr>
                <w:rFonts w:hint="eastAsia" w:ascii="仿宋_GB2312" w:eastAsia="仿宋_GB2312"/>
                <w:color w:val="333333"/>
                <w:w w:val="90"/>
                <w:shd w:val="clear" w:color="000000" w:fill="FFFFFF"/>
              </w:rPr>
              <w:t>分局等部门</w:t>
            </w:r>
          </w:p>
        </w:tc>
        <w:tc>
          <w:tcPr>
            <w:tcW w:w="783" w:type="dxa"/>
            <w:tcBorders>
              <w:top w:val="single" w:color="auto" w:sz="4" w:space="0"/>
              <w:left w:val="single" w:color="auto" w:sz="4" w:space="0"/>
              <w:bottom w:val="single" w:color="auto" w:sz="4" w:space="0"/>
              <w:right w:val="single" w:color="000000" w:sz="4" w:space="0"/>
            </w:tcBorders>
            <w:noWrap w:val="0"/>
            <w:vAlign w:val="center"/>
          </w:tcPr>
          <w:p>
            <w:pPr>
              <w:widowControl/>
              <w:shd w:val="clear" w:color="000000" w:fill="FFFFFF"/>
              <w:spacing w:line="240" w:lineRule="exact"/>
              <w:jc w:val="left"/>
              <w:rPr>
                <w:rFonts w:ascii="宋体"/>
                <w:sz w:val="20"/>
              </w:rPr>
            </w:pPr>
          </w:p>
        </w:tc>
      </w:tr>
      <w:tr>
        <w:tblPrEx>
          <w:tblLayout w:type="fixed"/>
          <w:tblCellMar>
            <w:top w:w="0" w:type="dxa"/>
            <w:left w:w="108" w:type="dxa"/>
            <w:bottom w:w="0" w:type="dxa"/>
            <w:right w:w="108" w:type="dxa"/>
          </w:tblCellMar>
        </w:tblPrEx>
        <w:trPr>
          <w:trHeight w:val="795" w:hRule="atLeast"/>
          <w:jc w:val="center"/>
        </w:trPr>
        <w:tc>
          <w:tcPr>
            <w:tcW w:w="845"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6</w:t>
            </w:r>
          </w:p>
        </w:tc>
        <w:tc>
          <w:tcPr>
            <w:tcW w:w="1628"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灾害事故救援</w:t>
            </w:r>
          </w:p>
          <w:p>
            <w:pPr>
              <w:spacing w:line="240" w:lineRule="exact"/>
              <w:jc w:val="center"/>
              <w:rPr>
                <w:rFonts w:hint="eastAsia" w:ascii="仿宋_GB2312" w:eastAsia="仿宋_GB2312"/>
                <w:w w:val="90"/>
              </w:rPr>
            </w:pPr>
            <w:r>
              <w:rPr>
                <w:rFonts w:hint="eastAsia" w:ascii="仿宋_GB2312" w:eastAsia="仿宋_GB2312"/>
                <w:w w:val="90"/>
              </w:rPr>
              <w:t>领域</w:t>
            </w:r>
          </w:p>
        </w:tc>
        <w:tc>
          <w:tcPr>
            <w:tcW w:w="7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00" w:lineRule="exact"/>
              <w:jc w:val="left"/>
              <w:rPr>
                <w:rFonts w:hint="eastAsia" w:ascii="仿宋_GB2312" w:eastAsia="仿宋_GB2312"/>
                <w:w w:val="90"/>
              </w:rPr>
            </w:pPr>
            <w:r>
              <w:rPr>
                <w:rFonts w:hint="eastAsia" w:ascii="仿宋_GB2312" w:eastAsia="仿宋_GB2312"/>
                <w:w w:val="90"/>
              </w:rPr>
              <w:t>及时发布自然灾害、重大事故灾难、公共卫生事件、极端天气气候等突发事件的应急处置与救援、医疗救护与卫生防疫、农业生产影响、次生灾害预警防范等工作情况及动态信息。及时发布灾情核定、灾害救助需求信息，推动做好救助款物和捐赠款物的数量、使用情况，救助对象及其接受救助款物数额，灾后恢复重建工作进展等信息的公开工作。</w:t>
            </w:r>
          </w:p>
        </w:tc>
        <w:tc>
          <w:tcPr>
            <w:tcW w:w="1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40" w:lineRule="exact"/>
              <w:jc w:val="center"/>
              <w:rPr>
                <w:rFonts w:hint="eastAsia" w:ascii="仿宋_GB2312" w:eastAsia="仿宋_GB2312"/>
                <w:w w:val="90"/>
              </w:rPr>
            </w:pPr>
            <w:r>
              <w:rPr>
                <w:rFonts w:hint="eastAsia" w:ascii="仿宋_GB2312" w:eastAsia="仿宋_GB2312"/>
                <w:w w:val="90"/>
              </w:rPr>
              <w:t>区</w:t>
            </w:r>
            <w:r>
              <w:rPr>
                <w:rFonts w:hint="eastAsia" w:ascii="仿宋_GB2312" w:eastAsia="仿宋_GB2312"/>
                <w:w w:val="90"/>
                <w:lang w:eastAsia="zh-CN"/>
              </w:rPr>
              <w:t>应急</w:t>
            </w:r>
            <w:r>
              <w:rPr>
                <w:rFonts w:hint="eastAsia" w:ascii="仿宋_GB2312" w:eastAsia="仿宋_GB2312"/>
                <w:w w:val="90"/>
              </w:rPr>
              <w:t>局</w:t>
            </w:r>
          </w:p>
        </w:tc>
        <w:tc>
          <w:tcPr>
            <w:tcW w:w="253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shd w:val="clear" w:color="000000" w:fill="FFFFFF"/>
              <w:spacing w:line="240" w:lineRule="exact"/>
              <w:jc w:val="left"/>
              <w:rPr>
                <w:rFonts w:ascii="宋体"/>
                <w:sz w:val="20"/>
              </w:rPr>
            </w:pPr>
            <w:r>
              <w:rPr>
                <w:rFonts w:hint="eastAsia" w:ascii="仿宋_GB2312" w:eastAsia="仿宋_GB2312"/>
                <w:color w:val="333333"/>
                <w:w w:val="90"/>
                <w:shd w:val="clear" w:color="000000" w:fill="FFFFFF"/>
              </w:rPr>
              <w:t>各镇</w:t>
            </w:r>
            <w:r>
              <w:rPr>
                <w:rFonts w:hint="eastAsia" w:ascii="仿宋_GB2312" w:eastAsia="仿宋_GB2312"/>
                <w:color w:val="333333"/>
                <w:w w:val="90"/>
                <w:shd w:val="clear" w:color="000000" w:fill="FFFFFF"/>
                <w:lang w:eastAsia="zh-CN"/>
              </w:rPr>
              <w:t>办</w:t>
            </w:r>
            <w:r>
              <w:rPr>
                <w:rFonts w:hint="eastAsia" w:ascii="仿宋_GB2312" w:eastAsia="仿宋_GB2312"/>
                <w:color w:val="333333"/>
                <w:w w:val="90"/>
                <w:shd w:val="clear" w:color="000000" w:fill="FFFFFF"/>
              </w:rPr>
              <w:t>、区</w:t>
            </w:r>
            <w:r>
              <w:rPr>
                <w:rFonts w:hint="eastAsia" w:ascii="仿宋_GB2312" w:eastAsia="仿宋_GB2312"/>
                <w:color w:val="333333"/>
                <w:w w:val="90"/>
                <w:shd w:val="clear" w:color="000000" w:fill="FFFFFF"/>
                <w:lang w:eastAsia="zh-CN"/>
              </w:rPr>
              <w:t>自然资源</w:t>
            </w:r>
            <w:r>
              <w:rPr>
                <w:rFonts w:hint="eastAsia" w:ascii="仿宋_GB2312" w:eastAsia="仿宋_GB2312"/>
                <w:color w:val="333333"/>
                <w:w w:val="90"/>
                <w:shd w:val="clear" w:color="000000" w:fill="FFFFFF"/>
              </w:rPr>
              <w:t>分局、区卫</w:t>
            </w:r>
            <w:r>
              <w:rPr>
                <w:rFonts w:hint="eastAsia" w:ascii="仿宋_GB2312" w:eastAsia="仿宋_GB2312"/>
                <w:color w:val="333333"/>
                <w:w w:val="90"/>
                <w:shd w:val="clear" w:color="000000" w:fill="FFFFFF"/>
                <w:lang w:eastAsia="zh-CN"/>
              </w:rPr>
              <w:t>健</w:t>
            </w:r>
            <w:r>
              <w:rPr>
                <w:rFonts w:hint="eastAsia" w:ascii="仿宋_GB2312" w:eastAsia="仿宋_GB2312"/>
                <w:color w:val="333333"/>
                <w:w w:val="90"/>
                <w:shd w:val="clear" w:color="000000" w:fill="FFFFFF"/>
              </w:rPr>
              <w:t>局、</w:t>
            </w:r>
            <w:r>
              <w:rPr>
                <w:rFonts w:hint="eastAsia" w:ascii="仿宋_GB2312" w:eastAsia="仿宋_GB2312"/>
                <w:color w:val="333333"/>
                <w:w w:val="90"/>
                <w:shd w:val="clear" w:color="000000" w:fill="FFFFFF"/>
                <w:lang w:eastAsia="zh-CN"/>
              </w:rPr>
              <w:t>区文旅局</w:t>
            </w:r>
            <w:r>
              <w:rPr>
                <w:rFonts w:hint="eastAsia" w:ascii="仿宋_GB2312" w:eastAsia="仿宋_GB2312"/>
                <w:color w:val="333333"/>
                <w:w w:val="90"/>
                <w:shd w:val="clear" w:color="000000" w:fill="FFFFFF"/>
              </w:rPr>
              <w:t>、区</w:t>
            </w:r>
            <w:r>
              <w:rPr>
                <w:rFonts w:hint="eastAsia" w:ascii="仿宋_GB2312" w:eastAsia="仿宋_GB2312"/>
                <w:color w:val="333333"/>
                <w:w w:val="90"/>
                <w:shd w:val="clear" w:color="000000" w:fill="FFFFFF"/>
                <w:lang w:eastAsia="zh-CN"/>
              </w:rPr>
              <w:t>民政局</w:t>
            </w:r>
            <w:r>
              <w:rPr>
                <w:rFonts w:hint="eastAsia" w:ascii="仿宋_GB2312" w:eastAsia="仿宋_GB2312"/>
                <w:color w:val="333333"/>
                <w:w w:val="90"/>
                <w:shd w:val="clear" w:color="000000" w:fill="FFFFFF"/>
              </w:rPr>
              <w:t>等部门</w:t>
            </w:r>
          </w:p>
        </w:tc>
        <w:tc>
          <w:tcPr>
            <w:tcW w:w="783" w:type="dxa"/>
            <w:tcBorders>
              <w:top w:val="single" w:color="auto" w:sz="4" w:space="0"/>
              <w:left w:val="single" w:color="auto" w:sz="4" w:space="0"/>
              <w:bottom w:val="single" w:color="auto" w:sz="4" w:space="0"/>
              <w:right w:val="single" w:color="000000" w:sz="4" w:space="0"/>
            </w:tcBorders>
            <w:noWrap w:val="0"/>
            <w:vAlign w:val="center"/>
          </w:tcPr>
          <w:p>
            <w:pPr>
              <w:widowControl/>
              <w:shd w:val="clear" w:color="000000" w:fill="FFFFFF"/>
              <w:spacing w:line="240" w:lineRule="exact"/>
              <w:jc w:val="left"/>
              <w:rPr>
                <w:rFonts w:ascii="宋体"/>
                <w:sz w:val="20"/>
              </w:rPr>
            </w:pPr>
          </w:p>
        </w:tc>
      </w:tr>
      <w:tr>
        <w:tblPrEx>
          <w:tblLayout w:type="fixed"/>
          <w:tblCellMar>
            <w:top w:w="0" w:type="dxa"/>
            <w:left w:w="108" w:type="dxa"/>
            <w:bottom w:w="0" w:type="dxa"/>
            <w:right w:w="108" w:type="dxa"/>
          </w:tblCellMar>
        </w:tblPrEx>
        <w:trPr>
          <w:trHeight w:val="767" w:hRule="atLeast"/>
          <w:jc w:val="center"/>
        </w:trPr>
        <w:tc>
          <w:tcPr>
            <w:tcW w:w="845" w:type="dxa"/>
            <w:tcBorders>
              <w:top w:val="single" w:color="000000" w:sz="4" w:space="0"/>
              <w:left w:val="single" w:color="000000" w:sz="4" w:space="0"/>
              <w:bottom w:val="single" w:color="000000" w:sz="4" w:space="0"/>
              <w:right w:val="single" w:color="auto"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7</w:t>
            </w:r>
          </w:p>
        </w:tc>
        <w:tc>
          <w:tcPr>
            <w:tcW w:w="1628"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rPr>
                <w:rFonts w:hint="eastAsia" w:ascii="仿宋_GB2312" w:eastAsia="仿宋_GB2312"/>
                <w:w w:val="90"/>
              </w:rPr>
            </w:pPr>
            <w:r>
              <w:rPr>
                <w:rFonts w:hint="eastAsia" w:ascii="仿宋_GB2312" w:eastAsia="仿宋_GB2312"/>
                <w:w w:val="90"/>
              </w:rPr>
              <w:t>公共文化体育</w:t>
            </w:r>
          </w:p>
          <w:p>
            <w:pPr>
              <w:spacing w:line="240" w:lineRule="exact"/>
              <w:jc w:val="center"/>
              <w:rPr>
                <w:rFonts w:hint="eastAsia" w:ascii="仿宋_GB2312" w:eastAsia="仿宋_GB2312"/>
                <w:w w:val="90"/>
              </w:rPr>
            </w:pPr>
            <w:r>
              <w:rPr>
                <w:rFonts w:hint="eastAsia" w:ascii="仿宋_GB2312" w:eastAsia="仿宋_GB2312"/>
                <w:w w:val="90"/>
              </w:rPr>
              <w:t>领域</w:t>
            </w:r>
          </w:p>
        </w:tc>
        <w:tc>
          <w:tcPr>
            <w:tcW w:w="75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00" w:lineRule="exact"/>
              <w:jc w:val="left"/>
              <w:rPr>
                <w:rFonts w:hint="eastAsia" w:ascii="仿宋_GB2312" w:eastAsia="仿宋_GB2312"/>
                <w:w w:val="90"/>
              </w:rPr>
            </w:pPr>
            <w:r>
              <w:rPr>
                <w:rFonts w:hint="eastAsia" w:ascii="仿宋_GB2312" w:eastAsia="仿宋_GB2312"/>
                <w:w w:val="90"/>
              </w:rPr>
              <w:t>大力推进公共文化体育的服务保障政策、服务体系建设、财政资金投入和使用、设施建设和使用，政府购买公共文化体育服务的目录、绩效评价结果等信息。公开文化遗产保护、公共文化体育设施名录、公益性文化服务活动、公益性体育赛事和活动、受捐款物管理使用等情况。</w:t>
            </w:r>
          </w:p>
        </w:tc>
        <w:tc>
          <w:tcPr>
            <w:tcW w:w="14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000000" w:fill="FFFFFF"/>
              <w:spacing w:line="240" w:lineRule="exact"/>
              <w:jc w:val="center"/>
              <w:rPr>
                <w:rFonts w:hint="eastAsia" w:ascii="仿宋_GB2312" w:eastAsia="仿宋_GB2312"/>
                <w:w w:val="90"/>
              </w:rPr>
            </w:pPr>
            <w:r>
              <w:rPr>
                <w:rFonts w:hint="eastAsia" w:ascii="仿宋_GB2312" w:eastAsia="仿宋_GB2312"/>
                <w:w w:val="90"/>
              </w:rPr>
              <w:t>区文</w:t>
            </w:r>
            <w:r>
              <w:rPr>
                <w:rFonts w:hint="eastAsia" w:ascii="仿宋_GB2312" w:eastAsia="仿宋_GB2312"/>
                <w:w w:val="90"/>
                <w:lang w:eastAsia="zh-CN"/>
              </w:rPr>
              <w:t>旅</w:t>
            </w:r>
            <w:r>
              <w:rPr>
                <w:rFonts w:hint="eastAsia" w:ascii="仿宋_GB2312" w:eastAsia="仿宋_GB2312"/>
                <w:w w:val="90"/>
              </w:rPr>
              <w:t>局</w:t>
            </w:r>
          </w:p>
        </w:tc>
        <w:tc>
          <w:tcPr>
            <w:tcW w:w="253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widowControl/>
              <w:shd w:val="clear" w:color="000000" w:fill="FFFFFF"/>
              <w:spacing w:line="240" w:lineRule="exact"/>
              <w:jc w:val="left"/>
              <w:rPr>
                <w:rFonts w:ascii="宋体"/>
                <w:sz w:val="20"/>
              </w:rPr>
            </w:pPr>
            <w:r>
              <w:rPr>
                <w:rFonts w:hint="eastAsia" w:ascii="仿宋_GB2312" w:eastAsia="仿宋_GB2312"/>
                <w:color w:val="333333"/>
                <w:w w:val="90"/>
                <w:shd w:val="clear" w:color="000000" w:fill="FFFFFF"/>
              </w:rPr>
              <w:t>各镇</w:t>
            </w:r>
            <w:r>
              <w:rPr>
                <w:rFonts w:hint="eastAsia" w:ascii="仿宋_GB2312" w:eastAsia="仿宋_GB2312"/>
                <w:color w:val="333333"/>
                <w:w w:val="90"/>
                <w:shd w:val="clear" w:color="000000" w:fill="FFFFFF"/>
                <w:lang w:eastAsia="zh-CN"/>
              </w:rPr>
              <w:t>办、</w:t>
            </w:r>
            <w:r>
              <w:rPr>
                <w:rFonts w:hint="eastAsia" w:ascii="仿宋_GB2312" w:eastAsia="仿宋_GB2312"/>
                <w:color w:val="333333"/>
                <w:w w:val="90"/>
                <w:shd w:val="clear" w:color="000000" w:fill="FFFFFF"/>
              </w:rPr>
              <w:t>区级各相关部门</w:t>
            </w:r>
          </w:p>
        </w:tc>
        <w:tc>
          <w:tcPr>
            <w:tcW w:w="783" w:type="dxa"/>
            <w:tcBorders>
              <w:top w:val="single" w:color="auto" w:sz="4" w:space="0"/>
              <w:left w:val="single" w:color="auto" w:sz="4" w:space="0"/>
              <w:bottom w:val="single" w:color="auto" w:sz="4" w:space="0"/>
              <w:right w:val="single" w:color="000000" w:sz="4" w:space="0"/>
            </w:tcBorders>
            <w:noWrap w:val="0"/>
            <w:vAlign w:val="center"/>
          </w:tcPr>
          <w:p>
            <w:pPr>
              <w:widowControl/>
              <w:shd w:val="clear" w:color="000000" w:fill="FFFFFF"/>
              <w:spacing w:line="240" w:lineRule="exact"/>
              <w:jc w:val="left"/>
              <w:rPr>
                <w:rFonts w:ascii="宋体"/>
                <w:sz w:val="20"/>
              </w:rPr>
            </w:pPr>
          </w:p>
        </w:tc>
      </w:tr>
    </w:tbl>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15C14"/>
    <w:rsid w:val="22C1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2019-07-11T02:52:00Z</dcterms:created>
  <dc:creator>有关风月 却无关你我</dc:creator>
  <cp:lastModifiedBy>有关风月 却无关你我</cp:lastModifiedBy>
  <dcterms:modified xsi:type="dcterms:W3CDTF">2019-07-11T02:52:51Z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