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铜川市</w:t>
      </w: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王益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区重大建设项目批准和实施领域政府信息公开工作任务分解表</w:t>
      </w:r>
    </w:p>
    <w:tbl>
      <w:tblPr>
        <w:tblStyle w:val="4"/>
        <w:tblW w:w="14742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56"/>
        <w:gridCol w:w="6634"/>
        <w:gridCol w:w="1680"/>
        <w:gridCol w:w="2823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公开领域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公开内容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牵头单位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责任单位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１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批准服务信息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申报要求、申报材料清单、批准流程、办理时限、受理机构联系方式、监督举报方式等。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区发改局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区级各有关部门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批准结果信息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项目建议书审批结果、可行性研究报告审批结果、初步设计文件审批结果、项目核准结果、节能审查意见、建设项目选址意见审批结果、建设项目用地预审结果、建设项目使用林地审核（批）结果、环境影响评价审批文件、建设用地规划许可审批结果、建设工程规划类许可审批结果、施工许可（开工报告）审批结果、招标事项审批核准结果，取水许可、水土保持方案、洪水影响评价类等涉水事项审批结果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区发改局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自然资源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分局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、区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  <w:lang w:eastAsia="zh-CN"/>
              </w:rPr>
              <w:t>生态环境分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局、区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  <w:lang w:eastAsia="zh-CN"/>
              </w:rPr>
              <w:t>农业农村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局、区住建局、区水务局等部门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３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招标投标信息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依法必须招标项目的审批核准备案信息、市场主体信用等信息。除涉及国家秘密、商业秘密外，资格预审公告、招标公告、中标候选人、中标结果、合同订立及履行情况、招标投标违法行为处罚信息等。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区发改局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区住建局、区财政局等部门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４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征收土地信息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自然资源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分局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区级各相关部门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５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重大设计变更信息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项目设计变更原因、主要变更内容、变更依据、批准单位、变更结果等。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区发改局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区级各相关部门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６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施工有关信息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项目法人单位及其主要负责人信息，设计、施工、监理单位及其主要负责人、项目负责人信息、资质情况，施工单位项目管理机构设置、工作职责、主要管理制度，施工期环境保护措施落实情况等。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区住建局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区级各有关部门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７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质量安全监督信息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质量安全监督机构及其联系方式、质量安全行政处罚情况等。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区市场监管局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  <w:lang w:eastAsia="zh-CN"/>
              </w:rPr>
              <w:t>应急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局等部门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８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资金管理信息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项目资金到位和使用情况、政府资金到位、使用情况等。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区发改局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区级各有关部门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９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竣工有关信息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竣工验收时间、工程质量验收结果，竣工验收备案时间、备案编号、备案部门、交付使用时间，竣工决算审计单位、审计结论、财务决算金额等。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8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区住建局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zCs w:val="21"/>
                <w:shd w:val="clear" w:color="000000" w:fill="FFFFFF"/>
              </w:rPr>
              <w:t>区级各有关部门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32188"/>
    <w:rsid w:val="33B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2019-07-11T02:50:00Z</dcterms:created>
  <dc:creator>有关风月 却无关你我</dc:creator>
  <cp:lastModifiedBy>有关风月 却无关你我</cp:lastModifiedBy>
  <dcterms:modified xsi:type="dcterms:W3CDTF">2019-07-11T02:51:33Z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