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bidi="ar"/>
        </w:rPr>
        <w:t>附件1</w:t>
      </w:r>
      <w:r>
        <w:rPr>
          <w:rFonts w:hint="eastAsia" w:ascii="黑体" w:eastAsia="黑体" w:cs="黑体"/>
          <w:sz w:val="32"/>
          <w:szCs w:val="32"/>
          <w:lang w:val="en-US" w:eastAsia="zh-CN" w:bidi="ar"/>
        </w:rPr>
        <w:t>: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清理拖欠民营企业中小企业账款工作台账报表</w:t>
      </w:r>
    </w:p>
    <w:bookmarkEnd w:id="0"/>
    <w:p>
      <w:pPr>
        <w:spacing w:before="144" w:beforeLines="25"/>
        <w:rPr>
          <w:rFonts w:hint="eastAsia"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  <w:lang w:bidi="ar"/>
        </w:rPr>
        <w:t>填报单位（盖章）：           截至时间：    年   月   日               单位：万元</w:t>
      </w:r>
    </w:p>
    <w:tbl>
      <w:tblPr>
        <w:tblStyle w:val="5"/>
        <w:tblW w:w="148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15"/>
        <w:gridCol w:w="1055"/>
        <w:gridCol w:w="1055"/>
        <w:gridCol w:w="1055"/>
        <w:gridCol w:w="1062"/>
        <w:gridCol w:w="1055"/>
        <w:gridCol w:w="1055"/>
        <w:gridCol w:w="1607"/>
        <w:gridCol w:w="1451"/>
        <w:gridCol w:w="1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项</w:t>
            </w:r>
            <w:r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目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拖欠账款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（一）拖欠农民工工资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（二）两款一金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（三）财政已下达资金预算或调剂解决资金渠道的欠款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（四）保留入库的</w:t>
            </w:r>
            <w:r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  <w:lang w:bidi="ar"/>
              </w:rPr>
              <w:t>PPP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项目到期应付合同款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（五）被叫停</w:t>
            </w:r>
            <w:r>
              <w:rPr>
                <w:rFonts w:hint="eastAsia" w:ascii="黑体" w:hAnsi="宋体" w:eastAsia="黑体" w:cs="黑体"/>
                <w:color w:val="000000"/>
                <w:kern w:val="24"/>
                <w:sz w:val="24"/>
                <w:szCs w:val="24"/>
                <w:lang w:bidi="ar"/>
              </w:rPr>
              <w:t>PPP</w:t>
            </w:r>
            <w:r>
              <w:rPr>
                <w:rFonts w:hint="eastAsia" w:ascii="黑体" w:hAnsi="宋体" w:eastAsia="黑体" w:cs="黑体"/>
                <w:snapToGrid w:val="0"/>
                <w:color w:val="000000"/>
                <w:kern w:val="24"/>
                <w:sz w:val="24"/>
                <w:szCs w:val="24"/>
                <w:lang w:bidi="ar"/>
              </w:rPr>
              <w:t>和政府购买项目且已形成工作量等欠款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1.工程款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其中：涉及民生安全工程款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2.物资采购款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3.保证金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政府部门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及所属机构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已偿还金额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剩余金额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其中：列入2019年底前清偿的余额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大中型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国有企业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已偿还金额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剩余金额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其中：列入2019年底前清偿的余额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其中：政府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平台公司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已偿还金额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剩余金额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="144" w:beforeLines="25" w:line="360" w:lineRule="exac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>注：1. 报送时间：每周二15</w:t>
      </w:r>
      <w:r>
        <w:rPr>
          <w:rFonts w:hint="eastAsia" w:ascii="宋体" w:hAnsi="宋体" w:cs="宋体"/>
          <w:sz w:val="28"/>
          <w:szCs w:val="28"/>
          <w:lang w:bidi="ar"/>
        </w:rPr>
        <w:t>︰</w:t>
      </w:r>
      <w:r>
        <w:rPr>
          <w:rFonts w:hint="eastAsia" w:ascii="楷体_GB2312" w:eastAsia="楷体_GB2312" w:cs="楷体_GB2312"/>
          <w:sz w:val="28"/>
          <w:szCs w:val="28"/>
          <w:lang w:bidi="ar"/>
        </w:rPr>
        <w:t>00前盖章传真报送。</w:t>
      </w:r>
    </w:p>
    <w:p>
      <w:pPr>
        <w:spacing w:line="360" w:lineRule="exact"/>
        <w:ind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>2. 填报要求：填报时，如某项目尚未统计，则不填；如没有偿还金额或该项目不存在，则填0。</w:t>
      </w:r>
    </w:p>
    <w:p>
      <w:pPr>
        <w:spacing w:line="360" w:lineRule="exact"/>
        <w:ind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>3. 相关指标解释：（1）已偿还金额是指自国办明电通知印发后偿还的欠款合计；（2）剩余金额是指</w:t>
      </w:r>
      <w:r>
        <w:rPr>
          <w:rFonts w:hint="eastAsia" w:ascii="楷体_GB2312" w:eastAsia="楷体_GB2312" w:cs="楷体_GB2312"/>
          <w:spacing w:val="-6"/>
          <w:sz w:val="28"/>
          <w:szCs w:val="28"/>
          <w:lang w:bidi="ar"/>
        </w:rPr>
        <w:t>自截至填报当日的各项欠款剩余金额；（3）拖欠账款合计不等于各分项的加总，各分项间可能存在交叉关</w:t>
      </w:r>
      <w:r>
        <w:rPr>
          <w:rFonts w:hint="eastAsia" w:ascii="楷体_GB2312" w:eastAsia="楷体_GB2312" w:cs="楷体_GB2312"/>
          <w:sz w:val="28"/>
          <w:szCs w:val="28"/>
          <w:lang w:bidi="ar"/>
        </w:rPr>
        <w:t>系。</w:t>
      </w:r>
    </w:p>
    <w:p>
      <w:pPr>
        <w:rPr>
          <w:rFonts w:hint="eastAsia" w:ascii="黑体" w:hAnsi="Times New Roman" w:eastAsia="黑体" w:cs="黑体"/>
          <w:sz w:val="32"/>
          <w:szCs w:val="32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74" w:right="1985" w:bottom="1588" w:left="2098" w:header="1191" w:footer="907" w:gutter="0"/>
          <w:pgNumType w:fmt="numberInDash" w:start="1"/>
          <w:cols w:space="720" w:num="1"/>
          <w:docGrid w:type="lines" w:linePitch="57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 w:firstLine="280" w:firstLineChars="100"/>
      <w:rPr>
        <w:rFonts w:ascii="宋体" w:hAnsi="宋体"/>
        <w:sz w:val="28"/>
        <w:szCs w:val="28"/>
      </w:rPr>
    </w:pPr>
  </w:p>
  <w:p>
    <w:pPr>
      <w:pStyle w:val="2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-500380</wp:posOffset>
              </wp:positionH>
              <wp:positionV relativeFrom="paragraph">
                <wp:posOffset>-43180</wp:posOffset>
              </wp:positionV>
              <wp:extent cx="495300" cy="472440"/>
              <wp:effectExtent l="1143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9530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- 6 -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9.4pt;margin-top:-3.4pt;height:37.2pt;width:39pt;mso-position-horizontal-relative:margin;rotation:5898240f;z-index:251667456;mso-width-relative:page;mso-height-relative:page;" filled="f" stroked="f" coordsize="21600,21600" o:gfxdata="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YOR/0wAA&#10;AAcBAAAPAAAAAAAAAAEAIAAAACIAAABkcnMvZG93bnJldi54bWxQSwECFAAUAAAACACHTuJAqrxF&#10;YrEBAAA6AwAADgAAAAAAAAABACAAAAAi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- 6 -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4160"/>
        <w:tab w:val="center" w:pos="6437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A386B"/>
    <w:rsid w:val="41313257"/>
    <w:rsid w:val="486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2019-01-17T02:55:00Z</dcterms:created>
  <dc:creator>有关风月 却无关你我</dc:creator>
  <cp:lastModifiedBy>有关风月 却无关你我</cp:lastModifiedBy>
  <dcterms:modified xsi:type="dcterms:W3CDTF">2019-01-17T02:57:25Z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