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600" w:lineRule="atLeas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附件2：</w:t>
      </w:r>
    </w:p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陕西省粮改饲工作绩效评价办法（试行）</w:t>
      </w:r>
    </w:p>
    <w:bookmarkEnd w:id="0"/>
    <w:p>
      <w:pPr>
        <w:adjustRightInd w:val="0"/>
        <w:snapToGrid w:val="0"/>
        <w:spacing w:line="600" w:lineRule="atLeast"/>
        <w:ind w:firstLine="643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eastAsia="仿宋_GB2312" w:cs="仿宋_GB2312"/>
          <w:sz w:val="32"/>
          <w:szCs w:val="32"/>
        </w:rPr>
        <w:t xml:space="preserve"> 为贯彻落实农业供给侧结构性改革要求，加强粮改饲工作监督管理，确保政策实施效果，建立健全激励约束机制，制定本办法。</w:t>
      </w:r>
    </w:p>
    <w:p>
      <w:pPr>
        <w:adjustRightInd w:val="0"/>
        <w:snapToGrid w:val="0"/>
        <w:spacing w:line="600" w:lineRule="atLeas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第二条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绩效评价以目标任务为导向，按照突出重点、注重实效、客观公平的原则，采取定量评价与定性评价结合、县级自评与省市现场检查结合的方式进行。</w:t>
      </w:r>
    </w:p>
    <w:p>
      <w:pPr>
        <w:adjustRightInd w:val="0"/>
        <w:snapToGrid w:val="0"/>
        <w:spacing w:line="600" w:lineRule="atLeas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第三条</w:t>
      </w:r>
      <w:r>
        <w:rPr>
          <w:rFonts w:hint="eastAsia" w:ascii="仿宋_GB2312" w:eastAsia="仿宋_GB2312" w:cs="仿宋_GB2312"/>
          <w:sz w:val="32"/>
          <w:szCs w:val="32"/>
        </w:rPr>
        <w:t xml:space="preserve"> 绩效评价工作由农业厅组织实施，评价对象为县（市）级农牧部门，每年开展一次，评价结果作为下年度粮改饲资金任务分配的重要依据。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第四条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绩效评价内容包括投入和过程、产出、效果和扣分项四个方面。具体评分标准见《粮改饲工作绩效评价指标表》。</w:t>
      </w:r>
    </w:p>
    <w:p>
      <w:pPr>
        <w:tabs>
          <w:tab w:val="left" w:pos="6624"/>
        </w:tabs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（一）投入和过程</w:t>
      </w:r>
      <w:r>
        <w:rPr>
          <w:rFonts w:hint="eastAsia" w:ascii="仿宋_GB2312" w:eastAsia="仿宋_GB2312" w:cs="仿宋_GB2312"/>
          <w:bCs/>
          <w:sz w:val="32"/>
          <w:szCs w:val="32"/>
        </w:rPr>
        <w:tab/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1.组织领导。建立粮改饲工作领导协调机制，职责清晰，任务明确；政府重视，将粮改饲列入农牧部门年度重点工作。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2.资金管理。资金管理制度健全，资金使用符合有关要求，补助资金全部核算发放到位。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800" w:right="1440" w:bottom="1800" w:left="1440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 w:cs="仿宋_GB2312"/>
          <w:sz w:val="32"/>
          <w:szCs w:val="32"/>
        </w:rPr>
        <w:t>3.项目管理。制定实施方案并按时报送省农业厅、省财政厅备案，方案符合粮改饲总体思路和原则、可操作性强；制定监督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管理制度，按计划组织督导检查和工作评价，按要求及时报送工作进度信息；组织开展技术推广服务和培训，组织技术单位深入一线指导生产作业。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4.宣传总结。重视宣传工作，积极组织媒体进行报道；及时总结成功模式，挖掘亮点、树立典型，按要求报送绩效自评报告和工作总结。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机制创新。在财政支持、产业扶贫等政策联动上有新突破；在激发收贮主体参与积极性上有新方式；在促进一二三产业融合、种养两端绿色协调发展上有新手段；在粮改饲推进工作方法、制度机制等方面有创新，效果好、有实例、可复制。</w:t>
      </w:r>
    </w:p>
    <w:p>
      <w:pPr>
        <w:tabs>
          <w:tab w:val="left" w:pos="6624"/>
        </w:tabs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（二）产出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1.数量指标。完成饲草料收储量任务；完成粮改饲面积任务。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质量指标。项目县区（市）规模化养殖场户（肉羊年出栏100只以上、肉牛年出栏50头以上、奶牛年存栏100头以上）和专业收贮主体收贮量占收贮总量比例；专业收贮主体收贮量较上年度提高比例；收贮主体通过流转土地自种、与种植户签订订单等方式收贮量占总收贮量比例。</w:t>
      </w:r>
    </w:p>
    <w:p>
      <w:pPr>
        <w:tabs>
          <w:tab w:val="left" w:pos="6624"/>
        </w:tabs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（三）效果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1.经济效益指标。种植优质青贮饲草料，亩均纯收入较种植籽粒玉米提高比例；使用优质青贮饲草料，与未使用前或与同地区未使用的相比，综合饲料成本下降比例。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800" w:right="1440" w:bottom="1800" w:left="1440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 w:cs="仿宋_GB2312"/>
          <w:sz w:val="32"/>
          <w:szCs w:val="32"/>
        </w:rPr>
        <w:t>2.服务对象满意度。相关收贮主体、种植户、养殖户对粮改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饲政策的满意程度。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（四）违规违纪。</w:t>
      </w:r>
      <w:r>
        <w:rPr>
          <w:rFonts w:hint="eastAsia" w:ascii="仿宋_GB2312" w:eastAsia="仿宋_GB2312" w:cs="仿宋_GB2312"/>
          <w:sz w:val="32"/>
          <w:szCs w:val="32"/>
        </w:rPr>
        <w:t>项目实施过程中，被监察、审计、财政监督等机构查出存在违规违纪行为的，一次性扣15-30分，造成严重负面影响的，评分为0。</w:t>
      </w:r>
    </w:p>
    <w:p>
      <w:pPr>
        <w:adjustRightInd w:val="0"/>
        <w:snapToGrid w:val="0"/>
        <w:spacing w:before="156" w:beforeLines="50" w:line="600" w:lineRule="atLeast"/>
        <w:ind w:firstLine="640" w:firstLineChars="200"/>
        <w:jc w:val="left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第五条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绩效评价按以下程序开展：</w:t>
      </w:r>
    </w:p>
    <w:p>
      <w:pPr>
        <w:adjustRightInd w:val="0"/>
        <w:snapToGrid w:val="0"/>
        <w:spacing w:line="600" w:lineRule="atLeas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（一）县级自查。</w:t>
      </w:r>
      <w:r>
        <w:rPr>
          <w:rFonts w:hint="eastAsia" w:ascii="仿宋_GB2312" w:eastAsia="仿宋_GB2312" w:cs="仿宋_GB2312"/>
          <w:sz w:val="32"/>
          <w:szCs w:val="32"/>
        </w:rPr>
        <w:t>县（市）级农牧部门按照评价指标内容和评分标准，进行全面自查和自评打分，提交《粮改饲工作绩效评价指标表》、证明材料和自评报告。</w:t>
      </w:r>
    </w:p>
    <w:p>
      <w:pPr>
        <w:adjustRightInd w:val="0"/>
        <w:snapToGrid w:val="0"/>
        <w:spacing w:line="600" w:lineRule="atLeas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（二）实地检查。</w:t>
      </w:r>
      <w:r>
        <w:rPr>
          <w:rFonts w:hint="eastAsia" w:ascii="仿宋_GB2312" w:eastAsia="仿宋_GB2312" w:cs="仿宋_GB2312"/>
          <w:sz w:val="32"/>
          <w:szCs w:val="32"/>
        </w:rPr>
        <w:t>省农业厅组织成立评价组，对县（市）级自评材料进行检查核实。检查核实过程中，随机抽查项目县（市）核查相关数据和工作落实情况。</w:t>
      </w:r>
    </w:p>
    <w:p>
      <w:pPr>
        <w:adjustRightInd w:val="0"/>
        <w:snapToGrid w:val="0"/>
        <w:spacing w:line="600" w:lineRule="atLeas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（三）综合评价。</w:t>
      </w:r>
      <w:r>
        <w:rPr>
          <w:rFonts w:hint="eastAsia" w:ascii="仿宋_GB2312" w:eastAsia="仿宋_GB2312" w:cs="仿宋_GB2312"/>
          <w:sz w:val="32"/>
          <w:szCs w:val="32"/>
        </w:rPr>
        <w:t>评价组综合考虑自评打分、自评报告等材料、粮改饲工作总结以及实地检查等情况，按照绩效评价标准进行打分。</w:t>
      </w:r>
    </w:p>
    <w:p>
      <w:pPr>
        <w:adjustRightInd w:val="0"/>
        <w:snapToGrid w:val="0"/>
        <w:spacing w:line="600" w:lineRule="atLeas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第六条</w:t>
      </w:r>
      <w:r>
        <w:rPr>
          <w:rFonts w:hint="eastAsia" w:ascii="仿宋_GB2312" w:eastAsia="仿宋_GB2312" w:cs="仿宋_GB2312"/>
          <w:sz w:val="32"/>
          <w:szCs w:val="32"/>
        </w:rPr>
        <w:t xml:space="preserve"> 县（市）级农牧部门对提供材料和数据的真实性、准确性负责。</w:t>
      </w:r>
    </w:p>
    <w:p>
      <w:pPr>
        <w:adjustRightInd w:val="0"/>
        <w:snapToGrid w:val="0"/>
        <w:spacing w:line="600" w:lineRule="atLeas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第七条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本办法由省农业厅负责解释，自发布之日起施行。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81125"/>
    <w:rsid w:val="14377FFE"/>
    <w:rsid w:val="1A781125"/>
    <w:rsid w:val="3F5D0146"/>
    <w:rsid w:val="40080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b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2018-10-09T02:38:00Z</dcterms:created>
  <dc:creator>花宠蝶 蝶恋花</dc:creator>
  <cp:lastModifiedBy>花宠蝶 蝶恋花</cp:lastModifiedBy>
  <dcterms:modified xsi:type="dcterms:W3CDTF">2018-10-09T02:40:29Z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