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A2" w:rsidRPr="00B1064C" w:rsidRDefault="000140A2" w:rsidP="000140A2">
      <w:pPr>
        <w:jc w:val="center"/>
        <w:rPr>
          <w:rFonts w:eastAsia="方正小标宋简体"/>
          <w:sz w:val="36"/>
          <w:szCs w:val="36"/>
        </w:rPr>
      </w:pPr>
      <w:r w:rsidRPr="00B1064C">
        <w:rPr>
          <w:rFonts w:eastAsia="方正小标宋简体"/>
          <w:sz w:val="36"/>
          <w:szCs w:val="36"/>
        </w:rPr>
        <w:t>继续有效的规范性文件目录（</w:t>
      </w:r>
      <w:r w:rsidRPr="00B1064C">
        <w:rPr>
          <w:rFonts w:eastAsia="方正小标宋简体"/>
          <w:sz w:val="36"/>
          <w:szCs w:val="36"/>
        </w:rPr>
        <w:t>6</w:t>
      </w:r>
      <w:r w:rsidRPr="00B1064C">
        <w:rPr>
          <w:rFonts w:eastAsia="方正小标宋简体"/>
          <w:sz w:val="36"/>
          <w:szCs w:val="36"/>
        </w:rPr>
        <w:t>件）</w:t>
      </w:r>
    </w:p>
    <w:p w:rsidR="000140A2" w:rsidRPr="00B1064C" w:rsidRDefault="000140A2" w:rsidP="000140A2">
      <w:pPr>
        <w:jc w:val="center"/>
        <w:rPr>
          <w:b/>
          <w:sz w:val="18"/>
          <w:szCs w:val="18"/>
        </w:rPr>
      </w:pPr>
    </w:p>
    <w:tbl>
      <w:tblPr>
        <w:tblW w:w="9534"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3785"/>
        <w:gridCol w:w="1963"/>
        <w:gridCol w:w="981"/>
        <w:gridCol w:w="981"/>
        <w:gridCol w:w="1262"/>
      </w:tblGrid>
      <w:tr w:rsidR="000140A2" w:rsidRPr="00B1064C" w:rsidTr="003860B7">
        <w:trPr>
          <w:trHeight w:val="97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序号</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文件名称</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发文字号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发布时间</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起草部门</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b/>
                <w:sz w:val="28"/>
                <w:szCs w:val="28"/>
              </w:rPr>
            </w:pPr>
            <w:r w:rsidRPr="00B1064C">
              <w:rPr>
                <w:rFonts w:eastAsia="仿宋_GB2312"/>
                <w:b/>
                <w:sz w:val="28"/>
                <w:szCs w:val="28"/>
              </w:rPr>
              <w:t>理由</w:t>
            </w:r>
          </w:p>
        </w:tc>
      </w:tr>
      <w:tr w:rsidR="000140A2" w:rsidRPr="00B1064C" w:rsidTr="003860B7">
        <w:trPr>
          <w:trHeight w:val="1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1</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铜川市王益区人民政府办公室关于印发铜川市王益区农家乐餐饮服务管理办法的通知</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办发〔</w:t>
            </w:r>
            <w:r w:rsidRPr="00B1064C">
              <w:rPr>
                <w:rFonts w:eastAsia="仿宋_GB2312"/>
                <w:sz w:val="28"/>
                <w:szCs w:val="28"/>
              </w:rPr>
              <w:t>2012</w:t>
            </w:r>
            <w:r w:rsidRPr="00B1064C">
              <w:rPr>
                <w:rFonts w:eastAsia="仿宋_GB2312"/>
                <w:sz w:val="28"/>
                <w:szCs w:val="28"/>
              </w:rPr>
              <w:t>〕</w:t>
            </w:r>
            <w:r w:rsidRPr="00B1064C">
              <w:rPr>
                <w:rFonts w:eastAsia="仿宋_GB2312"/>
                <w:sz w:val="28"/>
                <w:szCs w:val="28"/>
              </w:rPr>
              <w:t>66</w:t>
            </w:r>
            <w:r w:rsidRPr="00B1064C">
              <w:rPr>
                <w:rFonts w:eastAsia="仿宋_GB2312"/>
                <w:sz w:val="28"/>
                <w:szCs w:val="28"/>
              </w:rPr>
              <w:t>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2012.</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11.23</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区食</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药局</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r w:rsidR="000140A2" w:rsidRPr="00B1064C" w:rsidTr="003860B7">
        <w:trPr>
          <w:trHeight w:val="1769"/>
          <w:jc w:val="center"/>
        </w:trPr>
        <w:tc>
          <w:tcPr>
            <w:tcW w:w="562" w:type="dxa"/>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w:t>
            </w:r>
          </w:p>
        </w:tc>
        <w:tc>
          <w:tcPr>
            <w:tcW w:w="3785" w:type="dxa"/>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铜川市王益区人民政府关于印发铜川市王益区招商引资优惠办法的通知</w:t>
            </w:r>
          </w:p>
        </w:tc>
        <w:tc>
          <w:tcPr>
            <w:tcW w:w="1963" w:type="dxa"/>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2013</w:t>
            </w:r>
            <w:r w:rsidRPr="00B1064C">
              <w:rPr>
                <w:rFonts w:eastAsia="仿宋_GB2312"/>
                <w:sz w:val="28"/>
                <w:szCs w:val="28"/>
              </w:rPr>
              <w:t>〕</w:t>
            </w:r>
            <w:r w:rsidRPr="00B1064C">
              <w:rPr>
                <w:rFonts w:eastAsia="仿宋_GB2312"/>
                <w:sz w:val="28"/>
                <w:szCs w:val="28"/>
              </w:rPr>
              <w:t>2</w:t>
            </w:r>
            <w:r w:rsidRPr="00B1064C">
              <w:rPr>
                <w:rFonts w:eastAsia="仿宋_GB2312"/>
                <w:sz w:val="28"/>
                <w:szCs w:val="28"/>
              </w:rPr>
              <w:t>号</w:t>
            </w:r>
          </w:p>
        </w:tc>
        <w:tc>
          <w:tcPr>
            <w:tcW w:w="981" w:type="dxa"/>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2013.</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2.5</w:t>
            </w:r>
          </w:p>
        </w:tc>
        <w:tc>
          <w:tcPr>
            <w:tcW w:w="981" w:type="dxa"/>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区招商局</w:t>
            </w:r>
          </w:p>
        </w:tc>
        <w:tc>
          <w:tcPr>
            <w:tcW w:w="1262" w:type="dxa"/>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r w:rsidR="000140A2" w:rsidRPr="00B1064C" w:rsidTr="003860B7">
        <w:trPr>
          <w:trHeight w:val="1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3</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铜川市王益区人民政府关于印发铜川市王益区农村供水工程维修基金筹集管理实施细则的通知</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2013</w:t>
            </w:r>
            <w:r w:rsidRPr="00B1064C">
              <w:rPr>
                <w:rFonts w:eastAsia="仿宋_GB2312"/>
                <w:sz w:val="28"/>
                <w:szCs w:val="28"/>
              </w:rPr>
              <w:t>〕</w:t>
            </w:r>
            <w:r w:rsidRPr="00B1064C">
              <w:rPr>
                <w:rFonts w:eastAsia="仿宋_GB2312"/>
                <w:sz w:val="28"/>
                <w:szCs w:val="28"/>
              </w:rPr>
              <w:t>9</w:t>
            </w:r>
            <w:r w:rsidRPr="00B1064C">
              <w:rPr>
                <w:rFonts w:eastAsia="仿宋_GB2312"/>
                <w:sz w:val="28"/>
                <w:szCs w:val="28"/>
              </w:rPr>
              <w:t>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2013.</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5.27</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区水</w:t>
            </w:r>
            <w:proofErr w:type="gramStart"/>
            <w:r w:rsidRPr="00B1064C">
              <w:rPr>
                <w:rFonts w:eastAsia="仿宋_GB2312"/>
                <w:sz w:val="28"/>
                <w:szCs w:val="28"/>
              </w:rPr>
              <w:t>务</w:t>
            </w:r>
            <w:proofErr w:type="gramEnd"/>
            <w:r w:rsidRPr="00B1064C">
              <w:rPr>
                <w:rFonts w:eastAsia="仿宋_GB2312"/>
                <w:sz w:val="28"/>
                <w:szCs w:val="28"/>
              </w:rPr>
              <w:t>局</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r w:rsidR="000140A2" w:rsidRPr="00B1064C" w:rsidTr="003860B7">
        <w:trPr>
          <w:trHeight w:val="1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4</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铜川市王益区人民政府关于印发铜川市王益区政府投资项目审计实施办法的通知</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2013</w:t>
            </w:r>
            <w:r w:rsidRPr="00B1064C">
              <w:rPr>
                <w:rFonts w:eastAsia="仿宋_GB2312"/>
                <w:sz w:val="28"/>
                <w:szCs w:val="28"/>
              </w:rPr>
              <w:t>〕</w:t>
            </w:r>
            <w:r w:rsidRPr="00B1064C">
              <w:rPr>
                <w:rFonts w:eastAsia="仿宋_GB2312"/>
                <w:sz w:val="28"/>
                <w:szCs w:val="28"/>
              </w:rPr>
              <w:t>25</w:t>
            </w:r>
            <w:r w:rsidRPr="00B1064C">
              <w:rPr>
                <w:rFonts w:eastAsia="仿宋_GB2312"/>
                <w:sz w:val="28"/>
                <w:szCs w:val="28"/>
              </w:rPr>
              <w:t>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2013.</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11.4</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区审计局</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r w:rsidR="000140A2" w:rsidRPr="00B1064C" w:rsidTr="003860B7">
        <w:trPr>
          <w:trHeight w:val="1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5</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铜川市王益区人民政府关于印发铜川市王益区农村供水工程建设运行管理办法的通知</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2015</w:t>
            </w:r>
            <w:r w:rsidRPr="00B1064C">
              <w:rPr>
                <w:rFonts w:eastAsia="仿宋_GB2312"/>
                <w:sz w:val="28"/>
                <w:szCs w:val="28"/>
              </w:rPr>
              <w:t>〕</w:t>
            </w:r>
            <w:r w:rsidRPr="00B1064C">
              <w:rPr>
                <w:rFonts w:eastAsia="仿宋_GB2312"/>
                <w:sz w:val="28"/>
                <w:szCs w:val="28"/>
              </w:rPr>
              <w:t>18</w:t>
            </w:r>
            <w:r w:rsidRPr="00B1064C">
              <w:rPr>
                <w:rFonts w:eastAsia="仿宋_GB2312"/>
                <w:sz w:val="28"/>
                <w:szCs w:val="28"/>
              </w:rPr>
              <w:t>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2015.</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8.27</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区水</w:t>
            </w:r>
            <w:proofErr w:type="gramStart"/>
            <w:r w:rsidRPr="00B1064C">
              <w:rPr>
                <w:rFonts w:eastAsia="仿宋_GB2312"/>
                <w:sz w:val="28"/>
                <w:szCs w:val="28"/>
              </w:rPr>
              <w:t>务</w:t>
            </w:r>
            <w:proofErr w:type="gramEnd"/>
            <w:r w:rsidRPr="00B1064C">
              <w:rPr>
                <w:rFonts w:eastAsia="仿宋_GB2312"/>
                <w:sz w:val="28"/>
                <w:szCs w:val="28"/>
              </w:rPr>
              <w:t>局</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r w:rsidR="000140A2" w:rsidRPr="00B1064C" w:rsidTr="003860B7">
        <w:trPr>
          <w:trHeight w:val="176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6</w:t>
            </w:r>
          </w:p>
        </w:tc>
        <w:tc>
          <w:tcPr>
            <w:tcW w:w="3785"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rPr>
                <w:rFonts w:eastAsia="仿宋_GB2312"/>
                <w:sz w:val="28"/>
                <w:szCs w:val="28"/>
              </w:rPr>
            </w:pPr>
            <w:r w:rsidRPr="00B1064C">
              <w:rPr>
                <w:rFonts w:eastAsia="仿宋_GB2312"/>
                <w:sz w:val="28"/>
                <w:szCs w:val="28"/>
              </w:rPr>
              <w:t>铜川市王益区人民政府关于印发铜川市王益区安全生产事故应急预案的通知</w:t>
            </w:r>
          </w:p>
        </w:tc>
        <w:tc>
          <w:tcPr>
            <w:tcW w:w="1963"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2015</w:t>
            </w:r>
            <w:r w:rsidRPr="00B1064C">
              <w:rPr>
                <w:rFonts w:eastAsia="仿宋_GB2312"/>
                <w:sz w:val="28"/>
                <w:szCs w:val="28"/>
              </w:rPr>
              <w:t>〕</w:t>
            </w:r>
            <w:r w:rsidRPr="00B1064C">
              <w:rPr>
                <w:rFonts w:eastAsia="仿宋_GB2312"/>
                <w:sz w:val="28"/>
                <w:szCs w:val="28"/>
              </w:rPr>
              <w:t>29</w:t>
            </w:r>
            <w:r w:rsidRPr="00B1064C">
              <w:rPr>
                <w:rFonts w:eastAsia="仿宋_GB2312"/>
                <w:sz w:val="28"/>
                <w:szCs w:val="28"/>
              </w:rPr>
              <w:t>号</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2015.</w:t>
            </w:r>
          </w:p>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12.7</w:t>
            </w:r>
          </w:p>
        </w:tc>
        <w:tc>
          <w:tcPr>
            <w:tcW w:w="981"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区安监局</w:t>
            </w:r>
          </w:p>
        </w:tc>
        <w:tc>
          <w:tcPr>
            <w:tcW w:w="1262" w:type="dxa"/>
            <w:tcBorders>
              <w:top w:val="single" w:sz="4" w:space="0" w:color="000000"/>
              <w:left w:val="single" w:sz="4" w:space="0" w:color="000000"/>
              <w:bottom w:val="single" w:sz="4" w:space="0" w:color="000000"/>
              <w:right w:val="single" w:sz="4" w:space="0" w:color="000000"/>
            </w:tcBorders>
            <w:vAlign w:val="center"/>
          </w:tcPr>
          <w:p w:rsidR="000140A2" w:rsidRPr="00B1064C" w:rsidRDefault="000140A2" w:rsidP="003860B7">
            <w:pPr>
              <w:spacing w:line="440" w:lineRule="exact"/>
              <w:jc w:val="center"/>
              <w:rPr>
                <w:rFonts w:eastAsia="仿宋_GB2312"/>
                <w:sz w:val="28"/>
                <w:szCs w:val="28"/>
              </w:rPr>
            </w:pPr>
            <w:r w:rsidRPr="00B1064C">
              <w:rPr>
                <w:rFonts w:eastAsia="仿宋_GB2312"/>
                <w:sz w:val="28"/>
                <w:szCs w:val="28"/>
              </w:rPr>
              <w:t>内容合法适当</w:t>
            </w:r>
          </w:p>
        </w:tc>
      </w:tr>
    </w:tbl>
    <w:p w:rsidR="000140A2" w:rsidRPr="00B1064C" w:rsidRDefault="000140A2" w:rsidP="000140A2">
      <w:pPr>
        <w:rPr>
          <w:sz w:val="32"/>
          <w:szCs w:val="32"/>
        </w:rPr>
      </w:pPr>
    </w:p>
    <w:p w:rsidR="00191EF2" w:rsidRDefault="00191EF2"/>
    <w:sectPr w:rsidR="00191EF2" w:rsidSect="00191E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0A2"/>
    <w:rsid w:val="000140A2"/>
    <w:rsid w:val="00191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Company>Microsoft</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开发用户</dc:creator>
  <cp:lastModifiedBy>开发用户</cp:lastModifiedBy>
  <cp:revision>1</cp:revision>
  <dcterms:created xsi:type="dcterms:W3CDTF">2017-01-24T08:20:00Z</dcterms:created>
  <dcterms:modified xsi:type="dcterms:W3CDTF">2017-01-24T08:20:00Z</dcterms:modified>
</cp:coreProperties>
</file>