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A8" w:rsidRPr="00B1064C" w:rsidRDefault="00E278A8" w:rsidP="00E278A8"/>
    <w:p w:rsidR="00E278A8" w:rsidRPr="00B1064C" w:rsidRDefault="00E278A8" w:rsidP="00E278A8"/>
    <w:p w:rsidR="00E278A8" w:rsidRPr="00E278A8" w:rsidRDefault="00E278A8" w:rsidP="00E278A8">
      <w:pPr>
        <w:jc w:val="center"/>
        <w:rPr>
          <w:rFonts w:eastAsia="方正小标宋简体"/>
          <w:sz w:val="36"/>
          <w:szCs w:val="36"/>
        </w:rPr>
      </w:pPr>
      <w:r w:rsidRPr="00B1064C">
        <w:rPr>
          <w:rFonts w:eastAsia="方正小标宋简体"/>
          <w:sz w:val="36"/>
          <w:szCs w:val="36"/>
        </w:rPr>
        <w:t>宣布失效的规范性文件目录（</w:t>
      </w:r>
      <w:r w:rsidRPr="00B1064C">
        <w:rPr>
          <w:rFonts w:eastAsia="方正小标宋简体"/>
          <w:sz w:val="36"/>
          <w:szCs w:val="36"/>
        </w:rPr>
        <w:t>8</w:t>
      </w:r>
      <w:r w:rsidRPr="00B1064C">
        <w:rPr>
          <w:rFonts w:eastAsia="方正小标宋简体"/>
          <w:sz w:val="36"/>
          <w:szCs w:val="36"/>
        </w:rPr>
        <w:t>件）</w:t>
      </w:r>
    </w:p>
    <w:tbl>
      <w:tblPr>
        <w:tblW w:w="9782"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969"/>
        <w:gridCol w:w="1985"/>
        <w:gridCol w:w="1134"/>
        <w:gridCol w:w="992"/>
        <w:gridCol w:w="1134"/>
      </w:tblGrid>
      <w:tr w:rsidR="00E278A8" w:rsidRPr="00B1064C" w:rsidTr="00251EBC">
        <w:trPr>
          <w:trHeight w:val="853"/>
          <w:jc w:val="center"/>
        </w:trPr>
        <w:tc>
          <w:tcPr>
            <w:tcW w:w="568" w:type="dxa"/>
            <w:vAlign w:val="center"/>
          </w:tcPr>
          <w:p w:rsidR="00E278A8" w:rsidRPr="00B1064C" w:rsidRDefault="00E278A8" w:rsidP="00251EBC">
            <w:pPr>
              <w:spacing w:line="440" w:lineRule="exact"/>
              <w:jc w:val="center"/>
              <w:rPr>
                <w:rFonts w:eastAsia="仿宋_GB2312"/>
                <w:b/>
                <w:sz w:val="28"/>
                <w:szCs w:val="28"/>
              </w:rPr>
            </w:pPr>
            <w:r w:rsidRPr="00B1064C">
              <w:rPr>
                <w:rFonts w:eastAsia="仿宋_GB2312"/>
                <w:b/>
                <w:sz w:val="28"/>
                <w:szCs w:val="28"/>
              </w:rPr>
              <w:t>序号</w:t>
            </w:r>
          </w:p>
        </w:tc>
        <w:tc>
          <w:tcPr>
            <w:tcW w:w="3969" w:type="dxa"/>
            <w:vAlign w:val="center"/>
          </w:tcPr>
          <w:p w:rsidR="00E278A8" w:rsidRPr="00B1064C" w:rsidRDefault="00E278A8" w:rsidP="00251EBC">
            <w:pPr>
              <w:spacing w:line="440" w:lineRule="exact"/>
              <w:jc w:val="center"/>
              <w:rPr>
                <w:rFonts w:eastAsia="仿宋_GB2312"/>
                <w:b/>
                <w:sz w:val="28"/>
                <w:szCs w:val="28"/>
              </w:rPr>
            </w:pPr>
            <w:r w:rsidRPr="00B1064C">
              <w:rPr>
                <w:rFonts w:eastAsia="仿宋_GB2312"/>
                <w:b/>
                <w:sz w:val="28"/>
                <w:szCs w:val="28"/>
              </w:rPr>
              <w:t>文件名称</w:t>
            </w:r>
          </w:p>
        </w:tc>
        <w:tc>
          <w:tcPr>
            <w:tcW w:w="1985" w:type="dxa"/>
            <w:vAlign w:val="center"/>
          </w:tcPr>
          <w:p w:rsidR="00E278A8" w:rsidRPr="00B1064C" w:rsidRDefault="00E278A8" w:rsidP="00251EBC">
            <w:pPr>
              <w:spacing w:line="440" w:lineRule="exact"/>
              <w:jc w:val="center"/>
              <w:rPr>
                <w:rFonts w:eastAsia="仿宋_GB2312"/>
                <w:b/>
                <w:sz w:val="28"/>
                <w:szCs w:val="28"/>
              </w:rPr>
            </w:pPr>
            <w:r w:rsidRPr="00B1064C">
              <w:rPr>
                <w:rFonts w:eastAsia="仿宋_GB2312"/>
                <w:b/>
                <w:sz w:val="28"/>
                <w:szCs w:val="28"/>
              </w:rPr>
              <w:t>发文字号</w:t>
            </w:r>
          </w:p>
        </w:tc>
        <w:tc>
          <w:tcPr>
            <w:tcW w:w="1134" w:type="dxa"/>
            <w:vAlign w:val="center"/>
          </w:tcPr>
          <w:p w:rsidR="00E278A8" w:rsidRPr="00B1064C" w:rsidRDefault="00E278A8" w:rsidP="00251EBC">
            <w:pPr>
              <w:spacing w:line="440" w:lineRule="exact"/>
              <w:jc w:val="center"/>
              <w:rPr>
                <w:rFonts w:eastAsia="仿宋_GB2312"/>
                <w:b/>
                <w:sz w:val="28"/>
                <w:szCs w:val="28"/>
              </w:rPr>
            </w:pPr>
            <w:r w:rsidRPr="00B1064C">
              <w:rPr>
                <w:rFonts w:eastAsia="仿宋_GB2312"/>
                <w:b/>
                <w:sz w:val="28"/>
                <w:szCs w:val="28"/>
              </w:rPr>
              <w:t>发布</w:t>
            </w:r>
          </w:p>
          <w:p w:rsidR="00E278A8" w:rsidRPr="00B1064C" w:rsidRDefault="00E278A8" w:rsidP="00251EBC">
            <w:pPr>
              <w:spacing w:line="440" w:lineRule="exact"/>
              <w:jc w:val="center"/>
              <w:rPr>
                <w:rFonts w:eastAsia="仿宋_GB2312"/>
                <w:b/>
                <w:sz w:val="28"/>
                <w:szCs w:val="28"/>
              </w:rPr>
            </w:pPr>
            <w:r w:rsidRPr="00B1064C">
              <w:rPr>
                <w:rFonts w:eastAsia="仿宋_GB2312"/>
                <w:b/>
                <w:sz w:val="28"/>
                <w:szCs w:val="28"/>
              </w:rPr>
              <w:t>时间</w:t>
            </w:r>
          </w:p>
        </w:tc>
        <w:tc>
          <w:tcPr>
            <w:tcW w:w="992" w:type="dxa"/>
            <w:vAlign w:val="center"/>
          </w:tcPr>
          <w:p w:rsidR="00E278A8" w:rsidRPr="00B1064C" w:rsidRDefault="00E278A8" w:rsidP="00251EBC">
            <w:pPr>
              <w:spacing w:line="440" w:lineRule="exact"/>
              <w:jc w:val="center"/>
              <w:rPr>
                <w:rFonts w:eastAsia="仿宋_GB2312"/>
                <w:b/>
                <w:sz w:val="28"/>
                <w:szCs w:val="28"/>
              </w:rPr>
            </w:pPr>
            <w:r w:rsidRPr="00B1064C">
              <w:rPr>
                <w:rFonts w:eastAsia="仿宋_GB2312"/>
                <w:b/>
                <w:sz w:val="28"/>
                <w:szCs w:val="28"/>
              </w:rPr>
              <w:t>起草部门</w:t>
            </w:r>
          </w:p>
        </w:tc>
        <w:tc>
          <w:tcPr>
            <w:tcW w:w="1134" w:type="dxa"/>
            <w:vAlign w:val="center"/>
          </w:tcPr>
          <w:p w:rsidR="00E278A8" w:rsidRPr="00B1064C" w:rsidRDefault="00E278A8" w:rsidP="00251EBC">
            <w:pPr>
              <w:spacing w:line="440" w:lineRule="exact"/>
              <w:jc w:val="center"/>
              <w:rPr>
                <w:rFonts w:eastAsia="仿宋_GB2312"/>
                <w:b/>
                <w:sz w:val="28"/>
                <w:szCs w:val="28"/>
              </w:rPr>
            </w:pPr>
            <w:r w:rsidRPr="00B1064C">
              <w:rPr>
                <w:rFonts w:eastAsia="仿宋_GB2312"/>
                <w:b/>
                <w:sz w:val="28"/>
                <w:szCs w:val="28"/>
              </w:rPr>
              <w:t>理由</w:t>
            </w:r>
          </w:p>
        </w:tc>
      </w:tr>
      <w:tr w:rsidR="00E278A8" w:rsidRPr="00B1064C" w:rsidTr="00251EBC">
        <w:trPr>
          <w:trHeight w:val="1561"/>
          <w:jc w:val="center"/>
        </w:trPr>
        <w:tc>
          <w:tcPr>
            <w:tcW w:w="568" w:type="dxa"/>
            <w:vAlign w:val="center"/>
          </w:tcPr>
          <w:p w:rsidR="00E278A8" w:rsidRPr="00B1064C" w:rsidRDefault="00E278A8" w:rsidP="00251EBC">
            <w:pPr>
              <w:spacing w:line="440" w:lineRule="exact"/>
              <w:jc w:val="center"/>
              <w:rPr>
                <w:rFonts w:eastAsia="仿宋_GB2312"/>
                <w:sz w:val="28"/>
                <w:szCs w:val="28"/>
              </w:rPr>
            </w:pPr>
            <w:r w:rsidRPr="00B1064C">
              <w:rPr>
                <w:rFonts w:eastAsia="仿宋_GB2312"/>
                <w:sz w:val="28"/>
                <w:szCs w:val="28"/>
              </w:rPr>
              <w:t>1</w:t>
            </w:r>
          </w:p>
        </w:tc>
        <w:tc>
          <w:tcPr>
            <w:tcW w:w="3969" w:type="dxa"/>
            <w:vAlign w:val="center"/>
          </w:tcPr>
          <w:p w:rsidR="00E278A8" w:rsidRPr="00B1064C" w:rsidRDefault="00E278A8" w:rsidP="00251EBC">
            <w:pPr>
              <w:spacing w:line="400" w:lineRule="exact"/>
              <w:rPr>
                <w:rFonts w:eastAsia="仿宋_GB2312"/>
                <w:sz w:val="28"/>
                <w:szCs w:val="28"/>
              </w:rPr>
            </w:pPr>
            <w:r w:rsidRPr="00B1064C">
              <w:rPr>
                <w:rFonts w:eastAsia="仿宋_GB2312"/>
                <w:sz w:val="28"/>
                <w:szCs w:val="28"/>
              </w:rPr>
              <w:t>铜川市王益区人民政府办公室关于印发《铜川市王益区贫困残疾人危房改造工作实施方案》的通知</w:t>
            </w:r>
          </w:p>
        </w:tc>
        <w:tc>
          <w:tcPr>
            <w:tcW w:w="1985" w:type="dxa"/>
            <w:vAlign w:val="center"/>
          </w:tcPr>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办发〔</w:t>
            </w:r>
            <w:r w:rsidRPr="00B1064C">
              <w:rPr>
                <w:rFonts w:eastAsia="仿宋_GB2312"/>
                <w:sz w:val="28"/>
                <w:szCs w:val="28"/>
              </w:rPr>
              <w:t>2009</w:t>
            </w:r>
            <w:r w:rsidRPr="00B1064C">
              <w:rPr>
                <w:rFonts w:eastAsia="仿宋_GB2312"/>
                <w:sz w:val="28"/>
                <w:szCs w:val="28"/>
              </w:rPr>
              <w:t>〕</w:t>
            </w:r>
            <w:r w:rsidRPr="00B1064C">
              <w:rPr>
                <w:rFonts w:eastAsia="仿宋_GB2312"/>
                <w:sz w:val="28"/>
                <w:szCs w:val="28"/>
              </w:rPr>
              <w:t>32</w:t>
            </w:r>
            <w:r w:rsidRPr="00B1064C">
              <w:rPr>
                <w:rFonts w:eastAsia="仿宋_GB2312"/>
                <w:sz w:val="28"/>
                <w:szCs w:val="28"/>
              </w:rPr>
              <w:t>号</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2009.</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5.26</w:t>
            </w:r>
          </w:p>
        </w:tc>
        <w:tc>
          <w:tcPr>
            <w:tcW w:w="992"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区残联</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已过五年有效期</w:t>
            </w:r>
          </w:p>
        </w:tc>
      </w:tr>
      <w:tr w:rsidR="00E278A8" w:rsidRPr="00B1064C" w:rsidTr="00251EBC">
        <w:trPr>
          <w:trHeight w:val="1245"/>
          <w:jc w:val="center"/>
        </w:trPr>
        <w:tc>
          <w:tcPr>
            <w:tcW w:w="568" w:type="dxa"/>
            <w:vAlign w:val="center"/>
          </w:tcPr>
          <w:p w:rsidR="00E278A8" w:rsidRPr="00B1064C" w:rsidRDefault="00E278A8" w:rsidP="00251EBC">
            <w:pPr>
              <w:spacing w:line="440" w:lineRule="exact"/>
              <w:jc w:val="center"/>
              <w:rPr>
                <w:rFonts w:eastAsia="仿宋_GB2312"/>
                <w:sz w:val="28"/>
                <w:szCs w:val="28"/>
              </w:rPr>
            </w:pPr>
            <w:r w:rsidRPr="00B1064C">
              <w:rPr>
                <w:rFonts w:eastAsia="仿宋_GB2312"/>
                <w:sz w:val="28"/>
                <w:szCs w:val="28"/>
              </w:rPr>
              <w:t>2</w:t>
            </w:r>
          </w:p>
        </w:tc>
        <w:tc>
          <w:tcPr>
            <w:tcW w:w="3969" w:type="dxa"/>
            <w:vAlign w:val="center"/>
          </w:tcPr>
          <w:p w:rsidR="00E278A8" w:rsidRPr="00B1064C" w:rsidRDefault="00E278A8" w:rsidP="00251EBC">
            <w:pPr>
              <w:spacing w:line="400" w:lineRule="exact"/>
              <w:rPr>
                <w:rFonts w:eastAsia="仿宋_GB2312"/>
                <w:sz w:val="28"/>
                <w:szCs w:val="28"/>
              </w:rPr>
            </w:pPr>
            <w:r w:rsidRPr="00B1064C">
              <w:rPr>
                <w:rFonts w:eastAsia="仿宋_GB2312"/>
                <w:sz w:val="28"/>
                <w:szCs w:val="28"/>
              </w:rPr>
              <w:t>铜川市王益区人民政府关于印发铜川市王益区土地储备实施办法的通知</w:t>
            </w:r>
          </w:p>
        </w:tc>
        <w:tc>
          <w:tcPr>
            <w:tcW w:w="1985" w:type="dxa"/>
            <w:vAlign w:val="center"/>
          </w:tcPr>
          <w:p w:rsidR="00E278A8" w:rsidRPr="00B1064C" w:rsidRDefault="00E278A8" w:rsidP="00251EBC">
            <w:pPr>
              <w:spacing w:line="400" w:lineRule="exact"/>
              <w:ind w:firstLineChars="50" w:firstLine="140"/>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2009</w:t>
            </w:r>
            <w:r w:rsidRPr="00B1064C">
              <w:rPr>
                <w:rFonts w:eastAsia="仿宋_GB2312"/>
                <w:sz w:val="28"/>
                <w:szCs w:val="28"/>
              </w:rPr>
              <w:t>〕</w:t>
            </w:r>
            <w:r w:rsidRPr="00B1064C">
              <w:rPr>
                <w:rFonts w:eastAsia="仿宋_GB2312"/>
                <w:sz w:val="28"/>
                <w:szCs w:val="28"/>
              </w:rPr>
              <w:t>26</w:t>
            </w:r>
            <w:r w:rsidRPr="00B1064C">
              <w:rPr>
                <w:rFonts w:eastAsia="仿宋_GB2312"/>
                <w:sz w:val="28"/>
                <w:szCs w:val="28"/>
              </w:rPr>
              <w:t>号</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2009.</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12.15</w:t>
            </w:r>
          </w:p>
        </w:tc>
        <w:tc>
          <w:tcPr>
            <w:tcW w:w="992"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区国</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土分局</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已过五年有效期</w:t>
            </w:r>
          </w:p>
        </w:tc>
      </w:tr>
      <w:tr w:rsidR="00E278A8" w:rsidRPr="00B1064C" w:rsidTr="00251EBC">
        <w:trPr>
          <w:trHeight w:val="1275"/>
          <w:jc w:val="center"/>
        </w:trPr>
        <w:tc>
          <w:tcPr>
            <w:tcW w:w="568" w:type="dxa"/>
            <w:vAlign w:val="center"/>
          </w:tcPr>
          <w:p w:rsidR="00E278A8" w:rsidRPr="00B1064C" w:rsidRDefault="00E278A8" w:rsidP="00251EBC">
            <w:pPr>
              <w:spacing w:line="440" w:lineRule="exact"/>
              <w:jc w:val="center"/>
              <w:rPr>
                <w:rFonts w:eastAsia="仿宋_GB2312"/>
                <w:sz w:val="28"/>
                <w:szCs w:val="28"/>
              </w:rPr>
            </w:pPr>
            <w:r w:rsidRPr="00B1064C">
              <w:rPr>
                <w:rFonts w:eastAsia="仿宋_GB2312"/>
                <w:sz w:val="28"/>
                <w:szCs w:val="28"/>
              </w:rPr>
              <w:t>3</w:t>
            </w:r>
          </w:p>
        </w:tc>
        <w:tc>
          <w:tcPr>
            <w:tcW w:w="3969" w:type="dxa"/>
            <w:vAlign w:val="center"/>
          </w:tcPr>
          <w:p w:rsidR="00E278A8" w:rsidRPr="00B1064C" w:rsidRDefault="00E278A8" w:rsidP="00251EBC">
            <w:pPr>
              <w:spacing w:line="400" w:lineRule="exact"/>
              <w:rPr>
                <w:rFonts w:eastAsia="仿宋_GB2312"/>
                <w:sz w:val="28"/>
                <w:szCs w:val="28"/>
              </w:rPr>
            </w:pPr>
            <w:r w:rsidRPr="00B1064C">
              <w:rPr>
                <w:rFonts w:eastAsia="仿宋_GB2312"/>
                <w:sz w:val="28"/>
                <w:szCs w:val="28"/>
              </w:rPr>
              <w:t>铜川市王益区人民政府关于印发新型农村社会养老保险实施细则的通知</w:t>
            </w:r>
          </w:p>
        </w:tc>
        <w:tc>
          <w:tcPr>
            <w:tcW w:w="1985" w:type="dxa"/>
            <w:vAlign w:val="center"/>
          </w:tcPr>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2009</w:t>
            </w:r>
            <w:r w:rsidRPr="00B1064C">
              <w:rPr>
                <w:rFonts w:eastAsia="仿宋_GB2312"/>
                <w:sz w:val="28"/>
                <w:szCs w:val="28"/>
              </w:rPr>
              <w:t>〕</w:t>
            </w:r>
            <w:r w:rsidRPr="00B1064C">
              <w:rPr>
                <w:rFonts w:eastAsia="仿宋_GB2312"/>
                <w:sz w:val="28"/>
                <w:szCs w:val="28"/>
              </w:rPr>
              <w:t>29</w:t>
            </w:r>
            <w:r w:rsidRPr="00B1064C">
              <w:rPr>
                <w:rFonts w:eastAsia="仿宋_GB2312"/>
                <w:sz w:val="28"/>
                <w:szCs w:val="28"/>
              </w:rPr>
              <w:t>号</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2009.</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12.30</w:t>
            </w:r>
          </w:p>
        </w:tc>
        <w:tc>
          <w:tcPr>
            <w:tcW w:w="992"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区人</w:t>
            </w:r>
          </w:p>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社局</w:t>
            </w:r>
            <w:proofErr w:type="gramEnd"/>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已过五年有效期</w:t>
            </w:r>
          </w:p>
        </w:tc>
      </w:tr>
      <w:tr w:rsidR="00E278A8" w:rsidRPr="00B1064C" w:rsidTr="00251EBC">
        <w:trPr>
          <w:trHeight w:val="1531"/>
          <w:jc w:val="center"/>
        </w:trPr>
        <w:tc>
          <w:tcPr>
            <w:tcW w:w="568" w:type="dxa"/>
            <w:vAlign w:val="center"/>
          </w:tcPr>
          <w:p w:rsidR="00E278A8" w:rsidRPr="00B1064C" w:rsidRDefault="00E278A8" w:rsidP="00251EBC">
            <w:pPr>
              <w:spacing w:line="440" w:lineRule="exact"/>
              <w:jc w:val="center"/>
              <w:rPr>
                <w:rFonts w:eastAsia="仿宋_GB2312"/>
                <w:sz w:val="28"/>
                <w:szCs w:val="28"/>
              </w:rPr>
            </w:pPr>
            <w:r w:rsidRPr="00B1064C">
              <w:rPr>
                <w:rFonts w:eastAsia="仿宋_GB2312"/>
                <w:sz w:val="28"/>
                <w:szCs w:val="28"/>
              </w:rPr>
              <w:t>4</w:t>
            </w:r>
          </w:p>
        </w:tc>
        <w:tc>
          <w:tcPr>
            <w:tcW w:w="3969" w:type="dxa"/>
            <w:vAlign w:val="center"/>
          </w:tcPr>
          <w:p w:rsidR="00E278A8" w:rsidRPr="00B1064C" w:rsidRDefault="00E278A8" w:rsidP="00251EBC">
            <w:pPr>
              <w:spacing w:line="400" w:lineRule="exact"/>
              <w:rPr>
                <w:rFonts w:eastAsia="仿宋_GB2312"/>
                <w:sz w:val="28"/>
                <w:szCs w:val="28"/>
              </w:rPr>
            </w:pPr>
            <w:r w:rsidRPr="00B1064C">
              <w:rPr>
                <w:rFonts w:eastAsia="仿宋_GB2312"/>
                <w:sz w:val="28"/>
                <w:szCs w:val="28"/>
              </w:rPr>
              <w:t>铜川市王益区人民政府办公室关于印发铜川市王益区重大地质灾害点居民搬迁实施办法的通知</w:t>
            </w:r>
          </w:p>
        </w:tc>
        <w:tc>
          <w:tcPr>
            <w:tcW w:w="1985" w:type="dxa"/>
            <w:vAlign w:val="center"/>
          </w:tcPr>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办发〔</w:t>
            </w:r>
            <w:r w:rsidRPr="00B1064C">
              <w:rPr>
                <w:rFonts w:eastAsia="仿宋_GB2312"/>
                <w:sz w:val="28"/>
                <w:szCs w:val="28"/>
              </w:rPr>
              <w:t>2010</w:t>
            </w:r>
            <w:r w:rsidRPr="00B1064C">
              <w:rPr>
                <w:rFonts w:eastAsia="仿宋_GB2312"/>
                <w:sz w:val="28"/>
                <w:szCs w:val="28"/>
              </w:rPr>
              <w:t>〕</w:t>
            </w:r>
            <w:r w:rsidRPr="00B1064C">
              <w:rPr>
                <w:rFonts w:eastAsia="仿宋_GB2312"/>
                <w:sz w:val="28"/>
                <w:szCs w:val="28"/>
              </w:rPr>
              <w:t>32</w:t>
            </w:r>
            <w:r w:rsidRPr="00B1064C">
              <w:rPr>
                <w:rFonts w:eastAsia="仿宋_GB2312"/>
                <w:sz w:val="28"/>
                <w:szCs w:val="28"/>
              </w:rPr>
              <w:t>号</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2010.3.10</w:t>
            </w:r>
          </w:p>
        </w:tc>
        <w:tc>
          <w:tcPr>
            <w:tcW w:w="992"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区国</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土分局</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已过五年有效期</w:t>
            </w:r>
          </w:p>
        </w:tc>
      </w:tr>
      <w:tr w:rsidR="00E278A8" w:rsidRPr="00B1064C" w:rsidTr="00251EBC">
        <w:trPr>
          <w:trHeight w:val="1250"/>
          <w:jc w:val="center"/>
        </w:trPr>
        <w:tc>
          <w:tcPr>
            <w:tcW w:w="568" w:type="dxa"/>
            <w:vAlign w:val="center"/>
          </w:tcPr>
          <w:p w:rsidR="00E278A8" w:rsidRPr="00B1064C" w:rsidRDefault="00E278A8" w:rsidP="00251EBC">
            <w:pPr>
              <w:spacing w:line="440" w:lineRule="exact"/>
              <w:jc w:val="center"/>
              <w:rPr>
                <w:rFonts w:eastAsia="仿宋_GB2312"/>
                <w:sz w:val="28"/>
                <w:szCs w:val="28"/>
              </w:rPr>
            </w:pPr>
            <w:r w:rsidRPr="00B1064C">
              <w:rPr>
                <w:rFonts w:eastAsia="仿宋_GB2312"/>
                <w:sz w:val="28"/>
                <w:szCs w:val="28"/>
              </w:rPr>
              <w:t>5</w:t>
            </w:r>
          </w:p>
        </w:tc>
        <w:tc>
          <w:tcPr>
            <w:tcW w:w="3969" w:type="dxa"/>
            <w:vAlign w:val="center"/>
          </w:tcPr>
          <w:p w:rsidR="00E278A8" w:rsidRPr="00B1064C" w:rsidRDefault="00E278A8" w:rsidP="00251EBC">
            <w:pPr>
              <w:spacing w:line="400" w:lineRule="exact"/>
              <w:rPr>
                <w:rFonts w:eastAsia="仿宋_GB2312"/>
                <w:sz w:val="28"/>
                <w:szCs w:val="28"/>
              </w:rPr>
            </w:pPr>
            <w:r w:rsidRPr="00B1064C">
              <w:rPr>
                <w:rFonts w:eastAsia="仿宋_GB2312"/>
                <w:sz w:val="28"/>
                <w:szCs w:val="28"/>
              </w:rPr>
              <w:t>铜川市王益区人民政府关于印发城镇居民社会养老保险实施细则的通知</w:t>
            </w:r>
          </w:p>
        </w:tc>
        <w:tc>
          <w:tcPr>
            <w:tcW w:w="1985" w:type="dxa"/>
            <w:vAlign w:val="center"/>
          </w:tcPr>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2011</w:t>
            </w:r>
            <w:r w:rsidRPr="00B1064C">
              <w:rPr>
                <w:rFonts w:eastAsia="仿宋_GB2312"/>
                <w:sz w:val="28"/>
                <w:szCs w:val="28"/>
              </w:rPr>
              <w:t>〕</w:t>
            </w:r>
            <w:r w:rsidRPr="00B1064C">
              <w:rPr>
                <w:rFonts w:eastAsia="仿宋_GB2312"/>
                <w:sz w:val="28"/>
                <w:szCs w:val="28"/>
              </w:rPr>
              <w:t>14</w:t>
            </w:r>
            <w:r w:rsidRPr="00B1064C">
              <w:rPr>
                <w:rFonts w:eastAsia="仿宋_GB2312"/>
                <w:sz w:val="28"/>
                <w:szCs w:val="28"/>
              </w:rPr>
              <w:t>号</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2011.</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3.21</w:t>
            </w:r>
          </w:p>
        </w:tc>
        <w:tc>
          <w:tcPr>
            <w:tcW w:w="992"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区人</w:t>
            </w:r>
          </w:p>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社局</w:t>
            </w:r>
            <w:proofErr w:type="gramEnd"/>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已过五年有效期</w:t>
            </w:r>
          </w:p>
        </w:tc>
      </w:tr>
      <w:tr w:rsidR="00E278A8" w:rsidRPr="00B1064C" w:rsidTr="00251EBC">
        <w:trPr>
          <w:trHeight w:val="1483"/>
          <w:jc w:val="center"/>
        </w:trPr>
        <w:tc>
          <w:tcPr>
            <w:tcW w:w="568" w:type="dxa"/>
            <w:vAlign w:val="center"/>
          </w:tcPr>
          <w:p w:rsidR="00E278A8" w:rsidRPr="00B1064C" w:rsidRDefault="00E278A8" w:rsidP="00251EBC">
            <w:pPr>
              <w:spacing w:line="440" w:lineRule="exact"/>
              <w:jc w:val="center"/>
              <w:rPr>
                <w:rFonts w:eastAsia="仿宋_GB2312"/>
                <w:sz w:val="28"/>
                <w:szCs w:val="28"/>
              </w:rPr>
            </w:pPr>
            <w:r w:rsidRPr="00B1064C">
              <w:rPr>
                <w:rFonts w:eastAsia="仿宋_GB2312"/>
                <w:sz w:val="28"/>
                <w:szCs w:val="28"/>
              </w:rPr>
              <w:t>6</w:t>
            </w:r>
          </w:p>
        </w:tc>
        <w:tc>
          <w:tcPr>
            <w:tcW w:w="3969" w:type="dxa"/>
            <w:vAlign w:val="center"/>
          </w:tcPr>
          <w:p w:rsidR="00E278A8" w:rsidRPr="00B1064C" w:rsidRDefault="00E278A8" w:rsidP="00251EBC">
            <w:pPr>
              <w:spacing w:line="400" w:lineRule="exact"/>
              <w:rPr>
                <w:rFonts w:eastAsia="仿宋_GB2312"/>
                <w:sz w:val="28"/>
                <w:szCs w:val="28"/>
              </w:rPr>
            </w:pPr>
            <w:r w:rsidRPr="00B1064C">
              <w:rPr>
                <w:rFonts w:eastAsia="仿宋_GB2312"/>
                <w:sz w:val="28"/>
                <w:szCs w:val="28"/>
              </w:rPr>
              <w:t>铜川市王益区人民政府关于印发铜川市王益区建筑领域农民工工资保障办法的通知</w:t>
            </w:r>
          </w:p>
        </w:tc>
        <w:tc>
          <w:tcPr>
            <w:tcW w:w="1985" w:type="dxa"/>
            <w:vAlign w:val="center"/>
          </w:tcPr>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2011</w:t>
            </w:r>
            <w:r w:rsidRPr="00B1064C">
              <w:rPr>
                <w:rFonts w:eastAsia="仿宋_GB2312"/>
                <w:sz w:val="28"/>
                <w:szCs w:val="28"/>
              </w:rPr>
              <w:t>〕</w:t>
            </w:r>
            <w:r w:rsidRPr="00B1064C">
              <w:rPr>
                <w:rFonts w:eastAsia="仿宋_GB2312"/>
                <w:sz w:val="28"/>
                <w:szCs w:val="28"/>
              </w:rPr>
              <w:t>53</w:t>
            </w:r>
            <w:r w:rsidRPr="00B1064C">
              <w:rPr>
                <w:rFonts w:eastAsia="仿宋_GB2312"/>
                <w:sz w:val="28"/>
                <w:szCs w:val="28"/>
              </w:rPr>
              <w:t>号</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2011.</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10.31</w:t>
            </w:r>
          </w:p>
        </w:tc>
        <w:tc>
          <w:tcPr>
            <w:tcW w:w="992"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区人</w:t>
            </w:r>
          </w:p>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社局</w:t>
            </w:r>
            <w:proofErr w:type="gramEnd"/>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已过五年有效期</w:t>
            </w:r>
          </w:p>
        </w:tc>
      </w:tr>
      <w:tr w:rsidR="00E278A8" w:rsidRPr="00B1064C" w:rsidTr="00251EBC">
        <w:trPr>
          <w:trHeight w:val="1275"/>
          <w:jc w:val="center"/>
        </w:trPr>
        <w:tc>
          <w:tcPr>
            <w:tcW w:w="568" w:type="dxa"/>
            <w:vAlign w:val="center"/>
          </w:tcPr>
          <w:p w:rsidR="00E278A8" w:rsidRPr="00B1064C" w:rsidRDefault="00E278A8" w:rsidP="00251EBC">
            <w:pPr>
              <w:spacing w:line="440" w:lineRule="exact"/>
              <w:jc w:val="center"/>
              <w:rPr>
                <w:rFonts w:eastAsia="仿宋_GB2312"/>
                <w:sz w:val="28"/>
                <w:szCs w:val="28"/>
              </w:rPr>
            </w:pPr>
            <w:r w:rsidRPr="00B1064C">
              <w:rPr>
                <w:rFonts w:eastAsia="仿宋_GB2312"/>
                <w:sz w:val="28"/>
                <w:szCs w:val="28"/>
              </w:rPr>
              <w:t>7</w:t>
            </w:r>
          </w:p>
        </w:tc>
        <w:tc>
          <w:tcPr>
            <w:tcW w:w="3969" w:type="dxa"/>
            <w:vAlign w:val="center"/>
          </w:tcPr>
          <w:p w:rsidR="00E278A8" w:rsidRPr="00B1064C" w:rsidRDefault="00E278A8" w:rsidP="00251EBC">
            <w:pPr>
              <w:spacing w:line="400" w:lineRule="exact"/>
              <w:rPr>
                <w:rFonts w:eastAsia="仿宋_GB2312"/>
                <w:sz w:val="28"/>
                <w:szCs w:val="28"/>
              </w:rPr>
            </w:pPr>
            <w:r w:rsidRPr="00B1064C">
              <w:rPr>
                <w:rFonts w:eastAsia="仿宋_GB2312"/>
                <w:sz w:val="28"/>
                <w:szCs w:val="28"/>
              </w:rPr>
              <w:t>铜川市王益区人民政府办公室关于印发煤炭产品费征收办法的通知</w:t>
            </w:r>
          </w:p>
        </w:tc>
        <w:tc>
          <w:tcPr>
            <w:tcW w:w="1985" w:type="dxa"/>
            <w:vAlign w:val="center"/>
          </w:tcPr>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办发〔</w:t>
            </w:r>
            <w:r w:rsidRPr="00B1064C">
              <w:rPr>
                <w:rFonts w:eastAsia="仿宋_GB2312"/>
                <w:sz w:val="28"/>
                <w:szCs w:val="28"/>
              </w:rPr>
              <w:t>2010</w:t>
            </w:r>
            <w:r w:rsidRPr="00B1064C">
              <w:rPr>
                <w:rFonts w:eastAsia="仿宋_GB2312"/>
                <w:sz w:val="28"/>
                <w:szCs w:val="28"/>
              </w:rPr>
              <w:t>〕</w:t>
            </w:r>
            <w:r w:rsidRPr="00B1064C">
              <w:rPr>
                <w:rFonts w:eastAsia="仿宋_GB2312"/>
                <w:sz w:val="28"/>
                <w:szCs w:val="28"/>
              </w:rPr>
              <w:t>68</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2011.</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1.13</w:t>
            </w:r>
          </w:p>
        </w:tc>
        <w:tc>
          <w:tcPr>
            <w:tcW w:w="992"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区煤</w:t>
            </w:r>
          </w:p>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炭局</w:t>
            </w:r>
            <w:proofErr w:type="gramEnd"/>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已过五年有效期</w:t>
            </w:r>
          </w:p>
        </w:tc>
      </w:tr>
      <w:tr w:rsidR="00E278A8" w:rsidRPr="00B1064C" w:rsidTr="00251EBC">
        <w:trPr>
          <w:trHeight w:val="561"/>
          <w:jc w:val="center"/>
        </w:trPr>
        <w:tc>
          <w:tcPr>
            <w:tcW w:w="568" w:type="dxa"/>
            <w:vAlign w:val="center"/>
          </w:tcPr>
          <w:p w:rsidR="00E278A8" w:rsidRPr="00B1064C" w:rsidRDefault="00E278A8" w:rsidP="00251EBC">
            <w:pPr>
              <w:spacing w:line="440" w:lineRule="exact"/>
              <w:jc w:val="center"/>
              <w:rPr>
                <w:rFonts w:eastAsia="仿宋_GB2312"/>
                <w:sz w:val="28"/>
                <w:szCs w:val="28"/>
              </w:rPr>
            </w:pPr>
            <w:r w:rsidRPr="00B1064C">
              <w:rPr>
                <w:rFonts w:eastAsia="仿宋_GB2312"/>
                <w:sz w:val="28"/>
                <w:szCs w:val="28"/>
              </w:rPr>
              <w:t>8</w:t>
            </w:r>
          </w:p>
        </w:tc>
        <w:tc>
          <w:tcPr>
            <w:tcW w:w="3969" w:type="dxa"/>
            <w:vAlign w:val="center"/>
          </w:tcPr>
          <w:p w:rsidR="00E278A8" w:rsidRPr="00B1064C" w:rsidRDefault="00E278A8" w:rsidP="00251EBC">
            <w:pPr>
              <w:spacing w:line="400" w:lineRule="exact"/>
              <w:rPr>
                <w:rFonts w:eastAsia="仿宋_GB2312"/>
                <w:sz w:val="28"/>
                <w:szCs w:val="28"/>
              </w:rPr>
            </w:pPr>
            <w:r w:rsidRPr="00B1064C">
              <w:rPr>
                <w:rFonts w:eastAsia="仿宋_GB2312"/>
                <w:sz w:val="28"/>
                <w:szCs w:val="28"/>
              </w:rPr>
              <w:t>铜川市王益区人民政府关于印发铜川市王益区城乡医疗救助暂行办法的通知</w:t>
            </w:r>
          </w:p>
        </w:tc>
        <w:tc>
          <w:tcPr>
            <w:tcW w:w="1985" w:type="dxa"/>
            <w:vAlign w:val="center"/>
          </w:tcPr>
          <w:p w:rsidR="00E278A8" w:rsidRPr="00B1064C" w:rsidRDefault="00E278A8" w:rsidP="00251EBC">
            <w:pPr>
              <w:spacing w:line="400" w:lineRule="exact"/>
              <w:jc w:val="center"/>
              <w:rPr>
                <w:rFonts w:eastAsia="仿宋_GB2312"/>
                <w:sz w:val="28"/>
                <w:szCs w:val="28"/>
              </w:rPr>
            </w:pPr>
            <w:proofErr w:type="gramStart"/>
            <w:r w:rsidRPr="00B1064C">
              <w:rPr>
                <w:rFonts w:eastAsia="仿宋_GB2312"/>
                <w:sz w:val="28"/>
                <w:szCs w:val="28"/>
              </w:rPr>
              <w:t>铜王政</w:t>
            </w:r>
            <w:proofErr w:type="gramEnd"/>
            <w:r w:rsidRPr="00B1064C">
              <w:rPr>
                <w:rFonts w:eastAsia="仿宋_GB2312"/>
                <w:sz w:val="28"/>
                <w:szCs w:val="28"/>
              </w:rPr>
              <w:t>发〔</w:t>
            </w:r>
            <w:r w:rsidRPr="00B1064C">
              <w:rPr>
                <w:rFonts w:eastAsia="仿宋_GB2312"/>
                <w:sz w:val="28"/>
                <w:szCs w:val="28"/>
              </w:rPr>
              <w:t>2011</w:t>
            </w:r>
            <w:r w:rsidRPr="00B1064C">
              <w:rPr>
                <w:rFonts w:eastAsia="仿宋_GB2312"/>
                <w:sz w:val="28"/>
                <w:szCs w:val="28"/>
              </w:rPr>
              <w:t>〕</w:t>
            </w:r>
            <w:r w:rsidRPr="00B1064C">
              <w:rPr>
                <w:rFonts w:eastAsia="仿宋_GB2312"/>
                <w:sz w:val="28"/>
                <w:szCs w:val="28"/>
              </w:rPr>
              <w:t>65</w:t>
            </w:r>
            <w:r w:rsidRPr="00B1064C">
              <w:rPr>
                <w:rFonts w:eastAsia="仿宋_GB2312"/>
                <w:sz w:val="28"/>
                <w:szCs w:val="28"/>
              </w:rPr>
              <w:t>号</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2011.</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12.31</w:t>
            </w:r>
          </w:p>
        </w:tc>
        <w:tc>
          <w:tcPr>
            <w:tcW w:w="992"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区民</w:t>
            </w:r>
          </w:p>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政局</w:t>
            </w:r>
          </w:p>
        </w:tc>
        <w:tc>
          <w:tcPr>
            <w:tcW w:w="1134" w:type="dxa"/>
            <w:vAlign w:val="center"/>
          </w:tcPr>
          <w:p w:rsidR="00E278A8" w:rsidRPr="00B1064C" w:rsidRDefault="00E278A8" w:rsidP="00251EBC">
            <w:pPr>
              <w:spacing w:line="400" w:lineRule="exact"/>
              <w:jc w:val="center"/>
              <w:rPr>
                <w:rFonts w:eastAsia="仿宋_GB2312"/>
                <w:sz w:val="28"/>
                <w:szCs w:val="28"/>
              </w:rPr>
            </w:pPr>
            <w:r w:rsidRPr="00B1064C">
              <w:rPr>
                <w:rFonts w:eastAsia="仿宋_GB2312"/>
                <w:sz w:val="28"/>
                <w:szCs w:val="28"/>
              </w:rPr>
              <w:t>已过两年有效期</w:t>
            </w:r>
          </w:p>
        </w:tc>
      </w:tr>
    </w:tbl>
    <w:p w:rsidR="001B31C4" w:rsidRDefault="001B31C4" w:rsidP="00E278A8">
      <w:pPr>
        <w:tabs>
          <w:tab w:val="left" w:pos="6600"/>
        </w:tabs>
        <w:spacing w:line="400" w:lineRule="exact"/>
      </w:pPr>
    </w:p>
    <w:sectPr w:rsidR="001B31C4" w:rsidSect="001B31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78A8"/>
    <w:rsid w:val="001B31C4"/>
    <w:rsid w:val="00E278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A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开发用户</dc:creator>
  <cp:lastModifiedBy>开发用户</cp:lastModifiedBy>
  <cp:revision>1</cp:revision>
  <dcterms:created xsi:type="dcterms:W3CDTF">2017-01-24T08:16:00Z</dcterms:created>
  <dcterms:modified xsi:type="dcterms:W3CDTF">2017-01-24T08:16:00Z</dcterms:modified>
</cp:coreProperties>
</file>