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b/>
          <w:sz w:val="72"/>
          <w:szCs w:val="72"/>
        </w:rPr>
      </w:pPr>
    </w:p>
    <w:p>
      <w:pPr>
        <w:jc w:val="both"/>
        <w:rPr>
          <w:b/>
          <w:sz w:val="72"/>
          <w:szCs w:val="72"/>
        </w:rPr>
      </w:pPr>
    </w:p>
    <w:p>
      <w:pPr>
        <w:jc w:val="center"/>
        <w:rPr>
          <w:b/>
          <w:sz w:val="72"/>
          <w:szCs w:val="72"/>
        </w:rPr>
      </w:pPr>
      <w:r>
        <w:rPr>
          <w:b/>
          <w:sz w:val="72"/>
          <w:szCs w:val="72"/>
        </w:rPr>
        <w:t>建设项目环境影响报告表</w:t>
      </w:r>
    </w:p>
    <w:p>
      <w:pPr>
        <w:ind w:firstLine="320"/>
        <w:jc w:val="center"/>
        <w:rPr>
          <w:sz w:val="32"/>
          <w:szCs w:val="32"/>
        </w:rPr>
      </w:pPr>
    </w:p>
    <w:p>
      <w:pPr>
        <w:ind w:firstLine="280"/>
        <w:rPr>
          <w:sz w:val="28"/>
        </w:rPr>
      </w:pPr>
    </w:p>
    <w:p>
      <w:pPr>
        <w:ind w:firstLine="280"/>
        <w:rPr>
          <w:sz w:val="28"/>
        </w:rPr>
      </w:pPr>
    </w:p>
    <w:p>
      <w:pPr>
        <w:ind w:firstLine="280"/>
        <w:rPr>
          <w:sz w:val="28"/>
        </w:rPr>
      </w:pPr>
    </w:p>
    <w:p>
      <w:pPr>
        <w:ind w:firstLine="280"/>
        <w:rPr>
          <w:sz w:val="28"/>
        </w:rPr>
      </w:pPr>
    </w:p>
    <w:p>
      <w:pPr>
        <w:spacing w:line="400" w:lineRule="exact"/>
        <w:ind w:left="2222" w:leftChars="398" w:hanging="1386" w:hangingChars="495"/>
        <w:rPr>
          <w:sz w:val="28"/>
        </w:rPr>
      </w:pPr>
    </w:p>
    <w:p>
      <w:pPr>
        <w:spacing w:line="400" w:lineRule="exact"/>
        <w:ind w:left="2222" w:leftChars="398" w:hanging="1386" w:hangingChars="495"/>
        <w:rPr>
          <w:sz w:val="28"/>
        </w:rPr>
      </w:pPr>
    </w:p>
    <w:p>
      <w:pPr>
        <w:ind w:left="2761" w:leftChars="110" w:hanging="2530" w:hangingChars="900"/>
        <w:jc w:val="left"/>
        <w:rPr>
          <w:rFonts w:hint="eastAsia"/>
          <w:b/>
          <w:bCs w:val="0"/>
          <w:sz w:val="28"/>
          <w:szCs w:val="28"/>
          <w:u w:val="single"/>
        </w:rPr>
      </w:pPr>
      <w:r>
        <w:rPr>
          <w:b/>
          <w:bCs w:val="0"/>
          <w:sz w:val="28"/>
          <w:szCs w:val="28"/>
        </w:rPr>
        <w:t>项  目  名  称：</w:t>
      </w:r>
      <w:r>
        <w:rPr>
          <w:rFonts w:hint="eastAsia"/>
          <w:b/>
          <w:bCs w:val="0"/>
          <w:sz w:val="28"/>
          <w:szCs w:val="28"/>
          <w:u w:val="single"/>
          <w:lang w:val="en-US" w:eastAsia="zh-CN"/>
        </w:rPr>
        <w:t xml:space="preserve"> </w:t>
      </w:r>
      <w:bookmarkStart w:id="0" w:name="OLE_LINK4"/>
      <w:r>
        <w:rPr>
          <w:rFonts w:hint="eastAsia"/>
          <w:b/>
          <w:bCs w:val="0"/>
          <w:sz w:val="28"/>
          <w:szCs w:val="28"/>
          <w:u w:val="single"/>
          <w:lang w:val="en-US" w:eastAsia="zh-CN"/>
        </w:rPr>
        <w:t>洁亿达煤炭精洗及煤矸石综合利用</w:t>
      </w:r>
      <w:r>
        <w:rPr>
          <w:rFonts w:hint="eastAsia"/>
          <w:b/>
          <w:bCs w:val="0"/>
          <w:sz w:val="28"/>
          <w:szCs w:val="28"/>
          <w:u w:val="single"/>
        </w:rPr>
        <w:t>项目</w:t>
      </w:r>
      <w:bookmarkEnd w:id="0"/>
      <w:r>
        <w:rPr>
          <w:rFonts w:hint="eastAsia"/>
          <w:b/>
          <w:bCs w:val="0"/>
          <w:sz w:val="28"/>
          <w:szCs w:val="28"/>
          <w:u w:val="single"/>
          <w:lang w:val="en-US" w:eastAsia="zh-CN"/>
        </w:rPr>
        <w:t xml:space="preserve"> </w:t>
      </w:r>
    </w:p>
    <w:p>
      <w:pPr>
        <w:ind w:left="2761" w:leftChars="110" w:hanging="2530" w:hangingChars="900"/>
        <w:jc w:val="left"/>
        <w:rPr>
          <w:b/>
          <w:bCs w:val="0"/>
          <w:sz w:val="28"/>
          <w:u w:val="single"/>
        </w:rPr>
      </w:pPr>
      <w:r>
        <w:rPr>
          <w:b/>
          <w:bCs w:val="0"/>
          <w:sz w:val="28"/>
          <w:szCs w:val="28"/>
        </w:rPr>
        <w:t>建设单位（盖章）：</w:t>
      </w:r>
      <w:r>
        <w:rPr>
          <w:rFonts w:hint="eastAsia"/>
          <w:b/>
          <w:bCs w:val="0"/>
          <w:sz w:val="28"/>
          <w:szCs w:val="28"/>
          <w:u w:val="single"/>
        </w:rPr>
        <w:t xml:space="preserve"> 铜川宜兴达物资储运有限公司</w:t>
      </w:r>
      <w:r>
        <w:rPr>
          <w:rFonts w:hint="eastAsia"/>
          <w:b/>
          <w:bCs w:val="0"/>
          <w:sz w:val="28"/>
          <w:szCs w:val="28"/>
          <w:u w:val="single"/>
          <w:lang w:val="en-US" w:eastAsia="zh-CN"/>
        </w:rPr>
        <w:t xml:space="preserve">     </w:t>
      </w:r>
      <w:r>
        <w:rPr>
          <w:rFonts w:hint="eastAsia"/>
          <w:b/>
          <w:bCs w:val="0"/>
          <w:sz w:val="28"/>
          <w:szCs w:val="28"/>
          <w:u w:val="single"/>
        </w:rPr>
        <w:t xml:space="preserve">  </w:t>
      </w:r>
      <w:r>
        <w:rPr>
          <w:rFonts w:hint="eastAsia"/>
          <w:b/>
          <w:bCs w:val="0"/>
          <w:sz w:val="28"/>
          <w:szCs w:val="28"/>
          <w:u w:val="single"/>
          <w:lang w:val="en-US" w:eastAsia="zh-CN"/>
        </w:rPr>
        <w:t xml:space="preserve"> </w:t>
      </w:r>
      <w:r>
        <w:rPr>
          <w:rFonts w:hint="eastAsia"/>
          <w:b/>
          <w:bCs w:val="0"/>
          <w:sz w:val="28"/>
          <w:szCs w:val="28"/>
          <w:u w:val="single"/>
        </w:rPr>
        <w:t xml:space="preserve"> </w:t>
      </w:r>
    </w:p>
    <w:p>
      <w:pPr>
        <w:ind w:firstLine="280"/>
        <w:rPr>
          <w:sz w:val="28"/>
          <w:u w:val="single"/>
        </w:rPr>
      </w:pPr>
    </w:p>
    <w:p>
      <w:pPr>
        <w:ind w:firstLine="280"/>
        <w:rPr>
          <w:sz w:val="28"/>
          <w:u w:val="single"/>
        </w:rPr>
      </w:pPr>
    </w:p>
    <w:p>
      <w:pPr>
        <w:ind w:firstLine="280"/>
        <w:rPr>
          <w:sz w:val="28"/>
          <w:u w:val="single"/>
        </w:rPr>
      </w:pPr>
    </w:p>
    <w:p>
      <w:pPr>
        <w:ind w:firstLine="280"/>
        <w:rPr>
          <w:sz w:val="28"/>
          <w:u w:val="single"/>
        </w:rPr>
      </w:pPr>
    </w:p>
    <w:p>
      <w:pPr>
        <w:rPr>
          <w:sz w:val="28"/>
          <w:u w:val="single"/>
        </w:rPr>
      </w:pPr>
    </w:p>
    <w:p>
      <w:pPr>
        <w:ind w:firstLine="280"/>
        <w:rPr>
          <w:sz w:val="28"/>
          <w:u w:val="single"/>
        </w:rPr>
      </w:pPr>
    </w:p>
    <w:p>
      <w:pPr>
        <w:ind w:firstLine="280"/>
        <w:rPr>
          <w:sz w:val="28"/>
          <w:u w:val="single"/>
        </w:rPr>
      </w:pPr>
    </w:p>
    <w:p>
      <w:pPr>
        <w:ind w:firstLine="321"/>
        <w:jc w:val="center"/>
        <w:rPr>
          <w:b/>
          <w:sz w:val="32"/>
        </w:rPr>
      </w:pPr>
      <w:r>
        <w:rPr>
          <w:b/>
          <w:sz w:val="32"/>
        </w:rPr>
        <w:t>编制日期：</w:t>
      </w:r>
      <w:r>
        <w:rPr>
          <w:rFonts w:hint="eastAsia"/>
          <w:b/>
          <w:sz w:val="32"/>
          <w:lang w:val="en-US" w:eastAsia="zh-CN"/>
        </w:rPr>
        <w:t>2017</w:t>
      </w:r>
      <w:r>
        <w:rPr>
          <w:b/>
          <w:sz w:val="32"/>
        </w:rPr>
        <w:t>年</w:t>
      </w:r>
      <w:r>
        <w:rPr>
          <w:rFonts w:hint="eastAsia"/>
          <w:b/>
          <w:sz w:val="32"/>
          <w:lang w:val="en-US" w:eastAsia="zh-CN"/>
        </w:rPr>
        <w:t>11</w:t>
      </w:r>
      <w:r>
        <w:rPr>
          <w:b/>
          <w:sz w:val="32"/>
        </w:rPr>
        <w:t>月</w:t>
      </w:r>
    </w:p>
    <w:p>
      <w:pPr>
        <w:ind w:firstLine="321"/>
        <w:jc w:val="center"/>
        <w:rPr>
          <w:b/>
          <w:sz w:val="32"/>
        </w:rPr>
      </w:pPr>
      <w:r>
        <w:rPr>
          <w:rFonts w:hint="eastAsia"/>
          <w:b/>
          <w:sz w:val="32"/>
        </w:rPr>
        <w:t>国家</w:t>
      </w:r>
      <w:r>
        <w:rPr>
          <w:b/>
          <w:sz w:val="32"/>
        </w:rPr>
        <w:t>环境保护部</w:t>
      </w:r>
      <w:r>
        <w:rPr>
          <w:rFonts w:hint="eastAsia"/>
          <w:b/>
          <w:sz w:val="32"/>
        </w:rPr>
        <w:t>制</w:t>
      </w:r>
    </w:p>
    <w:p>
      <w:pPr>
        <w:rPr>
          <w:sz w:val="24"/>
          <w:szCs w:val="24"/>
        </w:rPr>
      </w:pPr>
    </w:p>
    <w:p>
      <w:pPr>
        <w:ind w:firstLine="360"/>
        <w:jc w:val="center"/>
        <w:rPr>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134"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pPr>
    </w:p>
    <w:p>
      <w:pPr>
        <w:ind w:firstLine="360"/>
        <w:jc w:val="center"/>
        <w:rPr>
          <w:sz w:val="36"/>
          <w:szCs w:val="36"/>
        </w:rPr>
        <w:sectPr>
          <w:footerReference r:id="rId9" w:type="default"/>
          <w:pgSz w:w="11907" w:h="16840"/>
          <w:pgMar w:top="1418" w:right="1134" w:bottom="1134"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firstLine="360"/>
        <w:jc w:val="center"/>
        <w:rPr>
          <w:sz w:val="36"/>
          <w:szCs w:val="36"/>
        </w:rPr>
      </w:pPr>
    </w:p>
    <w:p>
      <w:pPr>
        <w:ind w:firstLine="360"/>
        <w:jc w:val="center"/>
        <w:rPr>
          <w:sz w:val="36"/>
          <w:szCs w:val="36"/>
        </w:rPr>
      </w:pPr>
      <w:r>
        <w:rPr>
          <w:sz w:val="36"/>
          <w:szCs w:val="36"/>
        </w:rPr>
        <w:t>《建设项目环境影响报告表》编制说明</w:t>
      </w:r>
    </w:p>
    <w:p>
      <w:pPr>
        <w:ind w:left="-540" w:leftChars="-257" w:firstLine="210"/>
      </w:pPr>
    </w:p>
    <w:p>
      <w:pPr>
        <w:spacing w:line="480" w:lineRule="auto"/>
        <w:ind w:left="-399" w:leftChars="-190" w:right="25" w:rightChars="12" w:firstLine="420" w:firstLineChars="150"/>
        <w:rPr>
          <w:sz w:val="28"/>
          <w:szCs w:val="28"/>
        </w:rPr>
      </w:pPr>
      <w:r>
        <w:rPr>
          <w:sz w:val="28"/>
          <w:szCs w:val="28"/>
        </w:rPr>
        <w:t>《建设项目环境影响报告表》编制说明由具有从事环境影响评价工作资质的单位编制。</w:t>
      </w:r>
    </w:p>
    <w:p>
      <w:pPr>
        <w:spacing w:line="480" w:lineRule="auto"/>
        <w:ind w:left="-540" w:leftChars="-257" w:right="25" w:rightChars="12" w:firstLine="700" w:firstLineChars="250"/>
        <w:rPr>
          <w:sz w:val="28"/>
          <w:szCs w:val="28"/>
        </w:rPr>
      </w:pPr>
      <w:r>
        <w:rPr>
          <w:sz w:val="28"/>
          <w:szCs w:val="28"/>
        </w:rPr>
        <w:t>1、项目名称——指项目立项批复时的，名称，应不超过30个字（两个英文字段作一个字段）。</w:t>
      </w:r>
    </w:p>
    <w:p>
      <w:pPr>
        <w:spacing w:line="480" w:lineRule="auto"/>
        <w:ind w:left="-399" w:leftChars="-190" w:right="25" w:rightChars="12" w:firstLine="560" w:firstLineChars="200"/>
        <w:rPr>
          <w:sz w:val="28"/>
          <w:szCs w:val="28"/>
        </w:rPr>
      </w:pPr>
      <w:r>
        <w:rPr>
          <w:sz w:val="28"/>
          <w:szCs w:val="28"/>
        </w:rPr>
        <w:t>2、建设地点——指项目所在地详细地址、公路、铁路应填写起止地点。</w:t>
      </w:r>
    </w:p>
    <w:p>
      <w:pPr>
        <w:spacing w:line="480" w:lineRule="auto"/>
        <w:ind w:left="-540" w:leftChars="-257" w:right="25" w:rightChars="12" w:firstLine="700" w:firstLineChars="250"/>
        <w:rPr>
          <w:sz w:val="28"/>
          <w:szCs w:val="28"/>
        </w:rPr>
      </w:pPr>
      <w:r>
        <w:rPr>
          <w:sz w:val="28"/>
          <w:szCs w:val="28"/>
        </w:rPr>
        <w:t>3、行业类别——按国际填写。</w:t>
      </w:r>
    </w:p>
    <w:p>
      <w:pPr>
        <w:spacing w:line="480" w:lineRule="auto"/>
        <w:ind w:left="-540" w:leftChars="-257" w:right="25" w:rightChars="12" w:firstLine="700" w:firstLineChars="250"/>
        <w:rPr>
          <w:sz w:val="28"/>
          <w:szCs w:val="28"/>
        </w:rPr>
      </w:pPr>
      <w:r>
        <w:rPr>
          <w:sz w:val="28"/>
          <w:szCs w:val="28"/>
        </w:rPr>
        <w:t>4、总投资——指项目投资总额。</w:t>
      </w:r>
    </w:p>
    <w:p>
      <w:pPr>
        <w:spacing w:line="480" w:lineRule="auto"/>
        <w:ind w:left="-399" w:leftChars="-190" w:right="25" w:rightChars="12" w:firstLine="560" w:firstLineChars="200"/>
        <w:rPr>
          <w:sz w:val="28"/>
          <w:szCs w:val="28"/>
        </w:rPr>
      </w:pPr>
      <w:r>
        <w:rPr>
          <w:sz w:val="28"/>
          <w:szCs w:val="28"/>
        </w:rPr>
        <w:t>5、主要环境保护目标——指项目区周围一定范围内集中居民住宅区、学校、医院、保护文物、风景名胜区、水源地和生态敏感点等，应尽可能给出保护目标、性质、规模和距厂界距离等。</w:t>
      </w:r>
    </w:p>
    <w:p>
      <w:pPr>
        <w:spacing w:line="480" w:lineRule="auto"/>
        <w:ind w:left="-399" w:leftChars="-190" w:right="25" w:rightChars="12" w:firstLine="560" w:firstLineChars="200"/>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他意议。</w:t>
      </w:r>
    </w:p>
    <w:p>
      <w:pPr>
        <w:spacing w:line="480" w:lineRule="auto"/>
        <w:ind w:left="-399" w:leftChars="-190" w:right="25" w:rightChars="12" w:firstLine="560" w:firstLineChars="200"/>
        <w:rPr>
          <w:sz w:val="28"/>
          <w:szCs w:val="28"/>
        </w:rPr>
      </w:pPr>
      <w:r>
        <w:rPr>
          <w:sz w:val="28"/>
          <w:szCs w:val="28"/>
        </w:rPr>
        <w:t>7、预审意见——由行业主管部门填写答复意见，无主管部门项目，可不填写。</w:t>
      </w:r>
    </w:p>
    <w:p>
      <w:pPr>
        <w:spacing w:line="480" w:lineRule="auto"/>
        <w:ind w:left="-540" w:leftChars="-257" w:right="25" w:rightChars="12" w:firstLine="700" w:firstLineChars="250"/>
        <w:rPr>
          <w:sz w:val="28"/>
          <w:szCs w:val="28"/>
        </w:rPr>
      </w:pPr>
      <w:r>
        <w:rPr>
          <w:sz w:val="28"/>
          <w:szCs w:val="28"/>
        </w:rPr>
        <w:t>8、审批意见——由负责审批该项目的环境保护行政主管部门批复。</w:t>
      </w:r>
    </w:p>
    <w:p>
      <w:pPr>
        <w:ind w:firstLine="321"/>
        <w:rPr>
          <w:b/>
          <w:sz w:val="32"/>
        </w:rPr>
      </w:pPr>
    </w:p>
    <w:p>
      <w:pPr>
        <w:ind w:firstLine="321"/>
        <w:rPr>
          <w:b/>
          <w:sz w:val="32"/>
        </w:rPr>
      </w:pPr>
    </w:p>
    <w:p>
      <w:pPr>
        <w:ind w:firstLine="321"/>
        <w:rPr>
          <w:b/>
          <w:sz w:val="32"/>
        </w:rPr>
      </w:pPr>
    </w:p>
    <w:p>
      <w:pPr>
        <w:ind w:firstLine="321"/>
        <w:rPr>
          <w:b/>
          <w:sz w:val="32"/>
        </w:rPr>
      </w:pPr>
    </w:p>
    <w:p>
      <w:pPr>
        <w:ind w:firstLine="321"/>
        <w:rPr>
          <w:b/>
          <w:sz w:val="32"/>
        </w:rPr>
        <w:sectPr>
          <w:footerReference r:id="rId10" w:type="default"/>
          <w:pgSz w:w="11907" w:h="16840"/>
          <w:pgMar w:top="1418" w:right="1134" w:bottom="1134"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firstLine="321"/>
        <w:rPr>
          <w:b/>
          <w:sz w:val="32"/>
        </w:rPr>
      </w:pPr>
    </w:p>
    <w:p>
      <w:pPr>
        <w:ind w:firstLine="321"/>
        <w:rPr>
          <w:b/>
          <w:sz w:val="32"/>
        </w:rPr>
      </w:pPr>
    </w:p>
    <w:p>
      <w:pPr>
        <w:ind w:firstLine="321"/>
        <w:rPr>
          <w:b/>
          <w:sz w:val="32"/>
        </w:rPr>
        <w:sectPr>
          <w:footerReference r:id="rId11" w:type="default"/>
          <w:pgSz w:w="11907" w:h="16840"/>
          <w:pgMar w:top="1418" w:right="1134" w:bottom="1134"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ind w:firstLine="321"/>
        <w:jc w:val="left"/>
        <w:rPr>
          <w:rFonts w:ascii="Times New Roman" w:eastAsia="宋体"/>
          <w:b/>
          <w:sz w:val="32"/>
          <w:szCs w:val="32"/>
        </w:rPr>
      </w:pPr>
      <w:bookmarkStart w:id="1" w:name="_Toc325470778"/>
      <w:r>
        <w:rPr>
          <w:rFonts w:ascii="Times New Roman" w:eastAsia="宋体"/>
          <w:b/>
          <w:sz w:val="32"/>
          <w:szCs w:val="32"/>
        </w:rPr>
        <w:t>建设项目基本情况</w:t>
      </w:r>
      <w:bookmarkEnd w:id="1"/>
    </w:p>
    <w:tbl>
      <w:tblPr>
        <w:tblStyle w:val="34"/>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92"/>
        <w:gridCol w:w="1763"/>
        <w:gridCol w:w="56"/>
        <w:gridCol w:w="1521"/>
        <w:gridCol w:w="1176"/>
        <w:gridCol w:w="290"/>
        <w:gridCol w:w="1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vAlign w:val="center"/>
          </w:tcPr>
          <w:p>
            <w:pPr>
              <w:jc w:val="center"/>
              <w:rPr>
                <w:b/>
                <w:spacing w:val="-10"/>
                <w:sz w:val="24"/>
              </w:rPr>
            </w:pPr>
            <w:r>
              <w:rPr>
                <w:b/>
                <w:spacing w:val="-10"/>
                <w:sz w:val="24"/>
              </w:rPr>
              <w:t>项目名称</w:t>
            </w:r>
          </w:p>
        </w:tc>
        <w:tc>
          <w:tcPr>
            <w:tcW w:w="7620" w:type="dxa"/>
            <w:gridSpan w:val="7"/>
            <w:tcBorders>
              <w:tl2br w:val="nil"/>
              <w:tr2bl w:val="nil"/>
            </w:tcBorders>
            <w:vAlign w:val="center"/>
          </w:tcPr>
          <w:p>
            <w:pPr>
              <w:ind w:firstLine="240"/>
              <w:jc w:val="center"/>
              <w:rPr>
                <w:sz w:val="24"/>
                <w:szCs w:val="24"/>
                <w:u w:val="single"/>
              </w:rPr>
            </w:pPr>
            <w:r>
              <w:rPr>
                <w:rFonts w:hint="eastAsia"/>
                <w:sz w:val="24"/>
                <w:szCs w:val="24"/>
                <w:u w:val="none"/>
              </w:rPr>
              <w:t>洁亿达煤炭精洗及煤矸石综合利用项目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vAlign w:val="center"/>
          </w:tcPr>
          <w:p>
            <w:pPr>
              <w:jc w:val="center"/>
              <w:rPr>
                <w:b/>
                <w:spacing w:val="-10"/>
                <w:sz w:val="24"/>
              </w:rPr>
            </w:pPr>
            <w:r>
              <w:rPr>
                <w:b/>
                <w:spacing w:val="-10"/>
                <w:sz w:val="24"/>
              </w:rPr>
              <w:t>建设单位</w:t>
            </w:r>
          </w:p>
        </w:tc>
        <w:tc>
          <w:tcPr>
            <w:tcW w:w="7620" w:type="dxa"/>
            <w:gridSpan w:val="7"/>
            <w:tcBorders>
              <w:tl2br w:val="nil"/>
              <w:tr2bl w:val="nil"/>
            </w:tcBorders>
            <w:vAlign w:val="center"/>
          </w:tcPr>
          <w:p>
            <w:pPr>
              <w:ind w:firstLine="240"/>
              <w:jc w:val="center"/>
              <w:rPr>
                <w:sz w:val="24"/>
              </w:rPr>
            </w:pPr>
            <w:r>
              <w:rPr>
                <w:rFonts w:hint="eastAsia"/>
                <w:sz w:val="24"/>
              </w:rPr>
              <w:t>铜川宜兴达物资储运有限公司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vAlign w:val="center"/>
          </w:tcPr>
          <w:p>
            <w:pPr>
              <w:jc w:val="center"/>
              <w:rPr>
                <w:b/>
                <w:spacing w:val="-10"/>
                <w:sz w:val="24"/>
              </w:rPr>
            </w:pPr>
            <w:r>
              <w:rPr>
                <w:b/>
                <w:spacing w:val="-10"/>
                <w:sz w:val="24"/>
              </w:rPr>
              <w:t>法人代表</w:t>
            </w:r>
          </w:p>
        </w:tc>
        <w:tc>
          <w:tcPr>
            <w:tcW w:w="3355" w:type="dxa"/>
            <w:gridSpan w:val="2"/>
            <w:tcBorders>
              <w:tl2br w:val="nil"/>
              <w:tr2bl w:val="nil"/>
            </w:tcBorders>
            <w:vAlign w:val="center"/>
          </w:tcPr>
          <w:p>
            <w:pPr>
              <w:ind w:firstLine="240"/>
              <w:jc w:val="center"/>
              <w:rPr>
                <w:rFonts w:hint="eastAsia" w:eastAsia="宋体"/>
                <w:sz w:val="24"/>
                <w:lang w:eastAsia="zh-CN"/>
              </w:rPr>
            </w:pPr>
            <w:r>
              <w:rPr>
                <w:rFonts w:hint="eastAsia" w:eastAsia="宋体"/>
                <w:sz w:val="24"/>
                <w:lang w:eastAsia="zh-CN"/>
              </w:rPr>
              <w:t>韩永红</w:t>
            </w:r>
          </w:p>
        </w:tc>
        <w:tc>
          <w:tcPr>
            <w:tcW w:w="1577" w:type="dxa"/>
            <w:gridSpan w:val="2"/>
            <w:tcBorders>
              <w:tl2br w:val="nil"/>
              <w:tr2bl w:val="nil"/>
            </w:tcBorders>
            <w:vAlign w:val="center"/>
          </w:tcPr>
          <w:p>
            <w:pPr>
              <w:ind w:firstLine="241"/>
              <w:jc w:val="center"/>
              <w:rPr>
                <w:b/>
                <w:sz w:val="24"/>
              </w:rPr>
            </w:pPr>
            <w:r>
              <w:rPr>
                <w:b/>
                <w:sz w:val="24"/>
              </w:rPr>
              <w:t>联系人</w:t>
            </w:r>
          </w:p>
        </w:tc>
        <w:tc>
          <w:tcPr>
            <w:tcW w:w="2688" w:type="dxa"/>
            <w:gridSpan w:val="3"/>
            <w:tcBorders>
              <w:tl2br w:val="nil"/>
              <w:tr2bl w:val="nil"/>
            </w:tcBorders>
            <w:vAlign w:val="center"/>
          </w:tcPr>
          <w:p>
            <w:pPr>
              <w:ind w:firstLine="240"/>
              <w:jc w:val="center"/>
              <w:rPr>
                <w:color w:val="FF0000"/>
                <w:sz w:val="24"/>
                <w:szCs w:val="24"/>
              </w:rPr>
            </w:pPr>
            <w:r>
              <w:rPr>
                <w:rFonts w:hint="eastAsia"/>
                <w:color w:val="auto"/>
                <w:sz w:val="24"/>
                <w:szCs w:val="24"/>
              </w:rPr>
              <w:t>韩永红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vAlign w:val="center"/>
          </w:tcPr>
          <w:p>
            <w:pPr>
              <w:jc w:val="center"/>
              <w:rPr>
                <w:b/>
                <w:spacing w:val="-10"/>
                <w:sz w:val="24"/>
              </w:rPr>
            </w:pPr>
            <w:r>
              <w:rPr>
                <w:b/>
                <w:spacing w:val="-10"/>
                <w:sz w:val="24"/>
              </w:rPr>
              <w:t>通讯地址</w:t>
            </w:r>
          </w:p>
        </w:tc>
        <w:tc>
          <w:tcPr>
            <w:tcW w:w="7620" w:type="dxa"/>
            <w:gridSpan w:val="7"/>
            <w:tcBorders>
              <w:tl2br w:val="nil"/>
              <w:tr2bl w:val="nil"/>
            </w:tcBorders>
            <w:vAlign w:val="center"/>
          </w:tcPr>
          <w:p>
            <w:pPr>
              <w:ind w:firstLine="240"/>
              <w:jc w:val="center"/>
              <w:rPr>
                <w:rFonts w:hint="eastAsia" w:eastAsia="宋体"/>
                <w:sz w:val="24"/>
                <w:lang w:eastAsia="zh-CN"/>
              </w:rPr>
            </w:pPr>
            <w:r>
              <w:rPr>
                <w:rFonts w:hint="eastAsia" w:eastAsia="宋体"/>
                <w:sz w:val="24"/>
                <w:lang w:eastAsia="zh-CN"/>
              </w:rPr>
              <w:t>陕西省铜川市宜君县太安镇马场村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vAlign w:val="center"/>
          </w:tcPr>
          <w:p>
            <w:pPr>
              <w:jc w:val="center"/>
              <w:rPr>
                <w:b/>
                <w:spacing w:val="-10"/>
                <w:sz w:val="24"/>
              </w:rPr>
            </w:pPr>
            <w:r>
              <w:rPr>
                <w:b/>
                <w:spacing w:val="-10"/>
                <w:sz w:val="24"/>
              </w:rPr>
              <w:t>联系电话</w:t>
            </w:r>
          </w:p>
        </w:tc>
        <w:tc>
          <w:tcPr>
            <w:tcW w:w="1592" w:type="dxa"/>
            <w:tcBorders>
              <w:tl2br w:val="nil"/>
              <w:tr2bl w:val="nil"/>
            </w:tcBorders>
            <w:vAlign w:val="center"/>
          </w:tcPr>
          <w:p>
            <w:pPr>
              <w:jc w:val="center"/>
              <w:rPr>
                <w:rFonts w:hint="eastAsia" w:eastAsia="宋体"/>
                <w:color w:val="FF0000"/>
                <w:sz w:val="24"/>
                <w:szCs w:val="24"/>
                <w:lang w:eastAsia="zh-CN"/>
              </w:rPr>
            </w:pPr>
            <w:r>
              <w:rPr>
                <w:rFonts w:hint="eastAsia"/>
                <w:sz w:val="24"/>
                <w:szCs w:val="24"/>
                <w:lang w:val="en-US" w:eastAsia="zh-CN"/>
              </w:rPr>
              <w:t>15686560888</w:t>
            </w:r>
          </w:p>
        </w:tc>
        <w:tc>
          <w:tcPr>
            <w:tcW w:w="1763" w:type="dxa"/>
            <w:tcBorders>
              <w:tl2br w:val="nil"/>
              <w:tr2bl w:val="nil"/>
            </w:tcBorders>
            <w:vAlign w:val="center"/>
          </w:tcPr>
          <w:p>
            <w:pPr>
              <w:ind w:firstLine="241"/>
              <w:jc w:val="center"/>
              <w:rPr>
                <w:b/>
                <w:sz w:val="24"/>
              </w:rPr>
            </w:pPr>
            <w:r>
              <w:rPr>
                <w:b/>
                <w:sz w:val="24"/>
              </w:rPr>
              <w:t>传真</w:t>
            </w:r>
          </w:p>
        </w:tc>
        <w:tc>
          <w:tcPr>
            <w:tcW w:w="1577" w:type="dxa"/>
            <w:gridSpan w:val="2"/>
            <w:tcBorders>
              <w:tl2br w:val="nil"/>
              <w:tr2bl w:val="nil"/>
            </w:tcBorders>
            <w:vAlign w:val="center"/>
          </w:tcPr>
          <w:p>
            <w:pPr>
              <w:ind w:firstLine="240"/>
              <w:jc w:val="center"/>
              <w:rPr>
                <w:sz w:val="24"/>
              </w:rPr>
            </w:pPr>
            <w:r>
              <w:rPr>
                <w:rFonts w:hint="eastAsia"/>
                <w:sz w:val="24"/>
              </w:rPr>
              <w:t>/</w:t>
            </w:r>
          </w:p>
        </w:tc>
        <w:tc>
          <w:tcPr>
            <w:tcW w:w="1176" w:type="dxa"/>
            <w:tcBorders>
              <w:tl2br w:val="nil"/>
              <w:tr2bl w:val="nil"/>
            </w:tcBorders>
            <w:vAlign w:val="center"/>
          </w:tcPr>
          <w:p>
            <w:pPr>
              <w:jc w:val="center"/>
              <w:rPr>
                <w:b/>
                <w:sz w:val="24"/>
              </w:rPr>
            </w:pPr>
            <w:r>
              <w:rPr>
                <w:b/>
                <w:sz w:val="24"/>
              </w:rPr>
              <w:t>邮政</w:t>
            </w:r>
          </w:p>
          <w:p>
            <w:pPr>
              <w:jc w:val="center"/>
              <w:rPr>
                <w:b/>
                <w:sz w:val="24"/>
              </w:rPr>
            </w:pPr>
            <w:r>
              <w:rPr>
                <w:b/>
                <w:sz w:val="24"/>
              </w:rPr>
              <w:t>编码</w:t>
            </w:r>
          </w:p>
        </w:tc>
        <w:tc>
          <w:tcPr>
            <w:tcW w:w="1512" w:type="dxa"/>
            <w:gridSpan w:val="2"/>
            <w:tcBorders>
              <w:tl2br w:val="nil"/>
              <w:tr2bl w:val="nil"/>
            </w:tcBorders>
            <w:vAlign w:val="center"/>
          </w:tcPr>
          <w:p>
            <w:pPr>
              <w:jc w:val="center"/>
              <w:rPr>
                <w:rFonts w:hint="eastAsia" w:eastAsia="宋体"/>
                <w:sz w:val="24"/>
                <w:lang w:eastAsia="zh-CN"/>
              </w:rPr>
            </w:pPr>
            <w:r>
              <w:rPr>
                <w:rFonts w:hint="eastAsia"/>
                <w:sz w:val="24"/>
                <w:lang w:val="en-US" w:eastAsia="zh-CN"/>
              </w:rPr>
              <w:t>727299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vAlign w:val="center"/>
          </w:tcPr>
          <w:p>
            <w:pPr>
              <w:jc w:val="center"/>
              <w:rPr>
                <w:b/>
                <w:spacing w:val="-10"/>
                <w:sz w:val="24"/>
              </w:rPr>
            </w:pPr>
            <w:r>
              <w:rPr>
                <w:b/>
                <w:spacing w:val="-10"/>
                <w:sz w:val="24"/>
              </w:rPr>
              <w:t>建设地点</w:t>
            </w:r>
          </w:p>
        </w:tc>
        <w:tc>
          <w:tcPr>
            <w:tcW w:w="7620" w:type="dxa"/>
            <w:gridSpan w:val="7"/>
            <w:tcBorders>
              <w:tl2br w:val="nil"/>
              <w:tr2bl w:val="nil"/>
            </w:tcBorders>
            <w:vAlign w:val="center"/>
          </w:tcPr>
          <w:p>
            <w:pPr>
              <w:ind w:firstLine="240"/>
              <w:jc w:val="center"/>
              <w:rPr>
                <w:sz w:val="24"/>
              </w:rPr>
            </w:pPr>
            <w:bookmarkStart w:id="2" w:name="OLE_LINK3"/>
            <w:r>
              <w:rPr>
                <w:rFonts w:hint="eastAsia"/>
                <w:sz w:val="24"/>
                <w:szCs w:val="24"/>
                <w:lang w:eastAsia="zh-CN"/>
              </w:rPr>
              <w:t>宜君县太安镇石管子村石板沟</w:t>
            </w:r>
            <w:bookmarkEnd w:id="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vAlign w:val="center"/>
          </w:tcPr>
          <w:p>
            <w:pPr>
              <w:jc w:val="center"/>
              <w:rPr>
                <w:b/>
                <w:spacing w:val="-10"/>
                <w:sz w:val="24"/>
              </w:rPr>
            </w:pPr>
            <w:r>
              <w:rPr>
                <w:b/>
                <w:spacing w:val="-10"/>
                <w:sz w:val="24"/>
              </w:rPr>
              <w:t>立项审批部门</w:t>
            </w:r>
          </w:p>
        </w:tc>
        <w:tc>
          <w:tcPr>
            <w:tcW w:w="3411" w:type="dxa"/>
            <w:gridSpan w:val="3"/>
            <w:tcBorders>
              <w:tl2br w:val="nil"/>
              <w:tr2bl w:val="nil"/>
            </w:tcBorders>
            <w:vAlign w:val="center"/>
          </w:tcPr>
          <w:p>
            <w:pPr>
              <w:ind w:firstLine="240"/>
              <w:jc w:val="center"/>
              <w:rPr>
                <w:rFonts w:hint="eastAsia" w:eastAsia="宋体"/>
                <w:sz w:val="24"/>
                <w:lang w:eastAsia="zh-CN"/>
              </w:rPr>
            </w:pPr>
            <w:r>
              <w:rPr>
                <w:rFonts w:hint="eastAsia"/>
                <w:sz w:val="24"/>
                <w:lang w:eastAsia="zh-CN"/>
              </w:rPr>
              <w:t>宜君县发展和改革局</w:t>
            </w:r>
          </w:p>
        </w:tc>
        <w:tc>
          <w:tcPr>
            <w:tcW w:w="1521" w:type="dxa"/>
            <w:tcBorders>
              <w:tl2br w:val="nil"/>
              <w:tr2bl w:val="nil"/>
            </w:tcBorders>
            <w:vAlign w:val="center"/>
          </w:tcPr>
          <w:p>
            <w:pPr>
              <w:ind w:firstLine="120" w:firstLineChars="50"/>
              <w:rPr>
                <w:b/>
                <w:sz w:val="24"/>
              </w:rPr>
            </w:pPr>
            <w:r>
              <w:rPr>
                <w:b/>
                <w:sz w:val="24"/>
              </w:rPr>
              <w:t>批准文号</w:t>
            </w:r>
          </w:p>
        </w:tc>
        <w:tc>
          <w:tcPr>
            <w:tcW w:w="2688" w:type="dxa"/>
            <w:gridSpan w:val="3"/>
            <w:tcBorders>
              <w:tl2br w:val="nil"/>
              <w:tr2bl w:val="nil"/>
            </w:tcBorders>
            <w:vAlign w:val="center"/>
          </w:tcPr>
          <w:p>
            <w:pPr>
              <w:jc w:val="center"/>
              <w:rPr>
                <w:sz w:val="24"/>
                <w:szCs w:val="24"/>
              </w:rPr>
            </w:pPr>
            <w:r>
              <w:rPr>
                <w:rFonts w:hint="eastAsia"/>
                <w:sz w:val="24"/>
                <w:szCs w:val="24"/>
                <w:lang w:eastAsia="zh-CN"/>
              </w:rPr>
              <w:t>君</w:t>
            </w:r>
            <w:r>
              <w:rPr>
                <w:rFonts w:hint="eastAsia"/>
                <w:sz w:val="24"/>
                <w:szCs w:val="24"/>
              </w:rPr>
              <w:t>发改发</w:t>
            </w:r>
            <w:r>
              <w:rPr>
                <w:sz w:val="24"/>
                <w:szCs w:val="24"/>
              </w:rPr>
              <w:t>[20</w:t>
            </w:r>
            <w:r>
              <w:rPr>
                <w:rFonts w:hint="eastAsia"/>
                <w:sz w:val="24"/>
                <w:szCs w:val="24"/>
                <w:lang w:val="en-US" w:eastAsia="zh-CN"/>
              </w:rPr>
              <w:t>17</w:t>
            </w:r>
            <w:r>
              <w:rPr>
                <w:sz w:val="24"/>
                <w:szCs w:val="24"/>
              </w:rPr>
              <w:t>]</w:t>
            </w:r>
            <w:r>
              <w:rPr>
                <w:rFonts w:hint="eastAsia"/>
                <w:sz w:val="24"/>
                <w:szCs w:val="24"/>
                <w:lang w:val="en-US" w:eastAsia="zh-CN"/>
              </w:rPr>
              <w:t>268</w:t>
            </w:r>
            <w:r>
              <w:rPr>
                <w:sz w:val="24"/>
                <w:szCs w:val="24"/>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tcBorders>
              <w:tl2br w:val="nil"/>
              <w:tr2bl w:val="nil"/>
            </w:tcBorders>
            <w:vAlign w:val="center"/>
          </w:tcPr>
          <w:p>
            <w:pPr>
              <w:jc w:val="center"/>
              <w:rPr>
                <w:b/>
                <w:spacing w:val="-10"/>
                <w:sz w:val="24"/>
              </w:rPr>
            </w:pPr>
            <w:r>
              <w:rPr>
                <w:b/>
                <w:spacing w:val="-10"/>
                <w:sz w:val="24"/>
              </w:rPr>
              <w:t>建设性质</w:t>
            </w:r>
          </w:p>
        </w:tc>
        <w:tc>
          <w:tcPr>
            <w:tcW w:w="3411" w:type="dxa"/>
            <w:gridSpan w:val="3"/>
            <w:tcBorders>
              <w:tl2br w:val="nil"/>
              <w:tr2bl w:val="nil"/>
            </w:tcBorders>
            <w:vAlign w:val="center"/>
          </w:tcPr>
          <w:p>
            <w:pPr>
              <w:ind w:firstLine="280" w:firstLineChars="100"/>
              <w:rPr>
                <w:sz w:val="24"/>
              </w:rPr>
            </w:pPr>
            <w:r>
              <w:rPr>
                <w:sz w:val="28"/>
              </w:rPr>
              <w:t>√</w:t>
            </w:r>
            <w:r>
              <w:rPr>
                <w:sz w:val="24"/>
              </w:rPr>
              <w:t>新建 □改扩建 □技改</w:t>
            </w:r>
          </w:p>
        </w:tc>
        <w:tc>
          <w:tcPr>
            <w:tcW w:w="1521" w:type="dxa"/>
            <w:tcBorders>
              <w:tl2br w:val="nil"/>
              <w:tr2bl w:val="nil"/>
            </w:tcBorders>
            <w:vAlign w:val="center"/>
          </w:tcPr>
          <w:p>
            <w:pPr>
              <w:ind w:firstLine="241"/>
              <w:jc w:val="center"/>
              <w:rPr>
                <w:b/>
                <w:sz w:val="24"/>
              </w:rPr>
            </w:pPr>
            <w:r>
              <w:rPr>
                <w:b/>
                <w:sz w:val="24"/>
              </w:rPr>
              <w:t>行业类别</w:t>
            </w:r>
          </w:p>
          <w:p>
            <w:pPr>
              <w:ind w:firstLine="241"/>
              <w:jc w:val="center"/>
              <w:rPr>
                <w:b/>
                <w:sz w:val="24"/>
              </w:rPr>
            </w:pPr>
            <w:r>
              <w:rPr>
                <w:b/>
                <w:sz w:val="24"/>
              </w:rPr>
              <w:t>及代码</w:t>
            </w:r>
          </w:p>
        </w:tc>
        <w:tc>
          <w:tcPr>
            <w:tcW w:w="2688" w:type="dxa"/>
            <w:gridSpan w:val="3"/>
            <w:tcBorders>
              <w:tl2br w:val="nil"/>
              <w:tr2bl w:val="nil"/>
            </w:tcBorders>
            <w:vAlign w:val="center"/>
          </w:tcPr>
          <w:p>
            <w:pPr>
              <w:ind w:firstLine="240" w:firstLineChars="100"/>
              <w:jc w:val="center"/>
              <w:rPr>
                <w:rFonts w:hint="eastAsia" w:ascii="Times New Roman" w:hAnsi="Times New Roman" w:cs="Times New Roman"/>
                <w:sz w:val="24"/>
                <w:szCs w:val="24"/>
                <w:lang w:val="en-US" w:eastAsia="zh-CN"/>
              </w:rPr>
            </w:pPr>
            <w:r>
              <w:rPr>
                <w:rFonts w:hint="default" w:ascii="Times New Roman" w:hAnsi="Times New Roman" w:eastAsia="宋体" w:cs="Times New Roman"/>
                <w:sz w:val="24"/>
                <w:szCs w:val="24"/>
                <w:lang w:eastAsia="zh-CN"/>
              </w:rPr>
              <w:t>B0610烟煤和无烟煤开采洗选</w:t>
            </w:r>
          </w:p>
          <w:p>
            <w:pPr>
              <w:ind w:firstLine="240" w:firstLineChars="100"/>
              <w:jc w:val="both"/>
              <w:rPr>
                <w:rFonts w:hint="eastAsia"/>
                <w:lang w:val="en-US" w:eastAsia="zh-CN"/>
              </w:rPr>
            </w:pPr>
            <w:r>
              <w:rPr>
                <w:rFonts w:hint="default" w:ascii="Times New Roman" w:hAnsi="Times New Roman" w:eastAsia="宋体" w:cs="Times New Roman"/>
                <w:sz w:val="24"/>
                <w:szCs w:val="24"/>
                <w:lang w:val="en-US" w:eastAsia="zh-CN"/>
              </w:rPr>
              <w:t>C</w:t>
            </w:r>
            <w:r>
              <w:rPr>
                <w:rFonts w:hint="eastAsia" w:cs="Times New Roman"/>
                <w:sz w:val="24"/>
                <w:szCs w:val="24"/>
                <w:lang w:val="en-US" w:eastAsia="zh-CN"/>
              </w:rPr>
              <w:t>4220非金属废料和碎屑加工处理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tcPr>
          <w:p>
            <w:pPr>
              <w:jc w:val="center"/>
              <w:rPr>
                <w:b/>
                <w:spacing w:val="-10"/>
                <w:sz w:val="24"/>
              </w:rPr>
            </w:pPr>
            <w:r>
              <w:rPr>
                <w:b/>
                <w:spacing w:val="-10"/>
                <w:sz w:val="24"/>
              </w:rPr>
              <w:t>占地面积</w:t>
            </w:r>
          </w:p>
          <w:p>
            <w:pPr>
              <w:rPr>
                <w:b/>
                <w:spacing w:val="-10"/>
                <w:sz w:val="24"/>
              </w:rPr>
            </w:pPr>
            <w:r>
              <w:rPr>
                <w:b/>
                <w:spacing w:val="-10"/>
                <w:sz w:val="24"/>
              </w:rPr>
              <w:t>（平方米）</w:t>
            </w:r>
          </w:p>
        </w:tc>
        <w:tc>
          <w:tcPr>
            <w:tcW w:w="3411" w:type="dxa"/>
            <w:gridSpan w:val="3"/>
            <w:tcBorders>
              <w:tl2br w:val="nil"/>
              <w:tr2bl w:val="nil"/>
            </w:tcBorders>
            <w:vAlign w:val="center"/>
          </w:tcPr>
          <w:p>
            <w:pPr>
              <w:ind w:firstLine="240"/>
              <w:jc w:val="center"/>
              <w:rPr>
                <w:rFonts w:hint="eastAsia" w:eastAsia="宋体"/>
                <w:sz w:val="24"/>
                <w:highlight w:val="none"/>
                <w:lang w:val="en-US" w:eastAsia="zh-CN"/>
              </w:rPr>
            </w:pPr>
            <w:r>
              <w:rPr>
                <w:rFonts w:hint="eastAsia"/>
                <w:sz w:val="24"/>
                <w:highlight w:val="none"/>
                <w:lang w:val="en-US" w:eastAsia="zh-CN"/>
              </w:rPr>
              <w:t>64873</w:t>
            </w:r>
          </w:p>
        </w:tc>
        <w:tc>
          <w:tcPr>
            <w:tcW w:w="1521" w:type="dxa"/>
            <w:tcBorders>
              <w:tl2br w:val="nil"/>
              <w:tr2bl w:val="nil"/>
            </w:tcBorders>
          </w:tcPr>
          <w:p>
            <w:pPr>
              <w:jc w:val="center"/>
              <w:rPr>
                <w:b/>
                <w:sz w:val="24"/>
                <w:highlight w:val="none"/>
              </w:rPr>
            </w:pPr>
            <w:r>
              <w:rPr>
                <w:b/>
                <w:sz w:val="24"/>
                <w:highlight w:val="none"/>
              </w:rPr>
              <w:t>绿化面积</w:t>
            </w:r>
          </w:p>
          <w:p>
            <w:pPr>
              <w:jc w:val="center"/>
              <w:rPr>
                <w:b/>
                <w:sz w:val="24"/>
                <w:highlight w:val="none"/>
              </w:rPr>
            </w:pPr>
            <w:r>
              <w:rPr>
                <w:b/>
                <w:sz w:val="24"/>
                <w:highlight w:val="none"/>
              </w:rPr>
              <w:t>（平方米）</w:t>
            </w:r>
          </w:p>
        </w:tc>
        <w:tc>
          <w:tcPr>
            <w:tcW w:w="2688" w:type="dxa"/>
            <w:gridSpan w:val="3"/>
            <w:tcBorders>
              <w:tl2br w:val="nil"/>
              <w:tr2bl w:val="nil"/>
            </w:tcBorders>
            <w:vAlign w:val="center"/>
          </w:tcPr>
          <w:p>
            <w:pPr>
              <w:ind w:firstLine="240"/>
              <w:jc w:val="center"/>
              <w:rPr>
                <w:rFonts w:hint="eastAsia" w:eastAsia="宋体"/>
                <w:sz w:val="24"/>
                <w:highlight w:val="none"/>
                <w:lang w:eastAsia="zh-CN"/>
              </w:rPr>
            </w:pPr>
            <w:r>
              <w:rPr>
                <w:rFonts w:hint="eastAsia"/>
                <w:sz w:val="24"/>
                <w:highlight w:val="none"/>
                <w:lang w:eastAsia="zh-CN"/>
              </w:rPr>
              <w:t>8000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tcPr>
          <w:p>
            <w:pPr>
              <w:jc w:val="center"/>
              <w:rPr>
                <w:b/>
                <w:spacing w:val="-10"/>
                <w:sz w:val="24"/>
              </w:rPr>
            </w:pPr>
            <w:r>
              <w:rPr>
                <w:b/>
                <w:spacing w:val="-10"/>
                <w:sz w:val="24"/>
              </w:rPr>
              <w:t>总投资</w:t>
            </w:r>
          </w:p>
          <w:p>
            <w:pPr>
              <w:jc w:val="center"/>
              <w:rPr>
                <w:b/>
                <w:spacing w:val="-10"/>
                <w:sz w:val="24"/>
              </w:rPr>
            </w:pPr>
            <w:r>
              <w:rPr>
                <w:b/>
                <w:spacing w:val="-10"/>
                <w:sz w:val="24"/>
              </w:rPr>
              <w:t>（万元）</w:t>
            </w:r>
          </w:p>
        </w:tc>
        <w:tc>
          <w:tcPr>
            <w:tcW w:w="1592" w:type="dxa"/>
            <w:tcBorders>
              <w:tl2br w:val="nil"/>
              <w:tr2bl w:val="nil"/>
            </w:tcBorders>
            <w:vAlign w:val="center"/>
          </w:tcPr>
          <w:p>
            <w:pPr>
              <w:jc w:val="center"/>
              <w:rPr>
                <w:color w:val="auto"/>
                <w:sz w:val="24"/>
                <w:szCs w:val="24"/>
              </w:rPr>
            </w:pPr>
            <w:r>
              <w:rPr>
                <w:rFonts w:hint="eastAsia"/>
                <w:color w:val="auto"/>
                <w:sz w:val="24"/>
                <w:szCs w:val="24"/>
                <w:lang w:val="en-US" w:eastAsia="zh-CN"/>
              </w:rPr>
              <w:t>12000</w:t>
            </w:r>
          </w:p>
        </w:tc>
        <w:tc>
          <w:tcPr>
            <w:tcW w:w="1819" w:type="dxa"/>
            <w:gridSpan w:val="2"/>
            <w:tcBorders>
              <w:tl2br w:val="nil"/>
              <w:tr2bl w:val="nil"/>
            </w:tcBorders>
          </w:tcPr>
          <w:p>
            <w:pPr>
              <w:jc w:val="center"/>
              <w:rPr>
                <w:b/>
                <w:color w:val="auto"/>
                <w:spacing w:val="-10"/>
                <w:sz w:val="24"/>
                <w:highlight w:val="none"/>
              </w:rPr>
            </w:pPr>
            <w:r>
              <w:rPr>
                <w:b/>
                <w:color w:val="auto"/>
                <w:spacing w:val="-10"/>
                <w:sz w:val="24"/>
                <w:highlight w:val="none"/>
              </w:rPr>
              <w:t>其中：环保</w:t>
            </w:r>
          </w:p>
          <w:p>
            <w:pPr>
              <w:jc w:val="center"/>
              <w:rPr>
                <w:b/>
                <w:color w:val="auto"/>
                <w:spacing w:val="-10"/>
                <w:sz w:val="24"/>
                <w:highlight w:val="none"/>
              </w:rPr>
            </w:pPr>
            <w:r>
              <w:rPr>
                <w:b/>
                <w:color w:val="auto"/>
                <w:spacing w:val="-20"/>
                <w:sz w:val="24"/>
                <w:highlight w:val="none"/>
              </w:rPr>
              <w:t>投资（万元）</w:t>
            </w:r>
          </w:p>
        </w:tc>
        <w:tc>
          <w:tcPr>
            <w:tcW w:w="1521" w:type="dxa"/>
            <w:tcBorders>
              <w:tl2br w:val="nil"/>
              <w:tr2bl w:val="nil"/>
            </w:tcBorders>
            <w:vAlign w:val="center"/>
          </w:tcPr>
          <w:p>
            <w:pPr>
              <w:jc w:val="center"/>
              <w:rPr>
                <w:rFonts w:hint="eastAsia" w:eastAsia="宋体"/>
                <w:color w:val="auto"/>
                <w:spacing w:val="-10"/>
                <w:sz w:val="24"/>
                <w:highlight w:val="none"/>
                <w:lang w:eastAsia="zh-CN"/>
              </w:rPr>
            </w:pPr>
            <w:r>
              <w:rPr>
                <w:rFonts w:hint="eastAsia"/>
                <w:color w:val="auto"/>
                <w:spacing w:val="-10"/>
                <w:sz w:val="24"/>
                <w:highlight w:val="none"/>
                <w:lang w:val="en-US" w:eastAsia="zh-CN"/>
              </w:rPr>
              <w:t>650</w:t>
            </w:r>
          </w:p>
        </w:tc>
        <w:tc>
          <w:tcPr>
            <w:tcW w:w="1466" w:type="dxa"/>
            <w:gridSpan w:val="2"/>
            <w:tcBorders>
              <w:tl2br w:val="nil"/>
              <w:tr2bl w:val="nil"/>
            </w:tcBorders>
          </w:tcPr>
          <w:p>
            <w:pPr>
              <w:rPr>
                <w:b/>
                <w:color w:val="auto"/>
                <w:spacing w:val="-10"/>
                <w:sz w:val="24"/>
                <w:highlight w:val="none"/>
              </w:rPr>
            </w:pPr>
            <w:r>
              <w:rPr>
                <w:b/>
                <w:color w:val="auto"/>
                <w:spacing w:val="-10"/>
                <w:sz w:val="24"/>
                <w:highlight w:val="none"/>
              </w:rPr>
              <w:t>环保投资占</w:t>
            </w:r>
          </w:p>
          <w:p>
            <w:pPr>
              <w:rPr>
                <w:b/>
                <w:color w:val="auto"/>
                <w:spacing w:val="-10"/>
                <w:sz w:val="24"/>
                <w:highlight w:val="none"/>
              </w:rPr>
            </w:pPr>
            <w:r>
              <w:rPr>
                <w:b/>
                <w:color w:val="auto"/>
                <w:spacing w:val="-10"/>
                <w:sz w:val="24"/>
                <w:highlight w:val="none"/>
              </w:rPr>
              <w:t>总投资比例</w:t>
            </w:r>
          </w:p>
        </w:tc>
        <w:tc>
          <w:tcPr>
            <w:tcW w:w="1222" w:type="dxa"/>
            <w:tcBorders>
              <w:tl2br w:val="nil"/>
              <w:tr2bl w:val="nil"/>
            </w:tcBorders>
            <w:vAlign w:val="center"/>
          </w:tcPr>
          <w:p>
            <w:pPr>
              <w:jc w:val="center"/>
              <w:textAlignment w:val="baseline"/>
              <w:rPr>
                <w:color w:val="auto"/>
                <w:position w:val="-20"/>
                <w:sz w:val="24"/>
                <w:highlight w:val="none"/>
              </w:rPr>
            </w:pPr>
            <w:r>
              <w:rPr>
                <w:rFonts w:hint="eastAsia"/>
                <w:color w:val="auto"/>
                <w:position w:val="-20"/>
                <w:sz w:val="24"/>
                <w:highlight w:val="none"/>
                <w:lang w:val="en-US" w:eastAsia="zh-CN"/>
              </w:rPr>
              <w:t>5.4</w:t>
            </w:r>
            <w:r>
              <w:rPr>
                <w:rFonts w:hint="eastAsia"/>
                <w:color w:val="auto"/>
                <w:position w:val="-20"/>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68" w:type="dxa"/>
            <w:tcBorders>
              <w:tl2br w:val="nil"/>
              <w:tr2bl w:val="nil"/>
            </w:tcBorders>
          </w:tcPr>
          <w:p>
            <w:pPr>
              <w:jc w:val="center"/>
              <w:rPr>
                <w:b/>
                <w:spacing w:val="-10"/>
                <w:sz w:val="24"/>
              </w:rPr>
            </w:pPr>
            <w:r>
              <w:rPr>
                <w:b/>
                <w:spacing w:val="-10"/>
                <w:sz w:val="24"/>
              </w:rPr>
              <w:t>评价经费</w:t>
            </w:r>
          </w:p>
          <w:p>
            <w:pPr>
              <w:jc w:val="center"/>
              <w:rPr>
                <w:b/>
                <w:spacing w:val="-10"/>
                <w:sz w:val="24"/>
              </w:rPr>
            </w:pPr>
            <w:r>
              <w:rPr>
                <w:b/>
                <w:spacing w:val="-10"/>
                <w:sz w:val="24"/>
              </w:rPr>
              <w:t>（万元）</w:t>
            </w:r>
          </w:p>
        </w:tc>
        <w:tc>
          <w:tcPr>
            <w:tcW w:w="1592" w:type="dxa"/>
            <w:tcBorders>
              <w:tl2br w:val="nil"/>
              <w:tr2bl w:val="nil"/>
            </w:tcBorders>
            <w:vAlign w:val="center"/>
          </w:tcPr>
          <w:p>
            <w:pPr>
              <w:ind w:firstLine="240"/>
              <w:jc w:val="center"/>
              <w:rPr>
                <w:color w:val="auto"/>
                <w:sz w:val="24"/>
              </w:rPr>
            </w:pPr>
            <w:r>
              <w:rPr>
                <w:rFonts w:hint="eastAsia"/>
                <w:color w:val="auto"/>
                <w:sz w:val="24"/>
              </w:rPr>
              <w:t>/</w:t>
            </w:r>
          </w:p>
        </w:tc>
        <w:tc>
          <w:tcPr>
            <w:tcW w:w="1819" w:type="dxa"/>
            <w:gridSpan w:val="2"/>
            <w:tcBorders>
              <w:tl2br w:val="nil"/>
              <w:tr2bl w:val="nil"/>
            </w:tcBorders>
            <w:vAlign w:val="center"/>
          </w:tcPr>
          <w:p>
            <w:pPr>
              <w:rPr>
                <w:b/>
                <w:color w:val="auto"/>
                <w:sz w:val="24"/>
                <w:highlight w:val="none"/>
              </w:rPr>
            </w:pPr>
            <w:r>
              <w:rPr>
                <w:b/>
                <w:color w:val="auto"/>
                <w:sz w:val="24"/>
                <w:highlight w:val="none"/>
              </w:rPr>
              <w:t>预期投产日期</w:t>
            </w:r>
          </w:p>
        </w:tc>
        <w:tc>
          <w:tcPr>
            <w:tcW w:w="4209" w:type="dxa"/>
            <w:gridSpan w:val="4"/>
            <w:tcBorders>
              <w:tl2br w:val="nil"/>
              <w:tr2bl w:val="nil"/>
            </w:tcBorders>
            <w:vAlign w:val="center"/>
          </w:tcPr>
          <w:p>
            <w:pPr>
              <w:ind w:firstLine="240"/>
              <w:jc w:val="center"/>
              <w:rPr>
                <w:rFonts w:hint="eastAsia" w:eastAsia="宋体"/>
                <w:color w:val="auto"/>
                <w:sz w:val="24"/>
                <w:highlight w:val="none"/>
                <w:lang w:eastAsia="zh-CN"/>
              </w:rPr>
            </w:pPr>
            <w:r>
              <w:rPr>
                <w:rFonts w:hint="eastAsia"/>
                <w:color w:val="auto"/>
                <w:sz w:val="24"/>
                <w:highlight w:val="none"/>
                <w:lang w:val="en-US" w:eastAsia="zh-CN"/>
              </w:rPr>
              <w:t>2018.5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8" w:type="dxa"/>
            <w:gridSpan w:val="8"/>
            <w:tcBorders>
              <w:tl2br w:val="nil"/>
              <w:tr2bl w:val="nil"/>
            </w:tcBorders>
          </w:tcPr>
          <w:p>
            <w:pPr>
              <w:adjustRightInd w:val="0"/>
              <w:snapToGrid w:val="0"/>
              <w:spacing w:line="360" w:lineRule="auto"/>
              <w:ind w:firstLine="241"/>
              <w:rPr>
                <w:b/>
                <w:sz w:val="24"/>
              </w:rPr>
            </w:pPr>
            <w:r>
              <w:rPr>
                <w:b/>
                <w:sz w:val="28"/>
                <w:szCs w:val="21"/>
              </w:rPr>
              <w:t>工程内容及规模：</w:t>
            </w:r>
          </w:p>
          <w:p>
            <w:pPr>
              <w:spacing w:line="360" w:lineRule="auto"/>
              <w:ind w:firstLine="482" w:firstLineChars="200"/>
              <w:rPr>
                <w:b/>
                <w:bCs/>
                <w:sz w:val="24"/>
                <w:szCs w:val="24"/>
              </w:rPr>
            </w:pPr>
            <w:r>
              <w:rPr>
                <w:b/>
                <w:bCs/>
                <w:sz w:val="24"/>
                <w:szCs w:val="24"/>
              </w:rPr>
              <w:t>一、项目背景及由来</w:t>
            </w:r>
          </w:p>
          <w:p>
            <w:pPr>
              <w:spacing w:line="360" w:lineRule="auto"/>
              <w:ind w:firstLine="480" w:firstLineChars="200"/>
              <w:rPr>
                <w:rFonts w:hint="eastAsia"/>
                <w:sz w:val="24"/>
                <w:szCs w:val="24"/>
                <w:u w:val="none"/>
                <w:vertAlign w:val="baseline"/>
                <w:lang w:val="en-US" w:eastAsia="zh-CN"/>
              </w:rPr>
            </w:pPr>
            <w:r>
              <w:rPr>
                <w:rFonts w:hint="eastAsia" w:hAnsi="宋体"/>
                <w:sz w:val="24"/>
              </w:rPr>
              <w:t>近年来，随着环保力度的加大，我国加快调整能源结构，增加清洁能源的供应，在控制煤炭消费总量的基础上，推进煤炭的清洁利用，因此煤炭洗选业前景大好。</w:t>
            </w:r>
            <w:r>
              <w:rPr>
                <w:rFonts w:hint="eastAsia"/>
                <w:sz w:val="24"/>
              </w:rPr>
              <w:t>铜川宜兴达物资储运有限公司</w:t>
            </w:r>
            <w:r>
              <w:rPr>
                <w:rFonts w:hint="eastAsia" w:hAnsi="宋体"/>
                <w:sz w:val="24"/>
              </w:rPr>
              <w:t>拟</w:t>
            </w:r>
            <w:r>
              <w:rPr>
                <w:rFonts w:hint="eastAsia" w:hAnsi="宋体"/>
                <w:sz w:val="24"/>
                <w:lang w:eastAsia="zh-CN"/>
              </w:rPr>
              <w:t>投资</w:t>
            </w:r>
            <w:r>
              <w:rPr>
                <w:rFonts w:hint="eastAsia" w:hAnsi="宋体"/>
                <w:sz w:val="24"/>
                <w:lang w:val="en-US" w:eastAsia="zh-CN"/>
              </w:rPr>
              <w:t>12000万元，建设</w:t>
            </w:r>
            <w:r>
              <w:rPr>
                <w:rFonts w:hint="eastAsia"/>
                <w:sz w:val="24"/>
                <w:szCs w:val="24"/>
                <w:u w:val="none"/>
              </w:rPr>
              <w:t>洁亿达煤炭精洗及煤矸石综合利用项目</w:t>
            </w:r>
            <w:r>
              <w:rPr>
                <w:rFonts w:hint="eastAsia"/>
                <w:sz w:val="24"/>
                <w:szCs w:val="24"/>
                <w:u w:val="none"/>
                <w:lang w:eastAsia="zh-CN"/>
              </w:rPr>
              <w:t>，本项目总占地面积</w:t>
            </w:r>
            <w:r>
              <w:rPr>
                <w:rFonts w:hint="eastAsia"/>
                <w:sz w:val="24"/>
                <w:szCs w:val="24"/>
                <w:u w:val="none"/>
                <w:lang w:val="en-US" w:eastAsia="zh-CN"/>
              </w:rPr>
              <w:t>64873m</w:t>
            </w:r>
            <w:r>
              <w:rPr>
                <w:rFonts w:hint="eastAsia"/>
                <w:sz w:val="24"/>
                <w:szCs w:val="24"/>
                <w:u w:val="none"/>
                <w:vertAlign w:val="superscript"/>
                <w:lang w:val="en-US" w:eastAsia="zh-CN"/>
              </w:rPr>
              <w:t>2</w:t>
            </w:r>
            <w:r>
              <w:rPr>
                <w:rFonts w:hint="eastAsia"/>
                <w:sz w:val="24"/>
                <w:szCs w:val="24"/>
                <w:u w:val="none"/>
                <w:vertAlign w:val="baseline"/>
                <w:lang w:val="en-US" w:eastAsia="zh-CN"/>
              </w:rPr>
              <w:t>，项目用地原为林地，后因延西高速建设，该地块被用作为弃土场，该弃土场依据地形地势自西向东，设置五级上升台阶，改弃土场表面未实施有效的生态恢复措施，部分区域石渣外露，覆盖表土部分为进行有效绿化，只有少量野草生长。本项目依据该地形地势修建厂房，设置3条洗选煤生产线和1条制砖生产线，可实现年洗煤150万吨，</w:t>
            </w:r>
            <w:bookmarkStart w:id="3" w:name="OLE_LINK2"/>
            <w:r>
              <w:rPr>
                <w:rFonts w:hint="eastAsia"/>
                <w:sz w:val="24"/>
                <w:szCs w:val="24"/>
                <w:u w:val="none"/>
                <w:vertAlign w:val="baseline"/>
                <w:lang w:val="en-US" w:eastAsia="zh-CN"/>
              </w:rPr>
              <w:t>混凝土铺地砖15万m</w:t>
            </w:r>
            <w:r>
              <w:rPr>
                <w:rFonts w:hint="eastAsia"/>
                <w:sz w:val="24"/>
                <w:szCs w:val="24"/>
                <w:u w:val="none"/>
                <w:vertAlign w:val="superscript"/>
                <w:lang w:val="en-US" w:eastAsia="zh-CN"/>
              </w:rPr>
              <w:t>2</w:t>
            </w:r>
            <w:bookmarkEnd w:id="3"/>
            <w:r>
              <w:rPr>
                <w:rFonts w:hint="eastAsia"/>
                <w:sz w:val="24"/>
                <w:szCs w:val="24"/>
                <w:u w:val="none"/>
                <w:vertAlign w:val="baseline"/>
                <w:lang w:val="en-US" w:eastAsia="zh-CN"/>
              </w:rPr>
              <w:t>，项目目前未动工建设。</w:t>
            </w:r>
          </w:p>
          <w:p>
            <w:pPr>
              <w:spacing w:line="360" w:lineRule="auto"/>
              <w:ind w:firstLine="482" w:firstLineChars="200"/>
              <w:rPr>
                <w:rFonts w:hint="eastAsia"/>
                <w:b/>
                <w:bCs/>
                <w:sz w:val="24"/>
                <w:szCs w:val="24"/>
              </w:rPr>
            </w:pPr>
            <w:r>
              <w:rPr>
                <w:rFonts w:hint="eastAsia"/>
                <w:b/>
                <w:bCs/>
                <w:sz w:val="24"/>
                <w:szCs w:val="24"/>
                <w:lang w:eastAsia="zh-CN"/>
              </w:rPr>
              <w:t>二、</w:t>
            </w:r>
            <w:r>
              <w:rPr>
                <w:rFonts w:hint="eastAsia"/>
                <w:b/>
                <w:bCs/>
                <w:sz w:val="24"/>
                <w:szCs w:val="24"/>
              </w:rPr>
              <w:t>项目相关判定结论</w:t>
            </w:r>
          </w:p>
          <w:p>
            <w:pPr>
              <w:spacing w:line="360" w:lineRule="auto"/>
              <w:ind w:firstLine="482" w:firstLineChars="200"/>
              <w:rPr>
                <w:rFonts w:hint="eastAsia"/>
                <w:b/>
                <w:bCs/>
                <w:sz w:val="24"/>
                <w:szCs w:val="24"/>
                <w:lang w:eastAsia="zh-CN"/>
              </w:rPr>
            </w:pPr>
            <w:r>
              <w:rPr>
                <w:rFonts w:hint="eastAsia"/>
                <w:b/>
                <w:bCs/>
                <w:sz w:val="24"/>
                <w:szCs w:val="24"/>
                <w:lang w:eastAsia="zh-CN"/>
              </w:rPr>
              <w:t>（</w:t>
            </w:r>
            <w:r>
              <w:rPr>
                <w:rFonts w:hint="eastAsia"/>
                <w:b/>
                <w:bCs/>
                <w:sz w:val="24"/>
                <w:szCs w:val="24"/>
                <w:lang w:val="en-US" w:eastAsia="zh-CN"/>
              </w:rPr>
              <w:t>1</w:t>
            </w:r>
            <w:r>
              <w:rPr>
                <w:rFonts w:hint="eastAsia"/>
                <w:b/>
                <w:bCs/>
                <w:sz w:val="24"/>
                <w:szCs w:val="24"/>
                <w:lang w:eastAsia="zh-CN"/>
              </w:rPr>
              <w:t>）产业政策</w:t>
            </w:r>
          </w:p>
          <w:p>
            <w:pPr>
              <w:adjustRightInd w:val="0"/>
              <w:snapToGrid w:val="0"/>
              <w:spacing w:line="360" w:lineRule="auto"/>
              <w:ind w:firstLine="480" w:firstLineChars="200"/>
              <w:rPr>
                <w:bCs/>
                <w:sz w:val="24"/>
              </w:rPr>
            </w:pPr>
            <w:r>
              <w:rPr>
                <w:rFonts w:hint="eastAsia"/>
                <w:sz w:val="24"/>
                <w:szCs w:val="24"/>
                <w:u w:val="none"/>
                <w:vertAlign w:val="baseline"/>
                <w:lang w:val="en-US" w:eastAsia="zh-CN"/>
              </w:rPr>
              <w:t>本项目已取得宜君县发展和改革局《关于</w:t>
            </w:r>
            <w:r>
              <w:rPr>
                <w:rFonts w:hint="eastAsia"/>
                <w:sz w:val="24"/>
                <w:szCs w:val="24"/>
                <w:u w:val="none"/>
              </w:rPr>
              <w:t>洁亿达煤炭精洗及煤矸石综合利用项目</w:t>
            </w:r>
            <w:r>
              <w:rPr>
                <w:rFonts w:hint="eastAsia"/>
                <w:sz w:val="24"/>
                <w:szCs w:val="24"/>
                <w:u w:val="none"/>
                <w:lang w:eastAsia="zh-CN"/>
              </w:rPr>
              <w:t>备案确认的通知</w:t>
            </w:r>
            <w:r>
              <w:rPr>
                <w:rFonts w:hint="eastAsia"/>
                <w:sz w:val="24"/>
                <w:szCs w:val="24"/>
                <w:u w:val="none"/>
                <w:vertAlign w:val="baseline"/>
                <w:lang w:val="en-US" w:eastAsia="zh-CN"/>
              </w:rPr>
              <w:t>》（君发改[2017]268号），</w:t>
            </w:r>
            <w:r>
              <w:rPr>
                <w:bCs/>
                <w:sz w:val="24"/>
              </w:rPr>
              <w:t>本项目不属于</w:t>
            </w:r>
            <w:r>
              <w:rPr>
                <w:sz w:val="24"/>
              </w:rPr>
              <w:t>《产业结构调整指导目录》（2011年本，2013年修订本）中的淘汰类和限制类项目，</w:t>
            </w:r>
            <w:r>
              <w:rPr>
                <w:rFonts w:hint="eastAsia"/>
                <w:sz w:val="24"/>
                <w:lang w:eastAsia="zh-CN"/>
              </w:rPr>
              <w:t>本项目不属于</w:t>
            </w:r>
            <w:r>
              <w:rPr>
                <w:sz w:val="24"/>
              </w:rPr>
              <w:t>《产业结构调整指导目录》（2011年本，2013年修订本）</w:t>
            </w:r>
            <w:r>
              <w:rPr>
                <w:rFonts w:hint="eastAsia"/>
                <w:sz w:val="24"/>
                <w:lang w:eastAsia="zh-CN"/>
              </w:rPr>
              <w:t>中限制类单班</w:t>
            </w:r>
            <w:r>
              <w:rPr>
                <w:rFonts w:hint="eastAsia"/>
                <w:sz w:val="24"/>
                <w:lang w:val="en-US" w:eastAsia="zh-CN"/>
              </w:rPr>
              <w:t>15万平方米/年以下的混凝土铺地砖固定式生产线，本项目</w:t>
            </w:r>
            <w:r>
              <w:rPr>
                <w:sz w:val="24"/>
              </w:rPr>
              <w:t>为允许类项目，也不属于陕发改产业［2007］97号文</w:t>
            </w:r>
            <w:r>
              <w:rPr>
                <w:bCs/>
                <w:sz w:val="24"/>
              </w:rPr>
              <w:t>《陕西省限制投资类产业指导目录》中的限制类项目，项目符合国家相关产业政策。</w:t>
            </w:r>
          </w:p>
          <w:p>
            <w:pPr>
              <w:spacing w:line="360" w:lineRule="auto"/>
              <w:ind w:firstLine="482" w:firstLineChars="200"/>
              <w:rPr>
                <w:rFonts w:hint="eastAsia"/>
                <w:b/>
                <w:bCs/>
                <w:sz w:val="24"/>
                <w:szCs w:val="24"/>
                <w:lang w:eastAsia="zh-CN"/>
              </w:rPr>
            </w:pPr>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）选址</w:t>
            </w:r>
          </w:p>
          <w:p>
            <w:pPr>
              <w:tabs>
                <w:tab w:val="left" w:pos="8607"/>
              </w:tabs>
              <w:autoSpaceDN w:val="0"/>
              <w:spacing w:line="360" w:lineRule="auto"/>
              <w:ind w:firstLine="480" w:firstLineChars="200"/>
              <w:rPr>
                <w:rFonts w:hint="eastAsia"/>
                <w:sz w:val="24"/>
                <w:szCs w:val="24"/>
                <w:u w:val="none"/>
                <w:vertAlign w:val="baseline"/>
                <w:lang w:val="en-US" w:eastAsia="zh-CN"/>
              </w:rPr>
            </w:pPr>
            <w:r>
              <w:rPr>
                <w:rFonts w:hint="eastAsia" w:hAnsi="宋体"/>
                <w:color w:val="auto"/>
                <w:sz w:val="24"/>
                <w:lang w:eastAsia="zh-CN"/>
              </w:rPr>
              <w:t>本项目位于</w:t>
            </w:r>
            <w:r>
              <w:rPr>
                <w:rFonts w:hint="eastAsia"/>
                <w:sz w:val="24"/>
                <w:szCs w:val="24"/>
                <w:lang w:eastAsia="zh-CN"/>
              </w:rPr>
              <w:t>宜君县太安镇石管子村石板沟</w:t>
            </w:r>
            <w:r>
              <w:rPr>
                <w:rFonts w:hint="eastAsia" w:hAnsi="宋体"/>
                <w:color w:val="auto"/>
                <w:sz w:val="24"/>
                <w:lang w:eastAsia="zh-CN"/>
              </w:rPr>
              <w:t>，处于两山之间沟道内，三侧环山，距离本项目最近村庄为项目东侧</w:t>
            </w:r>
            <w:r>
              <w:rPr>
                <w:rFonts w:hint="eastAsia" w:hAnsi="宋体"/>
                <w:color w:val="auto"/>
                <w:sz w:val="24"/>
                <w:lang w:val="en-US" w:eastAsia="zh-CN"/>
              </w:rPr>
              <w:t>400m</w:t>
            </w:r>
            <w:r>
              <w:rPr>
                <w:rFonts w:hint="eastAsia" w:hAnsi="宋体"/>
                <w:color w:val="auto"/>
                <w:sz w:val="24"/>
                <w:lang w:eastAsia="zh-CN"/>
              </w:rPr>
              <w:t>石管子村，石管子村与本项目之间间隔林带与山梁，本项目的建设对该村落影响很小，且本项目已取得</w:t>
            </w:r>
            <w:r>
              <w:rPr>
                <w:rFonts w:hint="eastAsia"/>
                <w:sz w:val="24"/>
                <w:szCs w:val="24"/>
                <w:u w:val="none"/>
                <w:vertAlign w:val="baseline"/>
                <w:lang w:val="en-US" w:eastAsia="zh-CN"/>
              </w:rPr>
              <w:t>宜君县国土资源局《关于</w:t>
            </w:r>
            <w:r>
              <w:rPr>
                <w:rFonts w:hint="eastAsia"/>
                <w:sz w:val="24"/>
                <w:szCs w:val="24"/>
                <w:u w:val="none"/>
              </w:rPr>
              <w:t>洁亿达煤炭精洗及煤矸石综合利用项目</w:t>
            </w:r>
            <w:r>
              <w:rPr>
                <w:rFonts w:hint="eastAsia"/>
                <w:sz w:val="24"/>
                <w:szCs w:val="24"/>
                <w:u w:val="none"/>
                <w:lang w:eastAsia="zh-CN"/>
              </w:rPr>
              <w:t>用地预审的意见</w:t>
            </w:r>
            <w:r>
              <w:rPr>
                <w:rFonts w:hint="eastAsia"/>
                <w:sz w:val="24"/>
                <w:szCs w:val="24"/>
                <w:u w:val="none"/>
                <w:vertAlign w:val="baseline"/>
                <w:lang w:val="en-US" w:eastAsia="zh-CN"/>
              </w:rPr>
              <w:t>》（君国资发[2017]44号），陕西省林业厅准予行政许可决定书《使用林地审核同意书》（陕林资许准[2017]386号）。宜君县住房和规划建设局《关于设定宜君县2017年度第三批次农用地转用土地征收和使用国有土地地块规划性质的函》（君建函[2017]32号）文件告知本项目所使用土地性质为工业用地。</w:t>
            </w:r>
          </w:p>
          <w:p>
            <w:pPr>
              <w:spacing w:line="360" w:lineRule="auto"/>
              <w:ind w:firstLine="482" w:firstLineChars="200"/>
              <w:rPr>
                <w:lang w:val="en-US"/>
              </w:rPr>
            </w:pPr>
            <w:r>
              <w:rPr>
                <w:rFonts w:hint="eastAsia"/>
                <w:b/>
                <w:bCs/>
                <w:sz w:val="24"/>
                <w:szCs w:val="24"/>
                <w:lang w:eastAsia="zh-CN"/>
              </w:rPr>
              <w:t>三</w:t>
            </w:r>
            <w:r>
              <w:rPr>
                <w:b/>
                <w:bCs/>
                <w:sz w:val="24"/>
                <w:szCs w:val="24"/>
              </w:rPr>
              <w:t>、</w:t>
            </w:r>
            <w:r>
              <w:rPr>
                <w:rFonts w:hint="eastAsia"/>
                <w:b/>
                <w:bCs/>
                <w:sz w:val="24"/>
                <w:szCs w:val="24"/>
                <w:lang w:eastAsia="zh-CN"/>
              </w:rPr>
              <w:t>委托情况</w:t>
            </w:r>
          </w:p>
          <w:p>
            <w:pPr>
              <w:spacing w:line="360" w:lineRule="auto"/>
              <w:ind w:firstLine="480" w:firstLineChars="200"/>
              <w:rPr>
                <w:sz w:val="24"/>
              </w:rPr>
            </w:pPr>
            <w:r>
              <w:rPr>
                <w:sz w:val="24"/>
              </w:rPr>
              <w:t>根据《中华人民共和国环境影响评价法》、《建设项目环境保护管理条例》及《建设项目环境影响评价分类管理名录》等规定，该项目应进行环境影响评价并编制环境影响报告表，受</w:t>
            </w:r>
            <w:r>
              <w:rPr>
                <w:rFonts w:hint="eastAsia"/>
                <w:sz w:val="24"/>
              </w:rPr>
              <w:t>铜川宜兴达物资储运有限公司</w:t>
            </w:r>
            <w:r>
              <w:rPr>
                <w:sz w:val="24"/>
              </w:rPr>
              <w:t>委托，</w:t>
            </w:r>
            <w:r>
              <w:rPr>
                <w:sz w:val="24"/>
                <w:szCs w:val="24"/>
              </w:rPr>
              <w:t>由</w:t>
            </w:r>
            <w:r>
              <w:rPr>
                <w:rFonts w:hint="eastAsia"/>
                <w:sz w:val="24"/>
                <w:szCs w:val="24"/>
                <w:lang w:eastAsia="zh-CN"/>
              </w:rPr>
              <w:t>我单位</w:t>
            </w:r>
            <w:r>
              <w:rPr>
                <w:sz w:val="24"/>
                <w:szCs w:val="24"/>
              </w:rPr>
              <w:t>承担</w:t>
            </w:r>
            <w:r>
              <w:rPr>
                <w:sz w:val="24"/>
              </w:rPr>
              <w:t>本项目环境影响报告表的编制工作。接受委托后，我单位组织有关技术人员对本项目进行了详细的现场踏勘、资料收集，在对有关环境现状和可能造成的环境影响进行初步分析的基础上，编制完成</w:t>
            </w:r>
            <w:r>
              <w:rPr>
                <w:rFonts w:hint="eastAsia"/>
                <w:sz w:val="24"/>
              </w:rPr>
              <w:t>《洁亿达煤炭精洗及煤矸石综合利用项目</w:t>
            </w:r>
            <w:r>
              <w:rPr>
                <w:sz w:val="24"/>
              </w:rPr>
              <w:t>环境影响报告表</w:t>
            </w:r>
            <w:r>
              <w:rPr>
                <w:rFonts w:hint="eastAsia"/>
                <w:sz w:val="24"/>
              </w:rPr>
              <w:t>》</w:t>
            </w:r>
            <w:r>
              <w:rPr>
                <w:sz w:val="24"/>
              </w:rPr>
              <w:t>。</w:t>
            </w:r>
          </w:p>
          <w:p>
            <w:pPr>
              <w:spacing w:line="360" w:lineRule="auto"/>
              <w:ind w:firstLine="482" w:firstLineChars="200"/>
              <w:rPr>
                <w:b/>
                <w:bCs/>
                <w:sz w:val="24"/>
                <w:szCs w:val="24"/>
              </w:rPr>
            </w:pPr>
            <w:r>
              <w:rPr>
                <w:rFonts w:hint="eastAsia"/>
                <w:b/>
                <w:bCs/>
                <w:sz w:val="24"/>
                <w:szCs w:val="24"/>
                <w:lang w:eastAsia="zh-CN"/>
              </w:rPr>
              <w:t>四</w:t>
            </w:r>
            <w:r>
              <w:rPr>
                <w:b/>
                <w:bCs/>
                <w:sz w:val="24"/>
                <w:szCs w:val="24"/>
              </w:rPr>
              <w:t>、</w:t>
            </w:r>
            <w:r>
              <w:rPr>
                <w:rFonts w:hint="eastAsia"/>
                <w:b/>
                <w:bCs/>
                <w:sz w:val="24"/>
                <w:szCs w:val="24"/>
              </w:rPr>
              <w:t>工程概况</w:t>
            </w:r>
          </w:p>
          <w:p>
            <w:pPr>
              <w:spacing w:line="360" w:lineRule="auto"/>
              <w:ind w:firstLine="480" w:firstLineChars="200"/>
              <w:rPr>
                <w:sz w:val="24"/>
              </w:rPr>
            </w:pPr>
            <w:r>
              <w:rPr>
                <w:sz w:val="24"/>
              </w:rPr>
              <w:t>项目名称：</w:t>
            </w:r>
            <w:r>
              <w:rPr>
                <w:rFonts w:hint="eastAsia"/>
                <w:sz w:val="24"/>
                <w:szCs w:val="24"/>
                <w:u w:val="none"/>
              </w:rPr>
              <w:t>洁亿达煤炭精洗及煤矸石综合利用项目</w:t>
            </w:r>
          </w:p>
          <w:p>
            <w:pPr>
              <w:spacing w:line="360" w:lineRule="auto"/>
              <w:ind w:firstLine="480" w:firstLineChars="200"/>
              <w:rPr>
                <w:sz w:val="24"/>
              </w:rPr>
            </w:pPr>
            <w:r>
              <w:rPr>
                <w:sz w:val="24"/>
              </w:rPr>
              <w:t>建设性质：</w:t>
            </w:r>
            <w:r>
              <w:rPr>
                <w:rFonts w:hint="eastAsia"/>
                <w:sz w:val="24"/>
                <w:lang w:eastAsia="zh-CN"/>
              </w:rPr>
              <w:t>新建</w:t>
            </w:r>
          </w:p>
          <w:p>
            <w:pPr>
              <w:spacing w:line="360" w:lineRule="auto"/>
              <w:ind w:firstLine="480" w:firstLineChars="200"/>
              <w:rPr>
                <w:rFonts w:hint="eastAsia"/>
                <w:sz w:val="24"/>
                <w:szCs w:val="24"/>
                <w:u w:val="none"/>
                <w:vertAlign w:val="superscript"/>
                <w:lang w:val="en-US" w:eastAsia="zh-CN"/>
              </w:rPr>
            </w:pPr>
            <w:r>
              <w:rPr>
                <w:rFonts w:hint="eastAsia"/>
                <w:sz w:val="24"/>
              </w:rPr>
              <w:t>建设规模</w:t>
            </w:r>
            <w:r>
              <w:rPr>
                <w:sz w:val="24"/>
              </w:rPr>
              <w:t>：</w:t>
            </w:r>
            <w:r>
              <w:rPr>
                <w:rFonts w:hint="eastAsia"/>
                <w:sz w:val="24"/>
                <w:szCs w:val="24"/>
                <w:u w:val="none"/>
                <w:vertAlign w:val="baseline"/>
                <w:lang w:val="en-US" w:eastAsia="zh-CN"/>
              </w:rPr>
              <w:t>年洗煤150万吨，混凝土铺地砖15万m</w:t>
            </w:r>
            <w:r>
              <w:rPr>
                <w:rFonts w:hint="eastAsia"/>
                <w:sz w:val="24"/>
                <w:szCs w:val="24"/>
                <w:u w:val="none"/>
                <w:vertAlign w:val="superscript"/>
                <w:lang w:val="en-US" w:eastAsia="zh-CN"/>
              </w:rPr>
              <w:t>2</w:t>
            </w:r>
          </w:p>
          <w:p>
            <w:pPr>
              <w:spacing w:line="360" w:lineRule="auto"/>
              <w:ind w:firstLine="480" w:firstLineChars="200"/>
              <w:rPr>
                <w:sz w:val="24"/>
              </w:rPr>
            </w:pPr>
            <w:r>
              <w:rPr>
                <w:sz w:val="24"/>
              </w:rPr>
              <w:t>建设单位：</w:t>
            </w:r>
            <w:r>
              <w:rPr>
                <w:rFonts w:hint="eastAsia"/>
                <w:sz w:val="24"/>
              </w:rPr>
              <w:t>铜川宜兴达物资储运有限公司</w:t>
            </w:r>
          </w:p>
          <w:p>
            <w:pPr>
              <w:spacing w:line="360" w:lineRule="auto"/>
              <w:ind w:firstLine="480" w:firstLineChars="200"/>
              <w:rPr>
                <w:sz w:val="24"/>
              </w:rPr>
            </w:pPr>
            <w:r>
              <w:rPr>
                <w:sz w:val="24"/>
              </w:rPr>
              <w:t>建设地点：</w:t>
            </w:r>
            <w:bookmarkStart w:id="4" w:name="OLE_LINK7"/>
            <w:r>
              <w:rPr>
                <w:rFonts w:hint="eastAsia"/>
                <w:sz w:val="24"/>
                <w:szCs w:val="24"/>
                <w:lang w:eastAsia="zh-CN"/>
              </w:rPr>
              <w:t>宜君县太安镇石管子村石板沟</w:t>
            </w:r>
            <w:r>
              <w:rPr>
                <w:rFonts w:hint="eastAsia"/>
                <w:sz w:val="24"/>
              </w:rPr>
              <w:t>，</w:t>
            </w:r>
            <w:r>
              <w:rPr>
                <w:rFonts w:hint="eastAsia"/>
                <w:sz w:val="24"/>
                <w:lang w:eastAsia="zh-CN"/>
              </w:rPr>
              <w:t>本项目用地为不规则形状，项目西侧</w:t>
            </w:r>
            <w:r>
              <w:rPr>
                <w:rFonts w:hint="eastAsia"/>
                <w:sz w:val="24"/>
                <w:lang w:val="en-US" w:eastAsia="zh-CN"/>
              </w:rPr>
              <w:t>100m为G65W延西高速，西侧隔G65W延西高速为烈店路，距本项目250m，其余各厂界外均为林地</w:t>
            </w:r>
            <w:r>
              <w:rPr>
                <w:rFonts w:hint="eastAsia"/>
                <w:sz w:val="24"/>
                <w:lang w:eastAsia="zh-CN"/>
              </w:rPr>
              <w:t>。</w:t>
            </w:r>
          </w:p>
          <w:bookmarkEnd w:id="4"/>
          <w:p>
            <w:pPr>
              <w:spacing w:line="360" w:lineRule="auto"/>
              <w:ind w:firstLine="480" w:firstLineChars="200"/>
              <w:rPr>
                <w:rFonts w:hint="eastAsia"/>
                <w:sz w:val="24"/>
                <w:szCs w:val="24"/>
              </w:rPr>
            </w:pPr>
            <w:r>
              <w:rPr>
                <w:rFonts w:hint="eastAsia"/>
                <w:sz w:val="24"/>
                <w:szCs w:val="24"/>
              </w:rPr>
              <w:t>项目地理位置详见附图1，项目四邻关系见附图2。</w:t>
            </w:r>
          </w:p>
          <w:p>
            <w:pPr>
              <w:spacing w:line="240" w:lineRule="auto"/>
              <w:ind w:firstLine="482" w:firstLineChars="200"/>
              <w:rPr>
                <w:b/>
                <w:bCs/>
                <w:sz w:val="24"/>
                <w:szCs w:val="24"/>
              </w:rPr>
            </w:pPr>
            <w:r>
              <w:rPr>
                <w:rFonts w:hint="eastAsia"/>
                <w:b/>
                <w:bCs/>
                <w:sz w:val="24"/>
                <w:szCs w:val="24"/>
                <w:lang w:eastAsia="zh-CN"/>
              </w:rPr>
              <w:t>五</w:t>
            </w:r>
            <w:r>
              <w:rPr>
                <w:rFonts w:hint="eastAsia"/>
                <w:b/>
                <w:bCs/>
                <w:sz w:val="24"/>
                <w:szCs w:val="24"/>
              </w:rPr>
              <w:t>、建设项目组成</w:t>
            </w:r>
          </w:p>
          <w:p>
            <w:pPr>
              <w:spacing w:line="240" w:lineRule="auto"/>
              <w:ind w:firstLine="480" w:firstLineChars="200"/>
              <w:rPr>
                <w:sz w:val="24"/>
                <w:szCs w:val="24"/>
              </w:rPr>
            </w:pPr>
            <w:r>
              <w:rPr>
                <w:sz w:val="24"/>
                <w:szCs w:val="24"/>
              </w:rPr>
              <w:t>项目组成见表</w:t>
            </w:r>
            <w:r>
              <w:rPr>
                <w:rFonts w:hint="eastAsia"/>
                <w:sz w:val="24"/>
                <w:szCs w:val="24"/>
              </w:rPr>
              <w:t>1</w:t>
            </w:r>
            <w:r>
              <w:rPr>
                <w:sz w:val="24"/>
                <w:szCs w:val="24"/>
              </w:rPr>
              <w:t>。</w:t>
            </w:r>
          </w:p>
          <w:p>
            <w:pPr>
              <w:spacing w:line="240" w:lineRule="auto"/>
              <w:ind w:firstLine="593" w:firstLineChars="246"/>
              <w:jc w:val="center"/>
              <w:rPr>
                <w:rFonts w:hint="default" w:ascii="Times New Roman" w:hAnsi="Times New Roman" w:cs="Times New Roman" w:eastAsiaTheme="minorEastAsia"/>
                <w:b/>
                <w:bCs/>
                <w:sz w:val="24"/>
                <w:szCs w:val="24"/>
              </w:rPr>
            </w:pPr>
          </w:p>
          <w:p>
            <w:pPr>
              <w:spacing w:line="240" w:lineRule="auto"/>
              <w:ind w:firstLine="593" w:firstLineChars="246"/>
              <w:jc w:val="center"/>
              <w:rPr>
                <w:rFonts w:hint="default"/>
                <w:sz w:val="24"/>
                <w:szCs w:val="24"/>
              </w:rPr>
            </w:pPr>
            <w:r>
              <w:rPr>
                <w:rFonts w:hint="default" w:ascii="Times New Roman" w:hAnsi="Times New Roman" w:cs="Times New Roman" w:eastAsiaTheme="minorEastAsia"/>
                <w:b/>
                <w:bCs/>
                <w:sz w:val="24"/>
                <w:szCs w:val="24"/>
              </w:rPr>
              <w:t>表1  项目组成</w:t>
            </w:r>
          </w:p>
          <w:tbl>
            <w:tblPr>
              <w:tblStyle w:val="34"/>
              <w:tblpPr w:leftFromText="180" w:rightFromText="180" w:vertAnchor="text" w:horzAnchor="page" w:tblpX="169" w:tblpY="54"/>
              <w:tblOverlap w:val="never"/>
              <w:tblW w:w="907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819"/>
              <w:gridCol w:w="2010"/>
              <w:gridCol w:w="1546"/>
              <w:gridCol w:w="2010"/>
              <w:gridCol w:w="1845"/>
              <w:gridCol w:w="405"/>
              <w:gridCol w:w="437"/>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69" w:hRule="atLeast"/>
              </w:trPr>
              <w:tc>
                <w:tcPr>
                  <w:tcW w:w="819" w:type="dxa"/>
                  <w:tcBorders>
                    <w:right w:val="single" w:color="000000" w:sz="4" w:space="0"/>
                    <w:tl2br w:val="nil"/>
                    <w:tr2bl w:val="nil"/>
                  </w:tcBorders>
                  <w:vAlign w:val="center"/>
                </w:tcPr>
                <w:p>
                  <w:pPr>
                    <w:adjustRightInd w:val="0"/>
                    <w:snapToGrid w:val="0"/>
                    <w:spacing w:line="240" w:lineRule="auto"/>
                    <w:jc w:val="both"/>
                    <w:rPr>
                      <w:szCs w:val="21"/>
                    </w:rPr>
                  </w:pPr>
                </w:p>
              </w:tc>
              <w:tc>
                <w:tcPr>
                  <w:tcW w:w="2010" w:type="dxa"/>
                  <w:tcBorders>
                    <w:left w:val="single" w:color="000000" w:sz="4" w:space="0"/>
                    <w:tl2br w:val="nil"/>
                    <w:tr2bl w:val="nil"/>
                  </w:tcBorders>
                  <w:vAlign w:val="center"/>
                </w:tcPr>
                <w:p>
                  <w:pPr>
                    <w:adjustRightInd w:val="0"/>
                    <w:snapToGrid w:val="0"/>
                    <w:spacing w:line="240" w:lineRule="auto"/>
                    <w:ind w:firstLine="210"/>
                    <w:jc w:val="center"/>
                    <w:rPr>
                      <w:szCs w:val="21"/>
                    </w:rPr>
                  </w:pPr>
                  <w:r>
                    <w:rPr>
                      <w:szCs w:val="21"/>
                    </w:rPr>
                    <w:t>项</w:t>
                  </w:r>
                  <w:r>
                    <w:rPr>
                      <w:rFonts w:hint="eastAsia"/>
                      <w:szCs w:val="21"/>
                    </w:rPr>
                    <w:t>目</w:t>
                  </w:r>
                </w:p>
              </w:tc>
              <w:tc>
                <w:tcPr>
                  <w:tcW w:w="3556" w:type="dxa"/>
                  <w:gridSpan w:val="2"/>
                  <w:tcBorders>
                    <w:tl2br w:val="nil"/>
                    <w:tr2bl w:val="nil"/>
                  </w:tcBorders>
                  <w:vAlign w:val="center"/>
                </w:tcPr>
                <w:p>
                  <w:pPr>
                    <w:adjustRightInd w:val="0"/>
                    <w:snapToGrid w:val="0"/>
                    <w:spacing w:line="240" w:lineRule="auto"/>
                    <w:ind w:firstLine="210"/>
                    <w:jc w:val="center"/>
                    <w:rPr>
                      <w:szCs w:val="21"/>
                    </w:rPr>
                  </w:pPr>
                  <w:r>
                    <w:rPr>
                      <w:szCs w:val="21"/>
                    </w:rPr>
                    <w:t>主要建设内容</w:t>
                  </w:r>
                </w:p>
              </w:tc>
              <w:tc>
                <w:tcPr>
                  <w:tcW w:w="2687" w:type="dxa"/>
                  <w:gridSpan w:val="3"/>
                  <w:tcBorders>
                    <w:tl2br w:val="nil"/>
                    <w:tr2bl w:val="nil"/>
                  </w:tcBorders>
                  <w:vAlign w:val="center"/>
                </w:tcPr>
                <w:p>
                  <w:pPr>
                    <w:adjustRightInd w:val="0"/>
                    <w:snapToGrid w:val="0"/>
                    <w:spacing w:line="240" w:lineRule="auto"/>
                    <w:jc w:val="center"/>
                    <w:rPr>
                      <w:szCs w:val="21"/>
                    </w:rPr>
                  </w:pPr>
                  <w:r>
                    <w:rPr>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trPr>
              <w:tc>
                <w:tcPr>
                  <w:tcW w:w="819" w:type="dxa"/>
                  <w:vMerge w:val="restart"/>
                  <w:tcBorders>
                    <w:right w:val="single" w:color="000000" w:sz="4" w:space="0"/>
                    <w:tl2br w:val="nil"/>
                    <w:tr2bl w:val="nil"/>
                  </w:tcBorders>
                  <w:vAlign w:val="center"/>
                </w:tcPr>
                <w:p>
                  <w:pPr>
                    <w:spacing w:line="240" w:lineRule="auto"/>
                    <w:jc w:val="center"/>
                    <w:rPr>
                      <w:szCs w:val="21"/>
                    </w:rPr>
                  </w:pPr>
                  <w:r>
                    <w:rPr>
                      <w:szCs w:val="21"/>
                    </w:rPr>
                    <w:t>主体</w:t>
                  </w:r>
                </w:p>
                <w:p>
                  <w:pPr>
                    <w:spacing w:line="240" w:lineRule="auto"/>
                    <w:jc w:val="center"/>
                    <w:rPr>
                      <w:szCs w:val="21"/>
                    </w:rPr>
                  </w:pPr>
                  <w:r>
                    <w:rPr>
                      <w:szCs w:val="21"/>
                    </w:rPr>
                    <w:t>工程</w:t>
                  </w:r>
                </w:p>
              </w:tc>
              <w:tc>
                <w:tcPr>
                  <w:tcW w:w="2010" w:type="dxa"/>
                  <w:tcBorders>
                    <w:left w:val="single" w:color="000000" w:sz="4" w:space="0"/>
                    <w:tl2br w:val="nil"/>
                    <w:tr2bl w:val="nil"/>
                  </w:tcBorders>
                  <w:vAlign w:val="center"/>
                </w:tcPr>
                <w:p>
                  <w:pPr>
                    <w:spacing w:line="240" w:lineRule="auto"/>
                    <w:jc w:val="center"/>
                    <w:rPr>
                      <w:rFonts w:hint="eastAsia" w:eastAsia="宋体"/>
                      <w:szCs w:val="21"/>
                      <w:lang w:eastAsia="zh-CN"/>
                    </w:rPr>
                  </w:pPr>
                  <w:r>
                    <w:rPr>
                      <w:rFonts w:hint="eastAsia"/>
                      <w:szCs w:val="21"/>
                      <w:lang w:val="en-US" w:eastAsia="zh-CN"/>
                    </w:rPr>
                    <w:t>1#厂房</w:t>
                  </w:r>
                </w:p>
              </w:tc>
              <w:tc>
                <w:tcPr>
                  <w:tcW w:w="3556" w:type="dxa"/>
                  <w:gridSpan w:val="2"/>
                  <w:tcBorders>
                    <w:tl2br w:val="nil"/>
                    <w:tr2bl w:val="nil"/>
                  </w:tcBorders>
                  <w:vAlign w:val="center"/>
                </w:tcPr>
                <w:p>
                  <w:pPr>
                    <w:spacing w:line="240" w:lineRule="auto"/>
                    <w:jc w:val="center"/>
                    <w:rPr>
                      <w:rFonts w:hint="eastAsia" w:eastAsia="宋体"/>
                      <w:szCs w:val="21"/>
                      <w:lang w:eastAsia="zh-CN"/>
                    </w:rPr>
                  </w:pPr>
                  <w:r>
                    <w:rPr>
                      <w:rFonts w:hint="eastAsia"/>
                      <w:color w:val="auto"/>
                      <w:szCs w:val="21"/>
                      <w:lang w:val="en-US" w:eastAsia="zh-CN"/>
                    </w:rPr>
                    <w:t>1F，</w:t>
                  </w:r>
                  <w:r>
                    <w:rPr>
                      <w:rFonts w:hint="eastAsia"/>
                      <w:szCs w:val="21"/>
                      <w:lang w:eastAsia="zh-CN"/>
                    </w:rPr>
                    <w:t>建筑面积</w:t>
                  </w:r>
                  <w:r>
                    <w:rPr>
                      <w:rFonts w:hint="eastAsia"/>
                      <w:szCs w:val="21"/>
                      <w:lang w:val="en-US" w:eastAsia="zh-CN"/>
                    </w:rPr>
                    <w:t>22500m</w:t>
                  </w:r>
                  <w:r>
                    <w:rPr>
                      <w:rFonts w:hint="eastAsia"/>
                      <w:szCs w:val="21"/>
                      <w:vertAlign w:val="superscript"/>
                      <w:lang w:val="en-US" w:eastAsia="zh-CN"/>
                    </w:rPr>
                    <w:t>2</w:t>
                  </w:r>
                  <w:r>
                    <w:rPr>
                      <w:rFonts w:hint="eastAsia"/>
                      <w:szCs w:val="21"/>
                      <w:vertAlign w:val="baseline"/>
                      <w:lang w:val="en-US" w:eastAsia="zh-CN"/>
                    </w:rPr>
                    <w:t>，设置1条制砖生产线与产品堆放晾干区域，4个水泥储罐和沙子堆放区位于1#全密闭厂房内南部</w:t>
                  </w:r>
                </w:p>
              </w:tc>
              <w:tc>
                <w:tcPr>
                  <w:tcW w:w="2687" w:type="dxa"/>
                  <w:gridSpan w:val="3"/>
                  <w:vMerge w:val="restart"/>
                  <w:tcBorders>
                    <w:tl2br w:val="nil"/>
                    <w:tr2bl w:val="nil"/>
                  </w:tcBorders>
                  <w:vAlign w:val="center"/>
                </w:tcPr>
                <w:p>
                  <w:pPr>
                    <w:adjustRightInd w:val="0"/>
                    <w:snapToGrid w:val="0"/>
                    <w:spacing w:line="240" w:lineRule="auto"/>
                    <w:jc w:val="center"/>
                    <w:rPr>
                      <w:rFonts w:hint="eastAsia" w:eastAsia="宋体"/>
                      <w:color w:val="FF0000"/>
                      <w:szCs w:val="21"/>
                      <w:lang w:val="en-US" w:eastAsia="zh-CN"/>
                    </w:rPr>
                  </w:pPr>
                  <w:r>
                    <w:rPr>
                      <w:rFonts w:hint="eastAsia"/>
                      <w:color w:val="auto"/>
                      <w:szCs w:val="21"/>
                      <w:lang w:val="en-US" w:eastAsia="zh-CN"/>
                    </w:rPr>
                    <w:t>钢结构全密闭厂房，高8m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trPr>
              <w:tc>
                <w:tcPr>
                  <w:tcW w:w="819" w:type="dxa"/>
                  <w:vMerge w:val="continue"/>
                  <w:tcBorders>
                    <w:right w:val="single" w:color="000000" w:sz="4" w:space="0"/>
                    <w:tl2br w:val="nil"/>
                    <w:tr2bl w:val="nil"/>
                  </w:tcBorders>
                  <w:vAlign w:val="center"/>
                </w:tcPr>
                <w:p>
                  <w:pPr>
                    <w:spacing w:line="240" w:lineRule="auto"/>
                    <w:jc w:val="center"/>
                    <w:rPr>
                      <w:szCs w:val="21"/>
                    </w:rPr>
                  </w:pPr>
                </w:p>
              </w:tc>
              <w:tc>
                <w:tcPr>
                  <w:tcW w:w="2010" w:type="dxa"/>
                  <w:tcBorders>
                    <w:left w:val="single" w:color="000000" w:sz="4" w:space="0"/>
                    <w:tl2br w:val="nil"/>
                    <w:tr2bl w:val="nil"/>
                  </w:tcBorders>
                  <w:vAlign w:val="center"/>
                </w:tcPr>
                <w:p>
                  <w:pPr>
                    <w:spacing w:line="240" w:lineRule="auto"/>
                    <w:jc w:val="center"/>
                    <w:rPr>
                      <w:rFonts w:hint="eastAsia"/>
                      <w:szCs w:val="21"/>
                      <w:lang w:eastAsia="zh-CN"/>
                    </w:rPr>
                  </w:pPr>
                  <w:r>
                    <w:rPr>
                      <w:rFonts w:hint="eastAsia"/>
                      <w:szCs w:val="21"/>
                      <w:lang w:val="en-US" w:eastAsia="zh-CN"/>
                    </w:rPr>
                    <w:t>2#厂房</w:t>
                  </w:r>
                </w:p>
              </w:tc>
              <w:tc>
                <w:tcPr>
                  <w:tcW w:w="3556" w:type="dxa"/>
                  <w:gridSpan w:val="2"/>
                  <w:tcBorders>
                    <w:tl2br w:val="nil"/>
                    <w:tr2bl w:val="nil"/>
                  </w:tcBorders>
                  <w:vAlign w:val="center"/>
                </w:tcPr>
                <w:p>
                  <w:pPr>
                    <w:spacing w:line="240" w:lineRule="auto"/>
                    <w:jc w:val="center"/>
                    <w:rPr>
                      <w:rFonts w:hint="eastAsia"/>
                      <w:szCs w:val="21"/>
                      <w:lang w:val="en-US" w:eastAsia="zh-CN"/>
                    </w:rPr>
                  </w:pPr>
                  <w:r>
                    <w:rPr>
                      <w:rFonts w:hint="eastAsia"/>
                      <w:color w:val="auto"/>
                      <w:szCs w:val="21"/>
                      <w:lang w:val="en-US" w:eastAsia="zh-CN"/>
                    </w:rPr>
                    <w:t>1F，</w:t>
                  </w:r>
                  <w:r>
                    <w:rPr>
                      <w:rFonts w:hint="eastAsia"/>
                      <w:szCs w:val="21"/>
                      <w:lang w:eastAsia="zh-CN"/>
                    </w:rPr>
                    <w:t>建筑面积</w:t>
                  </w:r>
                  <w:r>
                    <w:rPr>
                      <w:rFonts w:hint="eastAsia"/>
                      <w:szCs w:val="21"/>
                      <w:lang w:val="en-US" w:eastAsia="zh-CN"/>
                    </w:rPr>
                    <w:t>25500m</w:t>
                  </w:r>
                  <w:r>
                    <w:rPr>
                      <w:rFonts w:hint="eastAsia"/>
                      <w:szCs w:val="21"/>
                      <w:vertAlign w:val="superscript"/>
                      <w:lang w:val="en-US" w:eastAsia="zh-CN"/>
                    </w:rPr>
                    <w:t>2</w:t>
                  </w:r>
                  <w:r>
                    <w:rPr>
                      <w:rFonts w:hint="eastAsia"/>
                      <w:szCs w:val="21"/>
                      <w:vertAlign w:val="baseline"/>
                      <w:lang w:val="en-US" w:eastAsia="zh-CN"/>
                    </w:rPr>
                    <w:t>，设置1条年洗煤50万t的洗选煤生产线及其生产配套设施和原料成品堆放区、其中原料及成品堆放区建筑面积20000</w:t>
                  </w:r>
                  <w:r>
                    <w:rPr>
                      <w:rFonts w:hint="eastAsia"/>
                      <w:szCs w:val="21"/>
                      <w:lang w:val="en-US" w:eastAsia="zh-CN"/>
                    </w:rPr>
                    <w:t>m</w:t>
                  </w:r>
                  <w:r>
                    <w:rPr>
                      <w:rFonts w:hint="eastAsia"/>
                      <w:szCs w:val="21"/>
                      <w:vertAlign w:val="superscript"/>
                      <w:lang w:val="en-US" w:eastAsia="zh-CN"/>
                    </w:rPr>
                    <w:t>2</w:t>
                  </w:r>
                  <w:r>
                    <w:rPr>
                      <w:rFonts w:hint="eastAsia"/>
                      <w:szCs w:val="21"/>
                      <w:vertAlign w:val="baseline"/>
                      <w:lang w:val="en-US" w:eastAsia="zh-CN"/>
                    </w:rPr>
                    <w:t>，其中原煤堆放区10000</w:t>
                  </w:r>
                  <w:r>
                    <w:rPr>
                      <w:rFonts w:hint="eastAsia"/>
                      <w:szCs w:val="21"/>
                      <w:lang w:val="en-US" w:eastAsia="zh-CN"/>
                    </w:rPr>
                    <w:t>m</w:t>
                  </w:r>
                  <w:r>
                    <w:rPr>
                      <w:rFonts w:hint="eastAsia"/>
                      <w:szCs w:val="21"/>
                      <w:vertAlign w:val="superscript"/>
                      <w:lang w:val="en-US" w:eastAsia="zh-CN"/>
                    </w:rPr>
                    <w:t>2</w:t>
                  </w:r>
                  <w:r>
                    <w:rPr>
                      <w:rFonts w:hint="eastAsia"/>
                      <w:szCs w:val="21"/>
                      <w:vertAlign w:val="baseline"/>
                      <w:lang w:val="en-US" w:eastAsia="zh-CN"/>
                    </w:rPr>
                    <w:t>，精煤堆放区5900</w:t>
                  </w:r>
                  <w:r>
                    <w:rPr>
                      <w:rFonts w:hint="eastAsia"/>
                      <w:szCs w:val="21"/>
                      <w:lang w:val="en-US" w:eastAsia="zh-CN"/>
                    </w:rPr>
                    <w:t>m</w:t>
                  </w:r>
                  <w:r>
                    <w:rPr>
                      <w:rFonts w:hint="eastAsia"/>
                      <w:szCs w:val="21"/>
                      <w:vertAlign w:val="superscript"/>
                      <w:lang w:val="en-US" w:eastAsia="zh-CN"/>
                    </w:rPr>
                    <w:t>2</w:t>
                  </w:r>
                  <w:r>
                    <w:rPr>
                      <w:rFonts w:hint="eastAsia"/>
                      <w:szCs w:val="21"/>
                      <w:vertAlign w:val="baseline"/>
                      <w:lang w:val="en-US" w:eastAsia="zh-CN"/>
                    </w:rPr>
                    <w:t>，中煤堆放区1800</w:t>
                  </w:r>
                  <w:r>
                    <w:rPr>
                      <w:rFonts w:hint="eastAsia"/>
                      <w:szCs w:val="21"/>
                      <w:lang w:val="en-US" w:eastAsia="zh-CN"/>
                    </w:rPr>
                    <w:t>m</w:t>
                  </w:r>
                  <w:r>
                    <w:rPr>
                      <w:rFonts w:hint="eastAsia"/>
                      <w:szCs w:val="21"/>
                      <w:vertAlign w:val="superscript"/>
                      <w:lang w:val="en-US" w:eastAsia="zh-CN"/>
                    </w:rPr>
                    <w:t>2</w:t>
                  </w:r>
                  <w:r>
                    <w:rPr>
                      <w:rFonts w:hint="eastAsia"/>
                      <w:szCs w:val="21"/>
                      <w:vertAlign w:val="baseline"/>
                      <w:lang w:val="en-US" w:eastAsia="zh-CN"/>
                    </w:rPr>
                    <w:t>，煤泥区700</w:t>
                  </w:r>
                  <w:r>
                    <w:rPr>
                      <w:rFonts w:hint="eastAsia"/>
                      <w:szCs w:val="21"/>
                      <w:lang w:val="en-US" w:eastAsia="zh-CN"/>
                    </w:rPr>
                    <w:t>m</w:t>
                  </w:r>
                  <w:r>
                    <w:rPr>
                      <w:rFonts w:hint="eastAsia"/>
                      <w:szCs w:val="21"/>
                      <w:vertAlign w:val="superscript"/>
                      <w:lang w:val="en-US" w:eastAsia="zh-CN"/>
                    </w:rPr>
                    <w:t>2</w:t>
                  </w:r>
                  <w:r>
                    <w:rPr>
                      <w:rFonts w:hint="eastAsia"/>
                      <w:szCs w:val="21"/>
                      <w:vertAlign w:val="baseline"/>
                      <w:lang w:val="en-US" w:eastAsia="zh-CN"/>
                    </w:rPr>
                    <w:t>，矸石堆放区1600</w:t>
                  </w:r>
                  <w:r>
                    <w:rPr>
                      <w:rFonts w:hint="eastAsia"/>
                      <w:szCs w:val="21"/>
                      <w:lang w:val="en-US" w:eastAsia="zh-CN"/>
                    </w:rPr>
                    <w:t>m</w:t>
                  </w:r>
                  <w:r>
                    <w:rPr>
                      <w:rFonts w:hint="eastAsia"/>
                      <w:szCs w:val="21"/>
                      <w:vertAlign w:val="superscript"/>
                      <w:lang w:val="en-US" w:eastAsia="zh-CN"/>
                    </w:rPr>
                    <w:t>2</w:t>
                  </w:r>
                  <w:r>
                    <w:rPr>
                      <w:rFonts w:hint="eastAsia"/>
                      <w:szCs w:val="21"/>
                      <w:vertAlign w:val="baseline"/>
                      <w:lang w:val="en-US" w:eastAsia="zh-CN"/>
                    </w:rPr>
                    <w:t>，各堆放区设置隔断，地面做防渗处理，3#、4#厂房洗选煤生产线的原煤与成品均通过全密闭廊道运输至2#厂房内</w:t>
                  </w:r>
                </w:p>
              </w:tc>
              <w:tc>
                <w:tcPr>
                  <w:tcW w:w="2687" w:type="dxa"/>
                  <w:gridSpan w:val="3"/>
                  <w:vMerge w:val="continue"/>
                  <w:tcBorders>
                    <w:tl2br w:val="nil"/>
                    <w:tr2bl w:val="nil"/>
                  </w:tcBorders>
                  <w:vAlign w:val="center"/>
                </w:tcPr>
                <w:p>
                  <w:pPr>
                    <w:adjustRightInd w:val="0"/>
                    <w:snapToGrid w:val="0"/>
                    <w:spacing w:line="240" w:lineRule="auto"/>
                    <w:jc w:val="left"/>
                    <w:rPr>
                      <w:rFonts w:hint="eastAsia"/>
                      <w:color w:val="FF0000"/>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trPr>
              <w:tc>
                <w:tcPr>
                  <w:tcW w:w="819" w:type="dxa"/>
                  <w:vMerge w:val="continue"/>
                  <w:tcBorders>
                    <w:right w:val="single" w:color="000000" w:sz="4" w:space="0"/>
                    <w:tl2br w:val="nil"/>
                    <w:tr2bl w:val="nil"/>
                  </w:tcBorders>
                  <w:vAlign w:val="center"/>
                </w:tcPr>
                <w:p>
                  <w:pPr>
                    <w:spacing w:line="240" w:lineRule="auto"/>
                    <w:jc w:val="center"/>
                    <w:rPr>
                      <w:szCs w:val="21"/>
                    </w:rPr>
                  </w:pPr>
                </w:p>
              </w:tc>
              <w:tc>
                <w:tcPr>
                  <w:tcW w:w="2010" w:type="dxa"/>
                  <w:tcBorders>
                    <w:left w:val="single" w:color="000000" w:sz="4" w:space="0"/>
                    <w:tl2br w:val="nil"/>
                    <w:tr2bl w:val="nil"/>
                  </w:tcBorders>
                  <w:vAlign w:val="center"/>
                </w:tcPr>
                <w:p>
                  <w:pPr>
                    <w:spacing w:line="240" w:lineRule="auto"/>
                    <w:jc w:val="center"/>
                    <w:rPr>
                      <w:rFonts w:hint="eastAsia"/>
                      <w:szCs w:val="21"/>
                      <w:lang w:eastAsia="zh-CN"/>
                    </w:rPr>
                  </w:pPr>
                  <w:r>
                    <w:rPr>
                      <w:rFonts w:hint="eastAsia"/>
                      <w:szCs w:val="21"/>
                      <w:lang w:val="en-US" w:eastAsia="zh-CN"/>
                    </w:rPr>
                    <w:t>3#厂房</w:t>
                  </w:r>
                </w:p>
              </w:tc>
              <w:tc>
                <w:tcPr>
                  <w:tcW w:w="3556" w:type="dxa"/>
                  <w:gridSpan w:val="2"/>
                  <w:tcBorders>
                    <w:tl2br w:val="nil"/>
                    <w:tr2bl w:val="nil"/>
                  </w:tcBorders>
                  <w:vAlign w:val="center"/>
                </w:tcPr>
                <w:p>
                  <w:pPr>
                    <w:spacing w:line="240" w:lineRule="auto"/>
                    <w:jc w:val="center"/>
                    <w:rPr>
                      <w:rFonts w:hint="eastAsia"/>
                      <w:szCs w:val="21"/>
                      <w:lang w:eastAsia="zh-CN"/>
                    </w:rPr>
                  </w:pPr>
                  <w:r>
                    <w:rPr>
                      <w:rFonts w:hint="eastAsia"/>
                      <w:color w:val="auto"/>
                      <w:szCs w:val="21"/>
                      <w:lang w:val="en-US" w:eastAsia="zh-CN"/>
                    </w:rPr>
                    <w:t>1F，</w:t>
                  </w:r>
                  <w:r>
                    <w:rPr>
                      <w:rFonts w:hint="eastAsia"/>
                      <w:szCs w:val="21"/>
                      <w:lang w:eastAsia="zh-CN"/>
                    </w:rPr>
                    <w:t>建筑面积</w:t>
                  </w:r>
                  <w:r>
                    <w:rPr>
                      <w:rFonts w:hint="eastAsia"/>
                      <w:szCs w:val="21"/>
                      <w:lang w:val="en-US" w:eastAsia="zh-CN"/>
                    </w:rPr>
                    <w:t>4786m</w:t>
                  </w:r>
                  <w:r>
                    <w:rPr>
                      <w:rFonts w:hint="eastAsia"/>
                      <w:szCs w:val="21"/>
                      <w:vertAlign w:val="superscript"/>
                      <w:lang w:val="en-US" w:eastAsia="zh-CN"/>
                    </w:rPr>
                    <w:t>2</w:t>
                  </w:r>
                  <w:r>
                    <w:rPr>
                      <w:rFonts w:hint="eastAsia"/>
                      <w:szCs w:val="21"/>
                      <w:vertAlign w:val="baseline"/>
                      <w:lang w:val="en-US" w:eastAsia="zh-CN"/>
                    </w:rPr>
                    <w:t>，设置1条年洗煤50万t的洗选煤生产线及其生产配套设施，洗煤原料通过密闭廊道运输至3#厂房内，洗煤产品通过密闭廊道运输至2#厂房产品堆放区</w:t>
                  </w:r>
                </w:p>
              </w:tc>
              <w:tc>
                <w:tcPr>
                  <w:tcW w:w="2687" w:type="dxa"/>
                  <w:gridSpan w:val="3"/>
                  <w:vMerge w:val="continue"/>
                  <w:tcBorders>
                    <w:tl2br w:val="nil"/>
                    <w:tr2bl w:val="nil"/>
                  </w:tcBorders>
                  <w:vAlign w:val="center"/>
                </w:tcPr>
                <w:p>
                  <w:pPr>
                    <w:adjustRightInd w:val="0"/>
                    <w:snapToGrid w:val="0"/>
                    <w:spacing w:line="240" w:lineRule="auto"/>
                    <w:jc w:val="left"/>
                    <w:rPr>
                      <w:rFonts w:hint="eastAsia"/>
                      <w:color w:val="FF0000"/>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trPr>
              <w:tc>
                <w:tcPr>
                  <w:tcW w:w="819" w:type="dxa"/>
                  <w:vMerge w:val="continue"/>
                  <w:tcBorders>
                    <w:right w:val="single" w:color="000000" w:sz="4" w:space="0"/>
                    <w:tl2br w:val="nil"/>
                    <w:tr2bl w:val="nil"/>
                  </w:tcBorders>
                  <w:vAlign w:val="center"/>
                </w:tcPr>
                <w:p>
                  <w:pPr>
                    <w:spacing w:line="240" w:lineRule="auto"/>
                    <w:jc w:val="center"/>
                    <w:rPr>
                      <w:szCs w:val="21"/>
                    </w:rPr>
                  </w:pPr>
                </w:p>
              </w:tc>
              <w:tc>
                <w:tcPr>
                  <w:tcW w:w="2010" w:type="dxa"/>
                  <w:tcBorders>
                    <w:left w:val="single" w:color="000000" w:sz="4" w:space="0"/>
                    <w:tl2br w:val="nil"/>
                    <w:tr2bl w:val="nil"/>
                  </w:tcBorders>
                  <w:vAlign w:val="center"/>
                </w:tcPr>
                <w:p>
                  <w:pPr>
                    <w:spacing w:line="240" w:lineRule="auto"/>
                    <w:jc w:val="center"/>
                    <w:rPr>
                      <w:rFonts w:hint="eastAsia"/>
                      <w:szCs w:val="21"/>
                      <w:lang w:eastAsia="zh-CN"/>
                    </w:rPr>
                  </w:pPr>
                  <w:r>
                    <w:rPr>
                      <w:rFonts w:hint="eastAsia"/>
                      <w:szCs w:val="21"/>
                      <w:lang w:val="en-US" w:eastAsia="zh-CN"/>
                    </w:rPr>
                    <w:t>4#厂房</w:t>
                  </w:r>
                </w:p>
              </w:tc>
              <w:tc>
                <w:tcPr>
                  <w:tcW w:w="3556" w:type="dxa"/>
                  <w:gridSpan w:val="2"/>
                  <w:tcBorders>
                    <w:tl2br w:val="nil"/>
                    <w:tr2bl w:val="nil"/>
                  </w:tcBorders>
                  <w:vAlign w:val="center"/>
                </w:tcPr>
                <w:p>
                  <w:pPr>
                    <w:spacing w:line="240" w:lineRule="auto"/>
                    <w:jc w:val="center"/>
                    <w:rPr>
                      <w:rFonts w:hint="eastAsia"/>
                      <w:szCs w:val="21"/>
                      <w:lang w:eastAsia="zh-CN"/>
                    </w:rPr>
                  </w:pPr>
                  <w:r>
                    <w:rPr>
                      <w:rFonts w:hint="eastAsia"/>
                      <w:color w:val="auto"/>
                      <w:szCs w:val="21"/>
                      <w:lang w:val="en-US" w:eastAsia="zh-CN"/>
                    </w:rPr>
                    <w:t>1F，</w:t>
                  </w:r>
                  <w:r>
                    <w:rPr>
                      <w:rFonts w:hint="eastAsia"/>
                      <w:szCs w:val="21"/>
                      <w:lang w:eastAsia="zh-CN"/>
                    </w:rPr>
                    <w:t>建筑面积</w:t>
                  </w:r>
                  <w:r>
                    <w:rPr>
                      <w:rFonts w:hint="eastAsia"/>
                      <w:szCs w:val="21"/>
                      <w:lang w:val="en-US" w:eastAsia="zh-CN"/>
                    </w:rPr>
                    <w:t>4400m</w:t>
                  </w:r>
                  <w:r>
                    <w:rPr>
                      <w:rFonts w:hint="eastAsia"/>
                      <w:szCs w:val="21"/>
                      <w:vertAlign w:val="superscript"/>
                      <w:lang w:val="en-US" w:eastAsia="zh-CN"/>
                    </w:rPr>
                    <w:t>2</w:t>
                  </w:r>
                  <w:r>
                    <w:rPr>
                      <w:rFonts w:hint="eastAsia"/>
                      <w:szCs w:val="21"/>
                      <w:vertAlign w:val="baseline"/>
                      <w:lang w:val="en-US" w:eastAsia="zh-CN"/>
                    </w:rPr>
                    <w:t>，设置1条年洗煤50万t的洗选煤生产线及其生产配套设施，洗煤原料通过密闭廊道运输至4#厂房内，洗煤产品通过密闭廊道运输至2#厂房产品堆放区</w:t>
                  </w:r>
                </w:p>
              </w:tc>
              <w:tc>
                <w:tcPr>
                  <w:tcW w:w="2687" w:type="dxa"/>
                  <w:gridSpan w:val="3"/>
                  <w:vMerge w:val="continue"/>
                  <w:tcBorders>
                    <w:tl2br w:val="nil"/>
                    <w:tr2bl w:val="nil"/>
                  </w:tcBorders>
                  <w:vAlign w:val="center"/>
                </w:tcPr>
                <w:p>
                  <w:pPr>
                    <w:adjustRightInd w:val="0"/>
                    <w:snapToGrid w:val="0"/>
                    <w:spacing w:line="240" w:lineRule="auto"/>
                    <w:jc w:val="left"/>
                    <w:rPr>
                      <w:rFonts w:hint="eastAsia"/>
                      <w:color w:val="FF0000"/>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504" w:hRule="atLeast"/>
              </w:trPr>
              <w:tc>
                <w:tcPr>
                  <w:tcW w:w="819" w:type="dxa"/>
                  <w:vMerge w:val="restart"/>
                  <w:tcBorders>
                    <w:tl2br w:val="nil"/>
                    <w:tr2bl w:val="nil"/>
                  </w:tcBorders>
                  <w:vAlign w:val="center"/>
                </w:tcPr>
                <w:p>
                  <w:pPr>
                    <w:adjustRightInd w:val="0"/>
                    <w:snapToGrid w:val="0"/>
                    <w:spacing w:line="240" w:lineRule="auto"/>
                    <w:jc w:val="center"/>
                    <w:rPr>
                      <w:color w:val="auto"/>
                      <w:szCs w:val="21"/>
                    </w:rPr>
                  </w:pPr>
                  <w:r>
                    <w:rPr>
                      <w:rFonts w:hint="eastAsia"/>
                      <w:color w:val="auto"/>
                      <w:szCs w:val="21"/>
                    </w:rPr>
                    <w:t>辅助工程</w:t>
                  </w:r>
                </w:p>
              </w:tc>
              <w:tc>
                <w:tcPr>
                  <w:tcW w:w="2010" w:type="dxa"/>
                  <w:vMerge w:val="restart"/>
                  <w:tcBorders>
                    <w:tl2br w:val="nil"/>
                    <w:tr2bl w:val="nil"/>
                  </w:tcBorders>
                  <w:vAlign w:val="center"/>
                </w:tcPr>
                <w:p>
                  <w:pPr>
                    <w:spacing w:line="240" w:lineRule="auto"/>
                    <w:jc w:val="center"/>
                    <w:rPr>
                      <w:rFonts w:hint="eastAsia" w:eastAsia="宋体"/>
                      <w:color w:val="auto"/>
                      <w:szCs w:val="21"/>
                      <w:lang w:eastAsia="zh-CN"/>
                    </w:rPr>
                  </w:pPr>
                  <w:r>
                    <w:rPr>
                      <w:rFonts w:hint="eastAsia"/>
                      <w:color w:val="auto"/>
                      <w:szCs w:val="21"/>
                      <w:lang w:eastAsia="zh-CN"/>
                    </w:rPr>
                    <w:t>原料、成品存贮</w:t>
                  </w:r>
                </w:p>
              </w:tc>
              <w:tc>
                <w:tcPr>
                  <w:tcW w:w="3556" w:type="dxa"/>
                  <w:gridSpan w:val="2"/>
                  <w:tcBorders>
                    <w:tl2br w:val="nil"/>
                    <w:tr2bl w:val="nil"/>
                  </w:tcBorders>
                  <w:vAlign w:val="center"/>
                </w:tcPr>
                <w:p>
                  <w:pPr>
                    <w:spacing w:line="240" w:lineRule="auto"/>
                    <w:jc w:val="center"/>
                    <w:rPr>
                      <w:rFonts w:hint="eastAsia" w:eastAsia="宋体"/>
                      <w:color w:val="auto"/>
                      <w:szCs w:val="21"/>
                      <w:lang w:val="en-US" w:eastAsia="zh-CN"/>
                    </w:rPr>
                  </w:pPr>
                  <w:r>
                    <w:rPr>
                      <w:rFonts w:hint="eastAsia"/>
                      <w:color w:val="auto"/>
                      <w:szCs w:val="21"/>
                      <w:lang w:val="en-US" w:eastAsia="zh-CN"/>
                    </w:rPr>
                    <w:t>4个300t</w:t>
                  </w:r>
                  <w:r>
                    <w:rPr>
                      <w:rFonts w:hint="eastAsia"/>
                      <w:color w:val="auto"/>
                      <w:szCs w:val="21"/>
                      <w:vertAlign w:val="baseline"/>
                      <w:lang w:val="en-US" w:eastAsia="zh-CN"/>
                    </w:rPr>
                    <w:t>粉料储罐</w:t>
                  </w:r>
                </w:p>
              </w:tc>
              <w:tc>
                <w:tcPr>
                  <w:tcW w:w="2687" w:type="dxa"/>
                  <w:gridSpan w:val="3"/>
                  <w:tcBorders>
                    <w:tl2br w:val="nil"/>
                    <w:tr2bl w:val="nil"/>
                  </w:tcBorders>
                  <w:vAlign w:val="center"/>
                </w:tcPr>
                <w:p>
                  <w:pPr>
                    <w:adjustRightInd w:val="0"/>
                    <w:snapToGrid w:val="0"/>
                    <w:spacing w:line="240" w:lineRule="auto"/>
                    <w:ind w:firstLine="210"/>
                    <w:jc w:val="center"/>
                    <w:rPr>
                      <w:rFonts w:hint="eastAsia" w:eastAsia="宋体"/>
                      <w:color w:val="auto"/>
                      <w:szCs w:val="21"/>
                      <w:lang w:eastAsia="zh-CN"/>
                    </w:rPr>
                  </w:pPr>
                  <w:r>
                    <w:rPr>
                      <w:rFonts w:hint="eastAsia"/>
                      <w:color w:val="auto"/>
                      <w:szCs w:val="21"/>
                      <w:lang w:eastAsia="zh-CN"/>
                    </w:rPr>
                    <w:t>立式粉料储罐、位于</w:t>
                  </w:r>
                  <w:r>
                    <w:rPr>
                      <w:rFonts w:hint="eastAsia"/>
                      <w:color w:val="auto"/>
                      <w:szCs w:val="21"/>
                      <w:lang w:val="en-US" w:eastAsia="zh-CN"/>
                    </w:rPr>
                    <w:t>1#厂房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69" w:hRule="atLeast"/>
              </w:trPr>
              <w:tc>
                <w:tcPr>
                  <w:tcW w:w="819" w:type="dxa"/>
                  <w:vMerge w:val="continue"/>
                  <w:tcBorders>
                    <w:tl2br w:val="nil"/>
                    <w:tr2bl w:val="nil"/>
                  </w:tcBorders>
                  <w:vAlign w:val="center"/>
                </w:tcPr>
                <w:p>
                  <w:pPr>
                    <w:adjustRightInd w:val="0"/>
                    <w:snapToGrid w:val="0"/>
                    <w:spacing w:line="240" w:lineRule="auto"/>
                    <w:jc w:val="center"/>
                    <w:rPr>
                      <w:rFonts w:hint="eastAsia"/>
                      <w:color w:val="auto"/>
                      <w:szCs w:val="21"/>
                    </w:rPr>
                  </w:pPr>
                </w:p>
              </w:tc>
              <w:tc>
                <w:tcPr>
                  <w:tcW w:w="2010" w:type="dxa"/>
                  <w:vMerge w:val="continue"/>
                  <w:tcBorders>
                    <w:tl2br w:val="nil"/>
                    <w:tr2bl w:val="nil"/>
                  </w:tcBorders>
                  <w:vAlign w:val="center"/>
                </w:tcPr>
                <w:p>
                  <w:pPr>
                    <w:spacing w:line="240" w:lineRule="auto"/>
                    <w:jc w:val="center"/>
                    <w:rPr>
                      <w:rFonts w:hint="eastAsia"/>
                      <w:color w:val="auto"/>
                      <w:szCs w:val="21"/>
                      <w:lang w:eastAsia="zh-CN"/>
                    </w:rPr>
                  </w:pPr>
                </w:p>
              </w:tc>
              <w:tc>
                <w:tcPr>
                  <w:tcW w:w="3556" w:type="dxa"/>
                  <w:gridSpan w:val="2"/>
                  <w:tcBorders>
                    <w:tl2br w:val="nil"/>
                    <w:tr2bl w:val="nil"/>
                  </w:tcBorders>
                  <w:vAlign w:val="center"/>
                </w:tcPr>
                <w:p>
                  <w:pPr>
                    <w:spacing w:line="240" w:lineRule="auto"/>
                    <w:jc w:val="center"/>
                    <w:rPr>
                      <w:rFonts w:hint="eastAsia"/>
                      <w:color w:val="auto"/>
                      <w:szCs w:val="21"/>
                      <w:lang w:val="en-US" w:eastAsia="zh-CN"/>
                    </w:rPr>
                  </w:pPr>
                  <w:r>
                    <w:rPr>
                      <w:rFonts w:hint="eastAsia"/>
                      <w:color w:val="auto"/>
                      <w:szCs w:val="21"/>
                      <w:lang w:val="en-US" w:eastAsia="zh-CN"/>
                    </w:rPr>
                    <w:t>原料、成品堆场建筑面积20000</w:t>
                  </w:r>
                  <w:r>
                    <w:rPr>
                      <w:rFonts w:hint="eastAsia"/>
                      <w:szCs w:val="21"/>
                      <w:lang w:val="en-US" w:eastAsia="zh-CN"/>
                    </w:rPr>
                    <w:t>m</w:t>
                  </w:r>
                  <w:r>
                    <w:rPr>
                      <w:rFonts w:hint="eastAsia"/>
                      <w:szCs w:val="21"/>
                      <w:vertAlign w:val="superscript"/>
                      <w:lang w:val="en-US" w:eastAsia="zh-CN"/>
                    </w:rPr>
                    <w:t>2</w:t>
                  </w:r>
                  <w:r>
                    <w:rPr>
                      <w:rFonts w:hint="eastAsia"/>
                      <w:szCs w:val="21"/>
                      <w:vertAlign w:val="baseline"/>
                      <w:lang w:val="en-US" w:eastAsia="zh-CN"/>
                    </w:rPr>
                    <w:t>，分别用于存贮精煤、中煤、煤矸石、煤泥，</w:t>
                  </w:r>
                  <w:r>
                    <w:rPr>
                      <w:rFonts w:hint="eastAsia"/>
                      <w:color w:val="auto"/>
                      <w:szCs w:val="21"/>
                      <w:lang w:eastAsia="zh-CN"/>
                    </w:rPr>
                    <w:t>位于</w:t>
                  </w:r>
                  <w:r>
                    <w:rPr>
                      <w:rFonts w:hint="eastAsia"/>
                      <w:color w:val="auto"/>
                      <w:szCs w:val="21"/>
                      <w:lang w:val="en-US" w:eastAsia="zh-CN"/>
                    </w:rPr>
                    <w:t>2#厂房内，</w:t>
                  </w:r>
                  <w:r>
                    <w:rPr>
                      <w:rFonts w:hint="eastAsia"/>
                      <w:szCs w:val="21"/>
                      <w:vertAlign w:val="baseline"/>
                      <w:lang w:val="en-US" w:eastAsia="zh-CN"/>
                    </w:rPr>
                    <w:t>沙子堆放区，水泥料仓位于1#厂房内，原料、成品堆放区设置洒水降尘设施</w:t>
                  </w:r>
                </w:p>
              </w:tc>
              <w:tc>
                <w:tcPr>
                  <w:tcW w:w="2687" w:type="dxa"/>
                  <w:gridSpan w:val="3"/>
                  <w:tcBorders>
                    <w:tl2br w:val="nil"/>
                    <w:tr2bl w:val="nil"/>
                  </w:tcBorders>
                  <w:vAlign w:val="center"/>
                </w:tcPr>
                <w:p>
                  <w:pPr>
                    <w:adjustRightInd w:val="0"/>
                    <w:snapToGrid w:val="0"/>
                    <w:spacing w:line="240" w:lineRule="auto"/>
                    <w:ind w:firstLine="210"/>
                    <w:jc w:val="center"/>
                    <w:rPr>
                      <w:rFonts w:hint="eastAsia"/>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69" w:hRule="atLeast"/>
              </w:trPr>
              <w:tc>
                <w:tcPr>
                  <w:tcW w:w="819" w:type="dxa"/>
                  <w:vMerge w:val="continue"/>
                  <w:tcBorders>
                    <w:tl2br w:val="nil"/>
                    <w:tr2bl w:val="nil"/>
                  </w:tcBorders>
                  <w:vAlign w:val="center"/>
                </w:tcPr>
                <w:p>
                  <w:pPr>
                    <w:adjustRightInd w:val="0"/>
                    <w:snapToGrid w:val="0"/>
                    <w:spacing w:line="240" w:lineRule="auto"/>
                    <w:ind w:firstLine="210"/>
                    <w:jc w:val="center"/>
                    <w:rPr>
                      <w:color w:val="auto"/>
                      <w:szCs w:val="21"/>
                    </w:rPr>
                  </w:pPr>
                </w:p>
              </w:tc>
              <w:tc>
                <w:tcPr>
                  <w:tcW w:w="2010" w:type="dxa"/>
                  <w:tcBorders>
                    <w:tl2br w:val="nil"/>
                    <w:tr2bl w:val="nil"/>
                  </w:tcBorders>
                  <w:vAlign w:val="center"/>
                </w:tcPr>
                <w:p>
                  <w:pPr>
                    <w:spacing w:line="240" w:lineRule="auto"/>
                    <w:jc w:val="center"/>
                    <w:rPr>
                      <w:rFonts w:hint="eastAsia" w:eastAsia="宋体"/>
                      <w:color w:val="auto"/>
                      <w:szCs w:val="21"/>
                      <w:lang w:eastAsia="zh-CN"/>
                    </w:rPr>
                  </w:pPr>
                  <w:r>
                    <w:rPr>
                      <w:rFonts w:hint="eastAsia"/>
                      <w:color w:val="auto"/>
                      <w:szCs w:val="21"/>
                      <w:lang w:eastAsia="zh-CN"/>
                    </w:rPr>
                    <w:t>办公楼</w:t>
                  </w:r>
                </w:p>
              </w:tc>
              <w:tc>
                <w:tcPr>
                  <w:tcW w:w="3556" w:type="dxa"/>
                  <w:gridSpan w:val="2"/>
                  <w:tcBorders>
                    <w:tl2br w:val="nil"/>
                    <w:tr2bl w:val="nil"/>
                  </w:tcBorders>
                  <w:vAlign w:val="center"/>
                </w:tcPr>
                <w:p>
                  <w:pPr>
                    <w:spacing w:line="240" w:lineRule="auto"/>
                    <w:jc w:val="center"/>
                    <w:rPr>
                      <w:rFonts w:hint="eastAsia"/>
                      <w:color w:val="auto"/>
                      <w:szCs w:val="21"/>
                      <w:lang w:val="en-US" w:eastAsia="zh-CN"/>
                    </w:rPr>
                  </w:pPr>
                  <w:r>
                    <w:rPr>
                      <w:rFonts w:hint="eastAsia"/>
                      <w:color w:val="auto"/>
                      <w:szCs w:val="21"/>
                      <w:lang w:val="en-US" w:eastAsia="zh-CN"/>
                    </w:rPr>
                    <w:t>6F，建筑面积3600</w:t>
                  </w:r>
                  <w:r>
                    <w:rPr>
                      <w:rFonts w:hint="eastAsia"/>
                      <w:color w:val="auto"/>
                      <w:szCs w:val="21"/>
                    </w:rPr>
                    <w:t>m</w:t>
                  </w:r>
                  <w:r>
                    <w:rPr>
                      <w:rFonts w:hint="eastAsia"/>
                      <w:color w:val="auto"/>
                      <w:szCs w:val="21"/>
                      <w:vertAlign w:val="superscript"/>
                    </w:rPr>
                    <w:t>2</w:t>
                  </w:r>
                  <w:r>
                    <w:rPr>
                      <w:rFonts w:hint="eastAsia"/>
                      <w:color w:val="auto"/>
                      <w:szCs w:val="21"/>
                      <w:vertAlign w:val="baseline"/>
                      <w:lang w:eastAsia="zh-CN"/>
                    </w:rPr>
                    <w:t>，楼内设置办公室、值班休息室、食堂</w:t>
                  </w:r>
                </w:p>
              </w:tc>
              <w:tc>
                <w:tcPr>
                  <w:tcW w:w="2687" w:type="dxa"/>
                  <w:gridSpan w:val="3"/>
                  <w:tcBorders>
                    <w:tl2br w:val="nil"/>
                    <w:tr2bl w:val="nil"/>
                  </w:tcBorders>
                  <w:vAlign w:val="center"/>
                </w:tcPr>
                <w:p>
                  <w:pPr>
                    <w:adjustRightInd w:val="0"/>
                    <w:snapToGrid w:val="0"/>
                    <w:spacing w:line="240" w:lineRule="auto"/>
                    <w:ind w:firstLine="210" w:firstLineChars="0"/>
                    <w:jc w:val="center"/>
                    <w:rPr>
                      <w:rFonts w:hint="eastAsia" w:eastAsia="宋体"/>
                      <w:color w:val="auto"/>
                      <w:szCs w:val="21"/>
                      <w:lang w:eastAsia="zh-CN"/>
                    </w:rPr>
                  </w:pPr>
                  <w:r>
                    <w:rPr>
                      <w:rFonts w:hint="eastAsia"/>
                      <w:color w:val="auto"/>
                      <w:szCs w:val="21"/>
                      <w:lang w:eastAsia="zh-CN"/>
                    </w:rPr>
                    <w:t>钢筋混凝土结构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69" w:hRule="atLeast"/>
              </w:trPr>
              <w:tc>
                <w:tcPr>
                  <w:tcW w:w="819" w:type="dxa"/>
                  <w:vMerge w:val="restart"/>
                  <w:tcBorders>
                    <w:tl2br w:val="nil"/>
                    <w:tr2bl w:val="nil"/>
                  </w:tcBorders>
                  <w:vAlign w:val="center"/>
                </w:tcPr>
                <w:p>
                  <w:pPr>
                    <w:spacing w:line="240" w:lineRule="auto"/>
                    <w:jc w:val="center"/>
                    <w:rPr>
                      <w:szCs w:val="21"/>
                    </w:rPr>
                  </w:pPr>
                  <w:r>
                    <w:rPr>
                      <w:szCs w:val="21"/>
                    </w:rPr>
                    <w:t>公用</w:t>
                  </w:r>
                </w:p>
                <w:p>
                  <w:pPr>
                    <w:spacing w:line="240" w:lineRule="auto"/>
                    <w:jc w:val="center"/>
                    <w:rPr>
                      <w:szCs w:val="21"/>
                    </w:rPr>
                  </w:pPr>
                  <w:r>
                    <w:rPr>
                      <w:szCs w:val="21"/>
                    </w:rPr>
                    <w:t>工程</w:t>
                  </w:r>
                </w:p>
              </w:tc>
              <w:tc>
                <w:tcPr>
                  <w:tcW w:w="2010" w:type="dxa"/>
                  <w:tcBorders>
                    <w:tl2br w:val="nil"/>
                    <w:tr2bl w:val="nil"/>
                  </w:tcBorders>
                  <w:vAlign w:val="center"/>
                </w:tcPr>
                <w:p>
                  <w:pPr>
                    <w:adjustRightInd w:val="0"/>
                    <w:snapToGrid w:val="0"/>
                    <w:spacing w:line="240" w:lineRule="auto"/>
                    <w:jc w:val="center"/>
                    <w:rPr>
                      <w:color w:val="auto"/>
                      <w:szCs w:val="21"/>
                    </w:rPr>
                  </w:pPr>
                  <w:r>
                    <w:rPr>
                      <w:color w:val="auto"/>
                      <w:szCs w:val="21"/>
                    </w:rPr>
                    <w:t>给水</w:t>
                  </w:r>
                </w:p>
              </w:tc>
              <w:tc>
                <w:tcPr>
                  <w:tcW w:w="6243" w:type="dxa"/>
                  <w:gridSpan w:val="5"/>
                  <w:tcBorders>
                    <w:tl2br w:val="nil"/>
                    <w:tr2bl w:val="nil"/>
                  </w:tcBorders>
                  <w:vAlign w:val="center"/>
                </w:tcPr>
                <w:p>
                  <w:pPr>
                    <w:spacing w:line="240" w:lineRule="auto"/>
                    <w:jc w:val="center"/>
                    <w:rPr>
                      <w:color w:val="auto"/>
                      <w:szCs w:val="21"/>
                    </w:rPr>
                  </w:pPr>
                  <w:r>
                    <w:rPr>
                      <w:rFonts w:hint="eastAsia"/>
                      <w:color w:val="auto"/>
                      <w:szCs w:val="21"/>
                      <w:lang w:eastAsia="zh-CN"/>
                    </w:rPr>
                    <w:t>依托雨水收集系统和水车运输，水收集系统设置两个蓄水池，厂区东侧蓄水出用以储存水车运入厂内的水，蓄水量</w:t>
                  </w:r>
                  <w:r>
                    <w:rPr>
                      <w:rFonts w:hint="eastAsia"/>
                      <w:color w:val="auto"/>
                      <w:szCs w:val="21"/>
                      <w:lang w:val="en-US" w:eastAsia="zh-CN"/>
                    </w:rPr>
                    <w:t>8000m</w:t>
                  </w:r>
                  <w:r>
                    <w:rPr>
                      <w:rFonts w:hint="eastAsia"/>
                      <w:color w:val="auto"/>
                      <w:szCs w:val="21"/>
                      <w:vertAlign w:val="superscript"/>
                      <w:lang w:val="en-US" w:eastAsia="zh-CN"/>
                    </w:rPr>
                    <w:t>3</w:t>
                  </w:r>
                  <w:r>
                    <w:rPr>
                      <w:rFonts w:hint="eastAsia"/>
                      <w:color w:val="auto"/>
                      <w:szCs w:val="21"/>
                      <w:lang w:eastAsia="zh-CN"/>
                    </w:rPr>
                    <w:t>西侧蓄水池用以蓄积雨水，蓄水量共计</w:t>
                  </w:r>
                  <w:r>
                    <w:rPr>
                      <w:rFonts w:hint="eastAsia"/>
                      <w:color w:val="auto"/>
                      <w:szCs w:val="21"/>
                      <w:lang w:val="en-US" w:eastAsia="zh-CN"/>
                    </w:rPr>
                    <w:t>13000m</w:t>
                  </w:r>
                  <w:r>
                    <w:rPr>
                      <w:rFonts w:hint="eastAsia"/>
                      <w:color w:val="auto"/>
                      <w:szCs w:val="21"/>
                      <w:vertAlign w:val="superscript"/>
                      <w:lang w:val="en-US" w:eastAsia="zh-CN"/>
                    </w:rPr>
                    <w:t>3</w:t>
                  </w:r>
                  <w:r>
                    <w:rPr>
                      <w:rFonts w:hint="eastAsia"/>
                      <w:color w:val="auto"/>
                      <w:szCs w:val="21"/>
                      <w:vertAlign w:val="baseline"/>
                      <w:lang w:val="en-US" w:eastAsia="zh-CN"/>
                    </w:rPr>
                    <w:t>，本项目水车运输来源主要为玉华煤矿，太安镇马坊村等地，水源较充足。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16"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tcBorders>
                    <w:tl2br w:val="nil"/>
                    <w:tr2bl w:val="nil"/>
                  </w:tcBorders>
                  <w:vAlign w:val="center"/>
                </w:tcPr>
                <w:p>
                  <w:pPr>
                    <w:adjustRightInd w:val="0"/>
                    <w:snapToGrid w:val="0"/>
                    <w:spacing w:line="240" w:lineRule="auto"/>
                    <w:jc w:val="center"/>
                    <w:rPr>
                      <w:szCs w:val="21"/>
                    </w:rPr>
                  </w:pPr>
                  <w:r>
                    <w:rPr>
                      <w:szCs w:val="21"/>
                    </w:rPr>
                    <w:t>供电</w:t>
                  </w:r>
                </w:p>
              </w:tc>
              <w:tc>
                <w:tcPr>
                  <w:tcW w:w="6243" w:type="dxa"/>
                  <w:gridSpan w:val="5"/>
                  <w:tcBorders>
                    <w:tl2br w:val="nil"/>
                    <w:tr2bl w:val="nil"/>
                  </w:tcBorders>
                  <w:vAlign w:val="center"/>
                </w:tcPr>
                <w:p>
                  <w:pPr>
                    <w:adjustRightInd w:val="0"/>
                    <w:snapToGrid w:val="0"/>
                    <w:spacing w:line="240" w:lineRule="auto"/>
                    <w:ind w:firstLine="210"/>
                    <w:jc w:val="center"/>
                    <w:rPr>
                      <w:color w:val="auto"/>
                      <w:szCs w:val="21"/>
                    </w:rPr>
                  </w:pPr>
                  <w:r>
                    <w:rPr>
                      <w:rFonts w:hint="eastAsia"/>
                      <w:color w:val="auto"/>
                      <w:szCs w:val="21"/>
                      <w:lang w:eastAsia="zh-CN"/>
                    </w:rPr>
                    <w:t>依托市政电网引入，设置配电房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69"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tcBorders>
                    <w:tl2br w:val="nil"/>
                    <w:tr2bl w:val="nil"/>
                  </w:tcBorders>
                  <w:vAlign w:val="center"/>
                </w:tcPr>
                <w:p>
                  <w:pPr>
                    <w:adjustRightInd w:val="0"/>
                    <w:snapToGrid w:val="0"/>
                    <w:spacing w:line="240" w:lineRule="auto"/>
                    <w:jc w:val="center"/>
                    <w:rPr>
                      <w:szCs w:val="21"/>
                    </w:rPr>
                  </w:pPr>
                  <w:r>
                    <w:rPr>
                      <w:szCs w:val="21"/>
                    </w:rPr>
                    <w:t>排水</w:t>
                  </w:r>
                </w:p>
              </w:tc>
              <w:tc>
                <w:tcPr>
                  <w:tcW w:w="6243" w:type="dxa"/>
                  <w:gridSpan w:val="5"/>
                  <w:tcBorders>
                    <w:tl2br w:val="nil"/>
                    <w:tr2bl w:val="nil"/>
                  </w:tcBorders>
                  <w:vAlign w:val="center"/>
                </w:tcPr>
                <w:p>
                  <w:pPr>
                    <w:adjustRightInd w:val="0"/>
                    <w:snapToGrid w:val="0"/>
                    <w:spacing w:line="240" w:lineRule="auto"/>
                    <w:jc w:val="center"/>
                    <w:rPr>
                      <w:rFonts w:hint="eastAsia" w:eastAsia="宋体"/>
                      <w:color w:val="auto"/>
                      <w:szCs w:val="21"/>
                      <w:lang w:eastAsia="zh-CN"/>
                    </w:rPr>
                  </w:pPr>
                  <w:r>
                    <w:rPr>
                      <w:rFonts w:hint="eastAsia"/>
                      <w:color w:val="auto"/>
                      <w:szCs w:val="21"/>
                      <w:lang w:eastAsia="zh-CN"/>
                    </w:rPr>
                    <w:t>项目不产生生产废水，生活污水排入储粪池，定期清运。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69"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tcBorders>
                    <w:tl2br w:val="nil"/>
                    <w:tr2bl w:val="nil"/>
                  </w:tcBorders>
                  <w:vAlign w:val="center"/>
                </w:tcPr>
                <w:p>
                  <w:pPr>
                    <w:adjustRightInd w:val="0"/>
                    <w:snapToGrid w:val="0"/>
                    <w:spacing w:line="240" w:lineRule="auto"/>
                    <w:jc w:val="center"/>
                    <w:rPr>
                      <w:szCs w:val="21"/>
                    </w:rPr>
                  </w:pPr>
                  <w:r>
                    <w:rPr>
                      <w:rFonts w:hint="eastAsia"/>
                      <w:szCs w:val="21"/>
                    </w:rPr>
                    <w:t>供暖</w:t>
                  </w:r>
                </w:p>
              </w:tc>
              <w:tc>
                <w:tcPr>
                  <w:tcW w:w="6243" w:type="dxa"/>
                  <w:gridSpan w:val="5"/>
                  <w:tcBorders>
                    <w:tl2br w:val="nil"/>
                    <w:tr2bl w:val="nil"/>
                  </w:tcBorders>
                  <w:vAlign w:val="center"/>
                </w:tcPr>
                <w:p>
                  <w:pPr>
                    <w:adjustRightInd w:val="0"/>
                    <w:snapToGrid w:val="0"/>
                    <w:spacing w:line="240" w:lineRule="auto"/>
                    <w:jc w:val="center"/>
                    <w:rPr>
                      <w:color w:val="auto"/>
                      <w:szCs w:val="21"/>
                    </w:rPr>
                  </w:pPr>
                  <w:r>
                    <w:rPr>
                      <w:rFonts w:hint="eastAsia"/>
                      <w:color w:val="auto"/>
                      <w:szCs w:val="21"/>
                      <w:lang w:eastAsia="zh-CN"/>
                    </w:rPr>
                    <w:t>分体式空调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95" w:hRule="atLeast"/>
              </w:trPr>
              <w:tc>
                <w:tcPr>
                  <w:tcW w:w="819" w:type="dxa"/>
                  <w:vMerge w:val="restart"/>
                  <w:tcBorders>
                    <w:tl2br w:val="nil"/>
                    <w:tr2bl w:val="nil"/>
                  </w:tcBorders>
                  <w:vAlign w:val="center"/>
                </w:tcPr>
                <w:p>
                  <w:pPr>
                    <w:spacing w:line="240" w:lineRule="auto"/>
                    <w:jc w:val="center"/>
                    <w:rPr>
                      <w:szCs w:val="21"/>
                    </w:rPr>
                  </w:pPr>
                  <w:r>
                    <w:rPr>
                      <w:szCs w:val="21"/>
                    </w:rPr>
                    <w:t>环保</w:t>
                  </w:r>
                </w:p>
                <w:p>
                  <w:pPr>
                    <w:spacing w:line="240" w:lineRule="auto"/>
                    <w:jc w:val="center"/>
                    <w:rPr>
                      <w:szCs w:val="21"/>
                    </w:rPr>
                  </w:pPr>
                  <w:r>
                    <w:rPr>
                      <w:szCs w:val="21"/>
                    </w:rPr>
                    <w:t>工程</w:t>
                  </w:r>
                </w:p>
              </w:tc>
              <w:tc>
                <w:tcPr>
                  <w:tcW w:w="2010" w:type="dxa"/>
                  <w:tcBorders>
                    <w:tl2br w:val="nil"/>
                    <w:tr2bl w:val="nil"/>
                  </w:tcBorders>
                  <w:vAlign w:val="center"/>
                </w:tcPr>
                <w:p>
                  <w:pPr>
                    <w:adjustRightInd w:val="0"/>
                    <w:snapToGrid w:val="0"/>
                    <w:spacing w:line="240" w:lineRule="auto"/>
                    <w:jc w:val="center"/>
                    <w:rPr>
                      <w:szCs w:val="21"/>
                    </w:rPr>
                  </w:pPr>
                  <w:r>
                    <w:rPr>
                      <w:rFonts w:hint="eastAsia"/>
                      <w:szCs w:val="21"/>
                    </w:rPr>
                    <w:t>固废</w:t>
                  </w:r>
                </w:p>
              </w:tc>
              <w:tc>
                <w:tcPr>
                  <w:tcW w:w="6243" w:type="dxa"/>
                  <w:gridSpan w:val="5"/>
                  <w:tcBorders>
                    <w:tl2br w:val="nil"/>
                    <w:tr2bl w:val="nil"/>
                  </w:tcBorders>
                  <w:vAlign w:val="center"/>
                </w:tcPr>
                <w:p>
                  <w:pPr>
                    <w:adjustRightInd w:val="0"/>
                    <w:snapToGrid w:val="0"/>
                    <w:spacing w:line="240" w:lineRule="auto"/>
                    <w:jc w:val="center"/>
                    <w:rPr>
                      <w:color w:val="auto"/>
                      <w:szCs w:val="21"/>
                    </w:rPr>
                  </w:pPr>
                  <w:r>
                    <w:rPr>
                      <w:rFonts w:hint="eastAsia"/>
                      <w:color w:val="auto"/>
                      <w:szCs w:val="21"/>
                      <w:lang w:eastAsia="zh-CN"/>
                    </w:rPr>
                    <w:t>洗煤工段除尘器收集的粉尘与项目成品煤泥混合后外售，制砖生产线中破碎工段除尘器收集的粉尘回用制砖工艺生产过程，生活垃圾集中清运，废油脂委托有资质单位转运处理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28"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tcBorders>
                    <w:tl2br w:val="nil"/>
                    <w:tr2bl w:val="nil"/>
                  </w:tcBorders>
                  <w:vAlign w:val="center"/>
                </w:tcPr>
                <w:p>
                  <w:pPr>
                    <w:adjustRightInd w:val="0"/>
                    <w:snapToGrid w:val="0"/>
                    <w:spacing w:line="240" w:lineRule="auto"/>
                    <w:jc w:val="center"/>
                    <w:rPr>
                      <w:szCs w:val="21"/>
                    </w:rPr>
                  </w:pPr>
                  <w:r>
                    <w:rPr>
                      <w:szCs w:val="21"/>
                    </w:rPr>
                    <w:t>噪声</w:t>
                  </w:r>
                </w:p>
              </w:tc>
              <w:tc>
                <w:tcPr>
                  <w:tcW w:w="6243" w:type="dxa"/>
                  <w:gridSpan w:val="5"/>
                  <w:tcBorders>
                    <w:bottom w:val="single" w:color="000000" w:sz="4" w:space="0"/>
                    <w:tl2br w:val="nil"/>
                    <w:tr2bl w:val="nil"/>
                  </w:tcBorders>
                  <w:vAlign w:val="center"/>
                </w:tcPr>
                <w:p>
                  <w:pPr>
                    <w:adjustRightInd w:val="0"/>
                    <w:snapToGrid w:val="0"/>
                    <w:spacing w:line="240" w:lineRule="auto"/>
                    <w:jc w:val="center"/>
                    <w:rPr>
                      <w:color w:val="auto"/>
                      <w:szCs w:val="21"/>
                    </w:rPr>
                  </w:pPr>
                  <w:r>
                    <w:rPr>
                      <w:rFonts w:hint="eastAsia"/>
                      <w:color w:val="auto"/>
                      <w:szCs w:val="21"/>
                      <w:lang w:eastAsia="zh-CN"/>
                    </w:rPr>
                    <w:t>选用低噪设备，合理布局，对高噪声设备进行封闭降噪。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vMerge w:val="restart"/>
                  <w:tcBorders>
                    <w:tl2br w:val="nil"/>
                    <w:tr2bl w:val="nil"/>
                  </w:tcBorders>
                  <w:vAlign w:val="center"/>
                </w:tcPr>
                <w:p>
                  <w:pPr>
                    <w:adjustRightInd w:val="0"/>
                    <w:snapToGrid w:val="0"/>
                    <w:spacing w:line="240" w:lineRule="auto"/>
                    <w:jc w:val="center"/>
                    <w:rPr>
                      <w:color w:val="auto"/>
                      <w:szCs w:val="21"/>
                      <w:shd w:val="clear" w:color="auto" w:fill="auto"/>
                    </w:rPr>
                  </w:pPr>
                  <w:r>
                    <w:rPr>
                      <w:color w:val="auto"/>
                      <w:szCs w:val="21"/>
                      <w:shd w:val="clear" w:color="auto" w:fill="auto"/>
                    </w:rPr>
                    <w:t>废气</w:t>
                  </w:r>
                </w:p>
              </w:tc>
              <w:tc>
                <w:tcPr>
                  <w:tcW w:w="1546" w:type="dxa"/>
                  <w:tcBorders>
                    <w:top w:val="single" w:color="000000" w:sz="4" w:space="0"/>
                    <w:right w:val="single" w:color="auto" w:sz="4" w:space="0"/>
                    <w:tl2br w:val="nil"/>
                    <w:tr2bl w:val="nil"/>
                  </w:tcBorders>
                  <w:vAlign w:val="center"/>
                </w:tcPr>
                <w:p>
                  <w:pPr>
                    <w:adjustRightInd w:val="0"/>
                    <w:snapToGrid w:val="0"/>
                    <w:spacing w:line="240" w:lineRule="auto"/>
                    <w:jc w:val="center"/>
                    <w:rPr>
                      <w:rFonts w:hint="eastAsia" w:eastAsia="宋体"/>
                      <w:color w:val="auto"/>
                      <w:szCs w:val="21"/>
                      <w:shd w:val="clear" w:color="auto" w:fill="auto"/>
                      <w:lang w:val="en-US" w:eastAsia="zh-CN"/>
                    </w:rPr>
                  </w:pPr>
                  <w:r>
                    <w:rPr>
                      <w:rFonts w:hint="eastAsia"/>
                      <w:color w:val="auto"/>
                      <w:szCs w:val="21"/>
                      <w:shd w:val="clear" w:color="auto" w:fill="auto"/>
                      <w:lang w:val="en-US" w:eastAsia="zh-CN"/>
                    </w:rPr>
                    <w:t>双齿破碎机</w:t>
                  </w:r>
                </w:p>
              </w:tc>
              <w:tc>
                <w:tcPr>
                  <w:tcW w:w="3855" w:type="dxa"/>
                  <w:gridSpan w:val="2"/>
                  <w:tcBorders>
                    <w:top w:val="single" w:color="000000" w:sz="4" w:space="0"/>
                    <w:left w:val="single" w:color="auto" w:sz="4" w:space="0"/>
                    <w:right w:val="single" w:color="auto" w:sz="4" w:space="0"/>
                    <w:tl2br w:val="nil"/>
                    <w:tr2bl w:val="nil"/>
                  </w:tcBorders>
                  <w:vAlign w:val="center"/>
                </w:tcPr>
                <w:p>
                  <w:pPr>
                    <w:adjustRightInd w:val="0"/>
                    <w:snapToGrid w:val="0"/>
                    <w:spacing w:line="240" w:lineRule="auto"/>
                    <w:rPr>
                      <w:rFonts w:hint="eastAsia"/>
                      <w:color w:val="auto"/>
                      <w:szCs w:val="21"/>
                      <w:shd w:val="clear" w:color="auto" w:fill="auto"/>
                      <w:lang w:val="en-US" w:eastAsia="zh-CN"/>
                    </w:rPr>
                  </w:pPr>
                  <w:r>
                    <w:rPr>
                      <w:rFonts w:hint="eastAsia"/>
                      <w:color w:val="auto"/>
                      <w:szCs w:val="21"/>
                      <w:shd w:val="clear" w:color="auto" w:fill="auto"/>
                      <w:lang w:val="en-US" w:eastAsia="zh-CN"/>
                    </w:rPr>
                    <w:t>破碎机上设置集气罩与喷淋洒水装置，接布袋除尘器处理后，由15m排气筒排放（引风机风量为10000m</w:t>
                  </w:r>
                  <w:r>
                    <w:rPr>
                      <w:rFonts w:hint="eastAsia"/>
                      <w:color w:val="auto"/>
                      <w:szCs w:val="21"/>
                      <w:shd w:val="clear" w:color="auto" w:fill="auto"/>
                      <w:vertAlign w:val="superscript"/>
                      <w:lang w:val="en-US" w:eastAsia="zh-CN"/>
                    </w:rPr>
                    <w:t>3</w:t>
                  </w:r>
                  <w:r>
                    <w:rPr>
                      <w:rFonts w:hint="eastAsia"/>
                      <w:color w:val="auto"/>
                      <w:szCs w:val="21"/>
                      <w:shd w:val="clear" w:color="auto" w:fill="auto"/>
                      <w:vertAlign w:val="baseline"/>
                      <w:lang w:val="en-US" w:eastAsia="zh-CN"/>
                    </w:rPr>
                    <w:t>/h</w:t>
                  </w:r>
                  <w:r>
                    <w:rPr>
                      <w:rFonts w:hint="eastAsia"/>
                      <w:color w:val="auto"/>
                      <w:szCs w:val="21"/>
                      <w:shd w:val="clear" w:color="auto" w:fill="auto"/>
                      <w:lang w:val="en-US" w:eastAsia="zh-CN"/>
                    </w:rPr>
                    <w:t>）</w:t>
                  </w:r>
                </w:p>
              </w:tc>
              <w:tc>
                <w:tcPr>
                  <w:tcW w:w="405" w:type="dxa"/>
                  <w:vMerge w:val="restart"/>
                  <w:tcBorders>
                    <w:top w:val="single" w:color="000000" w:sz="4" w:space="0"/>
                    <w:left w:val="single" w:color="auto" w:sz="4" w:space="0"/>
                    <w:right w:val="single" w:color="auto" w:sz="4" w:space="0"/>
                    <w:tl2br w:val="nil"/>
                    <w:tr2bl w:val="nil"/>
                  </w:tcBorders>
                  <w:vAlign w:val="center"/>
                </w:tcPr>
                <w:p>
                  <w:pPr>
                    <w:adjustRightInd w:val="0"/>
                    <w:snapToGrid w:val="0"/>
                    <w:spacing w:line="240" w:lineRule="auto"/>
                    <w:jc w:val="center"/>
                    <w:rPr>
                      <w:rFonts w:hint="eastAsia"/>
                      <w:color w:val="auto"/>
                      <w:szCs w:val="21"/>
                      <w:shd w:val="clear" w:color="auto" w:fill="auto"/>
                      <w:lang w:val="en-US" w:eastAsia="zh-CN"/>
                    </w:rPr>
                  </w:pPr>
                  <w:r>
                    <w:rPr>
                      <w:rFonts w:hint="eastAsia"/>
                      <w:color w:val="auto"/>
                      <w:szCs w:val="21"/>
                      <w:shd w:val="clear" w:color="auto" w:fill="auto"/>
                      <w:lang w:val="en-US" w:eastAsia="zh-CN"/>
                    </w:rPr>
                    <w:t>数量</w:t>
                  </w:r>
                </w:p>
              </w:tc>
              <w:tc>
                <w:tcPr>
                  <w:tcW w:w="437" w:type="dxa"/>
                  <w:tcBorders>
                    <w:top w:val="single" w:color="000000" w:sz="4" w:space="0"/>
                    <w:left w:val="single" w:color="auto" w:sz="4" w:space="0"/>
                    <w:tl2br w:val="nil"/>
                    <w:tr2bl w:val="nil"/>
                  </w:tcBorders>
                  <w:vAlign w:val="center"/>
                </w:tcPr>
                <w:p>
                  <w:pPr>
                    <w:adjustRightInd w:val="0"/>
                    <w:snapToGrid w:val="0"/>
                    <w:spacing w:line="240" w:lineRule="auto"/>
                    <w:jc w:val="center"/>
                    <w:rPr>
                      <w:rFonts w:hint="eastAsia" w:eastAsia="宋体"/>
                      <w:color w:val="auto"/>
                      <w:szCs w:val="21"/>
                      <w:lang w:val="en-US" w:eastAsia="zh-CN"/>
                    </w:rPr>
                  </w:pPr>
                  <w:r>
                    <w:rPr>
                      <w:rFonts w:hint="eastAsia"/>
                      <w:color w:val="auto"/>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vMerge w:val="continue"/>
                  <w:tcBorders>
                    <w:tl2br w:val="nil"/>
                    <w:tr2bl w:val="nil"/>
                  </w:tcBorders>
                  <w:vAlign w:val="center"/>
                </w:tcPr>
                <w:p>
                  <w:pPr>
                    <w:adjustRightInd w:val="0"/>
                    <w:snapToGrid w:val="0"/>
                    <w:spacing w:line="240" w:lineRule="auto"/>
                    <w:jc w:val="center"/>
                    <w:rPr>
                      <w:color w:val="auto"/>
                      <w:szCs w:val="21"/>
                      <w:shd w:val="clear" w:color="auto" w:fill="auto"/>
                    </w:rPr>
                  </w:pPr>
                </w:p>
              </w:tc>
              <w:tc>
                <w:tcPr>
                  <w:tcW w:w="1546" w:type="dxa"/>
                  <w:tcBorders>
                    <w:top w:val="single" w:color="000000" w:sz="4" w:space="0"/>
                    <w:right w:val="single" w:color="auto" w:sz="4" w:space="0"/>
                    <w:tl2br w:val="nil"/>
                    <w:tr2bl w:val="nil"/>
                  </w:tcBorders>
                  <w:vAlign w:val="center"/>
                </w:tcPr>
                <w:p>
                  <w:pPr>
                    <w:adjustRightInd w:val="0"/>
                    <w:snapToGrid w:val="0"/>
                    <w:spacing w:line="240" w:lineRule="auto"/>
                    <w:jc w:val="center"/>
                    <w:rPr>
                      <w:rFonts w:hint="eastAsia"/>
                      <w:color w:val="auto"/>
                      <w:szCs w:val="21"/>
                      <w:shd w:val="clear" w:color="auto" w:fill="auto"/>
                      <w:lang w:val="en-US" w:eastAsia="zh-CN"/>
                    </w:rPr>
                  </w:pPr>
                  <w:r>
                    <w:rPr>
                      <w:rFonts w:hint="eastAsia"/>
                      <w:color w:val="auto"/>
                      <w:szCs w:val="21"/>
                      <w:shd w:val="clear" w:color="auto" w:fill="auto"/>
                      <w:lang w:val="en-US" w:eastAsia="zh-CN"/>
                    </w:rPr>
                    <w:t>物料转运</w:t>
                  </w:r>
                </w:p>
              </w:tc>
              <w:tc>
                <w:tcPr>
                  <w:tcW w:w="3855" w:type="dxa"/>
                  <w:gridSpan w:val="2"/>
                  <w:tcBorders>
                    <w:top w:val="single" w:color="000000" w:sz="4" w:space="0"/>
                    <w:left w:val="single" w:color="auto" w:sz="4" w:space="0"/>
                    <w:right w:val="single" w:color="auto" w:sz="4" w:space="0"/>
                    <w:tl2br w:val="nil"/>
                    <w:tr2bl w:val="nil"/>
                  </w:tcBorders>
                  <w:vAlign w:val="center"/>
                </w:tcPr>
                <w:p>
                  <w:pPr>
                    <w:adjustRightInd w:val="0"/>
                    <w:snapToGrid w:val="0"/>
                    <w:spacing w:line="240" w:lineRule="auto"/>
                    <w:rPr>
                      <w:rFonts w:hint="eastAsia"/>
                      <w:color w:val="auto"/>
                      <w:szCs w:val="21"/>
                      <w:shd w:val="clear" w:color="auto" w:fill="auto"/>
                      <w:lang w:val="en-US" w:eastAsia="zh-CN"/>
                    </w:rPr>
                  </w:pPr>
                  <w:r>
                    <w:rPr>
                      <w:rFonts w:hint="eastAsia"/>
                      <w:color w:val="auto"/>
                      <w:szCs w:val="21"/>
                      <w:shd w:val="clear" w:color="auto" w:fill="auto"/>
                      <w:lang w:val="en-US" w:eastAsia="zh-CN"/>
                    </w:rPr>
                    <w:t>成品转运均采用密闭廊道，内置皮带输送机</w:t>
                  </w:r>
                </w:p>
              </w:tc>
              <w:tc>
                <w:tcPr>
                  <w:tcW w:w="405" w:type="dxa"/>
                  <w:vMerge w:val="continue"/>
                  <w:tcBorders>
                    <w:left w:val="single" w:color="auto" w:sz="4" w:space="0"/>
                    <w:right w:val="single" w:color="auto" w:sz="4" w:space="0"/>
                    <w:tl2br w:val="nil"/>
                    <w:tr2bl w:val="nil"/>
                  </w:tcBorders>
                  <w:vAlign w:val="center"/>
                </w:tcPr>
                <w:p>
                  <w:pPr>
                    <w:adjustRightInd w:val="0"/>
                    <w:snapToGrid w:val="0"/>
                    <w:spacing w:line="240" w:lineRule="auto"/>
                    <w:jc w:val="center"/>
                    <w:rPr>
                      <w:rFonts w:hint="eastAsia"/>
                      <w:color w:val="auto"/>
                      <w:szCs w:val="21"/>
                      <w:shd w:val="clear" w:color="auto" w:fill="auto"/>
                      <w:lang w:val="en-US" w:eastAsia="zh-CN"/>
                    </w:rPr>
                  </w:pPr>
                </w:p>
              </w:tc>
              <w:tc>
                <w:tcPr>
                  <w:tcW w:w="437" w:type="dxa"/>
                  <w:tcBorders>
                    <w:top w:val="single" w:color="000000" w:sz="4" w:space="0"/>
                    <w:left w:val="single" w:color="auto" w:sz="4" w:space="0"/>
                    <w:tl2br w:val="nil"/>
                    <w:tr2bl w:val="nil"/>
                  </w:tcBorders>
                  <w:vAlign w:val="center"/>
                </w:tcPr>
                <w:p>
                  <w:pPr>
                    <w:adjustRightInd w:val="0"/>
                    <w:snapToGrid w:val="0"/>
                    <w:spacing w:line="240" w:lineRule="auto"/>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vMerge w:val="continue"/>
                  <w:tcBorders>
                    <w:tl2br w:val="nil"/>
                    <w:tr2bl w:val="nil"/>
                  </w:tcBorders>
                  <w:vAlign w:val="center"/>
                </w:tcPr>
                <w:p>
                  <w:pPr>
                    <w:adjustRightInd w:val="0"/>
                    <w:snapToGrid w:val="0"/>
                    <w:spacing w:line="240" w:lineRule="auto"/>
                    <w:jc w:val="center"/>
                    <w:rPr>
                      <w:color w:val="auto"/>
                      <w:szCs w:val="21"/>
                      <w:shd w:val="clear" w:color="auto" w:fill="auto"/>
                    </w:rPr>
                  </w:pPr>
                </w:p>
              </w:tc>
              <w:tc>
                <w:tcPr>
                  <w:tcW w:w="1546" w:type="dxa"/>
                  <w:tcBorders>
                    <w:top w:val="single" w:color="000000" w:sz="4" w:space="0"/>
                    <w:right w:val="single" w:color="auto" w:sz="4" w:space="0"/>
                    <w:tl2br w:val="nil"/>
                    <w:tr2bl w:val="nil"/>
                  </w:tcBorders>
                  <w:vAlign w:val="center"/>
                </w:tcPr>
                <w:p>
                  <w:pPr>
                    <w:adjustRightInd w:val="0"/>
                    <w:snapToGrid w:val="0"/>
                    <w:spacing w:line="240" w:lineRule="auto"/>
                    <w:jc w:val="center"/>
                    <w:rPr>
                      <w:rFonts w:hint="eastAsia" w:eastAsia="宋体"/>
                      <w:color w:val="auto"/>
                      <w:szCs w:val="21"/>
                      <w:shd w:val="clear" w:color="auto" w:fill="auto"/>
                      <w:lang w:val="en-US" w:eastAsia="zh-CN"/>
                    </w:rPr>
                  </w:pPr>
                  <w:r>
                    <w:rPr>
                      <w:rFonts w:hint="eastAsia"/>
                      <w:color w:val="auto"/>
                      <w:szCs w:val="21"/>
                      <w:shd w:val="clear" w:color="auto" w:fill="auto"/>
                      <w:lang w:val="en-US" w:eastAsia="zh-CN"/>
                    </w:rPr>
                    <w:t>圆锥破碎机</w:t>
                  </w:r>
                </w:p>
              </w:tc>
              <w:tc>
                <w:tcPr>
                  <w:tcW w:w="3855" w:type="dxa"/>
                  <w:gridSpan w:val="2"/>
                  <w:tcBorders>
                    <w:top w:val="single" w:color="000000" w:sz="4" w:space="0"/>
                    <w:left w:val="single" w:color="auto" w:sz="4" w:space="0"/>
                    <w:right w:val="single" w:color="auto" w:sz="4" w:space="0"/>
                    <w:tl2br w:val="nil"/>
                    <w:tr2bl w:val="nil"/>
                  </w:tcBorders>
                  <w:vAlign w:val="center"/>
                </w:tcPr>
                <w:p>
                  <w:pPr>
                    <w:adjustRightInd w:val="0"/>
                    <w:snapToGrid w:val="0"/>
                    <w:spacing w:line="240" w:lineRule="auto"/>
                    <w:rPr>
                      <w:rFonts w:hint="eastAsia"/>
                      <w:color w:val="auto"/>
                      <w:szCs w:val="21"/>
                      <w:shd w:val="clear" w:color="auto" w:fill="auto"/>
                      <w:lang w:val="en-US" w:eastAsia="zh-CN"/>
                    </w:rPr>
                  </w:pPr>
                  <w:r>
                    <w:rPr>
                      <w:rFonts w:hint="eastAsia"/>
                      <w:color w:val="auto"/>
                      <w:szCs w:val="21"/>
                      <w:shd w:val="clear" w:color="auto" w:fill="auto"/>
                      <w:lang w:val="en-US" w:eastAsia="zh-CN"/>
                    </w:rPr>
                    <w:t>设置集气罩收集接布袋除尘器，处理后由15m排气筒排放（引风机风量为8000m</w:t>
                  </w:r>
                  <w:r>
                    <w:rPr>
                      <w:rFonts w:hint="eastAsia"/>
                      <w:color w:val="auto"/>
                      <w:szCs w:val="21"/>
                      <w:shd w:val="clear" w:color="auto" w:fill="auto"/>
                      <w:vertAlign w:val="superscript"/>
                      <w:lang w:val="en-US" w:eastAsia="zh-CN"/>
                    </w:rPr>
                    <w:t>3</w:t>
                  </w:r>
                  <w:r>
                    <w:rPr>
                      <w:rFonts w:hint="eastAsia"/>
                      <w:color w:val="auto"/>
                      <w:szCs w:val="21"/>
                      <w:shd w:val="clear" w:color="auto" w:fill="auto"/>
                      <w:vertAlign w:val="baseline"/>
                      <w:lang w:val="en-US" w:eastAsia="zh-CN"/>
                    </w:rPr>
                    <w:t>/h</w:t>
                  </w:r>
                  <w:r>
                    <w:rPr>
                      <w:rFonts w:hint="eastAsia"/>
                      <w:color w:val="auto"/>
                      <w:szCs w:val="21"/>
                      <w:shd w:val="clear" w:color="auto" w:fill="auto"/>
                      <w:lang w:val="en-US" w:eastAsia="zh-CN"/>
                    </w:rPr>
                    <w:t>）</w:t>
                  </w:r>
                </w:p>
              </w:tc>
              <w:tc>
                <w:tcPr>
                  <w:tcW w:w="405" w:type="dxa"/>
                  <w:vMerge w:val="continue"/>
                  <w:tcBorders>
                    <w:left w:val="single" w:color="auto" w:sz="4" w:space="0"/>
                    <w:right w:val="single" w:color="auto" w:sz="4" w:space="0"/>
                    <w:tl2br w:val="nil"/>
                    <w:tr2bl w:val="nil"/>
                  </w:tcBorders>
                  <w:vAlign w:val="center"/>
                </w:tcPr>
                <w:p>
                  <w:pPr>
                    <w:adjustRightInd w:val="0"/>
                    <w:snapToGrid w:val="0"/>
                    <w:spacing w:line="240" w:lineRule="auto"/>
                    <w:jc w:val="center"/>
                    <w:rPr>
                      <w:rFonts w:hint="eastAsia"/>
                      <w:color w:val="auto"/>
                      <w:szCs w:val="21"/>
                      <w:shd w:val="clear" w:color="auto" w:fill="auto"/>
                      <w:lang w:val="en-US" w:eastAsia="zh-CN"/>
                    </w:rPr>
                  </w:pPr>
                </w:p>
              </w:tc>
              <w:tc>
                <w:tcPr>
                  <w:tcW w:w="437" w:type="dxa"/>
                  <w:tcBorders>
                    <w:top w:val="single" w:color="000000" w:sz="4" w:space="0"/>
                    <w:left w:val="single" w:color="auto" w:sz="4" w:space="0"/>
                    <w:tl2br w:val="nil"/>
                    <w:tr2bl w:val="nil"/>
                  </w:tcBorders>
                  <w:vAlign w:val="center"/>
                </w:tcPr>
                <w:p>
                  <w:pPr>
                    <w:adjustRightInd w:val="0"/>
                    <w:snapToGrid w:val="0"/>
                    <w:spacing w:line="240" w:lineRule="auto"/>
                    <w:jc w:val="center"/>
                    <w:rPr>
                      <w:rFonts w:hint="eastAsia"/>
                      <w:color w:val="auto"/>
                      <w:szCs w:val="21"/>
                      <w:lang w:val="en-US" w:eastAsia="zh-CN"/>
                    </w:rPr>
                  </w:pPr>
                  <w:r>
                    <w:rPr>
                      <w:rFonts w:hint="eastAsia"/>
                      <w:color w:val="auto"/>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vMerge w:val="continue"/>
                  <w:tcBorders>
                    <w:tl2br w:val="nil"/>
                    <w:tr2bl w:val="nil"/>
                  </w:tcBorders>
                  <w:vAlign w:val="center"/>
                </w:tcPr>
                <w:p>
                  <w:pPr>
                    <w:adjustRightInd w:val="0"/>
                    <w:snapToGrid w:val="0"/>
                    <w:spacing w:line="240" w:lineRule="auto"/>
                    <w:jc w:val="center"/>
                    <w:rPr>
                      <w:color w:val="auto"/>
                      <w:szCs w:val="21"/>
                      <w:shd w:val="clear" w:color="auto" w:fill="auto"/>
                    </w:rPr>
                  </w:pPr>
                </w:p>
              </w:tc>
              <w:tc>
                <w:tcPr>
                  <w:tcW w:w="1546" w:type="dxa"/>
                  <w:tcBorders>
                    <w:right w:val="single" w:color="auto" w:sz="4" w:space="0"/>
                    <w:tl2br w:val="nil"/>
                    <w:tr2bl w:val="nil"/>
                  </w:tcBorders>
                  <w:vAlign w:val="center"/>
                </w:tcPr>
                <w:p>
                  <w:pPr>
                    <w:adjustRightInd w:val="0"/>
                    <w:snapToGrid w:val="0"/>
                    <w:spacing w:line="240" w:lineRule="auto"/>
                    <w:jc w:val="center"/>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料仓</w:t>
                  </w:r>
                </w:p>
              </w:tc>
              <w:tc>
                <w:tcPr>
                  <w:tcW w:w="3855" w:type="dxa"/>
                  <w:gridSpan w:val="2"/>
                  <w:tcBorders>
                    <w:left w:val="single" w:color="auto" w:sz="4" w:space="0"/>
                    <w:right w:val="single" w:color="auto" w:sz="4" w:space="0"/>
                    <w:tl2br w:val="nil"/>
                    <w:tr2bl w:val="nil"/>
                  </w:tcBorders>
                  <w:vAlign w:val="center"/>
                </w:tcPr>
                <w:p>
                  <w:pPr>
                    <w:adjustRightInd w:val="0"/>
                    <w:snapToGrid w:val="0"/>
                    <w:spacing w:line="240" w:lineRule="auto"/>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罐顶设置脉冲布袋除尘器，排气口高于地面15m</w:t>
                  </w:r>
                </w:p>
              </w:tc>
              <w:tc>
                <w:tcPr>
                  <w:tcW w:w="405" w:type="dxa"/>
                  <w:vMerge w:val="continue"/>
                  <w:tcBorders>
                    <w:left w:val="single" w:color="auto" w:sz="4" w:space="0"/>
                    <w:right w:val="single" w:color="auto" w:sz="4" w:space="0"/>
                    <w:tl2br w:val="nil"/>
                    <w:tr2bl w:val="nil"/>
                  </w:tcBorders>
                  <w:vAlign w:val="center"/>
                </w:tcPr>
                <w:p>
                  <w:pPr>
                    <w:adjustRightInd w:val="0"/>
                    <w:snapToGrid w:val="0"/>
                    <w:spacing w:line="240" w:lineRule="auto"/>
                    <w:rPr>
                      <w:rFonts w:hint="eastAsia"/>
                      <w:color w:val="auto"/>
                      <w:szCs w:val="21"/>
                      <w:shd w:val="clear" w:color="auto" w:fill="auto"/>
                      <w:lang w:val="en-US" w:eastAsia="zh-CN"/>
                    </w:rPr>
                  </w:pPr>
                </w:p>
              </w:tc>
              <w:tc>
                <w:tcPr>
                  <w:tcW w:w="437" w:type="dxa"/>
                  <w:tcBorders>
                    <w:left w:val="single" w:color="auto" w:sz="4" w:space="0"/>
                    <w:tl2br w:val="nil"/>
                    <w:tr2bl w:val="nil"/>
                  </w:tcBorders>
                  <w:vAlign w:val="center"/>
                </w:tcPr>
                <w:p>
                  <w:pPr>
                    <w:adjustRightInd w:val="0"/>
                    <w:snapToGrid w:val="0"/>
                    <w:spacing w:line="240" w:lineRule="auto"/>
                    <w:jc w:val="center"/>
                    <w:rPr>
                      <w:color w:val="FF0000"/>
                      <w:szCs w:val="21"/>
                    </w:rPr>
                  </w:pPr>
                  <w:r>
                    <w:rPr>
                      <w:rFonts w:hint="eastAsia"/>
                      <w:color w:val="auto"/>
                      <w:szCs w:val="21"/>
                      <w:shd w:val="clear" w:color="auto" w:fill="auto"/>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199"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vMerge w:val="continue"/>
                  <w:tcBorders>
                    <w:tl2br w:val="nil"/>
                    <w:tr2bl w:val="nil"/>
                  </w:tcBorders>
                  <w:vAlign w:val="center"/>
                </w:tcPr>
                <w:p>
                  <w:pPr>
                    <w:adjustRightInd w:val="0"/>
                    <w:snapToGrid w:val="0"/>
                    <w:spacing w:line="240" w:lineRule="auto"/>
                    <w:jc w:val="center"/>
                    <w:rPr>
                      <w:color w:val="auto"/>
                      <w:szCs w:val="21"/>
                      <w:shd w:val="clear" w:color="auto" w:fill="auto"/>
                    </w:rPr>
                  </w:pPr>
                </w:p>
              </w:tc>
              <w:tc>
                <w:tcPr>
                  <w:tcW w:w="1546" w:type="dxa"/>
                  <w:tcBorders>
                    <w:right w:val="single" w:color="auto" w:sz="4" w:space="0"/>
                    <w:tl2br w:val="nil"/>
                    <w:tr2bl w:val="nil"/>
                  </w:tcBorders>
                  <w:vAlign w:val="center"/>
                </w:tcPr>
                <w:p>
                  <w:pPr>
                    <w:adjustRightInd w:val="0"/>
                    <w:snapToGrid w:val="0"/>
                    <w:spacing w:line="240" w:lineRule="auto"/>
                    <w:jc w:val="center"/>
                    <w:rPr>
                      <w:rFonts w:hint="eastAsia"/>
                      <w:color w:val="auto"/>
                      <w:szCs w:val="21"/>
                      <w:shd w:val="clear" w:color="auto" w:fill="auto"/>
                      <w:lang w:val="en-US" w:eastAsia="zh-CN"/>
                    </w:rPr>
                  </w:pPr>
                  <w:r>
                    <w:rPr>
                      <w:rFonts w:hint="eastAsia"/>
                      <w:color w:val="auto"/>
                      <w:szCs w:val="21"/>
                      <w:shd w:val="clear" w:color="auto" w:fill="auto"/>
                      <w:lang w:val="en-US" w:eastAsia="zh-CN"/>
                    </w:rPr>
                    <w:t>原料成品堆放区</w:t>
                  </w:r>
                </w:p>
              </w:tc>
              <w:tc>
                <w:tcPr>
                  <w:tcW w:w="3855" w:type="dxa"/>
                  <w:gridSpan w:val="2"/>
                  <w:tcBorders>
                    <w:left w:val="single" w:color="auto" w:sz="4" w:space="0"/>
                    <w:right w:val="single" w:color="auto" w:sz="4" w:space="0"/>
                    <w:tl2br w:val="nil"/>
                    <w:tr2bl w:val="nil"/>
                  </w:tcBorders>
                  <w:vAlign w:val="center"/>
                </w:tcPr>
                <w:p>
                  <w:pPr>
                    <w:adjustRightInd w:val="0"/>
                    <w:snapToGrid w:val="0"/>
                    <w:spacing w:line="240" w:lineRule="auto"/>
                    <w:rPr>
                      <w:rFonts w:hint="eastAsia"/>
                      <w:color w:val="auto"/>
                      <w:szCs w:val="21"/>
                      <w:shd w:val="clear" w:color="auto" w:fill="auto"/>
                      <w:lang w:val="en-US" w:eastAsia="zh-CN"/>
                    </w:rPr>
                  </w:pPr>
                  <w:r>
                    <w:rPr>
                      <w:rFonts w:hint="eastAsia"/>
                      <w:color w:val="auto"/>
                      <w:szCs w:val="21"/>
                      <w:shd w:val="clear" w:color="auto" w:fill="auto"/>
                      <w:lang w:val="en-US" w:eastAsia="zh-CN"/>
                    </w:rPr>
                    <w:t>建筑面积20000m</w:t>
                  </w:r>
                  <w:r>
                    <w:rPr>
                      <w:rFonts w:hint="eastAsia"/>
                      <w:color w:val="auto"/>
                      <w:szCs w:val="21"/>
                      <w:shd w:val="clear" w:color="auto" w:fill="auto"/>
                      <w:vertAlign w:val="superscript"/>
                      <w:lang w:val="en-US" w:eastAsia="zh-CN"/>
                    </w:rPr>
                    <w:t>2</w:t>
                  </w:r>
                  <w:r>
                    <w:rPr>
                      <w:rFonts w:hint="eastAsia"/>
                      <w:color w:val="auto"/>
                      <w:szCs w:val="21"/>
                      <w:shd w:val="clear" w:color="auto" w:fill="auto"/>
                      <w:vertAlign w:val="baseline"/>
                      <w:lang w:val="en-US" w:eastAsia="zh-CN"/>
                    </w:rPr>
                    <w:t>，设置洒水降尘设施</w:t>
                  </w:r>
                </w:p>
              </w:tc>
              <w:tc>
                <w:tcPr>
                  <w:tcW w:w="405" w:type="dxa"/>
                  <w:vMerge w:val="continue"/>
                  <w:tcBorders>
                    <w:left w:val="single" w:color="auto" w:sz="4" w:space="0"/>
                    <w:right w:val="single" w:color="auto" w:sz="4" w:space="0"/>
                    <w:tl2br w:val="nil"/>
                    <w:tr2bl w:val="nil"/>
                  </w:tcBorders>
                  <w:vAlign w:val="center"/>
                </w:tcPr>
                <w:p>
                  <w:pPr>
                    <w:adjustRightInd w:val="0"/>
                    <w:snapToGrid w:val="0"/>
                    <w:spacing w:line="240" w:lineRule="auto"/>
                    <w:rPr>
                      <w:rFonts w:hint="eastAsia"/>
                      <w:color w:val="auto"/>
                      <w:szCs w:val="21"/>
                      <w:shd w:val="clear" w:color="auto" w:fill="auto"/>
                      <w:lang w:val="en-US" w:eastAsia="zh-CN"/>
                    </w:rPr>
                  </w:pPr>
                </w:p>
              </w:tc>
              <w:tc>
                <w:tcPr>
                  <w:tcW w:w="437" w:type="dxa"/>
                  <w:tcBorders>
                    <w:left w:val="single" w:color="auto" w:sz="4" w:space="0"/>
                    <w:bottom w:val="single" w:color="000000" w:sz="4" w:space="0"/>
                    <w:tl2br w:val="nil"/>
                    <w:tr2bl w:val="nil"/>
                  </w:tcBorders>
                  <w:vAlign w:val="center"/>
                </w:tcPr>
                <w:p>
                  <w:pPr>
                    <w:adjustRightInd w:val="0"/>
                    <w:snapToGrid w:val="0"/>
                    <w:spacing w:line="240" w:lineRule="auto"/>
                    <w:jc w:val="center"/>
                    <w:rPr>
                      <w:color w:val="FF0000"/>
                      <w:szCs w:val="21"/>
                    </w:rPr>
                  </w:pPr>
                  <w:r>
                    <w:rPr>
                      <w:rFonts w:hint="eastAsia"/>
                      <w:color w:val="auto"/>
                      <w:szCs w:val="21"/>
                      <w:shd w:val="clear" w:color="auto" w:fill="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763" w:hRule="atLeast"/>
              </w:trPr>
              <w:tc>
                <w:tcPr>
                  <w:tcW w:w="819" w:type="dxa"/>
                  <w:vMerge w:val="continue"/>
                  <w:tcBorders>
                    <w:tl2br w:val="nil"/>
                    <w:tr2bl w:val="nil"/>
                  </w:tcBorders>
                  <w:vAlign w:val="center"/>
                </w:tcPr>
                <w:p>
                  <w:pPr>
                    <w:adjustRightInd w:val="0"/>
                    <w:snapToGrid w:val="0"/>
                    <w:spacing w:line="240" w:lineRule="auto"/>
                    <w:ind w:firstLine="210"/>
                    <w:jc w:val="center"/>
                    <w:rPr>
                      <w:szCs w:val="21"/>
                    </w:rPr>
                  </w:pPr>
                </w:p>
              </w:tc>
              <w:tc>
                <w:tcPr>
                  <w:tcW w:w="2010" w:type="dxa"/>
                  <w:tcBorders>
                    <w:tl2br w:val="nil"/>
                    <w:tr2bl w:val="nil"/>
                  </w:tcBorders>
                  <w:vAlign w:val="center"/>
                </w:tcPr>
                <w:p>
                  <w:pPr>
                    <w:adjustRightInd w:val="0"/>
                    <w:snapToGrid w:val="0"/>
                    <w:spacing w:line="240" w:lineRule="auto"/>
                    <w:jc w:val="center"/>
                    <w:rPr>
                      <w:szCs w:val="21"/>
                    </w:rPr>
                  </w:pPr>
                  <w:r>
                    <w:rPr>
                      <w:szCs w:val="21"/>
                    </w:rPr>
                    <w:t>废水</w:t>
                  </w:r>
                </w:p>
              </w:tc>
              <w:tc>
                <w:tcPr>
                  <w:tcW w:w="6243" w:type="dxa"/>
                  <w:gridSpan w:val="5"/>
                  <w:tcBorders>
                    <w:top w:val="single" w:color="000000" w:sz="4" w:space="0"/>
                    <w:tl2br w:val="nil"/>
                    <w:tr2bl w:val="nil"/>
                  </w:tcBorders>
                  <w:vAlign w:val="center"/>
                </w:tcPr>
                <w:p>
                  <w:pPr>
                    <w:adjustRightInd w:val="0"/>
                    <w:snapToGrid w:val="0"/>
                    <w:spacing w:line="240" w:lineRule="auto"/>
                    <w:jc w:val="center"/>
                    <w:rPr>
                      <w:color w:val="FF0000"/>
                      <w:szCs w:val="21"/>
                    </w:rPr>
                  </w:pPr>
                  <w:r>
                    <w:rPr>
                      <w:rFonts w:hint="eastAsia"/>
                      <w:bCs/>
                      <w:szCs w:val="21"/>
                      <w:highlight w:val="none"/>
                      <w:lang w:eastAsia="zh-CN"/>
                    </w:rPr>
                    <w:t>项目无生产废水排放，洗选煤生产线生产过程中产生的废水经过</w:t>
                  </w:r>
                  <w:r>
                    <w:rPr>
                      <w:rFonts w:hint="eastAsia"/>
                      <w:bCs/>
                      <w:szCs w:val="21"/>
                      <w:highlight w:val="none"/>
                      <w:lang w:val="en-US" w:eastAsia="zh-CN"/>
                    </w:rPr>
                    <w:t>深锥浓缩机浓缩后，上部溢流回用于洗煤生产，浓缩后的煤泥由下部出料口排出，排出的煤泥通过压滤机处理，清液回用洗煤生产，煤泥饼外售，</w:t>
                  </w:r>
                  <w:r>
                    <w:rPr>
                      <w:rFonts w:hint="eastAsia"/>
                      <w:bCs/>
                      <w:szCs w:val="21"/>
                      <w:highlight w:val="none"/>
                      <w:lang w:eastAsia="zh-CN"/>
                    </w:rPr>
                    <w:t>整个工序洗煤水可实现闭路循环，制砖过程不产生生产废水，食堂废水经过隔油池处理后与生活污水一同排入储粪池，定期清运肥田。设置</w:t>
                  </w:r>
                  <w:r>
                    <w:rPr>
                      <w:rFonts w:hint="eastAsia"/>
                      <w:bCs/>
                      <w:szCs w:val="21"/>
                      <w:highlight w:val="none"/>
                      <w:lang w:val="en-US" w:eastAsia="zh-CN"/>
                    </w:rPr>
                    <w:t>300m</w:t>
                  </w:r>
                  <w:r>
                    <w:rPr>
                      <w:rFonts w:hint="eastAsia"/>
                      <w:bCs/>
                      <w:szCs w:val="21"/>
                      <w:highlight w:val="none"/>
                      <w:vertAlign w:val="superscript"/>
                      <w:lang w:val="en-US" w:eastAsia="zh-CN"/>
                    </w:rPr>
                    <w:t>3</w:t>
                  </w:r>
                  <w:r>
                    <w:rPr>
                      <w:rFonts w:hint="eastAsia"/>
                      <w:bCs/>
                      <w:szCs w:val="21"/>
                      <w:highlight w:val="none"/>
                      <w:vertAlign w:val="baseline"/>
                      <w:lang w:val="en-US" w:eastAsia="zh-CN"/>
                    </w:rPr>
                    <w:t>事故水池用以收集事故排水，事故水池中的水通过管道引入深锥浓缩机处理后回用生产。初期雨水收集在厂区西侧蓄水池中，蓄水量13000</w:t>
                  </w:r>
                  <w:r>
                    <w:rPr>
                      <w:rFonts w:hint="eastAsia"/>
                      <w:color w:val="auto"/>
                      <w:szCs w:val="21"/>
                      <w:lang w:val="en-US" w:eastAsia="zh-CN"/>
                    </w:rPr>
                    <w:t>m</w:t>
                  </w:r>
                  <w:r>
                    <w:rPr>
                      <w:rFonts w:hint="eastAsia"/>
                      <w:color w:val="auto"/>
                      <w:szCs w:val="21"/>
                      <w:vertAlign w:val="superscript"/>
                      <w:lang w:val="en-US" w:eastAsia="zh-CN"/>
                    </w:rPr>
                    <w:t>3</w:t>
                  </w:r>
                  <w:r>
                    <w:rPr>
                      <w:rFonts w:hint="eastAsia"/>
                      <w:bCs/>
                      <w:szCs w:val="21"/>
                      <w:highlight w:val="none"/>
                      <w:vertAlign w:val="baseline"/>
                      <w:lang w:val="en-US" w:eastAsia="zh-CN"/>
                    </w:rPr>
                    <w:t>。</w:t>
                  </w:r>
                </w:p>
              </w:tc>
            </w:tr>
          </w:tbl>
          <w:p>
            <w:pPr>
              <w:spacing w:line="360" w:lineRule="auto"/>
              <w:ind w:firstLine="482" w:firstLineChars="200"/>
              <w:rPr>
                <w:b/>
                <w:bCs/>
                <w:sz w:val="24"/>
                <w:szCs w:val="24"/>
              </w:rPr>
            </w:pPr>
            <w:r>
              <w:rPr>
                <w:rFonts w:hint="eastAsia"/>
                <w:b/>
                <w:bCs/>
                <w:sz w:val="24"/>
                <w:szCs w:val="24"/>
                <w:lang w:eastAsia="zh-CN"/>
              </w:rPr>
              <w:t>六</w:t>
            </w:r>
            <w:r>
              <w:rPr>
                <w:rFonts w:hint="eastAsia"/>
                <w:b/>
                <w:bCs/>
                <w:sz w:val="24"/>
                <w:szCs w:val="24"/>
              </w:rPr>
              <w:t>、建设规模与产品方案</w:t>
            </w:r>
          </w:p>
          <w:p>
            <w:pPr>
              <w:spacing w:line="360" w:lineRule="auto"/>
              <w:ind w:firstLine="480" w:firstLineChars="200"/>
              <w:rPr>
                <w:b/>
                <w:bCs/>
                <w:sz w:val="24"/>
              </w:rPr>
            </w:pPr>
            <w:r>
              <w:rPr>
                <w:rFonts w:hint="eastAsia"/>
                <w:sz w:val="24"/>
              </w:rPr>
              <w:t>项目建成后</w:t>
            </w:r>
            <w:r>
              <w:rPr>
                <w:rFonts w:hint="eastAsia"/>
                <w:sz w:val="24"/>
                <w:szCs w:val="24"/>
                <w:u w:val="none"/>
                <w:lang w:eastAsia="zh-CN"/>
              </w:rPr>
              <w:t>年洗选煤</w:t>
            </w:r>
            <w:r>
              <w:rPr>
                <w:rFonts w:hint="eastAsia"/>
                <w:sz w:val="24"/>
                <w:szCs w:val="24"/>
                <w:u w:val="none"/>
                <w:lang w:val="en-US" w:eastAsia="zh-CN"/>
              </w:rPr>
              <w:t>150万</w:t>
            </w:r>
            <w:r>
              <w:rPr>
                <w:rFonts w:hint="eastAsia"/>
                <w:sz w:val="24"/>
                <w:lang w:val="en-US" w:eastAsia="zh-CN"/>
              </w:rPr>
              <w:t>吨，年产</w:t>
            </w:r>
            <w:r>
              <w:rPr>
                <w:rFonts w:hint="eastAsia"/>
                <w:sz w:val="24"/>
                <w:szCs w:val="24"/>
                <w:u w:val="none"/>
                <w:vertAlign w:val="baseline"/>
                <w:lang w:val="en-US" w:eastAsia="zh-CN"/>
              </w:rPr>
              <w:t>混凝土铺地砖15万m</w:t>
            </w:r>
            <w:r>
              <w:rPr>
                <w:rFonts w:hint="eastAsia"/>
                <w:sz w:val="24"/>
                <w:szCs w:val="24"/>
                <w:u w:val="none"/>
                <w:vertAlign w:val="superscript"/>
                <w:lang w:val="en-US" w:eastAsia="zh-CN"/>
              </w:rPr>
              <w:t>2</w:t>
            </w:r>
            <w:r>
              <w:rPr>
                <w:rFonts w:hint="eastAsia"/>
                <w:sz w:val="24"/>
                <w:szCs w:val="24"/>
                <w:u w:val="none"/>
                <w:vertAlign w:val="baseline"/>
                <w:lang w:val="en-US" w:eastAsia="zh-CN"/>
              </w:rPr>
              <w:t>，</w:t>
            </w:r>
            <w:r>
              <w:rPr>
                <w:rFonts w:hint="eastAsia"/>
                <w:sz w:val="24"/>
              </w:rPr>
              <w:t>项目产品方案见表2。</w:t>
            </w:r>
          </w:p>
          <w:p>
            <w:pPr>
              <w:spacing w:line="360" w:lineRule="auto"/>
              <w:jc w:val="center"/>
              <w:rPr>
                <w:sz w:val="24"/>
              </w:rPr>
            </w:pPr>
            <w:r>
              <w:rPr>
                <w:b/>
                <w:bCs/>
                <w:sz w:val="24"/>
              </w:rPr>
              <w:t>表</w:t>
            </w:r>
            <w:r>
              <w:rPr>
                <w:rFonts w:hint="eastAsia"/>
                <w:b/>
                <w:bCs/>
                <w:sz w:val="24"/>
              </w:rPr>
              <w:t>2</w:t>
            </w:r>
            <w:r>
              <w:rPr>
                <w:b/>
                <w:bCs/>
                <w:sz w:val="24"/>
              </w:rPr>
              <w:t xml:space="preserve">  项</w:t>
            </w:r>
            <w:r>
              <w:rPr>
                <w:rFonts w:hAnsi="宋体"/>
                <w:b/>
                <w:bCs/>
                <w:sz w:val="24"/>
              </w:rPr>
              <w:t>目产品方案</w:t>
            </w:r>
          </w:p>
          <w:tbl>
            <w:tblPr>
              <w:tblStyle w:val="34"/>
              <w:tblW w:w="9042" w:type="dxa"/>
              <w:tblInd w:w="15" w:type="dxa"/>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
            <w:tblGrid>
              <w:gridCol w:w="2303"/>
              <w:gridCol w:w="2103"/>
              <w:gridCol w:w="1843"/>
              <w:gridCol w:w="279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rPr>
                <w:trHeight w:val="619" w:hRule="atLeast"/>
              </w:trPr>
              <w:tc>
                <w:tcPr>
                  <w:tcW w:w="230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产品</w:t>
                  </w:r>
                </w:p>
              </w:tc>
              <w:tc>
                <w:tcPr>
                  <w:tcW w:w="2103" w:type="dxa"/>
                  <w:tcBorders>
                    <w:tl2br w:val="nil"/>
                    <w:tr2bl w:val="nil"/>
                  </w:tcBorders>
                  <w:vAlign w:val="center"/>
                </w:tcPr>
                <w:p>
                  <w:pPr>
                    <w:widowControl w:val="0"/>
                    <w:ind w:firstLine="105" w:firstLineChars="5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粒度</w:t>
                  </w:r>
                </w:p>
              </w:tc>
              <w:tc>
                <w:tcPr>
                  <w:tcW w:w="184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产率%</w:t>
                  </w:r>
                </w:p>
              </w:tc>
              <w:tc>
                <w:tcPr>
                  <w:tcW w:w="279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产量（万t/a）</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c>
                <w:tcPr>
                  <w:tcW w:w="230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精煤</w:t>
                  </w:r>
                </w:p>
              </w:tc>
              <w:tc>
                <w:tcPr>
                  <w:tcW w:w="210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≤50mm</w:t>
                  </w:r>
                </w:p>
              </w:tc>
              <w:tc>
                <w:tcPr>
                  <w:tcW w:w="184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59</w:t>
                  </w:r>
                </w:p>
              </w:tc>
              <w:tc>
                <w:tcPr>
                  <w:tcW w:w="279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88.50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c>
                <w:tcPr>
                  <w:tcW w:w="230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中煤</w:t>
                  </w:r>
                </w:p>
              </w:tc>
              <w:tc>
                <w:tcPr>
                  <w:tcW w:w="210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≤50mm</w:t>
                  </w:r>
                </w:p>
              </w:tc>
              <w:tc>
                <w:tcPr>
                  <w:tcW w:w="184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18</w:t>
                  </w:r>
                </w:p>
              </w:tc>
              <w:tc>
                <w:tcPr>
                  <w:tcW w:w="279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27.00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c>
                <w:tcPr>
                  <w:tcW w:w="230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煤泥</w:t>
                  </w:r>
                </w:p>
              </w:tc>
              <w:tc>
                <w:tcPr>
                  <w:tcW w:w="210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≤50mm</w:t>
                  </w:r>
                </w:p>
              </w:tc>
              <w:tc>
                <w:tcPr>
                  <w:tcW w:w="184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7</w:t>
                  </w:r>
                </w:p>
              </w:tc>
              <w:tc>
                <w:tcPr>
                  <w:tcW w:w="279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rPr>
                <w:trHeight w:val="175" w:hRule="atLeast"/>
              </w:trPr>
              <w:tc>
                <w:tcPr>
                  <w:tcW w:w="230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矸石</w:t>
                  </w:r>
                </w:p>
              </w:tc>
              <w:tc>
                <w:tcPr>
                  <w:tcW w:w="210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≤50mm</w:t>
                  </w:r>
                </w:p>
              </w:tc>
              <w:tc>
                <w:tcPr>
                  <w:tcW w:w="184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16</w:t>
                  </w:r>
                </w:p>
              </w:tc>
              <w:tc>
                <w:tcPr>
                  <w:tcW w:w="2793" w:type="dxa"/>
                  <w:tcBorders>
                    <w:tl2br w:val="nil"/>
                    <w:tr2bl w:val="nil"/>
                  </w:tcBorders>
                  <w:vAlign w:val="center"/>
                </w:tcPr>
                <w:p>
                  <w:pPr>
                    <w:widowControl w:val="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24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rPr>
                <w:trHeight w:val="175" w:hRule="atLeast"/>
              </w:trPr>
              <w:tc>
                <w:tcPr>
                  <w:tcW w:w="2303" w:type="dxa"/>
                  <w:tcBorders>
                    <w:tl2br w:val="nil"/>
                    <w:tr2bl w:val="nil"/>
                  </w:tcBorders>
                  <w:vAlign w:val="center"/>
                </w:tcPr>
                <w:p>
                  <w:pPr>
                    <w:widowControl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产品</w:t>
                  </w:r>
                </w:p>
              </w:tc>
              <w:tc>
                <w:tcPr>
                  <w:tcW w:w="3946" w:type="dxa"/>
                  <w:gridSpan w:val="2"/>
                  <w:tcBorders>
                    <w:tl2br w:val="nil"/>
                    <w:tr2bl w:val="nil"/>
                  </w:tcBorders>
                  <w:vAlign w:val="center"/>
                </w:tcPr>
                <w:p>
                  <w:pPr>
                    <w:widowControl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规格</w:t>
                  </w:r>
                </w:p>
              </w:tc>
              <w:tc>
                <w:tcPr>
                  <w:tcW w:w="2793" w:type="dxa"/>
                  <w:tcBorders>
                    <w:tl2br w:val="nil"/>
                    <w:tr2bl w:val="nil"/>
                  </w:tcBorders>
                  <w:vAlign w:val="center"/>
                </w:tcPr>
                <w:p>
                  <w:pPr>
                    <w:widowControl w:val="0"/>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产量（</w:t>
                  </w:r>
                  <w:r>
                    <w:rPr>
                      <w:rFonts w:hint="default" w:ascii="Times New Roman" w:hAnsi="Times New Roman" w:eastAsia="宋体" w:cs="Times New Roman"/>
                      <w:sz w:val="21"/>
                      <w:szCs w:val="21"/>
                    </w:rPr>
                    <w:t>万m</w:t>
                  </w:r>
                  <w:r>
                    <w:rPr>
                      <w:rFonts w:hint="default" w:ascii="Times New Roman" w:hAnsi="Times New Roman" w:eastAsia="宋体" w:cs="Times New Roman"/>
                      <w:sz w:val="21"/>
                      <w:szCs w:val="21"/>
                      <w:vertAlign w:val="superscript"/>
                    </w:rPr>
                    <w:t>2</w:t>
                  </w:r>
                  <w:r>
                    <w:rPr>
                      <w:rFonts w:hint="eastAsia" w:cs="Times New Roman"/>
                      <w:sz w:val="21"/>
                      <w:szCs w:val="21"/>
                      <w:vertAlign w:val="baseline"/>
                      <w:lang w:val="en-US" w:eastAsia="zh-CN"/>
                    </w:rPr>
                    <w:t>/a</w:t>
                  </w:r>
                  <w:r>
                    <w:rPr>
                      <w:rFonts w:hint="eastAsia" w:ascii="Times New Roman" w:hAnsi="Times New Roman" w:cs="Times New Roman"/>
                      <w:sz w:val="21"/>
                      <w:szCs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rPr>
                <w:trHeight w:val="175" w:hRule="atLeast"/>
              </w:trPr>
              <w:tc>
                <w:tcPr>
                  <w:tcW w:w="2303" w:type="dxa"/>
                  <w:tcBorders>
                    <w:tl2br w:val="nil"/>
                    <w:tr2bl w:val="nil"/>
                  </w:tcBorders>
                  <w:vAlign w:val="center"/>
                </w:tcPr>
                <w:p>
                  <w:pPr>
                    <w:widowControl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混凝土铺地砖</w:t>
                  </w:r>
                </w:p>
              </w:tc>
              <w:tc>
                <w:tcPr>
                  <w:tcW w:w="3946" w:type="dxa"/>
                  <w:gridSpan w:val="2"/>
                  <w:tcBorders>
                    <w:tl2br w:val="nil"/>
                    <w:tr2bl w:val="nil"/>
                  </w:tcBorders>
                  <w:vAlign w:val="center"/>
                </w:tcPr>
                <w:p>
                  <w:pPr>
                    <w:widowControl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按要求定制</w:t>
                  </w:r>
                </w:p>
              </w:tc>
              <w:tc>
                <w:tcPr>
                  <w:tcW w:w="2793" w:type="dxa"/>
                  <w:tcBorders>
                    <w:tl2br w:val="nil"/>
                    <w:tr2bl w:val="nil"/>
                  </w:tcBorders>
                  <w:vAlign w:val="center"/>
                </w:tcPr>
                <w:p>
                  <w:pPr>
                    <w:widowControl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r>
          </w:tbl>
          <w:p>
            <w:pPr>
              <w:spacing w:line="360" w:lineRule="auto"/>
              <w:ind w:firstLine="482" w:firstLineChars="200"/>
              <w:rPr>
                <w:b/>
                <w:bCs/>
                <w:sz w:val="24"/>
                <w:szCs w:val="24"/>
              </w:rPr>
            </w:pPr>
            <w:r>
              <w:rPr>
                <w:rFonts w:hint="eastAsia"/>
                <w:b/>
                <w:bCs/>
                <w:sz w:val="24"/>
                <w:szCs w:val="24"/>
                <w:lang w:eastAsia="zh-CN"/>
              </w:rPr>
              <w:t>七</w:t>
            </w:r>
            <w:r>
              <w:rPr>
                <w:rFonts w:hint="eastAsia"/>
                <w:b/>
                <w:bCs/>
                <w:sz w:val="24"/>
                <w:szCs w:val="24"/>
              </w:rPr>
              <w:t>、原辅材料消耗</w:t>
            </w:r>
          </w:p>
          <w:p>
            <w:pPr>
              <w:spacing w:line="360" w:lineRule="auto"/>
              <w:ind w:firstLine="480" w:firstLineChars="200"/>
              <w:rPr>
                <w:sz w:val="24"/>
              </w:rPr>
            </w:pPr>
            <w:r>
              <w:rPr>
                <w:rFonts w:hint="eastAsia"/>
                <w:sz w:val="24"/>
              </w:rPr>
              <w:t>项目主要原辅材料消耗见表3。</w:t>
            </w:r>
          </w:p>
          <w:p>
            <w:pPr>
              <w:spacing w:line="480" w:lineRule="exact"/>
              <w:ind w:firstLine="482" w:firstLineChars="200"/>
              <w:jc w:val="center"/>
              <w:rPr>
                <w:b/>
                <w:bCs/>
                <w:sz w:val="24"/>
              </w:rPr>
            </w:pPr>
            <w:r>
              <w:rPr>
                <w:b/>
                <w:bCs/>
                <w:kern w:val="0"/>
                <w:sz w:val="24"/>
                <w:lang w:val="zh-CN"/>
              </w:rPr>
              <w:t>表</w:t>
            </w:r>
            <w:r>
              <w:rPr>
                <w:rFonts w:hint="eastAsia"/>
                <w:b/>
                <w:bCs/>
                <w:kern w:val="0"/>
                <w:sz w:val="24"/>
                <w:lang w:val="zh-CN"/>
              </w:rPr>
              <w:t>3</w:t>
            </w:r>
            <w:r>
              <w:rPr>
                <w:b/>
                <w:bCs/>
                <w:kern w:val="0"/>
                <w:sz w:val="24"/>
                <w:lang w:val="zh-CN"/>
              </w:rPr>
              <w:t xml:space="preserve">  </w:t>
            </w:r>
            <w:r>
              <w:rPr>
                <w:rFonts w:hint="eastAsia"/>
                <w:b/>
                <w:bCs/>
                <w:sz w:val="24"/>
              </w:rPr>
              <w:t>主要原辅材料消耗一览表</w:t>
            </w:r>
          </w:p>
          <w:tbl>
            <w:tblPr>
              <w:tblStyle w:val="34"/>
              <w:tblW w:w="9042" w:type="dxa"/>
              <w:jc w:val="center"/>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4563"/>
              <w:gridCol w:w="447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653" w:hRule="atLeast"/>
                <w:jc w:val="center"/>
              </w:trPr>
              <w:tc>
                <w:tcPr>
                  <w:tcW w:w="4563" w:type="dxa"/>
                  <w:tcBorders>
                    <w:tl2br w:val="nil"/>
                    <w:tr2bl w:val="nil"/>
                  </w:tcBorders>
                  <w:tcMar>
                    <w:top w:w="0" w:type="dxa"/>
                    <w:left w:w="80" w:type="dxa"/>
                    <w:bottom w:w="0" w:type="dxa"/>
                    <w:right w:w="0" w:type="dxa"/>
                  </w:tcMar>
                  <w:vAlign w:val="center"/>
                </w:tcPr>
                <w:p>
                  <w:pPr>
                    <w:spacing w:line="240" w:lineRule="exact"/>
                    <w:jc w:val="center"/>
                  </w:pPr>
                  <w:r>
                    <w:t>名称</w:t>
                  </w:r>
                </w:p>
              </w:tc>
              <w:tc>
                <w:tcPr>
                  <w:tcW w:w="4479" w:type="dxa"/>
                  <w:tcBorders>
                    <w:tl2br w:val="nil"/>
                    <w:tr2bl w:val="nil"/>
                  </w:tcBorders>
                  <w:vAlign w:val="center"/>
                </w:tcPr>
                <w:p>
                  <w:pPr>
                    <w:spacing w:line="240" w:lineRule="exact"/>
                    <w:jc w:val="center"/>
                  </w:pPr>
                  <w:r>
                    <w:rPr>
                      <w:rFonts w:hint="eastAsia"/>
                    </w:rPr>
                    <w:t>年消耗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9042" w:type="dxa"/>
                  <w:gridSpan w:val="2"/>
                  <w:tcBorders>
                    <w:tl2br w:val="nil"/>
                    <w:tr2bl w:val="nil"/>
                  </w:tcBorders>
                  <w:tcMar>
                    <w:top w:w="0" w:type="dxa"/>
                    <w:left w:w="80" w:type="dxa"/>
                    <w:bottom w:w="0" w:type="dxa"/>
                    <w:right w:w="0" w:type="dxa"/>
                  </w:tcMar>
                  <w:vAlign w:val="center"/>
                </w:tcPr>
                <w:p>
                  <w:pPr>
                    <w:spacing w:line="240" w:lineRule="exact"/>
                    <w:jc w:val="center"/>
                    <w:rPr>
                      <w:rFonts w:hint="eastAsia" w:eastAsia="宋体"/>
                      <w:lang w:eastAsia="zh-CN"/>
                    </w:rPr>
                  </w:pPr>
                  <w:r>
                    <w:rPr>
                      <w:rFonts w:hint="eastAsia"/>
                      <w:lang w:eastAsia="zh-CN"/>
                    </w:rPr>
                    <w:t>洗煤工段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68" w:hRule="atLeast"/>
                <w:jc w:val="center"/>
              </w:trPr>
              <w:tc>
                <w:tcPr>
                  <w:tcW w:w="4563" w:type="dxa"/>
                  <w:tcBorders>
                    <w:tl2br w:val="nil"/>
                    <w:tr2bl w:val="nil"/>
                  </w:tcBorders>
                  <w:tcMar>
                    <w:top w:w="0" w:type="dxa"/>
                    <w:left w:w="80" w:type="dxa"/>
                    <w:bottom w:w="0" w:type="dxa"/>
                    <w:right w:w="0" w:type="dxa"/>
                  </w:tcMar>
                  <w:vAlign w:val="center"/>
                </w:tcPr>
                <w:p>
                  <w:pPr>
                    <w:jc w:val="center"/>
                    <w:rPr>
                      <w:rFonts w:hint="eastAsia" w:eastAsia="宋体"/>
                      <w:lang w:eastAsia="zh-CN"/>
                    </w:rPr>
                  </w:pPr>
                  <w:r>
                    <w:rPr>
                      <w:rFonts w:hint="eastAsia"/>
                      <w:lang w:eastAsia="zh-CN"/>
                    </w:rPr>
                    <w:t>原煤</w:t>
                  </w:r>
                </w:p>
              </w:tc>
              <w:tc>
                <w:tcPr>
                  <w:tcW w:w="4479" w:type="dxa"/>
                  <w:tcBorders>
                    <w:tl2br w:val="nil"/>
                    <w:tr2bl w:val="nil"/>
                  </w:tcBorders>
                  <w:vAlign w:val="center"/>
                </w:tcPr>
                <w:p>
                  <w:pPr>
                    <w:spacing w:line="240" w:lineRule="exact"/>
                    <w:jc w:val="center"/>
                    <w:rPr>
                      <w:rFonts w:hint="eastAsia" w:eastAsia="宋体"/>
                      <w:lang w:eastAsia="zh-CN"/>
                    </w:rPr>
                  </w:pPr>
                  <w:r>
                    <w:rPr>
                      <w:rFonts w:hint="eastAsia"/>
                      <w:lang w:val="en-US" w:eastAsia="zh-CN"/>
                    </w:rPr>
                    <w:t>150万t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68" w:hRule="atLeast"/>
                <w:jc w:val="center"/>
              </w:trPr>
              <w:tc>
                <w:tcPr>
                  <w:tcW w:w="4563" w:type="dxa"/>
                  <w:tcBorders>
                    <w:tl2br w:val="nil"/>
                    <w:tr2bl w:val="nil"/>
                  </w:tcBorders>
                  <w:tcMar>
                    <w:top w:w="0" w:type="dxa"/>
                    <w:left w:w="80" w:type="dxa"/>
                    <w:bottom w:w="0" w:type="dxa"/>
                    <w:right w:w="0" w:type="dxa"/>
                  </w:tcMar>
                  <w:vAlign w:val="center"/>
                </w:tcPr>
                <w:p>
                  <w:pPr>
                    <w:jc w:val="center"/>
                    <w:rPr>
                      <w:rFonts w:hint="eastAsia" w:eastAsia="宋体"/>
                      <w:lang w:eastAsia="zh-CN"/>
                    </w:rPr>
                  </w:pPr>
                  <w:r>
                    <w:rPr>
                      <w:rFonts w:hint="eastAsia"/>
                      <w:lang w:eastAsia="zh-CN"/>
                    </w:rPr>
                    <w:t>水</w:t>
                  </w:r>
                </w:p>
              </w:tc>
              <w:tc>
                <w:tcPr>
                  <w:tcW w:w="4479" w:type="dxa"/>
                  <w:tcBorders>
                    <w:tl2br w:val="nil"/>
                    <w:tr2bl w:val="nil"/>
                  </w:tcBorders>
                  <w:vAlign w:val="center"/>
                </w:tcPr>
                <w:p>
                  <w:pPr>
                    <w:spacing w:line="240" w:lineRule="exact"/>
                    <w:jc w:val="center"/>
                    <w:rPr>
                      <w:rFonts w:hint="eastAsia" w:eastAsia="宋体"/>
                      <w:lang w:val="en-US" w:eastAsia="zh-CN"/>
                    </w:rPr>
                  </w:pPr>
                  <w:r>
                    <w:rPr>
                      <w:rFonts w:hint="eastAsia"/>
                      <w:color w:val="000000" w:themeColor="text1"/>
                      <w:highlight w:val="none"/>
                      <w:lang w:val="en-US" w:eastAsia="zh-CN"/>
                      <w14:textFill>
                        <w14:solidFill>
                          <w14:schemeClr w14:val="tx1"/>
                        </w14:solidFill>
                      </w14:textFill>
                    </w:rPr>
                    <w:t>10060t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68" w:hRule="atLeast"/>
                <w:jc w:val="center"/>
              </w:trPr>
              <w:tc>
                <w:tcPr>
                  <w:tcW w:w="4563" w:type="dxa"/>
                  <w:tcBorders>
                    <w:tl2br w:val="nil"/>
                    <w:tr2bl w:val="nil"/>
                  </w:tcBorders>
                  <w:tcMar>
                    <w:top w:w="0" w:type="dxa"/>
                    <w:left w:w="80" w:type="dxa"/>
                    <w:bottom w:w="0" w:type="dxa"/>
                    <w:right w:w="0" w:type="dxa"/>
                  </w:tcMar>
                  <w:vAlign w:val="center"/>
                </w:tcPr>
                <w:p>
                  <w:pPr>
                    <w:jc w:val="center"/>
                    <w:rPr>
                      <w:rFonts w:hint="eastAsia"/>
                      <w:lang w:eastAsia="zh-CN"/>
                    </w:rPr>
                  </w:pPr>
                  <w:r>
                    <w:rPr>
                      <w:rFonts w:hint="eastAsia"/>
                      <w:lang w:eastAsia="zh-CN"/>
                    </w:rPr>
                    <w:t>絮凝剂（</w:t>
                  </w:r>
                  <w:r>
                    <w:rPr>
                      <w:rFonts w:hint="eastAsia"/>
                      <w:lang w:val="en-US" w:eastAsia="zh-CN"/>
                    </w:rPr>
                    <w:t>PAM</w:t>
                  </w:r>
                  <w:r>
                    <w:rPr>
                      <w:rFonts w:hint="eastAsia"/>
                      <w:lang w:eastAsia="zh-CN"/>
                    </w:rPr>
                    <w:t>）</w:t>
                  </w:r>
                </w:p>
              </w:tc>
              <w:tc>
                <w:tcPr>
                  <w:tcW w:w="4479" w:type="dxa"/>
                  <w:tcBorders>
                    <w:tl2br w:val="nil"/>
                    <w:tr2bl w:val="nil"/>
                  </w:tcBorders>
                  <w:vAlign w:val="center"/>
                </w:tcPr>
                <w:p>
                  <w:pPr>
                    <w:spacing w:line="240" w:lineRule="exact"/>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9042" w:type="dxa"/>
                  <w:gridSpan w:val="2"/>
                  <w:tcBorders>
                    <w:tl2br w:val="nil"/>
                    <w:tr2bl w:val="nil"/>
                  </w:tcBorders>
                  <w:tcMar>
                    <w:top w:w="0" w:type="dxa"/>
                    <w:left w:w="80" w:type="dxa"/>
                    <w:bottom w:w="0" w:type="dxa"/>
                    <w:right w:w="0" w:type="dxa"/>
                  </w:tcMar>
                  <w:vAlign w:val="center"/>
                </w:tcPr>
                <w:p>
                  <w:pPr>
                    <w:spacing w:line="240" w:lineRule="exact"/>
                    <w:jc w:val="center"/>
                    <w:rPr>
                      <w:rFonts w:hint="eastAsia"/>
                      <w:color w:val="000000" w:themeColor="text1"/>
                      <w:highlight w:val="none"/>
                      <w:lang w:val="en-US" w:eastAsia="zh-CN"/>
                      <w14:textFill>
                        <w14:solidFill>
                          <w14:schemeClr w14:val="tx1"/>
                        </w14:solidFill>
                      </w14:textFill>
                    </w:rPr>
                  </w:pPr>
                  <w:r>
                    <w:rPr>
                      <w:rFonts w:hint="eastAsia"/>
                      <w:lang w:eastAsia="zh-CN"/>
                    </w:rPr>
                    <w:t>制砖工段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68" w:hRule="atLeast"/>
                <w:jc w:val="center"/>
              </w:trPr>
              <w:tc>
                <w:tcPr>
                  <w:tcW w:w="4563" w:type="dxa"/>
                  <w:tcBorders>
                    <w:tl2br w:val="nil"/>
                    <w:tr2bl w:val="nil"/>
                  </w:tcBorders>
                  <w:tcMar>
                    <w:top w:w="0" w:type="dxa"/>
                    <w:left w:w="80" w:type="dxa"/>
                    <w:bottom w:w="0" w:type="dxa"/>
                    <w:right w:w="0" w:type="dxa"/>
                  </w:tcMar>
                  <w:vAlign w:val="center"/>
                </w:tcPr>
                <w:p>
                  <w:pPr>
                    <w:jc w:val="center"/>
                    <w:rPr>
                      <w:rFonts w:hint="eastAsia"/>
                      <w:lang w:eastAsia="zh-CN"/>
                    </w:rPr>
                  </w:pPr>
                  <w:r>
                    <w:rPr>
                      <w:rFonts w:hint="eastAsia"/>
                      <w:lang w:eastAsia="zh-CN"/>
                    </w:rPr>
                    <w:t>水泥</w:t>
                  </w:r>
                </w:p>
              </w:tc>
              <w:tc>
                <w:tcPr>
                  <w:tcW w:w="4479" w:type="dxa"/>
                  <w:tcBorders>
                    <w:tl2br w:val="nil"/>
                    <w:tr2bl w:val="nil"/>
                  </w:tcBorders>
                  <w:vAlign w:val="center"/>
                </w:tcPr>
                <w:p>
                  <w:pPr>
                    <w:spacing w:line="240" w:lineRule="exact"/>
                    <w:jc w:val="center"/>
                    <w:rPr>
                      <w:rFonts w:hint="eastAsia"/>
                      <w:color w:val="000000" w:themeColor="text1"/>
                      <w:highlight w:val="none"/>
                      <w:lang w:val="en-US" w:eastAsia="zh-CN"/>
                      <w14:textFill>
                        <w14:solidFill>
                          <w14:schemeClr w14:val="tx1"/>
                        </w14:solidFill>
                      </w14:textFill>
                    </w:rPr>
                  </w:pPr>
                  <w:r>
                    <w:rPr>
                      <w:rFonts w:hint="eastAsia"/>
                      <w:lang w:val="en-US" w:eastAsia="zh-CN"/>
                    </w:rPr>
                    <w:t>24万t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68" w:hRule="atLeast"/>
                <w:jc w:val="center"/>
              </w:trPr>
              <w:tc>
                <w:tcPr>
                  <w:tcW w:w="4563" w:type="dxa"/>
                  <w:tcBorders>
                    <w:tl2br w:val="nil"/>
                    <w:tr2bl w:val="nil"/>
                  </w:tcBorders>
                  <w:tcMar>
                    <w:top w:w="0" w:type="dxa"/>
                    <w:left w:w="80" w:type="dxa"/>
                    <w:bottom w:w="0" w:type="dxa"/>
                    <w:right w:w="0" w:type="dxa"/>
                  </w:tcMar>
                  <w:vAlign w:val="center"/>
                </w:tcPr>
                <w:p>
                  <w:pPr>
                    <w:jc w:val="center"/>
                    <w:rPr>
                      <w:rFonts w:hint="eastAsia"/>
                      <w:lang w:eastAsia="zh-CN"/>
                    </w:rPr>
                  </w:pPr>
                  <w:r>
                    <w:rPr>
                      <w:rFonts w:hint="eastAsia"/>
                      <w:lang w:eastAsia="zh-CN"/>
                    </w:rPr>
                    <w:t>煤矸石</w:t>
                  </w:r>
                </w:p>
              </w:tc>
              <w:tc>
                <w:tcPr>
                  <w:tcW w:w="4479" w:type="dxa"/>
                  <w:tcBorders>
                    <w:tl2br w:val="nil"/>
                    <w:tr2bl w:val="nil"/>
                  </w:tcBorders>
                  <w:vAlign w:val="center"/>
                </w:tcPr>
                <w:p>
                  <w:pPr>
                    <w:spacing w:line="240" w:lineRule="exact"/>
                    <w:jc w:val="center"/>
                    <w:rPr>
                      <w:rFonts w:hint="eastAsia"/>
                      <w:lang w:val="en-US" w:eastAsia="zh-CN"/>
                    </w:rPr>
                  </w:pPr>
                  <w:r>
                    <w:rPr>
                      <w:rFonts w:hint="eastAsia"/>
                      <w:lang w:val="en-US" w:eastAsia="zh-CN"/>
                    </w:rPr>
                    <w:t>24万t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68" w:hRule="atLeast"/>
                <w:jc w:val="center"/>
              </w:trPr>
              <w:tc>
                <w:tcPr>
                  <w:tcW w:w="4563" w:type="dxa"/>
                  <w:tcBorders>
                    <w:tl2br w:val="nil"/>
                    <w:tr2bl w:val="nil"/>
                  </w:tcBorders>
                  <w:tcMar>
                    <w:top w:w="0" w:type="dxa"/>
                    <w:left w:w="80" w:type="dxa"/>
                    <w:bottom w:w="0" w:type="dxa"/>
                    <w:right w:w="0" w:type="dxa"/>
                  </w:tcMar>
                  <w:vAlign w:val="center"/>
                </w:tcPr>
                <w:p>
                  <w:pPr>
                    <w:jc w:val="center"/>
                    <w:rPr>
                      <w:rFonts w:hint="eastAsia"/>
                      <w:lang w:eastAsia="zh-CN"/>
                    </w:rPr>
                  </w:pPr>
                  <w:r>
                    <w:rPr>
                      <w:rFonts w:hint="eastAsia"/>
                      <w:lang w:eastAsia="zh-CN"/>
                    </w:rPr>
                    <w:t>沙子</w:t>
                  </w:r>
                </w:p>
              </w:tc>
              <w:tc>
                <w:tcPr>
                  <w:tcW w:w="4479" w:type="dxa"/>
                  <w:tcBorders>
                    <w:tl2br w:val="nil"/>
                    <w:tr2bl w:val="nil"/>
                  </w:tcBorders>
                  <w:vAlign w:val="center"/>
                </w:tcPr>
                <w:p>
                  <w:pPr>
                    <w:spacing w:line="240" w:lineRule="exact"/>
                    <w:jc w:val="center"/>
                    <w:rPr>
                      <w:rFonts w:hint="eastAsia"/>
                      <w:color w:val="000000" w:themeColor="text1"/>
                      <w:highlight w:val="none"/>
                      <w:lang w:val="en-US" w:eastAsia="zh-CN"/>
                      <w14:textFill>
                        <w14:solidFill>
                          <w14:schemeClr w14:val="tx1"/>
                        </w14:solidFill>
                      </w14:textFill>
                    </w:rPr>
                  </w:pPr>
                  <w:r>
                    <w:rPr>
                      <w:rFonts w:hint="eastAsia"/>
                      <w:lang w:val="en-US" w:eastAsia="zh-CN"/>
                    </w:rPr>
                    <w:t>48万t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68" w:hRule="atLeast"/>
                <w:jc w:val="center"/>
              </w:trPr>
              <w:tc>
                <w:tcPr>
                  <w:tcW w:w="4563" w:type="dxa"/>
                  <w:tcBorders>
                    <w:tl2br w:val="nil"/>
                    <w:tr2bl w:val="nil"/>
                  </w:tcBorders>
                  <w:tcMar>
                    <w:top w:w="0" w:type="dxa"/>
                    <w:left w:w="80" w:type="dxa"/>
                    <w:bottom w:w="0" w:type="dxa"/>
                    <w:right w:w="0" w:type="dxa"/>
                  </w:tcMar>
                  <w:vAlign w:val="center"/>
                </w:tcPr>
                <w:p>
                  <w:pPr>
                    <w:jc w:val="center"/>
                    <w:rPr>
                      <w:rFonts w:hint="eastAsia"/>
                      <w:lang w:eastAsia="zh-CN"/>
                    </w:rPr>
                  </w:pPr>
                  <w:r>
                    <w:rPr>
                      <w:rFonts w:hint="eastAsia"/>
                      <w:lang w:eastAsia="zh-CN"/>
                    </w:rPr>
                    <w:t>水</w:t>
                  </w:r>
                </w:p>
              </w:tc>
              <w:tc>
                <w:tcPr>
                  <w:tcW w:w="4479" w:type="dxa"/>
                  <w:tcBorders>
                    <w:tl2br w:val="nil"/>
                    <w:tr2bl w:val="nil"/>
                  </w:tcBorders>
                  <w:vAlign w:val="center"/>
                </w:tcPr>
                <w:p>
                  <w:pPr>
                    <w:spacing w:line="240" w:lineRule="exact"/>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12万t</w:t>
                  </w:r>
                </w:p>
              </w:tc>
            </w:tr>
          </w:tbl>
          <w:p>
            <w:pPr>
              <w:spacing w:line="360" w:lineRule="auto"/>
              <w:ind w:firstLine="480" w:firstLineChars="200"/>
              <w:rPr>
                <w:rFonts w:hint="eastAsia"/>
                <w:b w:val="0"/>
                <w:bCs w:val="0"/>
                <w:sz w:val="24"/>
                <w:szCs w:val="24"/>
                <w:lang w:eastAsia="zh-CN"/>
              </w:rPr>
            </w:pPr>
            <w:r>
              <w:rPr>
                <w:rFonts w:hint="eastAsia"/>
                <w:b w:val="0"/>
                <w:bCs w:val="0"/>
                <w:sz w:val="24"/>
                <w:szCs w:val="24"/>
                <w:lang w:eastAsia="zh-CN"/>
              </w:rPr>
              <w:t>本项目原煤主要来源为铜川玉华矿、建北矿。</w:t>
            </w:r>
          </w:p>
          <w:p>
            <w:pPr>
              <w:spacing w:line="480" w:lineRule="exact"/>
              <w:ind w:firstLine="482" w:firstLineChars="200"/>
              <w:jc w:val="center"/>
              <w:rPr>
                <w:b/>
                <w:bCs/>
                <w:kern w:val="0"/>
                <w:sz w:val="24"/>
                <w:lang w:val="zh-CN"/>
              </w:rPr>
            </w:pPr>
            <w:r>
              <w:rPr>
                <w:b/>
                <w:bCs/>
                <w:kern w:val="0"/>
                <w:sz w:val="24"/>
                <w:lang w:val="zh-CN"/>
              </w:rPr>
              <w:t>表</w:t>
            </w:r>
            <w:r>
              <w:rPr>
                <w:rFonts w:hint="eastAsia"/>
                <w:b/>
                <w:bCs/>
                <w:kern w:val="0"/>
                <w:sz w:val="24"/>
                <w:lang w:val="en-US" w:eastAsia="zh-CN"/>
              </w:rPr>
              <w:t>4</w:t>
            </w:r>
            <w:r>
              <w:rPr>
                <w:b/>
                <w:bCs/>
                <w:kern w:val="0"/>
                <w:sz w:val="24"/>
                <w:lang w:val="zh-CN"/>
              </w:rPr>
              <w:t xml:space="preserve">  入选原煤煤质化学分析</w:t>
            </w:r>
          </w:p>
          <w:tbl>
            <w:tblPr>
              <w:tblStyle w:val="34"/>
              <w:tblW w:w="907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497"/>
              <w:gridCol w:w="1638"/>
              <w:gridCol w:w="1568"/>
              <w:gridCol w:w="17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89" w:type="dxa"/>
                  <w:vMerge w:val="restart"/>
                  <w:tcBorders>
                    <w:tl2br w:val="nil"/>
                    <w:tr2bl w:val="nil"/>
                  </w:tcBorders>
                  <w:vAlign w:val="center"/>
                </w:tcPr>
                <w:p>
                  <w:pPr>
                    <w:snapToGrid w:val="0"/>
                    <w:spacing w:line="240" w:lineRule="atLeast"/>
                    <w:ind w:firstLine="1155" w:firstLineChars="550"/>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指标</w:t>
                  </w:r>
                </w:p>
              </w:tc>
              <w:tc>
                <w:tcPr>
                  <w:tcW w:w="1497" w:type="dxa"/>
                  <w:vMerge w:val="restart"/>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灰分</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Ad%</w:t>
                  </w:r>
                </w:p>
              </w:tc>
              <w:tc>
                <w:tcPr>
                  <w:tcW w:w="1638" w:type="dxa"/>
                  <w:vMerge w:val="restart"/>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挥发份</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Vdaf%</w:t>
                  </w:r>
                </w:p>
              </w:tc>
              <w:tc>
                <w:tcPr>
                  <w:tcW w:w="1568" w:type="dxa"/>
                  <w:vMerge w:val="restart"/>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全硫</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St,d%</w:t>
                  </w:r>
                </w:p>
              </w:tc>
              <w:tc>
                <w:tcPr>
                  <w:tcW w:w="1780" w:type="dxa"/>
                  <w:vMerge w:val="restart"/>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发热量Qnet.ar</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（kcal/kg）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589" w:type="dxa"/>
                  <w:vMerge w:val="continue"/>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p>
              </w:tc>
              <w:tc>
                <w:tcPr>
                  <w:tcW w:w="1497" w:type="dxa"/>
                  <w:vMerge w:val="continue"/>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p>
              </w:tc>
              <w:tc>
                <w:tcPr>
                  <w:tcW w:w="1638" w:type="dxa"/>
                  <w:vMerge w:val="continue"/>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p>
              </w:tc>
              <w:tc>
                <w:tcPr>
                  <w:tcW w:w="1568" w:type="dxa"/>
                  <w:vMerge w:val="continue"/>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p>
              </w:tc>
              <w:tc>
                <w:tcPr>
                  <w:tcW w:w="1780" w:type="dxa"/>
                  <w:vMerge w:val="continue"/>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2589" w:type="dxa"/>
                  <w:tcBorders>
                    <w:tl2br w:val="nil"/>
                    <w:tr2bl w:val="nil"/>
                  </w:tcBorders>
                  <w:vAlign w:val="center"/>
                </w:tcPr>
                <w:p>
                  <w:pPr>
                    <w:snapToGrid w:val="0"/>
                    <w:spacing w:line="240" w:lineRule="atLeast"/>
                    <w:ind w:firstLine="105" w:firstLineChars="5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建庄矿（建北矿）</w:t>
                  </w:r>
                </w:p>
              </w:tc>
              <w:tc>
                <w:tcPr>
                  <w:tcW w:w="1497" w:type="dxa"/>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23</w:t>
                  </w:r>
                </w:p>
              </w:tc>
              <w:tc>
                <w:tcPr>
                  <w:tcW w:w="1638" w:type="dxa"/>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28</w:t>
                  </w:r>
                </w:p>
              </w:tc>
              <w:tc>
                <w:tcPr>
                  <w:tcW w:w="1568" w:type="dxa"/>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780" w:type="dxa"/>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2589" w:type="dxa"/>
                  <w:tcBorders>
                    <w:tl2br w:val="nil"/>
                    <w:tr2bl w:val="nil"/>
                  </w:tcBorders>
                  <w:vAlign w:val="center"/>
                </w:tcPr>
                <w:p>
                  <w:pPr>
                    <w:snapToGrid w:val="0"/>
                    <w:spacing w:line="240" w:lineRule="atLeast"/>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玉华煤矿</w:t>
                  </w:r>
                </w:p>
              </w:tc>
              <w:tc>
                <w:tcPr>
                  <w:tcW w:w="1497" w:type="dxa"/>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23</w:t>
                  </w:r>
                </w:p>
              </w:tc>
              <w:tc>
                <w:tcPr>
                  <w:tcW w:w="1638" w:type="dxa"/>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28</w:t>
                  </w:r>
                </w:p>
              </w:tc>
              <w:tc>
                <w:tcPr>
                  <w:tcW w:w="1568" w:type="dxa"/>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780" w:type="dxa"/>
                  <w:tcBorders>
                    <w:tl2br w:val="nil"/>
                    <w:tr2bl w:val="nil"/>
                  </w:tcBorders>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6</w:t>
                  </w:r>
                  <w:r>
                    <w:rPr>
                      <w:color w:val="000000" w:themeColor="text1"/>
                      <w:szCs w:val="21"/>
                      <w14:textFill>
                        <w14:solidFill>
                          <w14:schemeClr w14:val="tx1"/>
                        </w14:solidFill>
                      </w14:textFill>
                    </w:rPr>
                    <w:t>000</w:t>
                  </w:r>
                </w:p>
              </w:tc>
            </w:tr>
          </w:tbl>
          <w:p>
            <w:pPr>
              <w:spacing w:line="360" w:lineRule="auto"/>
              <w:ind w:firstLine="482" w:firstLineChars="200"/>
              <w:rPr>
                <w:b/>
                <w:bCs/>
                <w:sz w:val="24"/>
                <w:szCs w:val="24"/>
              </w:rPr>
            </w:pPr>
            <w:r>
              <w:rPr>
                <w:rFonts w:hint="eastAsia"/>
                <w:b/>
                <w:bCs/>
                <w:sz w:val="24"/>
                <w:szCs w:val="24"/>
                <w:lang w:eastAsia="zh-CN"/>
              </w:rPr>
              <w:t>八</w:t>
            </w:r>
            <w:r>
              <w:rPr>
                <w:rFonts w:hint="eastAsia"/>
                <w:b/>
                <w:bCs/>
                <w:sz w:val="24"/>
                <w:szCs w:val="24"/>
              </w:rPr>
              <w:t>、生产设备</w:t>
            </w:r>
          </w:p>
          <w:p>
            <w:pPr>
              <w:spacing w:line="360" w:lineRule="auto"/>
              <w:ind w:firstLine="480" w:firstLineChars="200"/>
              <w:rPr>
                <w:sz w:val="24"/>
                <w:szCs w:val="24"/>
              </w:rPr>
            </w:pPr>
            <w:r>
              <w:rPr>
                <w:rFonts w:hint="eastAsia"/>
                <w:sz w:val="24"/>
                <w:szCs w:val="24"/>
              </w:rPr>
              <w:t>本项目生产设备见表</w:t>
            </w:r>
            <w:r>
              <w:rPr>
                <w:rFonts w:hint="eastAsia"/>
                <w:sz w:val="24"/>
                <w:szCs w:val="24"/>
                <w:lang w:val="en-US" w:eastAsia="zh-CN"/>
              </w:rPr>
              <w:t>5</w:t>
            </w:r>
            <w:r>
              <w:rPr>
                <w:rFonts w:hint="eastAsia"/>
                <w:sz w:val="24"/>
                <w:szCs w:val="24"/>
              </w:rPr>
              <w:t>。</w:t>
            </w:r>
          </w:p>
          <w:p>
            <w:pPr>
              <w:spacing w:line="360" w:lineRule="auto"/>
              <w:ind w:firstLine="593" w:firstLineChars="246"/>
              <w:jc w:val="center"/>
              <w:rPr>
                <w:b/>
                <w:bCs/>
                <w:sz w:val="24"/>
                <w:szCs w:val="24"/>
              </w:rPr>
            </w:pPr>
            <w:r>
              <w:rPr>
                <w:b/>
                <w:bCs/>
                <w:sz w:val="24"/>
                <w:szCs w:val="24"/>
              </w:rPr>
              <w:t>表</w:t>
            </w:r>
            <w:r>
              <w:rPr>
                <w:rFonts w:hint="eastAsia"/>
                <w:b/>
                <w:bCs/>
                <w:sz w:val="24"/>
                <w:szCs w:val="24"/>
                <w:lang w:val="en-US" w:eastAsia="zh-CN"/>
              </w:rPr>
              <w:t>5</w:t>
            </w:r>
            <w:r>
              <w:rPr>
                <w:b/>
                <w:bCs/>
                <w:sz w:val="24"/>
                <w:szCs w:val="24"/>
              </w:rPr>
              <w:t xml:space="preserve"> </w:t>
            </w:r>
            <w:r>
              <w:rPr>
                <w:rFonts w:hint="eastAsia"/>
                <w:b/>
                <w:bCs/>
                <w:sz w:val="24"/>
                <w:szCs w:val="24"/>
              </w:rPr>
              <w:t xml:space="preserve"> </w:t>
            </w:r>
            <w:r>
              <w:rPr>
                <w:rFonts w:hint="eastAsia"/>
                <w:b/>
                <w:bCs/>
                <w:sz w:val="24"/>
                <w:szCs w:val="24"/>
                <w:lang w:eastAsia="zh-CN"/>
              </w:rPr>
              <w:t>主要</w:t>
            </w:r>
            <w:r>
              <w:rPr>
                <w:rFonts w:hint="eastAsia"/>
                <w:b/>
                <w:bCs/>
                <w:sz w:val="24"/>
                <w:szCs w:val="24"/>
              </w:rPr>
              <w:t>设备清单</w:t>
            </w:r>
          </w:p>
          <w:tbl>
            <w:tblPr>
              <w:tblStyle w:val="34"/>
              <w:tblW w:w="9042" w:type="dxa"/>
              <w:tblInd w:w="15" w:type="dxa"/>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1766"/>
              <w:gridCol w:w="1988"/>
              <w:gridCol w:w="1296"/>
              <w:gridCol w:w="1797"/>
              <w:gridCol w:w="2195"/>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988"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29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型号</w:t>
                  </w:r>
                </w:p>
              </w:tc>
              <w:tc>
                <w:tcPr>
                  <w:tcW w:w="1797"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c>
                <w:tcPr>
                  <w:tcW w:w="2195"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9042" w:type="dxa"/>
                  <w:gridSpan w:val="5"/>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洗煤生产线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1988"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跳汰洗煤机</w:t>
                  </w:r>
                </w:p>
              </w:tc>
              <w:tc>
                <w:tcPr>
                  <w:tcW w:w="129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B7532</w:t>
                  </w:r>
                </w:p>
              </w:tc>
              <w:tc>
                <w:tcPr>
                  <w:tcW w:w="1797"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195"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1988"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振动给煤机</w:t>
                  </w:r>
                </w:p>
              </w:tc>
              <w:tc>
                <w:tcPr>
                  <w:tcW w:w="129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DE45SW</w:t>
                  </w:r>
                </w:p>
              </w:tc>
              <w:tc>
                <w:tcPr>
                  <w:tcW w:w="1797"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195"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1988"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双齿</w:t>
                  </w:r>
                  <w:r>
                    <w:rPr>
                      <w:rFonts w:hint="default" w:ascii="Times New Roman" w:hAnsi="Times New Roman" w:eastAsia="宋体" w:cs="Times New Roman"/>
                      <w:sz w:val="21"/>
                      <w:szCs w:val="21"/>
                    </w:rPr>
                    <w:t>破碎机</w:t>
                  </w:r>
                </w:p>
              </w:tc>
              <w:tc>
                <w:tcPr>
                  <w:tcW w:w="1296" w:type="dxa"/>
                  <w:tcBorders>
                    <w:tl2br w:val="nil"/>
                    <w:tr2bl w:val="nil"/>
                  </w:tcBorders>
                  <w:shd w:val="clear" w:color="auto" w:fill="auto"/>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RC3500</w:t>
                  </w:r>
                </w:p>
              </w:tc>
              <w:tc>
                <w:tcPr>
                  <w:tcW w:w="1797"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2195"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c>
              <w:tc>
                <w:tcPr>
                  <w:tcW w:w="1988"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上料皮带</w:t>
                  </w:r>
                </w:p>
              </w:tc>
              <w:tc>
                <w:tcPr>
                  <w:tcW w:w="1296"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p>
              </w:tc>
              <w:tc>
                <w:tcPr>
                  <w:tcW w:w="1797"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195"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c>
                <w:tcPr>
                  <w:tcW w:w="1988"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出料皮带</w:t>
                  </w:r>
                </w:p>
              </w:tc>
              <w:tc>
                <w:tcPr>
                  <w:tcW w:w="1296"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p>
              </w:tc>
              <w:tc>
                <w:tcPr>
                  <w:tcW w:w="1797"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2195"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c>
              <w:tc>
                <w:tcPr>
                  <w:tcW w:w="1988"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地磅系统</w:t>
                  </w:r>
                </w:p>
              </w:tc>
              <w:tc>
                <w:tcPr>
                  <w:tcW w:w="1296"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p>
              </w:tc>
              <w:tc>
                <w:tcPr>
                  <w:tcW w:w="1797"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195"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w:t>
                  </w:r>
                </w:p>
              </w:tc>
              <w:tc>
                <w:tcPr>
                  <w:tcW w:w="1988"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水泵</w:t>
                  </w:r>
                </w:p>
              </w:tc>
              <w:tc>
                <w:tcPr>
                  <w:tcW w:w="1296"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p>
              </w:tc>
              <w:tc>
                <w:tcPr>
                  <w:tcW w:w="1797"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6</w:t>
                  </w:r>
                </w:p>
              </w:tc>
              <w:tc>
                <w:tcPr>
                  <w:tcW w:w="2195"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c>
              <w:tc>
                <w:tcPr>
                  <w:tcW w:w="1988"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压滤机</w:t>
                  </w:r>
                </w:p>
              </w:tc>
              <w:tc>
                <w:tcPr>
                  <w:tcW w:w="1296"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p>
              </w:tc>
              <w:tc>
                <w:tcPr>
                  <w:tcW w:w="1797"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2195"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cs="Times New Roman"/>
                      <w:sz w:val="21"/>
                      <w:szCs w:val="21"/>
                      <w:lang w:val="en-US" w:eastAsia="zh-CN"/>
                    </w:rPr>
                  </w:pPr>
                  <w:r>
                    <w:rPr>
                      <w:rFonts w:hint="eastAsia" w:cs="Times New Roman"/>
                      <w:sz w:val="21"/>
                      <w:szCs w:val="21"/>
                      <w:lang w:val="en-US" w:eastAsia="zh-CN"/>
                    </w:rPr>
                    <w:t>9</w:t>
                  </w:r>
                </w:p>
              </w:tc>
              <w:tc>
                <w:tcPr>
                  <w:tcW w:w="1988" w:type="dxa"/>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r>
                    <w:rPr>
                      <w:rFonts w:hint="eastAsia" w:cs="Times New Roman"/>
                      <w:sz w:val="21"/>
                      <w:szCs w:val="21"/>
                      <w:lang w:eastAsia="zh-CN"/>
                    </w:rPr>
                    <w:t>高效深锥浓缩机</w:t>
                  </w:r>
                </w:p>
              </w:tc>
              <w:tc>
                <w:tcPr>
                  <w:tcW w:w="1296"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p>
              </w:tc>
              <w:tc>
                <w:tcPr>
                  <w:tcW w:w="1797" w:type="dxa"/>
                  <w:tcBorders>
                    <w:tl2br w:val="nil"/>
                    <w:tr2bl w:val="nil"/>
                  </w:tcBorders>
                  <w:shd w:val="clear" w:color="auto" w:fill="auto"/>
                  <w:vAlign w:val="center"/>
                </w:tcPr>
                <w:p>
                  <w:pPr>
                    <w:jc w:val="center"/>
                    <w:rPr>
                      <w:rFonts w:hint="eastAsia" w:cs="Times New Roman"/>
                      <w:sz w:val="21"/>
                      <w:szCs w:val="21"/>
                      <w:lang w:val="en-US" w:eastAsia="zh-CN"/>
                    </w:rPr>
                  </w:pPr>
                  <w:r>
                    <w:rPr>
                      <w:rFonts w:hint="eastAsia" w:cs="Times New Roman"/>
                      <w:sz w:val="21"/>
                      <w:szCs w:val="21"/>
                      <w:lang w:val="en-US" w:eastAsia="zh-CN"/>
                    </w:rPr>
                    <w:t>3</w:t>
                  </w:r>
                </w:p>
              </w:tc>
              <w:tc>
                <w:tcPr>
                  <w:tcW w:w="2195"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eastAsia="zh-CN"/>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9042" w:type="dxa"/>
                  <w:gridSpan w:val="5"/>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制砖生产线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w:t>
                  </w:r>
                </w:p>
              </w:tc>
              <w:tc>
                <w:tcPr>
                  <w:tcW w:w="1988"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粉料储罐</w:t>
                  </w:r>
                </w:p>
              </w:tc>
              <w:tc>
                <w:tcPr>
                  <w:tcW w:w="1296" w:type="dxa"/>
                  <w:tcBorders>
                    <w:tl2br w:val="nil"/>
                    <w:tr2bl w:val="nil"/>
                  </w:tcBorders>
                  <w:shd w:val="clear" w:color="auto" w:fill="auto"/>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300t</w:t>
                  </w:r>
                </w:p>
              </w:tc>
              <w:tc>
                <w:tcPr>
                  <w:tcW w:w="1797"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2195"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1988" w:type="dxa"/>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r>
                    <w:rPr>
                      <w:rFonts w:hint="eastAsia" w:cs="Times New Roman"/>
                      <w:sz w:val="21"/>
                      <w:szCs w:val="21"/>
                      <w:lang w:eastAsia="zh-CN"/>
                    </w:rPr>
                    <w:t>密闭螺旋输送机</w:t>
                  </w:r>
                </w:p>
              </w:tc>
              <w:tc>
                <w:tcPr>
                  <w:tcW w:w="1296" w:type="dxa"/>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p>
              </w:tc>
              <w:tc>
                <w:tcPr>
                  <w:tcW w:w="1797"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2195"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1988" w:type="dxa"/>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r>
                    <w:rPr>
                      <w:rFonts w:hint="eastAsia" w:cs="Times New Roman"/>
                      <w:sz w:val="21"/>
                      <w:szCs w:val="21"/>
                      <w:lang w:eastAsia="zh-CN"/>
                    </w:rPr>
                    <w:t>圆锥破碎机</w:t>
                  </w:r>
                </w:p>
              </w:tc>
              <w:tc>
                <w:tcPr>
                  <w:tcW w:w="1296" w:type="dxa"/>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PYT-D 1206</w:t>
                  </w:r>
                </w:p>
              </w:tc>
              <w:tc>
                <w:tcPr>
                  <w:tcW w:w="1797"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2195"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1988" w:type="dxa"/>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r>
                    <w:rPr>
                      <w:rFonts w:hint="eastAsia" w:cs="Times New Roman"/>
                      <w:sz w:val="21"/>
                      <w:szCs w:val="21"/>
                      <w:lang w:eastAsia="zh-CN"/>
                    </w:rPr>
                    <w:t>密闭斗式提升机</w:t>
                  </w:r>
                </w:p>
              </w:tc>
              <w:tc>
                <w:tcPr>
                  <w:tcW w:w="1296" w:type="dxa"/>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p>
              </w:tc>
              <w:tc>
                <w:tcPr>
                  <w:tcW w:w="1797"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2195"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13</w:t>
                  </w:r>
                </w:p>
              </w:tc>
              <w:tc>
                <w:tcPr>
                  <w:tcW w:w="1988" w:type="dxa"/>
                  <w:tcBorders>
                    <w:tl2br w:val="nil"/>
                    <w:tr2bl w:val="nil"/>
                  </w:tcBorders>
                  <w:shd w:val="clear" w:color="auto" w:fill="auto"/>
                  <w:vAlign w:val="center"/>
                </w:tcPr>
                <w:p>
                  <w:pPr>
                    <w:jc w:val="center"/>
                    <w:rPr>
                      <w:rFonts w:hint="eastAsia" w:cs="Times New Roman"/>
                      <w:sz w:val="21"/>
                      <w:szCs w:val="21"/>
                      <w:lang w:eastAsia="zh-CN"/>
                    </w:rPr>
                  </w:pPr>
                  <w:r>
                    <w:rPr>
                      <w:rFonts w:hint="eastAsia" w:cs="Times New Roman"/>
                      <w:sz w:val="21"/>
                      <w:szCs w:val="21"/>
                      <w:lang w:eastAsia="zh-CN"/>
                    </w:rPr>
                    <w:t>中间原料罐</w:t>
                  </w:r>
                </w:p>
              </w:tc>
              <w:tc>
                <w:tcPr>
                  <w:tcW w:w="1296" w:type="dxa"/>
                  <w:tcBorders>
                    <w:tl2br w:val="nil"/>
                    <w:tr2bl w:val="nil"/>
                  </w:tcBorders>
                  <w:shd w:val="clear" w:color="auto" w:fill="auto"/>
                  <w:vAlign w:val="center"/>
                </w:tcPr>
                <w:p>
                  <w:pPr>
                    <w:jc w:val="center"/>
                    <w:rPr>
                      <w:rFonts w:hint="eastAsia" w:ascii="Times New Roman" w:hAnsi="Times New Roman" w:cs="Times New Roman"/>
                      <w:sz w:val="21"/>
                      <w:szCs w:val="21"/>
                      <w:lang w:val="en-US" w:eastAsia="zh-CN"/>
                    </w:rPr>
                  </w:pPr>
                  <w:r>
                    <w:rPr>
                      <w:rFonts w:hint="eastAsia" w:cs="Times New Roman"/>
                      <w:sz w:val="21"/>
                      <w:szCs w:val="21"/>
                      <w:lang w:val="en-US" w:eastAsia="zh-CN"/>
                    </w:rPr>
                    <w:t>30t</w:t>
                  </w:r>
                </w:p>
              </w:tc>
              <w:tc>
                <w:tcPr>
                  <w:tcW w:w="1797"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2195"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14</w:t>
                  </w:r>
                </w:p>
              </w:tc>
              <w:tc>
                <w:tcPr>
                  <w:tcW w:w="1988" w:type="dxa"/>
                  <w:tcBorders>
                    <w:tl2br w:val="nil"/>
                    <w:tr2bl w:val="nil"/>
                  </w:tcBorders>
                  <w:shd w:val="clear" w:color="auto" w:fill="auto"/>
                  <w:vAlign w:val="center"/>
                </w:tcPr>
                <w:p>
                  <w:pPr>
                    <w:jc w:val="center"/>
                    <w:rPr>
                      <w:rFonts w:hint="eastAsia" w:cs="Times New Roman"/>
                      <w:sz w:val="21"/>
                      <w:szCs w:val="21"/>
                      <w:lang w:eastAsia="zh-CN"/>
                    </w:rPr>
                  </w:pPr>
                  <w:r>
                    <w:rPr>
                      <w:rFonts w:hint="eastAsia" w:cs="Times New Roman"/>
                      <w:sz w:val="21"/>
                      <w:szCs w:val="21"/>
                      <w:lang w:eastAsia="zh-CN"/>
                    </w:rPr>
                    <w:t>搅拌制砖一体机</w:t>
                  </w:r>
                </w:p>
              </w:tc>
              <w:tc>
                <w:tcPr>
                  <w:tcW w:w="1296" w:type="dxa"/>
                  <w:tcBorders>
                    <w:tl2br w:val="nil"/>
                    <w:tr2bl w:val="nil"/>
                  </w:tcBorders>
                  <w:shd w:val="clear" w:color="auto" w:fill="auto"/>
                  <w:vAlign w:val="center"/>
                </w:tcPr>
                <w:p>
                  <w:pPr>
                    <w:jc w:val="center"/>
                    <w:rPr>
                      <w:rFonts w:hint="eastAsia" w:ascii="Times New Roman" w:hAnsi="Times New Roman" w:cs="Times New Roman"/>
                      <w:sz w:val="21"/>
                      <w:szCs w:val="21"/>
                      <w:lang w:val="en-US" w:eastAsia="zh-CN"/>
                    </w:rPr>
                  </w:pPr>
                  <w:r>
                    <w:rPr>
                      <w:rFonts w:hint="eastAsia" w:cs="Times New Roman"/>
                      <w:sz w:val="21"/>
                      <w:szCs w:val="21"/>
                      <w:lang w:val="en-US" w:eastAsia="zh-CN"/>
                    </w:rPr>
                    <w:t>ZJ-270</w:t>
                  </w:r>
                </w:p>
              </w:tc>
              <w:tc>
                <w:tcPr>
                  <w:tcW w:w="1797"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c>
              <w:tc>
                <w:tcPr>
                  <w:tcW w:w="2195" w:type="dxa"/>
                  <w:tcBorders>
                    <w:tl2br w:val="nil"/>
                    <w:tr2bl w:val="nil"/>
                  </w:tcBorders>
                  <w:shd w:val="clear" w:color="auto" w:fill="auto"/>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0" w:hRule="atLeast"/>
              </w:trPr>
              <w:tc>
                <w:tcPr>
                  <w:tcW w:w="1766" w:type="dxa"/>
                  <w:tcBorders>
                    <w:tl2br w:val="nil"/>
                    <w:tr2bl w:val="nil"/>
                  </w:tcBorders>
                  <w:shd w:val="clear" w:color="auto" w:fill="auto"/>
                  <w:vAlign w:val="center"/>
                </w:tcPr>
                <w:p>
                  <w:pPr>
                    <w:jc w:val="center"/>
                    <w:rPr>
                      <w:rFonts w:hint="eastAsia" w:ascii="Times New Roman" w:hAnsi="Times New Roman" w:cs="Times New Roman"/>
                      <w:sz w:val="21"/>
                      <w:szCs w:val="21"/>
                      <w:lang w:val="en-US" w:eastAsia="zh-CN"/>
                    </w:rPr>
                  </w:pPr>
                  <w:r>
                    <w:rPr>
                      <w:rFonts w:hint="eastAsia" w:cs="Times New Roman"/>
                      <w:sz w:val="21"/>
                      <w:szCs w:val="21"/>
                      <w:lang w:val="en-US" w:eastAsia="zh-CN"/>
                    </w:rPr>
                    <w:t>15</w:t>
                  </w:r>
                </w:p>
              </w:tc>
              <w:tc>
                <w:tcPr>
                  <w:tcW w:w="1988" w:type="dxa"/>
                  <w:tcBorders>
                    <w:tl2br w:val="nil"/>
                    <w:tr2bl w:val="nil"/>
                  </w:tcBorders>
                  <w:shd w:val="clear" w:color="auto" w:fill="auto"/>
                  <w:vAlign w:val="center"/>
                </w:tcPr>
                <w:p>
                  <w:pPr>
                    <w:jc w:val="center"/>
                    <w:rPr>
                      <w:rFonts w:hint="eastAsia" w:cs="Times New Roman"/>
                      <w:sz w:val="21"/>
                      <w:szCs w:val="21"/>
                      <w:lang w:eastAsia="zh-CN"/>
                    </w:rPr>
                  </w:pPr>
                  <w:r>
                    <w:rPr>
                      <w:rFonts w:hint="eastAsia" w:cs="Times New Roman"/>
                      <w:sz w:val="21"/>
                      <w:szCs w:val="21"/>
                      <w:lang w:eastAsia="zh-CN"/>
                    </w:rPr>
                    <w:t>循环水洗车台</w:t>
                  </w:r>
                </w:p>
              </w:tc>
              <w:tc>
                <w:tcPr>
                  <w:tcW w:w="1296" w:type="dxa"/>
                  <w:tcBorders>
                    <w:tl2br w:val="nil"/>
                    <w:tr2bl w:val="nil"/>
                  </w:tcBorders>
                  <w:shd w:val="clear" w:color="auto" w:fill="auto"/>
                  <w:vAlign w:val="center"/>
                </w:tcPr>
                <w:p>
                  <w:pPr>
                    <w:jc w:val="center"/>
                    <w:rPr>
                      <w:rFonts w:hint="eastAsia" w:cs="Times New Roman"/>
                      <w:sz w:val="21"/>
                      <w:szCs w:val="21"/>
                      <w:lang w:val="en-US" w:eastAsia="zh-CN"/>
                    </w:rPr>
                  </w:pPr>
                </w:p>
              </w:tc>
              <w:tc>
                <w:tcPr>
                  <w:tcW w:w="1797" w:type="dxa"/>
                  <w:tcBorders>
                    <w:tl2br w:val="nil"/>
                    <w:tr2bl w:val="nil"/>
                  </w:tcBorders>
                  <w:shd w:val="clear" w:color="auto" w:fill="auto"/>
                  <w:vAlign w:val="center"/>
                </w:tcPr>
                <w:p>
                  <w:pPr>
                    <w:jc w:val="center"/>
                    <w:rPr>
                      <w:rFonts w:hint="eastAsia" w:ascii="Times New Roman" w:hAnsi="Times New Roman" w:cs="Times New Roman"/>
                      <w:sz w:val="21"/>
                      <w:szCs w:val="21"/>
                      <w:lang w:val="en-US" w:eastAsia="zh-CN"/>
                    </w:rPr>
                  </w:pPr>
                  <w:r>
                    <w:rPr>
                      <w:rFonts w:hint="eastAsia" w:cs="Times New Roman"/>
                      <w:sz w:val="21"/>
                      <w:szCs w:val="21"/>
                      <w:lang w:val="en-US" w:eastAsia="zh-CN"/>
                    </w:rPr>
                    <w:t>1</w:t>
                  </w:r>
                </w:p>
              </w:tc>
              <w:tc>
                <w:tcPr>
                  <w:tcW w:w="2195" w:type="dxa"/>
                  <w:tcBorders>
                    <w:tl2br w:val="nil"/>
                    <w:tr2bl w:val="nil"/>
                  </w:tcBorders>
                  <w:shd w:val="clear" w:color="auto" w:fill="auto"/>
                  <w:vAlign w:val="center"/>
                </w:tcPr>
                <w:p>
                  <w:pPr>
                    <w:jc w:val="center"/>
                    <w:rPr>
                      <w:rFonts w:hint="eastAsia" w:ascii="Times New Roman" w:hAnsi="Times New Roman" w:cs="Times New Roman"/>
                      <w:sz w:val="21"/>
                      <w:szCs w:val="21"/>
                      <w:lang w:eastAsia="zh-CN"/>
                    </w:rPr>
                  </w:pPr>
                  <w:r>
                    <w:rPr>
                      <w:rFonts w:hint="eastAsia" w:cs="Times New Roman"/>
                      <w:sz w:val="21"/>
                      <w:szCs w:val="21"/>
                      <w:lang w:eastAsia="zh-CN"/>
                    </w:rPr>
                    <w:t>套</w:t>
                  </w:r>
                </w:p>
              </w:tc>
            </w:tr>
          </w:tbl>
          <w:p>
            <w:pPr>
              <w:pStyle w:val="10"/>
              <w:adjustRightInd w:val="0"/>
              <w:snapToGrid w:val="0"/>
              <w:spacing w:line="360" w:lineRule="auto"/>
              <w:ind w:left="560" w:firstLine="0"/>
              <w:rPr>
                <w:rFonts w:eastAsiaTheme="minorEastAsia"/>
                <w:b/>
              </w:rPr>
            </w:pPr>
            <w:r>
              <w:rPr>
                <w:rFonts w:hint="eastAsia" w:ascii="宋体" w:hAnsi="宋体" w:cs="宋体"/>
                <w:b/>
                <w:sz w:val="24"/>
                <w:szCs w:val="24"/>
                <w:lang w:eastAsia="zh-CN"/>
              </w:rPr>
              <w:t>九</w:t>
            </w:r>
            <w:r>
              <w:rPr>
                <w:rFonts w:hint="eastAsia" w:ascii="宋体" w:hAnsi="宋体" w:eastAsia="宋体" w:cs="宋体"/>
                <w:b/>
                <w:sz w:val="24"/>
                <w:szCs w:val="24"/>
              </w:rPr>
              <w:t>、总平面布置</w:t>
            </w:r>
          </w:p>
          <w:p>
            <w:pPr>
              <w:adjustRightInd w:val="0"/>
              <w:spacing w:line="360" w:lineRule="auto"/>
              <w:ind w:firstLine="480" w:firstLineChars="200"/>
              <w:rPr>
                <w:rFonts w:eastAsiaTheme="minorEastAsia"/>
                <w:sz w:val="24"/>
                <w:szCs w:val="22"/>
              </w:rPr>
            </w:pPr>
            <w:r>
              <w:rPr>
                <w:rFonts w:eastAsiaTheme="minorEastAsia"/>
                <w:sz w:val="24"/>
                <w:szCs w:val="22"/>
              </w:rPr>
              <w:t>根据本项目行业特点和厂区各建（构）筑物的功能要求，结合厂区地形、气象条件等综合因素，因地制宜地布置本工程建（构）筑物，使厂区总图布置符合物流有序、经济合理、安全环保的要求，同时又满足合理紧凑、节省用地的原则，为员工创造一个良好的工作环境。</w:t>
            </w:r>
          </w:p>
          <w:p>
            <w:pPr>
              <w:spacing w:line="360" w:lineRule="auto"/>
              <w:ind w:firstLine="590" w:firstLineChars="246"/>
              <w:jc w:val="left"/>
              <w:rPr>
                <w:rFonts w:hint="eastAsia" w:ascii="宋体" w:hAnsi="宋体" w:cs="宋体"/>
                <w:b/>
                <w:bCs/>
                <w:sz w:val="24"/>
                <w:szCs w:val="24"/>
                <w:lang w:eastAsia="zh-CN"/>
              </w:rPr>
            </w:pPr>
            <w:r>
              <w:rPr>
                <w:rFonts w:eastAsiaTheme="minorEastAsia"/>
                <w:sz w:val="24"/>
                <w:szCs w:val="22"/>
              </w:rPr>
              <w:t>项目厂区</w:t>
            </w:r>
            <w:r>
              <w:rPr>
                <w:rFonts w:hint="eastAsia" w:eastAsiaTheme="minorEastAsia"/>
                <w:sz w:val="24"/>
                <w:szCs w:val="22"/>
                <w:lang w:eastAsia="zh-CN"/>
              </w:rPr>
              <w:t>自西向东呈阶梯状上升，出入口位于厂区西侧，通过出场道路连接县道</w:t>
            </w:r>
            <w:r>
              <w:rPr>
                <w:rFonts w:hint="eastAsia" w:eastAsiaTheme="minorEastAsia"/>
                <w:sz w:val="24"/>
                <w:szCs w:val="22"/>
                <w:lang w:val="en-US" w:eastAsia="zh-CN"/>
              </w:rPr>
              <w:t>X204（烈店路），各生产车间布置在厂区中央，使生产过程对周边的影响尽量降低</w:t>
            </w:r>
            <w:r>
              <w:rPr>
                <w:rFonts w:hint="eastAsia" w:eastAsiaTheme="minorEastAsia"/>
                <w:sz w:val="24"/>
                <w:szCs w:val="22"/>
                <w:lang w:eastAsia="zh-CN"/>
              </w:rPr>
              <w:t>。</w:t>
            </w:r>
            <w:r>
              <w:rPr>
                <w:rFonts w:eastAsiaTheme="minorEastAsia"/>
                <w:sz w:val="24"/>
                <w:szCs w:val="22"/>
              </w:rPr>
              <w:t>厂区</w:t>
            </w:r>
            <w:r>
              <w:rPr>
                <w:rFonts w:eastAsiaTheme="minorEastAsia"/>
                <w:sz w:val="24"/>
              </w:rPr>
              <w:t>整体布置紧凑，且考虑了原料及成品厂内储存运输的便捷性，</w:t>
            </w:r>
            <w:r>
              <w:rPr>
                <w:rFonts w:hint="eastAsia" w:eastAsiaTheme="minorEastAsia"/>
                <w:sz w:val="24"/>
                <w:lang w:eastAsia="zh-CN"/>
              </w:rPr>
              <w:t>布置一条主干道贯穿厂内各车间，依托地势在较低处设置蓄水池。</w:t>
            </w:r>
            <w:r>
              <w:rPr>
                <w:rFonts w:eastAsiaTheme="minorEastAsia"/>
                <w:sz w:val="24"/>
                <w:szCs w:val="22"/>
              </w:rPr>
              <w:t>项目厂区平面布置见附图3。</w:t>
            </w: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eastAsia="zh-CN"/>
              </w:rPr>
              <w:t>十</w:t>
            </w:r>
            <w:r>
              <w:rPr>
                <w:rFonts w:hint="eastAsia" w:ascii="宋体" w:hAnsi="宋体" w:eastAsia="宋体" w:cs="宋体"/>
                <w:b/>
                <w:bCs/>
                <w:sz w:val="24"/>
                <w:szCs w:val="24"/>
              </w:rPr>
              <w:t>、</w:t>
            </w:r>
            <w:r>
              <w:rPr>
                <w:rFonts w:hint="eastAsia" w:ascii="宋体" w:hAnsi="宋体" w:eastAsia="宋体" w:cs="宋体"/>
                <w:b/>
                <w:bCs/>
                <w:sz w:val="24"/>
                <w:szCs w:val="24"/>
                <w:highlight w:val="none"/>
              </w:rPr>
              <w:t>劳动定员及工作制度</w:t>
            </w:r>
          </w:p>
          <w:p>
            <w:pPr>
              <w:spacing w:line="360" w:lineRule="auto"/>
              <w:ind w:firstLine="480" w:firstLineChars="200"/>
              <w:rPr>
                <w:rFonts w:hint="eastAsia"/>
                <w:sz w:val="24"/>
                <w:szCs w:val="24"/>
              </w:rPr>
            </w:pPr>
            <w:r>
              <w:rPr>
                <w:rFonts w:hint="eastAsia"/>
                <w:sz w:val="24"/>
                <w:szCs w:val="24"/>
              </w:rPr>
              <w:t>项目营运后，</w:t>
            </w:r>
            <w:r>
              <w:rPr>
                <w:rFonts w:hint="eastAsia"/>
                <w:sz w:val="24"/>
                <w:szCs w:val="24"/>
                <w:lang w:eastAsia="zh-CN"/>
              </w:rPr>
              <w:t>共有</w:t>
            </w:r>
            <w:r>
              <w:rPr>
                <w:rFonts w:hint="eastAsia"/>
                <w:sz w:val="24"/>
                <w:szCs w:val="24"/>
              </w:rPr>
              <w:t>员工</w:t>
            </w:r>
            <w:r>
              <w:rPr>
                <w:rFonts w:hint="eastAsia"/>
                <w:sz w:val="24"/>
                <w:szCs w:val="24"/>
                <w:lang w:val="en-US" w:eastAsia="zh-CN"/>
              </w:rPr>
              <w:t>100</w:t>
            </w:r>
            <w:r>
              <w:rPr>
                <w:rFonts w:hint="eastAsia"/>
                <w:sz w:val="24"/>
                <w:szCs w:val="24"/>
              </w:rPr>
              <w:t>人，年工作300d，</w:t>
            </w:r>
            <w:r>
              <w:rPr>
                <w:rFonts w:hint="eastAsia"/>
                <w:sz w:val="24"/>
                <w:szCs w:val="24"/>
                <w:lang w:eastAsia="zh-CN"/>
              </w:rPr>
              <w:t>单班每班</w:t>
            </w:r>
            <w:r>
              <w:rPr>
                <w:rFonts w:hint="eastAsia"/>
                <w:sz w:val="24"/>
                <w:szCs w:val="24"/>
                <w:lang w:val="en-US" w:eastAsia="zh-CN"/>
              </w:rPr>
              <w:t>8小时工作</w:t>
            </w:r>
            <w:r>
              <w:rPr>
                <w:rFonts w:hint="eastAsia"/>
                <w:sz w:val="24"/>
                <w:szCs w:val="24"/>
                <w:lang w:eastAsia="zh-CN"/>
              </w:rPr>
              <w:t>制</w:t>
            </w:r>
            <w:r>
              <w:rPr>
                <w:rFonts w:hint="eastAsia"/>
                <w:sz w:val="24"/>
                <w:szCs w:val="24"/>
              </w:rPr>
              <w:t>，</w:t>
            </w:r>
            <w:r>
              <w:rPr>
                <w:rFonts w:hint="eastAsia"/>
                <w:sz w:val="24"/>
                <w:szCs w:val="24"/>
                <w:lang w:eastAsia="zh-CN"/>
              </w:rPr>
              <w:t>厂区内设置食堂、宿舍</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trPr>
        <w:tc>
          <w:tcPr>
            <w:tcW w:w="9288" w:type="dxa"/>
            <w:gridSpan w:val="8"/>
            <w:tcBorders>
              <w:tl2br w:val="nil"/>
              <w:tr2bl w:val="nil"/>
            </w:tcBorders>
          </w:tcPr>
          <w:p>
            <w:pPr>
              <w:adjustRightInd w:val="0"/>
              <w:snapToGrid w:val="0"/>
              <w:spacing w:line="360" w:lineRule="auto"/>
              <w:ind w:firstLine="301"/>
              <w:rPr>
                <w:sz w:val="24"/>
                <w:szCs w:val="24"/>
              </w:rPr>
            </w:pPr>
            <w:r>
              <w:rPr>
                <w:b/>
                <w:sz w:val="30"/>
                <w:szCs w:val="30"/>
              </w:rPr>
              <w:t>与本项目有关的原有污染情况及主要环境问题：</w:t>
            </w:r>
          </w:p>
          <w:p>
            <w:pPr>
              <w:spacing w:line="360" w:lineRule="auto"/>
              <w:ind w:firstLine="480"/>
              <w:rPr>
                <w:rFonts w:hint="eastAsia"/>
                <w:sz w:val="24"/>
                <w:szCs w:val="24"/>
                <w:lang w:val="en-US" w:eastAsia="zh-CN"/>
              </w:rPr>
            </w:pPr>
            <w:r>
              <w:rPr>
                <w:rFonts w:hint="eastAsia"/>
                <w:sz w:val="24"/>
                <w:szCs w:val="24"/>
                <w:lang w:val="en-US" w:eastAsia="zh-CN"/>
              </w:rPr>
              <w:t>本项目为新建项目，项目场地原为林地，修建延西高速时本项目用地作为弃土场使用，弃土石方按照地形特点堆积为阶梯状，所有弃土石方均为附近同类型土石，弃土的堆积不会对土壤造成污染。因此本项目不存在原有污染问题。</w:t>
            </w: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ind w:firstLine="480"/>
              <w:rPr>
                <w:rFonts w:hint="eastAsia"/>
                <w:sz w:val="24"/>
                <w:szCs w:val="24"/>
                <w:lang w:val="en-US" w:eastAsia="zh-CN"/>
              </w:rPr>
            </w:pPr>
          </w:p>
          <w:p>
            <w:pPr>
              <w:spacing w:line="360" w:lineRule="auto"/>
              <w:rPr>
                <w:rFonts w:hint="eastAsia" w:eastAsia="宋体"/>
                <w:sz w:val="24"/>
                <w:szCs w:val="24"/>
                <w:lang w:val="en-US" w:eastAsia="zh-CN"/>
              </w:rPr>
            </w:pPr>
          </w:p>
        </w:tc>
      </w:tr>
    </w:tbl>
    <w:p>
      <w:pPr>
        <w:pStyle w:val="3"/>
        <w:ind w:firstLine="321"/>
        <w:jc w:val="left"/>
        <w:rPr>
          <w:rFonts w:ascii="Times New Roman" w:eastAsia="宋体"/>
          <w:b/>
          <w:sz w:val="32"/>
          <w:szCs w:val="32"/>
        </w:rPr>
      </w:pPr>
      <w:bookmarkStart w:id="5" w:name="_Toc325470779"/>
      <w:r>
        <w:rPr>
          <w:rFonts w:ascii="Times New Roman" w:eastAsia="宋体"/>
          <w:b/>
          <w:sz w:val="32"/>
          <w:szCs w:val="32"/>
        </w:rPr>
        <w:t>建设项目所在地自然环境简况</w:t>
      </w:r>
      <w:bookmarkEnd w:id="5"/>
    </w:p>
    <w:tbl>
      <w:tblPr>
        <w:tblStyle w:val="34"/>
        <w:tblW w:w="9288"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9288" w:type="dxa"/>
            <w:tcBorders>
              <w:top w:val="single" w:color="auto" w:sz="12" w:space="0"/>
              <w:bottom w:val="single" w:color="auto" w:sz="12" w:space="0"/>
            </w:tcBorders>
          </w:tcPr>
          <w:p>
            <w:pPr>
              <w:adjustRightInd w:val="0"/>
              <w:snapToGrid w:val="0"/>
              <w:spacing w:line="360" w:lineRule="auto"/>
              <w:jc w:val="left"/>
              <w:rPr>
                <w:b/>
                <w:sz w:val="30"/>
                <w:szCs w:val="30"/>
              </w:rPr>
            </w:pPr>
            <w:r>
              <w:rPr>
                <w:b/>
                <w:sz w:val="30"/>
                <w:szCs w:val="30"/>
              </w:rPr>
              <w:t>自然环境简况（地形、地貌、地质、气候、气象、水文、植被、生物多样性等）</w:t>
            </w:r>
          </w:p>
          <w:p>
            <w:pPr>
              <w:spacing w:line="360" w:lineRule="auto"/>
              <w:ind w:firstLine="482" w:firstLineChars="200"/>
              <w:rPr>
                <w:b/>
                <w:sz w:val="24"/>
                <w:szCs w:val="24"/>
              </w:rPr>
            </w:pPr>
            <w:r>
              <w:rPr>
                <w:b/>
                <w:sz w:val="24"/>
                <w:szCs w:val="24"/>
              </w:rPr>
              <w:t>1、地理位置</w:t>
            </w:r>
          </w:p>
          <w:p>
            <w:pPr>
              <w:spacing w:line="360" w:lineRule="auto"/>
              <w:ind w:firstLine="480" w:firstLineChars="200"/>
              <w:rPr>
                <w:sz w:val="24"/>
              </w:rPr>
            </w:pPr>
            <w:r>
              <w:rPr>
                <w:rFonts w:hint="eastAsia"/>
                <w:b w:val="0"/>
                <w:bCs/>
                <w:sz w:val="24"/>
                <w:szCs w:val="24"/>
                <w:lang w:eastAsia="zh-CN"/>
              </w:rPr>
              <w:t>本项目位于铜川市宜君县太安镇，</w:t>
            </w:r>
            <w:r>
              <w:rPr>
                <w:sz w:val="24"/>
              </w:rPr>
              <w:t>本区属陕北黄土高原南缘台塬区铜川长梁亚区，由于长期风化剥蚀，基岩裸露，沟谷纵横，峰峦重叠，尤以巨厚砾岩形成了悬崖峭壁，属中低山侵蚀型山岳地貌，沟谷主要为东北部的玉华川、西南部的清水沟。</w:t>
            </w:r>
          </w:p>
          <w:p>
            <w:pPr>
              <w:autoSpaceDE w:val="0"/>
              <w:autoSpaceDN w:val="0"/>
              <w:adjustRightInd w:val="0"/>
              <w:snapToGrid w:val="0"/>
              <w:spacing w:line="360" w:lineRule="auto"/>
              <w:ind w:right="186" w:firstLine="480" w:firstLineChars="200"/>
              <w:rPr>
                <w:b w:val="0"/>
                <w:bCs/>
                <w:sz w:val="24"/>
                <w:szCs w:val="24"/>
              </w:rPr>
            </w:pPr>
            <w:r>
              <w:rPr>
                <w:rFonts w:hint="eastAsia"/>
                <w:kern w:val="0"/>
                <w:sz w:val="24"/>
                <w:szCs w:val="18"/>
                <w:lang w:eastAsia="zh-CN"/>
              </w:rPr>
              <w:t>区</w:t>
            </w:r>
            <w:r>
              <w:rPr>
                <w:kern w:val="0"/>
                <w:sz w:val="24"/>
                <w:szCs w:val="18"/>
              </w:rPr>
              <w:t>内以泾河、洛河两大水系的分水岭凤凰山最高，海拔+1683.12m，以洛河水系的玉华川最低，海拔+1275m，高差达408.12m。</w:t>
            </w:r>
          </w:p>
          <w:p>
            <w:pPr>
              <w:spacing w:line="360" w:lineRule="auto"/>
              <w:ind w:firstLine="482" w:firstLineChars="200"/>
              <w:rPr>
                <w:b/>
                <w:sz w:val="24"/>
                <w:szCs w:val="24"/>
                <w:highlight w:val="none"/>
              </w:rPr>
            </w:pPr>
            <w:r>
              <w:rPr>
                <w:b/>
                <w:sz w:val="24"/>
                <w:szCs w:val="24"/>
                <w:highlight w:val="none"/>
              </w:rPr>
              <w:t>2、</w:t>
            </w:r>
            <w:r>
              <w:rPr>
                <w:rFonts w:hint="eastAsia"/>
                <w:b/>
                <w:sz w:val="24"/>
                <w:szCs w:val="24"/>
                <w:highlight w:val="none"/>
                <w:lang w:eastAsia="zh-CN"/>
              </w:rPr>
              <w:t>地形</w:t>
            </w:r>
            <w:r>
              <w:rPr>
                <w:rFonts w:hint="eastAsia"/>
                <w:b/>
                <w:sz w:val="24"/>
                <w:szCs w:val="24"/>
                <w:highlight w:val="none"/>
              </w:rPr>
              <w:t>、</w:t>
            </w:r>
            <w:r>
              <w:rPr>
                <w:b/>
                <w:sz w:val="24"/>
                <w:szCs w:val="24"/>
                <w:highlight w:val="none"/>
              </w:rPr>
              <w:t>地貌</w:t>
            </w:r>
          </w:p>
          <w:p>
            <w:pPr>
              <w:spacing w:line="360" w:lineRule="auto"/>
              <w:ind w:firstLine="480" w:firstLineChars="200"/>
              <w:rPr>
                <w:rFonts w:hint="eastAsia"/>
                <w:sz w:val="24"/>
                <w:highlight w:val="none"/>
              </w:rPr>
            </w:pPr>
            <w:r>
              <w:rPr>
                <w:rFonts w:hint="eastAsia"/>
                <w:sz w:val="24"/>
                <w:highlight w:val="none"/>
              </w:rPr>
              <w:t>宜君地处关中平原与陕北黄土高原的结合部，境内地貌由两块残塬和一条川组成，崇山叠障，邱陵连绵，沟谷纵横，林草丰富，地形复杂多样，地势由东北向西南依次抬升，大致形成东部黄土残原、中部梁卯丘陵和西部中山丘陵三种地貌类型。平均海拨为1400米左右，呈典型的黄土高原丘陵沟壑区。</w:t>
            </w:r>
          </w:p>
          <w:p>
            <w:pPr>
              <w:pStyle w:val="4"/>
              <w:spacing w:before="0" w:after="0" w:line="360" w:lineRule="auto"/>
              <w:ind w:firstLine="482" w:firstLineChars="200"/>
              <w:rPr>
                <w:rFonts w:eastAsia="黑体"/>
                <w:b/>
                <w:bCs/>
                <w:iCs w:val="0"/>
                <w:sz w:val="24"/>
                <w:szCs w:val="24"/>
              </w:rPr>
            </w:pPr>
            <w:r>
              <w:rPr>
                <w:rFonts w:hint="eastAsia" w:ascii="Times New Roman" w:hAnsi="Times New Roman" w:eastAsia="宋体" w:cs="Times New Roman"/>
                <w:b/>
                <w:bCs w:val="0"/>
                <w:kern w:val="2"/>
                <w:sz w:val="24"/>
                <w:szCs w:val="24"/>
                <w:lang w:val="en-US" w:eastAsia="zh-CN" w:bidi="ar-SA"/>
              </w:rPr>
              <w:t>3</w:t>
            </w:r>
            <w:r>
              <w:rPr>
                <w:rFonts w:ascii="Times New Roman" w:hAnsi="Times New Roman" w:eastAsia="宋体" w:cs="Times New Roman"/>
                <w:b/>
                <w:bCs w:val="0"/>
                <w:kern w:val="2"/>
                <w:sz w:val="24"/>
                <w:szCs w:val="24"/>
                <w:lang w:val="en-US" w:eastAsia="zh-CN" w:bidi="ar-SA"/>
              </w:rPr>
              <w:t>、气候、气象</w:t>
            </w:r>
          </w:p>
          <w:p>
            <w:pPr>
              <w:autoSpaceDE w:val="0"/>
              <w:autoSpaceDN w:val="0"/>
              <w:adjustRightInd w:val="0"/>
              <w:snapToGrid w:val="0"/>
              <w:spacing w:line="360" w:lineRule="auto"/>
              <w:ind w:right="186" w:firstLine="480" w:firstLineChars="200"/>
              <w:rPr>
                <w:kern w:val="0"/>
                <w:sz w:val="24"/>
                <w:szCs w:val="18"/>
              </w:rPr>
            </w:pPr>
            <w:r>
              <w:rPr>
                <w:kern w:val="0"/>
                <w:sz w:val="24"/>
                <w:szCs w:val="18"/>
              </w:rPr>
              <w:t>本区属大陆性季风气候，四季分明，多季候风，雨雪不够丰沛。据焦坪气象站观测资料：全年降水量为520.1～892.6mm，雨季多集中在6～8月，一次最大集中降水量为294.8mm（76年8月19日～8月29日）。年最大蒸发量1665.4mm。年平均温度5～13.5℃。该地区最多风向为东北风，春季多东风、北风，夏季以东南风为主，冬季多西北风；多年平均风速为2.1~3.1m/s，最大风速为28m/s。</w:t>
            </w:r>
          </w:p>
          <w:p>
            <w:pPr>
              <w:pStyle w:val="17"/>
              <w:spacing w:line="360" w:lineRule="auto"/>
              <w:ind w:firstLine="480" w:firstLineChars="200"/>
              <w:rPr>
                <w:rFonts w:ascii="Times New Roman" w:hAnsi="Times New Roman" w:cs="Times New Roman"/>
                <w:b/>
                <w:sz w:val="24"/>
                <w:szCs w:val="24"/>
              </w:rPr>
            </w:pPr>
            <w:r>
              <w:rPr>
                <w:rFonts w:ascii="Times New Roman" w:hAnsi="Times New Roman" w:cs="Times New Roman"/>
                <w:kern w:val="0"/>
                <w:sz w:val="24"/>
                <w:szCs w:val="18"/>
              </w:rPr>
              <w:t>根据国家地震局颁布的《地震动参数区划图》（GB18306-2001）,本区抗震设防烈度为7度。</w:t>
            </w:r>
          </w:p>
          <w:p>
            <w:pPr>
              <w:pStyle w:val="4"/>
              <w:spacing w:before="0" w:after="0" w:line="360" w:lineRule="auto"/>
              <w:ind w:firstLine="482" w:firstLineChars="200"/>
              <w:rPr>
                <w:rFonts w:eastAsia="黑体"/>
                <w:b w:val="0"/>
                <w:bCs w:val="0"/>
                <w:iCs w:val="0"/>
                <w:sz w:val="28"/>
                <w:szCs w:val="28"/>
                <w:highlight w:val="none"/>
              </w:rPr>
            </w:pPr>
            <w:r>
              <w:rPr>
                <w:rFonts w:hint="eastAsia" w:ascii="Times New Roman" w:hAnsi="Times New Roman" w:eastAsia="宋体" w:cs="Times New Roman"/>
                <w:b/>
                <w:bCs w:val="0"/>
                <w:kern w:val="2"/>
                <w:sz w:val="24"/>
                <w:szCs w:val="24"/>
                <w:highlight w:val="none"/>
                <w:lang w:val="en-US" w:eastAsia="zh-CN" w:bidi="ar-SA"/>
              </w:rPr>
              <w:t>4、水文</w:t>
            </w:r>
          </w:p>
          <w:p>
            <w:pPr>
              <w:pStyle w:val="4"/>
              <w:spacing w:before="0" w:after="0" w:line="360" w:lineRule="auto"/>
              <w:ind w:firstLine="480" w:firstLineChars="200"/>
              <w:rPr>
                <w:rFonts w:hint="eastAsia"/>
                <w:b w:val="0"/>
                <w:bCs w:val="0"/>
                <w:sz w:val="24"/>
                <w:highlight w:val="none"/>
              </w:rPr>
            </w:pPr>
            <w:r>
              <w:rPr>
                <w:rFonts w:hint="eastAsia"/>
                <w:b w:val="0"/>
                <w:bCs w:val="0"/>
                <w:sz w:val="24"/>
                <w:highlight w:val="none"/>
              </w:rPr>
              <w:t>宜君县有大小河流23条，福地、西河等水库10余处，属陕北黄土高原半干旱水文地质区，地处破碎黄土高原区，水文资源基本特征为：上伏黄土状孔隙裂隙水文与下伏状基岩裂层间水双层迭置，地下水资源主要来源于大气降水补给，降水7—9月集中，河流产流较大，水流浑浊，冬春季水流细长，水流清澈。</w:t>
            </w:r>
          </w:p>
          <w:p>
            <w:pPr>
              <w:spacing w:line="360" w:lineRule="auto"/>
              <w:ind w:firstLine="480" w:firstLineChars="200"/>
              <w:rPr>
                <w:rFonts w:hint="eastAsia" w:eastAsia="宋体"/>
                <w:lang w:eastAsia="zh-CN"/>
              </w:rPr>
            </w:pPr>
            <w:r>
              <w:rPr>
                <w:rFonts w:hint="eastAsia"/>
                <w:b w:val="0"/>
                <w:bCs w:val="0"/>
                <w:sz w:val="24"/>
                <w:highlight w:val="none"/>
                <w:lang w:eastAsia="zh-CN"/>
              </w:rPr>
              <w:t>本项目西侧</w:t>
            </w:r>
            <w:r>
              <w:rPr>
                <w:rFonts w:hint="eastAsia"/>
                <w:b w:val="0"/>
                <w:bCs w:val="0"/>
                <w:sz w:val="24"/>
                <w:highlight w:val="none"/>
                <w:lang w:val="en-US" w:eastAsia="zh-CN"/>
              </w:rPr>
              <w:t>600m</w:t>
            </w:r>
            <w:r>
              <w:rPr>
                <w:rFonts w:hint="eastAsia"/>
                <w:b w:val="0"/>
                <w:bCs w:val="0"/>
                <w:sz w:val="24"/>
                <w:highlight w:val="none"/>
                <w:lang w:eastAsia="zh-CN"/>
              </w:rPr>
              <w:t>为玉华河，项目东侧隔山为青水河，分别发源焦坪乡后沟和铜川郊区凤凰山东麓，前者流经西河川，后者流经马场川，至彭村下合而为一，东北流入黄陵沮河，后入洛河，本县境内总长102.5公里。河床比降1/150，平均流量0.61立方米·秒。玉华河上、下游有国营太安林场，彭村农场，亦为本县主要煤矿区。如若发生事故，且事故水为被本项目设置事故水池有效收集，事故排水会顺山势进入玉华河，不会进入青水河，西河水库处于青水河下游，因此本项目事故水不会对西河水库产生影响。</w:t>
            </w:r>
          </w:p>
          <w:p>
            <w:pPr>
              <w:pStyle w:val="4"/>
              <w:numPr>
                <w:ilvl w:val="0"/>
                <w:numId w:val="1"/>
              </w:numPr>
              <w:spacing w:before="0" w:after="0" w:line="360" w:lineRule="auto"/>
              <w:ind w:firstLine="482" w:firstLineChars="200"/>
              <w:rPr>
                <w:rFonts w:hint="eastAsia"/>
                <w:sz w:val="24"/>
                <w:highlight w:val="none"/>
              </w:rPr>
            </w:pPr>
            <w:r>
              <w:rPr>
                <w:rFonts w:hint="eastAsia"/>
                <w:sz w:val="24"/>
                <w:highlight w:val="none"/>
              </w:rPr>
              <w:t>植被及生物多样性</w:t>
            </w:r>
          </w:p>
          <w:p>
            <w:pPr>
              <w:pStyle w:val="4"/>
              <w:numPr>
                <w:ilvl w:val="0"/>
                <w:numId w:val="0"/>
              </w:numPr>
              <w:spacing w:before="0" w:after="0" w:line="360" w:lineRule="auto"/>
              <w:ind w:firstLine="480" w:firstLineChars="200"/>
              <w:rPr>
                <w:rFonts w:hint="eastAsia"/>
                <w:b w:val="0"/>
                <w:bCs w:val="0"/>
                <w:sz w:val="24"/>
                <w:highlight w:val="none"/>
              </w:rPr>
            </w:pPr>
            <w:r>
              <w:rPr>
                <w:rFonts w:hint="eastAsia"/>
                <w:b w:val="0"/>
                <w:bCs w:val="0"/>
                <w:sz w:val="24"/>
                <w:highlight w:val="none"/>
              </w:rPr>
              <w:t>宜君县境内有高等植物101科800多种，植物种类约占全省植物种类20%。有省重点保护植物杜松。乔木树种有油松、侧柏、辽东栋、麻栋、臭椿、刺揪、架树、元宝械、白桦、山核桃、榆、文冠果等100多种。灌木有酸枣、连翘、黄蔷薇、荆条、胡枝子、沙棘、虎棒子、胡颓子、黄护、紫丁香、山杏、山桃、五味子、中华绣线梅、六道木等100多种。草本有白草、篙类、马兜铃、铁杆等。</w:t>
            </w:r>
          </w:p>
          <w:p>
            <w:pPr>
              <w:adjustRightInd w:val="0"/>
              <w:snapToGrid w:val="0"/>
              <w:spacing w:line="360" w:lineRule="auto"/>
              <w:ind w:firstLine="480" w:firstLineChars="200"/>
              <w:rPr>
                <w:rFonts w:hint="eastAsia"/>
                <w:b w:val="0"/>
                <w:bCs w:val="0"/>
                <w:sz w:val="24"/>
                <w:highlight w:val="none"/>
              </w:rPr>
            </w:pPr>
            <w:r>
              <w:rPr>
                <w:rFonts w:hint="eastAsia"/>
                <w:b w:val="0"/>
                <w:bCs w:val="0"/>
                <w:sz w:val="24"/>
                <w:highlight w:val="none"/>
              </w:rPr>
              <w:t>宜君县动物地理分布以古北界为主，兼有东洋界和广布种，动物种类丰富。全县有陆生脊椎动物17目36科70多种，其中鸟类12目24科50多种，兽类 5 目12科20多种，两栖爬行类10余种，昆虫有9目39科841种，其中蝶类7科51种。有国家Ⅰ级保护动物金钱豹、黑鹤(白鹤)、金雕、林赓5种；国家Ⅱ级保护动物有水獭、红脚华、莺、长耳鹊(猫头鹰)等4种。省级重点保护动物有苍鹭、豆雁、斑头雁、狼、赤狐、狗灌、猪稚、豹猫、狍子9种。</w:t>
            </w:r>
          </w:p>
          <w:p>
            <w:pPr>
              <w:adjustRightInd w:val="0"/>
              <w:snapToGrid w:val="0"/>
              <w:spacing w:line="360" w:lineRule="auto"/>
              <w:ind w:firstLine="480" w:firstLineChars="200"/>
              <w:rPr>
                <w:b w:val="0"/>
                <w:bCs w:val="0"/>
                <w:sz w:val="24"/>
                <w:highlight w:val="none"/>
              </w:rPr>
            </w:pPr>
            <w:r>
              <w:rPr>
                <w:rFonts w:hint="eastAsia"/>
                <w:b w:val="0"/>
                <w:bCs w:val="0"/>
                <w:sz w:val="24"/>
                <w:highlight w:val="none"/>
              </w:rPr>
              <w:t>经现场踏勘及调查，项目所在区域内无各级珍稀保护动植物。</w:t>
            </w: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tc>
      </w:tr>
    </w:tbl>
    <w:p>
      <w:pPr>
        <w:pStyle w:val="3"/>
        <w:ind w:firstLine="321"/>
        <w:jc w:val="left"/>
        <w:rPr>
          <w:rFonts w:ascii="Times New Roman" w:eastAsia="宋体"/>
          <w:b/>
          <w:color w:val="auto"/>
          <w:sz w:val="32"/>
          <w:szCs w:val="32"/>
        </w:rPr>
      </w:pPr>
      <w:bookmarkStart w:id="6" w:name="_Toc325470780"/>
      <w:r>
        <w:rPr>
          <w:rFonts w:ascii="Times New Roman" w:eastAsia="宋体"/>
          <w:b/>
          <w:color w:val="auto"/>
          <w:sz w:val="32"/>
          <w:szCs w:val="32"/>
        </w:rPr>
        <w:t>环境质量状况</w:t>
      </w:r>
      <w:bookmarkEnd w:id="6"/>
    </w:p>
    <w:tbl>
      <w:tblPr>
        <w:tblStyle w:val="34"/>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1524" w:hRule="atLeast"/>
        </w:trPr>
        <w:tc>
          <w:tcPr>
            <w:tcW w:w="9288" w:type="dxa"/>
            <w:tcBorders>
              <w:tl2br w:val="nil"/>
              <w:tr2bl w:val="nil"/>
            </w:tcBorders>
          </w:tcPr>
          <w:p>
            <w:pPr>
              <w:spacing w:line="360" w:lineRule="auto"/>
              <w:ind w:firstLine="301"/>
              <w:rPr>
                <w:b/>
                <w:color w:val="auto"/>
                <w:sz w:val="30"/>
              </w:rPr>
            </w:pPr>
            <w:r>
              <w:rPr>
                <w:b/>
                <w:color w:val="auto"/>
                <w:sz w:val="30"/>
              </w:rPr>
              <w:t>建设项目所在地区域环境质量现状及主要环境问题（环境空气、地面水地下水、声环境、生态环境等）</w:t>
            </w:r>
          </w:p>
          <w:p>
            <w:pPr>
              <w:spacing w:line="360" w:lineRule="auto"/>
              <w:ind w:firstLine="482" w:firstLineChars="200"/>
              <w:rPr>
                <w:b/>
                <w:color w:val="auto"/>
                <w:sz w:val="24"/>
              </w:rPr>
            </w:pPr>
            <w:r>
              <w:rPr>
                <w:b/>
                <w:color w:val="auto"/>
                <w:sz w:val="24"/>
              </w:rPr>
              <w:t>一、环境空气质量</w:t>
            </w:r>
          </w:p>
          <w:p>
            <w:pPr>
              <w:snapToGrid w:val="0"/>
              <w:spacing w:line="360" w:lineRule="auto"/>
              <w:ind w:firstLine="480" w:firstLineChars="200"/>
              <w:rPr>
                <w:color w:val="auto"/>
                <w:sz w:val="24"/>
                <w:szCs w:val="24"/>
              </w:rPr>
            </w:pPr>
            <w:r>
              <w:rPr>
                <w:color w:val="auto"/>
                <w:sz w:val="24"/>
                <w:szCs w:val="24"/>
              </w:rPr>
              <w:t>本次空气环境质量现状监测委托</w:t>
            </w:r>
            <w:r>
              <w:rPr>
                <w:rFonts w:hint="eastAsia" w:ascii="Times New Roman" w:hAnsi="Times New Roman"/>
                <w:color w:val="auto"/>
                <w:sz w:val="24"/>
                <w:szCs w:val="24"/>
                <w:lang w:eastAsia="zh-CN"/>
              </w:rPr>
              <w:t>陕西正泽检测科技有限公司</w:t>
            </w:r>
            <w:r>
              <w:rPr>
                <w:rFonts w:hint="eastAsia"/>
                <w:color w:val="auto"/>
                <w:sz w:val="24"/>
                <w:szCs w:val="24"/>
              </w:rPr>
              <w:t>，</w:t>
            </w:r>
            <w:r>
              <w:rPr>
                <w:color w:val="auto"/>
                <w:sz w:val="24"/>
                <w:szCs w:val="24"/>
              </w:rPr>
              <w:t>于20</w:t>
            </w:r>
            <w:r>
              <w:rPr>
                <w:rFonts w:hint="eastAsia"/>
                <w:color w:val="auto"/>
                <w:sz w:val="24"/>
                <w:szCs w:val="24"/>
                <w:lang w:val="en-US" w:eastAsia="zh-CN"/>
              </w:rPr>
              <w:t>17</w:t>
            </w:r>
            <w:r>
              <w:rPr>
                <w:color w:val="auto"/>
                <w:sz w:val="24"/>
                <w:szCs w:val="24"/>
              </w:rPr>
              <w:t>年</w:t>
            </w:r>
            <w:r>
              <w:rPr>
                <w:rFonts w:hint="eastAsia"/>
                <w:color w:val="auto"/>
                <w:sz w:val="24"/>
                <w:szCs w:val="24"/>
                <w:lang w:val="en-US" w:eastAsia="zh-CN"/>
              </w:rPr>
              <w:t>8</w:t>
            </w:r>
            <w:r>
              <w:rPr>
                <w:color w:val="auto"/>
                <w:sz w:val="24"/>
                <w:szCs w:val="24"/>
              </w:rPr>
              <w:t>月</w:t>
            </w:r>
            <w:r>
              <w:rPr>
                <w:rFonts w:hint="eastAsia"/>
                <w:color w:val="auto"/>
                <w:sz w:val="24"/>
                <w:szCs w:val="24"/>
                <w:lang w:val="en-US" w:eastAsia="zh-CN"/>
              </w:rPr>
              <w:t>8</w:t>
            </w:r>
            <w:r>
              <w:rPr>
                <w:color w:val="auto"/>
                <w:sz w:val="24"/>
                <w:szCs w:val="24"/>
              </w:rPr>
              <w:t>日至</w:t>
            </w:r>
            <w:r>
              <w:rPr>
                <w:rFonts w:hint="eastAsia"/>
                <w:color w:val="auto"/>
                <w:sz w:val="24"/>
                <w:szCs w:val="24"/>
                <w:lang w:val="en-US" w:eastAsia="zh-CN"/>
              </w:rPr>
              <w:t>8月16日</w:t>
            </w:r>
            <w:r>
              <w:rPr>
                <w:color w:val="auto"/>
                <w:sz w:val="24"/>
                <w:szCs w:val="24"/>
              </w:rPr>
              <w:t>对环境空气质量现状进行监测，</w:t>
            </w:r>
            <w:r>
              <w:rPr>
                <w:rFonts w:hint="eastAsia"/>
                <w:color w:val="auto"/>
                <w:sz w:val="24"/>
                <w:szCs w:val="24"/>
              </w:rPr>
              <w:t>监测点位为项目建设地</w:t>
            </w:r>
            <w:r>
              <w:rPr>
                <w:rFonts w:hint="eastAsia"/>
                <w:color w:val="auto"/>
                <w:sz w:val="24"/>
                <w:szCs w:val="24"/>
                <w:lang w:eastAsia="zh-CN"/>
              </w:rPr>
              <w:t>东侧石管子村和项目所在地</w:t>
            </w:r>
            <w:r>
              <w:rPr>
                <w:color w:val="auto"/>
                <w:sz w:val="24"/>
                <w:szCs w:val="24"/>
              </w:rPr>
              <w:t>，</w:t>
            </w:r>
            <w:r>
              <w:rPr>
                <w:rFonts w:hint="eastAsia"/>
                <w:color w:val="auto"/>
                <w:sz w:val="24"/>
                <w:szCs w:val="24"/>
                <w:lang w:eastAsia="zh-CN"/>
              </w:rPr>
              <w:t>监测点位</w:t>
            </w:r>
            <w:r>
              <w:rPr>
                <w:rFonts w:hint="eastAsia"/>
                <w:color w:val="auto"/>
                <w:sz w:val="24"/>
                <w:szCs w:val="24"/>
              </w:rPr>
              <w:t>见附图</w:t>
            </w:r>
            <w:r>
              <w:rPr>
                <w:rFonts w:hint="eastAsia"/>
                <w:color w:val="auto"/>
                <w:sz w:val="24"/>
                <w:szCs w:val="24"/>
                <w:lang w:val="en-US" w:eastAsia="zh-CN"/>
              </w:rPr>
              <w:t>4</w:t>
            </w:r>
            <w:r>
              <w:rPr>
                <w:rFonts w:hint="eastAsia"/>
                <w:color w:val="auto"/>
                <w:sz w:val="24"/>
                <w:szCs w:val="24"/>
              </w:rPr>
              <w:t>，</w:t>
            </w:r>
            <w:r>
              <w:rPr>
                <w:color w:val="auto"/>
                <w:sz w:val="24"/>
                <w:szCs w:val="24"/>
              </w:rPr>
              <w:t>监测因子为S</w:t>
            </w:r>
            <w:r>
              <w:rPr>
                <w:rFonts w:hint="eastAsia"/>
                <w:color w:val="auto"/>
                <w:sz w:val="24"/>
                <w:szCs w:val="24"/>
              </w:rPr>
              <w:t>O</w:t>
            </w:r>
            <w:r>
              <w:rPr>
                <w:color w:val="auto"/>
                <w:sz w:val="24"/>
                <w:szCs w:val="24"/>
                <w:vertAlign w:val="subscript"/>
              </w:rPr>
              <w:t>2</w:t>
            </w:r>
            <w:r>
              <w:rPr>
                <w:color w:val="auto"/>
                <w:sz w:val="24"/>
                <w:szCs w:val="24"/>
              </w:rPr>
              <w:t>、N</w:t>
            </w:r>
            <w:r>
              <w:rPr>
                <w:rFonts w:hint="eastAsia"/>
                <w:color w:val="auto"/>
                <w:sz w:val="24"/>
                <w:szCs w:val="24"/>
              </w:rPr>
              <w:t>O</w:t>
            </w:r>
            <w:r>
              <w:rPr>
                <w:color w:val="auto"/>
                <w:sz w:val="24"/>
                <w:szCs w:val="24"/>
                <w:vertAlign w:val="subscript"/>
              </w:rPr>
              <w:t>2</w:t>
            </w:r>
            <w:r>
              <w:rPr>
                <w:color w:val="auto"/>
                <w:sz w:val="24"/>
                <w:szCs w:val="24"/>
              </w:rPr>
              <w:t>及</w:t>
            </w:r>
            <w:r>
              <w:rPr>
                <w:rFonts w:hint="eastAsia"/>
                <w:color w:val="auto"/>
                <w:sz w:val="24"/>
                <w:szCs w:val="24"/>
              </w:rPr>
              <w:t>PM</w:t>
            </w:r>
            <w:r>
              <w:rPr>
                <w:rFonts w:hint="eastAsia"/>
                <w:color w:val="auto"/>
                <w:sz w:val="24"/>
                <w:szCs w:val="24"/>
                <w:vertAlign w:val="subscript"/>
              </w:rPr>
              <w:t>10</w:t>
            </w:r>
            <w:r>
              <w:rPr>
                <w:color w:val="auto"/>
                <w:sz w:val="24"/>
                <w:szCs w:val="24"/>
              </w:rPr>
              <w:t>，监测结果见表</w:t>
            </w:r>
            <w:r>
              <w:rPr>
                <w:rFonts w:hint="eastAsia"/>
                <w:color w:val="auto"/>
                <w:sz w:val="24"/>
                <w:szCs w:val="24"/>
                <w:lang w:val="en-US" w:eastAsia="zh-CN"/>
              </w:rPr>
              <w:t>6</w:t>
            </w:r>
            <w:r>
              <w:rPr>
                <w:color w:val="auto"/>
                <w:sz w:val="24"/>
                <w:szCs w:val="24"/>
              </w:rPr>
              <w:t>。</w:t>
            </w:r>
          </w:p>
          <w:p>
            <w:pPr>
              <w:tabs>
                <w:tab w:val="center" w:pos="4156"/>
                <w:tab w:val="right" w:pos="8313"/>
              </w:tabs>
              <w:spacing w:line="360" w:lineRule="auto"/>
              <w:jc w:val="center"/>
              <w:rPr>
                <w:b/>
                <w:bCs/>
                <w:color w:val="auto"/>
                <w:sz w:val="24"/>
              </w:rPr>
            </w:pPr>
            <w:r>
              <w:rPr>
                <w:b/>
                <w:bCs/>
                <w:color w:val="auto"/>
                <w:sz w:val="24"/>
              </w:rPr>
              <w:t>表</w:t>
            </w:r>
            <w:r>
              <w:rPr>
                <w:rFonts w:hint="eastAsia"/>
                <w:b/>
                <w:bCs/>
                <w:color w:val="auto"/>
                <w:sz w:val="24"/>
                <w:lang w:val="en-US" w:eastAsia="zh-CN"/>
              </w:rPr>
              <w:t>6</w:t>
            </w:r>
            <w:r>
              <w:rPr>
                <w:rFonts w:hint="eastAsia"/>
                <w:b/>
                <w:bCs/>
                <w:color w:val="auto"/>
                <w:sz w:val="24"/>
              </w:rPr>
              <w:t xml:space="preserve"> </w:t>
            </w:r>
            <w:r>
              <w:rPr>
                <w:b/>
                <w:bCs/>
                <w:color w:val="auto"/>
                <w:sz w:val="24"/>
              </w:rPr>
              <w:t xml:space="preserve"> 环境空气监测结果一览表</w:t>
            </w:r>
            <w:r>
              <w:rPr>
                <w:rFonts w:hint="eastAsia"/>
                <w:b/>
                <w:bCs/>
                <w:color w:val="auto"/>
                <w:sz w:val="24"/>
              </w:rPr>
              <w:t xml:space="preserve">  单位：</w:t>
            </w:r>
            <w:r>
              <w:rPr>
                <w:b/>
                <w:bCs/>
                <w:color w:val="auto"/>
                <w:sz w:val="24"/>
              </w:rPr>
              <w:t>μg/m</w:t>
            </w:r>
            <w:r>
              <w:rPr>
                <w:b/>
                <w:bCs/>
                <w:color w:val="auto"/>
                <w:sz w:val="24"/>
                <w:vertAlign w:val="superscript"/>
              </w:rPr>
              <w:t>3</w:t>
            </w:r>
          </w:p>
          <w:tbl>
            <w:tblPr>
              <w:tblStyle w:val="34"/>
              <w:tblW w:w="907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1084"/>
              <w:gridCol w:w="12"/>
              <w:gridCol w:w="1453"/>
              <w:gridCol w:w="1303"/>
              <w:gridCol w:w="1303"/>
              <w:gridCol w:w="1303"/>
              <w:gridCol w:w="1304"/>
              <w:gridCol w:w="1310"/>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201" w:hRule="atLeast"/>
                <w:jc w:val="center"/>
              </w:trPr>
              <w:tc>
                <w:tcPr>
                  <w:tcW w:w="1084" w:type="dxa"/>
                  <w:vMerge w:val="restart"/>
                  <w:tcBorders>
                    <w:tl2br w:val="nil"/>
                    <w:tr2bl w:val="nil"/>
                  </w:tcBorders>
                  <w:vAlign w:val="center"/>
                </w:tcPr>
                <w:p>
                  <w:pPr>
                    <w:autoSpaceDN w:val="0"/>
                    <w:snapToGrid w:val="0"/>
                    <w:jc w:val="center"/>
                    <w:rPr>
                      <w:b/>
                      <w:bCs/>
                      <w:color w:val="auto"/>
                      <w:szCs w:val="21"/>
                    </w:rPr>
                  </w:pPr>
                  <w:r>
                    <w:rPr>
                      <w:b/>
                      <w:bCs/>
                      <w:color w:val="auto"/>
                      <w:szCs w:val="21"/>
                    </w:rPr>
                    <w:t>测位点</w:t>
                  </w:r>
                </w:p>
              </w:tc>
              <w:tc>
                <w:tcPr>
                  <w:tcW w:w="1465" w:type="dxa"/>
                  <w:gridSpan w:val="2"/>
                  <w:vMerge w:val="restart"/>
                  <w:tcBorders>
                    <w:tl2br w:val="nil"/>
                    <w:tr2bl w:val="nil"/>
                  </w:tcBorders>
                  <w:vAlign w:val="center"/>
                </w:tcPr>
                <w:p>
                  <w:pPr>
                    <w:autoSpaceDN w:val="0"/>
                    <w:snapToGrid w:val="0"/>
                    <w:jc w:val="center"/>
                    <w:rPr>
                      <w:b/>
                      <w:bCs/>
                      <w:color w:val="auto"/>
                      <w:szCs w:val="21"/>
                    </w:rPr>
                  </w:pPr>
                  <w:r>
                    <w:rPr>
                      <w:rFonts w:hint="eastAsia" w:hAnsi="宋体"/>
                      <w:b/>
                      <w:bCs/>
                      <w:color w:val="auto"/>
                      <w:szCs w:val="21"/>
                    </w:rPr>
                    <w:t>监测时间</w:t>
                  </w:r>
                </w:p>
              </w:tc>
              <w:tc>
                <w:tcPr>
                  <w:tcW w:w="2606" w:type="dxa"/>
                  <w:gridSpan w:val="2"/>
                  <w:tcBorders>
                    <w:tl2br w:val="nil"/>
                    <w:tr2bl w:val="nil"/>
                  </w:tcBorders>
                  <w:vAlign w:val="center"/>
                </w:tcPr>
                <w:p>
                  <w:pPr>
                    <w:widowControl/>
                    <w:autoSpaceDN w:val="0"/>
                    <w:jc w:val="center"/>
                    <w:rPr>
                      <w:b/>
                      <w:bCs/>
                      <w:color w:val="auto"/>
                      <w:kern w:val="0"/>
                      <w:szCs w:val="21"/>
                    </w:rPr>
                  </w:pPr>
                  <w:r>
                    <w:rPr>
                      <w:b/>
                      <w:bCs/>
                      <w:color w:val="auto"/>
                      <w:kern w:val="0"/>
                      <w:szCs w:val="21"/>
                    </w:rPr>
                    <w:t>SO</w:t>
                  </w:r>
                  <w:r>
                    <w:rPr>
                      <w:b/>
                      <w:bCs/>
                      <w:color w:val="auto"/>
                      <w:kern w:val="0"/>
                      <w:szCs w:val="21"/>
                      <w:vertAlign w:val="subscript"/>
                    </w:rPr>
                    <w:t>2</w:t>
                  </w:r>
                </w:p>
              </w:tc>
              <w:tc>
                <w:tcPr>
                  <w:tcW w:w="2607" w:type="dxa"/>
                  <w:gridSpan w:val="2"/>
                  <w:tcBorders>
                    <w:tl2br w:val="nil"/>
                    <w:tr2bl w:val="nil"/>
                  </w:tcBorders>
                  <w:vAlign w:val="center"/>
                </w:tcPr>
                <w:p>
                  <w:pPr>
                    <w:widowControl/>
                    <w:autoSpaceDN w:val="0"/>
                    <w:jc w:val="center"/>
                    <w:rPr>
                      <w:b/>
                      <w:bCs/>
                      <w:color w:val="auto"/>
                      <w:kern w:val="0"/>
                      <w:szCs w:val="21"/>
                    </w:rPr>
                  </w:pPr>
                  <w:r>
                    <w:rPr>
                      <w:b/>
                      <w:bCs/>
                      <w:color w:val="auto"/>
                      <w:kern w:val="0"/>
                      <w:szCs w:val="21"/>
                    </w:rPr>
                    <w:t>NO</w:t>
                  </w:r>
                  <w:r>
                    <w:rPr>
                      <w:b/>
                      <w:bCs/>
                      <w:color w:val="auto"/>
                      <w:kern w:val="0"/>
                      <w:szCs w:val="21"/>
                      <w:vertAlign w:val="subscript"/>
                    </w:rPr>
                    <w:t>2</w:t>
                  </w:r>
                </w:p>
              </w:tc>
              <w:tc>
                <w:tcPr>
                  <w:tcW w:w="1310" w:type="dxa"/>
                  <w:vMerge w:val="restart"/>
                  <w:tcBorders>
                    <w:tl2br w:val="nil"/>
                    <w:tr2bl w:val="nil"/>
                  </w:tcBorders>
                  <w:vAlign w:val="center"/>
                </w:tcPr>
                <w:p>
                  <w:pPr>
                    <w:widowControl/>
                    <w:autoSpaceDN w:val="0"/>
                    <w:jc w:val="center"/>
                    <w:rPr>
                      <w:rFonts w:hAnsi="宋体"/>
                      <w:b/>
                      <w:bCs/>
                      <w:color w:val="auto"/>
                      <w:kern w:val="0"/>
                      <w:szCs w:val="21"/>
                      <w:vertAlign w:val="subscript"/>
                    </w:rPr>
                  </w:pPr>
                  <w:r>
                    <w:rPr>
                      <w:b/>
                      <w:bCs/>
                      <w:color w:val="auto"/>
                      <w:kern w:val="0"/>
                      <w:szCs w:val="21"/>
                    </w:rPr>
                    <w:t>P</w:t>
                  </w:r>
                  <w:r>
                    <w:rPr>
                      <w:rFonts w:hint="eastAsia" w:hAnsi="宋体"/>
                      <w:b/>
                      <w:bCs/>
                      <w:color w:val="auto"/>
                      <w:kern w:val="0"/>
                      <w:szCs w:val="21"/>
                    </w:rPr>
                    <w:t>M</w:t>
                  </w:r>
                  <w:r>
                    <w:rPr>
                      <w:rFonts w:hint="eastAsia" w:hAnsi="宋体"/>
                      <w:b/>
                      <w:bCs/>
                      <w:color w:val="auto"/>
                      <w:kern w:val="0"/>
                      <w:szCs w:val="21"/>
                      <w:vertAlign w:val="subscript"/>
                    </w:rPr>
                    <w:t>10</w:t>
                  </w:r>
                </w:p>
                <w:p>
                  <w:pPr>
                    <w:widowControl/>
                    <w:autoSpaceDN w:val="0"/>
                    <w:jc w:val="center"/>
                    <w:rPr>
                      <w:b/>
                      <w:bCs/>
                      <w:color w:val="auto"/>
                      <w:kern w:val="0"/>
                      <w:szCs w:val="21"/>
                    </w:rPr>
                  </w:pPr>
                  <w:r>
                    <w:rPr>
                      <w:spacing w:val="-20"/>
                      <w:kern w:val="0"/>
                      <w:szCs w:val="21"/>
                    </w:rPr>
                    <w:t>24h</w:t>
                  </w:r>
                  <w:r>
                    <w:rPr>
                      <w:rFonts w:hAnsi="宋体"/>
                      <w:spacing w:val="-20"/>
                      <w:kern w:val="0"/>
                      <w:szCs w:val="21"/>
                    </w:rPr>
                    <w:t>平均值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546" w:hRule="exact"/>
                <w:jc w:val="center"/>
              </w:trPr>
              <w:tc>
                <w:tcPr>
                  <w:tcW w:w="1084" w:type="dxa"/>
                  <w:vMerge w:val="continue"/>
                  <w:tcBorders>
                    <w:tl2br w:val="nil"/>
                    <w:tr2bl w:val="nil"/>
                  </w:tcBorders>
                  <w:vAlign w:val="center"/>
                </w:tcPr>
                <w:p>
                  <w:pPr>
                    <w:widowControl/>
                    <w:jc w:val="left"/>
                    <w:rPr>
                      <w:b/>
                      <w:bCs/>
                      <w:color w:val="auto"/>
                      <w:szCs w:val="21"/>
                    </w:rPr>
                  </w:pPr>
                </w:p>
              </w:tc>
              <w:tc>
                <w:tcPr>
                  <w:tcW w:w="1465" w:type="dxa"/>
                  <w:gridSpan w:val="2"/>
                  <w:vMerge w:val="continue"/>
                  <w:tcBorders>
                    <w:tl2br w:val="nil"/>
                    <w:tr2bl w:val="nil"/>
                  </w:tcBorders>
                  <w:vAlign w:val="center"/>
                </w:tcPr>
                <w:p>
                  <w:pPr>
                    <w:widowControl/>
                    <w:jc w:val="center"/>
                    <w:rPr>
                      <w:b/>
                      <w:bCs/>
                      <w:color w:val="auto"/>
                      <w:szCs w:val="21"/>
                    </w:rPr>
                  </w:pPr>
                </w:p>
              </w:tc>
              <w:tc>
                <w:tcPr>
                  <w:tcW w:w="1303" w:type="dxa"/>
                  <w:tcBorders>
                    <w:tl2br w:val="nil"/>
                    <w:tr2bl w:val="nil"/>
                  </w:tcBorders>
                  <w:vAlign w:val="center"/>
                </w:tcPr>
                <w:p>
                  <w:pPr>
                    <w:widowControl/>
                    <w:jc w:val="center"/>
                    <w:rPr>
                      <w:rFonts w:ascii="Calibri" w:hAnsi="Calibri" w:cs="宋体"/>
                      <w:color w:val="auto"/>
                      <w:kern w:val="0"/>
                      <w:szCs w:val="21"/>
                    </w:rPr>
                  </w:pPr>
                  <w:r>
                    <w:rPr>
                      <w:spacing w:val="-20"/>
                      <w:kern w:val="0"/>
                      <w:szCs w:val="21"/>
                    </w:rPr>
                    <w:t>1h</w:t>
                  </w:r>
                  <w:r>
                    <w:rPr>
                      <w:rFonts w:hAnsi="宋体"/>
                      <w:spacing w:val="-20"/>
                      <w:kern w:val="0"/>
                      <w:szCs w:val="21"/>
                    </w:rPr>
                    <w:t>平均值</w:t>
                  </w:r>
                </w:p>
              </w:tc>
              <w:tc>
                <w:tcPr>
                  <w:tcW w:w="1303" w:type="dxa"/>
                  <w:tcBorders>
                    <w:tl2br w:val="nil"/>
                    <w:tr2bl w:val="nil"/>
                  </w:tcBorders>
                  <w:vAlign w:val="center"/>
                </w:tcPr>
                <w:p>
                  <w:pPr>
                    <w:autoSpaceDN w:val="0"/>
                    <w:jc w:val="center"/>
                    <w:rPr>
                      <w:rFonts w:ascii="Calibri" w:hAnsi="Calibri" w:cs="宋体"/>
                      <w:color w:val="auto"/>
                      <w:kern w:val="0"/>
                      <w:szCs w:val="21"/>
                    </w:rPr>
                  </w:pPr>
                  <w:r>
                    <w:rPr>
                      <w:spacing w:val="-20"/>
                      <w:kern w:val="0"/>
                      <w:szCs w:val="21"/>
                    </w:rPr>
                    <w:t>24h</w:t>
                  </w:r>
                  <w:r>
                    <w:rPr>
                      <w:rFonts w:hAnsi="宋体"/>
                      <w:spacing w:val="-20"/>
                      <w:kern w:val="0"/>
                      <w:szCs w:val="21"/>
                    </w:rPr>
                    <w:t>平均值</w:t>
                  </w:r>
                </w:p>
              </w:tc>
              <w:tc>
                <w:tcPr>
                  <w:tcW w:w="1303" w:type="dxa"/>
                  <w:tcBorders>
                    <w:tl2br w:val="nil"/>
                    <w:tr2bl w:val="nil"/>
                  </w:tcBorders>
                  <w:vAlign w:val="center"/>
                </w:tcPr>
                <w:p>
                  <w:pPr>
                    <w:widowControl/>
                    <w:jc w:val="center"/>
                    <w:rPr>
                      <w:rFonts w:ascii="Calibri" w:hAnsi="Calibri" w:cs="宋体"/>
                      <w:color w:val="auto"/>
                      <w:kern w:val="0"/>
                      <w:szCs w:val="21"/>
                    </w:rPr>
                  </w:pPr>
                  <w:r>
                    <w:rPr>
                      <w:spacing w:val="-20"/>
                      <w:kern w:val="0"/>
                      <w:szCs w:val="21"/>
                    </w:rPr>
                    <w:t>1h</w:t>
                  </w:r>
                  <w:r>
                    <w:rPr>
                      <w:rFonts w:hAnsi="宋体"/>
                      <w:spacing w:val="-20"/>
                      <w:kern w:val="0"/>
                      <w:szCs w:val="21"/>
                    </w:rPr>
                    <w:t>平均值</w:t>
                  </w:r>
                </w:p>
              </w:tc>
              <w:tc>
                <w:tcPr>
                  <w:tcW w:w="1304" w:type="dxa"/>
                  <w:tcBorders>
                    <w:tl2br w:val="nil"/>
                    <w:tr2bl w:val="nil"/>
                  </w:tcBorders>
                  <w:vAlign w:val="center"/>
                </w:tcPr>
                <w:p>
                  <w:pPr>
                    <w:autoSpaceDN w:val="0"/>
                    <w:jc w:val="center"/>
                    <w:rPr>
                      <w:rFonts w:ascii="Calibri" w:hAnsi="Calibri" w:cs="宋体"/>
                      <w:color w:val="auto"/>
                      <w:kern w:val="0"/>
                      <w:szCs w:val="21"/>
                    </w:rPr>
                  </w:pPr>
                  <w:r>
                    <w:rPr>
                      <w:spacing w:val="-20"/>
                      <w:kern w:val="0"/>
                      <w:szCs w:val="21"/>
                    </w:rPr>
                    <w:t>24h</w:t>
                  </w:r>
                  <w:r>
                    <w:rPr>
                      <w:rFonts w:hAnsi="宋体"/>
                      <w:spacing w:val="-20"/>
                      <w:kern w:val="0"/>
                      <w:szCs w:val="21"/>
                    </w:rPr>
                    <w:t>平均值</w:t>
                  </w:r>
                </w:p>
              </w:tc>
              <w:tc>
                <w:tcPr>
                  <w:tcW w:w="1310" w:type="dxa"/>
                  <w:vMerge w:val="continue"/>
                  <w:tcBorders>
                    <w:tl2br w:val="nil"/>
                    <w:tr2bl w:val="nil"/>
                  </w:tcBorders>
                  <w:vAlign w:val="center"/>
                </w:tcPr>
                <w:p>
                  <w:pPr>
                    <w:widowControl/>
                    <w:jc w:val="center"/>
                    <w:rPr>
                      <w:b/>
                      <w:bCs/>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49" w:hRule="exact"/>
                <w:jc w:val="center"/>
              </w:trPr>
              <w:tc>
                <w:tcPr>
                  <w:tcW w:w="1084" w:type="dxa"/>
                  <w:vMerge w:val="restart"/>
                  <w:tcBorders>
                    <w:tl2br w:val="nil"/>
                    <w:tr2bl w:val="nil"/>
                  </w:tcBorders>
                  <w:vAlign w:val="center"/>
                </w:tcPr>
                <w:p>
                  <w:pPr>
                    <w:autoSpaceDN w:val="0"/>
                    <w:snapToGrid w:val="0"/>
                    <w:jc w:val="left"/>
                    <w:rPr>
                      <w:rFonts w:hint="eastAsia" w:eastAsia="宋体"/>
                      <w:bCs/>
                      <w:color w:val="auto"/>
                      <w:szCs w:val="21"/>
                      <w:lang w:eastAsia="zh-CN"/>
                    </w:rPr>
                  </w:pPr>
                  <w:r>
                    <w:rPr>
                      <w:rFonts w:hint="eastAsia"/>
                      <w:color w:val="auto"/>
                      <w:sz w:val="21"/>
                      <w:szCs w:val="21"/>
                      <w:lang w:eastAsia="zh-CN"/>
                    </w:rPr>
                    <w:t>石管子村</w:t>
                  </w:r>
                </w:p>
              </w:tc>
              <w:tc>
                <w:tcPr>
                  <w:tcW w:w="1465" w:type="dxa"/>
                  <w:gridSpan w:val="2"/>
                  <w:tcBorders>
                    <w:tl2br w:val="nil"/>
                    <w:tr2bl w:val="nil"/>
                  </w:tcBorders>
                  <w:vAlign w:val="center"/>
                </w:tcPr>
                <w:p>
                  <w:pPr>
                    <w:autoSpaceDN w:val="0"/>
                    <w:snapToGrid w:val="0"/>
                    <w:jc w:val="center"/>
                    <w:rPr>
                      <w:rFonts w:hint="eastAsia" w:eastAsia="宋体"/>
                      <w:color w:val="auto"/>
                      <w:kern w:val="0"/>
                      <w:szCs w:val="21"/>
                      <w:lang w:eastAsia="zh-CN"/>
                    </w:rPr>
                  </w:pPr>
                  <w:r>
                    <w:rPr>
                      <w:rFonts w:hint="eastAsia" w:hAnsi="宋体"/>
                      <w:color w:val="auto"/>
                      <w:szCs w:val="21"/>
                      <w:lang w:val="en-US" w:eastAsia="zh-CN"/>
                    </w:rPr>
                    <w:t>2017.8.8</w:t>
                  </w:r>
                </w:p>
              </w:tc>
              <w:tc>
                <w:tcPr>
                  <w:tcW w:w="1303" w:type="dxa"/>
                  <w:tcBorders>
                    <w:tl2br w:val="nil"/>
                    <w:tr2bl w:val="nil"/>
                  </w:tcBorders>
                  <w:vAlign w:val="center"/>
                </w:tcPr>
                <w:p>
                  <w:pPr>
                    <w:widowControl/>
                    <w:autoSpaceDN w:val="0"/>
                    <w:jc w:val="center"/>
                    <w:rPr>
                      <w:rFonts w:hint="eastAsia" w:eastAsia="宋体"/>
                      <w:color w:val="auto"/>
                      <w:kern w:val="0"/>
                      <w:szCs w:val="21"/>
                      <w:lang w:val="en-US" w:eastAsia="zh-CN"/>
                    </w:rPr>
                  </w:pPr>
                  <w:r>
                    <w:rPr>
                      <w:rFonts w:hint="eastAsia"/>
                      <w:color w:val="auto"/>
                      <w:kern w:val="0"/>
                      <w:szCs w:val="21"/>
                      <w:lang w:val="en-US" w:eastAsia="zh-CN"/>
                    </w:rPr>
                    <w:t>17~23</w:t>
                  </w:r>
                </w:p>
              </w:tc>
              <w:tc>
                <w:tcPr>
                  <w:tcW w:w="1303" w:type="dxa"/>
                  <w:tcBorders>
                    <w:tl2br w:val="nil"/>
                    <w:tr2bl w:val="nil"/>
                  </w:tcBorders>
                  <w:vAlign w:val="center"/>
                </w:tcPr>
                <w:p>
                  <w:pPr>
                    <w:jc w:val="center"/>
                    <w:rPr>
                      <w:rFonts w:hint="eastAsia" w:eastAsia="宋体"/>
                      <w:color w:val="auto"/>
                      <w:kern w:val="0"/>
                      <w:szCs w:val="21"/>
                      <w:lang w:eastAsia="zh-CN"/>
                    </w:rPr>
                  </w:pPr>
                  <w:r>
                    <w:rPr>
                      <w:rFonts w:hint="eastAsia"/>
                      <w:szCs w:val="21"/>
                      <w:lang w:val="en-US" w:eastAsia="zh-CN"/>
                    </w:rPr>
                    <w:t>18</w:t>
                  </w:r>
                </w:p>
              </w:tc>
              <w:tc>
                <w:tcPr>
                  <w:tcW w:w="1303" w:type="dxa"/>
                  <w:tcBorders>
                    <w:tl2br w:val="nil"/>
                    <w:tr2bl w:val="nil"/>
                  </w:tcBorders>
                  <w:vAlign w:val="center"/>
                </w:tcPr>
                <w:p>
                  <w:pPr>
                    <w:widowControl/>
                    <w:autoSpaceDN w:val="0"/>
                    <w:jc w:val="center"/>
                    <w:rPr>
                      <w:rFonts w:hint="eastAsia" w:eastAsia="宋体"/>
                      <w:color w:val="auto"/>
                      <w:kern w:val="0"/>
                      <w:szCs w:val="21"/>
                      <w:lang w:val="en-US" w:eastAsia="zh-CN"/>
                    </w:rPr>
                  </w:pPr>
                  <w:r>
                    <w:rPr>
                      <w:rFonts w:hint="eastAsia"/>
                      <w:color w:val="auto"/>
                      <w:kern w:val="0"/>
                      <w:szCs w:val="21"/>
                      <w:lang w:val="en-US" w:eastAsia="zh-CN"/>
                    </w:rPr>
                    <w:t>33~38</w:t>
                  </w:r>
                </w:p>
              </w:tc>
              <w:tc>
                <w:tcPr>
                  <w:tcW w:w="1304" w:type="dxa"/>
                  <w:tcBorders>
                    <w:tl2br w:val="nil"/>
                    <w:tr2bl w:val="nil"/>
                  </w:tcBorders>
                  <w:vAlign w:val="center"/>
                </w:tcPr>
                <w:p>
                  <w:pPr>
                    <w:jc w:val="center"/>
                    <w:rPr>
                      <w:rFonts w:hint="eastAsia" w:eastAsia="宋体"/>
                      <w:color w:val="auto"/>
                      <w:kern w:val="0"/>
                      <w:szCs w:val="21"/>
                      <w:lang w:val="en-US" w:eastAsia="zh-CN"/>
                    </w:rPr>
                  </w:pPr>
                  <w:r>
                    <w:rPr>
                      <w:rFonts w:hint="eastAsia"/>
                      <w:szCs w:val="21"/>
                      <w:lang w:val="en-US" w:eastAsia="zh-CN"/>
                    </w:rPr>
                    <w:t>35</w:t>
                  </w:r>
                </w:p>
              </w:tc>
              <w:tc>
                <w:tcPr>
                  <w:tcW w:w="1310" w:type="dxa"/>
                  <w:tcBorders>
                    <w:tl2br w:val="nil"/>
                    <w:tr2bl w:val="nil"/>
                  </w:tcBorders>
                  <w:vAlign w:val="center"/>
                </w:tcPr>
                <w:p>
                  <w:pPr>
                    <w:jc w:val="center"/>
                    <w:rPr>
                      <w:rFonts w:hint="eastAsia" w:eastAsia="宋体"/>
                      <w:color w:val="auto"/>
                      <w:kern w:val="0"/>
                      <w:szCs w:val="21"/>
                      <w:lang w:eastAsia="zh-CN"/>
                    </w:rPr>
                  </w:pPr>
                  <w:r>
                    <w:rPr>
                      <w:rFonts w:hint="eastAsia"/>
                      <w:szCs w:val="21"/>
                      <w:lang w:val="en-US" w:eastAsia="zh-CN"/>
                    </w:rPr>
                    <w:t>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1084" w:type="dxa"/>
                  <w:vMerge w:val="continue"/>
                  <w:tcBorders>
                    <w:tl2br w:val="nil"/>
                    <w:tr2bl w:val="nil"/>
                  </w:tcBorders>
                  <w:vAlign w:val="center"/>
                </w:tcPr>
                <w:p>
                  <w:pPr>
                    <w:widowControl/>
                    <w:jc w:val="left"/>
                    <w:rPr>
                      <w:b/>
                      <w:bCs/>
                      <w:color w:val="auto"/>
                      <w:szCs w:val="21"/>
                    </w:rPr>
                  </w:pPr>
                </w:p>
              </w:tc>
              <w:tc>
                <w:tcPr>
                  <w:tcW w:w="1465" w:type="dxa"/>
                  <w:gridSpan w:val="2"/>
                  <w:tcBorders>
                    <w:tl2br w:val="nil"/>
                    <w:tr2bl w:val="nil"/>
                  </w:tcBorders>
                  <w:vAlign w:val="center"/>
                </w:tcPr>
                <w:p>
                  <w:pPr>
                    <w:jc w:val="center"/>
                    <w:rPr>
                      <w:color w:val="auto"/>
                    </w:rPr>
                  </w:pPr>
                  <w:r>
                    <w:rPr>
                      <w:rFonts w:hint="eastAsia" w:hAnsi="宋体"/>
                      <w:color w:val="auto"/>
                      <w:szCs w:val="21"/>
                      <w:lang w:val="en-US" w:eastAsia="zh-CN"/>
                    </w:rPr>
                    <w:t>2017.8.9</w:t>
                  </w:r>
                </w:p>
              </w:tc>
              <w:tc>
                <w:tcPr>
                  <w:tcW w:w="1303" w:type="dxa"/>
                  <w:tcBorders>
                    <w:tl2br w:val="nil"/>
                    <w:tr2bl w:val="nil"/>
                  </w:tcBorders>
                  <w:vAlign w:val="center"/>
                </w:tcPr>
                <w:p>
                  <w:pPr>
                    <w:widowControl/>
                    <w:autoSpaceDN w:val="0"/>
                    <w:jc w:val="center"/>
                    <w:rPr>
                      <w:rFonts w:hint="eastAsia" w:eastAsia="宋体"/>
                      <w:color w:val="auto"/>
                      <w:kern w:val="0"/>
                      <w:szCs w:val="21"/>
                      <w:lang w:val="en-US" w:eastAsia="zh-CN"/>
                    </w:rPr>
                  </w:pPr>
                  <w:r>
                    <w:rPr>
                      <w:rFonts w:hint="eastAsia"/>
                      <w:color w:val="auto"/>
                      <w:kern w:val="0"/>
                      <w:szCs w:val="21"/>
                      <w:lang w:val="en-US" w:eastAsia="zh-CN"/>
                    </w:rPr>
                    <w:t>16~24</w:t>
                  </w:r>
                </w:p>
              </w:tc>
              <w:tc>
                <w:tcPr>
                  <w:tcW w:w="1303" w:type="dxa"/>
                  <w:tcBorders>
                    <w:tl2br w:val="nil"/>
                    <w:tr2bl w:val="nil"/>
                  </w:tcBorders>
                  <w:vAlign w:val="center"/>
                </w:tcPr>
                <w:p>
                  <w:pPr>
                    <w:jc w:val="center"/>
                    <w:rPr>
                      <w:rFonts w:hint="eastAsia" w:eastAsia="宋体"/>
                      <w:color w:val="auto"/>
                      <w:kern w:val="0"/>
                      <w:szCs w:val="21"/>
                      <w:lang w:eastAsia="zh-CN"/>
                    </w:rPr>
                  </w:pPr>
                  <w:r>
                    <w:rPr>
                      <w:rFonts w:hint="eastAsia"/>
                      <w:szCs w:val="21"/>
                      <w:lang w:val="en-US" w:eastAsia="zh-CN"/>
                    </w:rPr>
                    <w:t>17</w:t>
                  </w:r>
                </w:p>
              </w:tc>
              <w:tc>
                <w:tcPr>
                  <w:tcW w:w="1303" w:type="dxa"/>
                  <w:tcBorders>
                    <w:tl2br w:val="nil"/>
                    <w:tr2bl w:val="nil"/>
                  </w:tcBorders>
                  <w:vAlign w:val="center"/>
                </w:tcPr>
                <w:p>
                  <w:pPr>
                    <w:widowControl/>
                    <w:autoSpaceDN w:val="0"/>
                    <w:jc w:val="center"/>
                    <w:rPr>
                      <w:rFonts w:hint="eastAsia" w:eastAsia="宋体"/>
                      <w:color w:val="auto"/>
                      <w:kern w:val="0"/>
                      <w:szCs w:val="21"/>
                      <w:lang w:val="en-US" w:eastAsia="zh-CN"/>
                    </w:rPr>
                  </w:pPr>
                  <w:r>
                    <w:rPr>
                      <w:rFonts w:hint="eastAsia"/>
                      <w:color w:val="auto"/>
                      <w:kern w:val="0"/>
                      <w:szCs w:val="21"/>
                      <w:lang w:val="en-US" w:eastAsia="zh-CN"/>
                    </w:rPr>
                    <w:t>36~41</w:t>
                  </w:r>
                </w:p>
              </w:tc>
              <w:tc>
                <w:tcPr>
                  <w:tcW w:w="1304" w:type="dxa"/>
                  <w:tcBorders>
                    <w:tl2br w:val="nil"/>
                    <w:tr2bl w:val="nil"/>
                  </w:tcBorders>
                  <w:vAlign w:val="center"/>
                </w:tcPr>
                <w:p>
                  <w:pPr>
                    <w:jc w:val="center"/>
                    <w:rPr>
                      <w:rFonts w:hint="eastAsia" w:eastAsia="宋体"/>
                      <w:color w:val="auto"/>
                      <w:kern w:val="0"/>
                      <w:szCs w:val="21"/>
                      <w:lang w:val="en-US" w:eastAsia="zh-CN"/>
                    </w:rPr>
                  </w:pPr>
                  <w:r>
                    <w:rPr>
                      <w:rFonts w:hint="eastAsia"/>
                      <w:szCs w:val="21"/>
                      <w:lang w:val="en-US" w:eastAsia="zh-CN"/>
                    </w:rPr>
                    <w:t>37</w:t>
                  </w:r>
                </w:p>
              </w:tc>
              <w:tc>
                <w:tcPr>
                  <w:tcW w:w="1310" w:type="dxa"/>
                  <w:tcBorders>
                    <w:tl2br w:val="nil"/>
                    <w:tr2bl w:val="nil"/>
                  </w:tcBorders>
                  <w:vAlign w:val="center"/>
                </w:tcPr>
                <w:p>
                  <w:pPr>
                    <w:jc w:val="center"/>
                    <w:rPr>
                      <w:rFonts w:hint="eastAsia" w:eastAsia="宋体"/>
                      <w:color w:val="auto"/>
                      <w:kern w:val="0"/>
                      <w:szCs w:val="21"/>
                      <w:lang w:val="en-US" w:eastAsia="zh-CN"/>
                    </w:rPr>
                  </w:pPr>
                  <w:r>
                    <w:rPr>
                      <w:rFonts w:hint="eastAsia"/>
                      <w:szCs w:val="21"/>
                      <w:lang w:val="en-US" w:eastAsia="zh-CN"/>
                    </w:rPr>
                    <w:t>101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1084" w:type="dxa"/>
                  <w:vMerge w:val="continue"/>
                  <w:tcBorders>
                    <w:tl2br w:val="nil"/>
                    <w:tr2bl w:val="nil"/>
                  </w:tcBorders>
                  <w:vAlign w:val="center"/>
                </w:tcPr>
                <w:p>
                  <w:pPr>
                    <w:widowControl/>
                    <w:jc w:val="left"/>
                    <w:rPr>
                      <w:b/>
                      <w:bCs/>
                      <w:color w:val="auto"/>
                      <w:szCs w:val="21"/>
                    </w:rPr>
                  </w:pPr>
                </w:p>
              </w:tc>
              <w:tc>
                <w:tcPr>
                  <w:tcW w:w="1465" w:type="dxa"/>
                  <w:gridSpan w:val="2"/>
                  <w:tcBorders>
                    <w:tl2br w:val="nil"/>
                    <w:tr2bl w:val="nil"/>
                  </w:tcBorders>
                  <w:vAlign w:val="center"/>
                </w:tcPr>
                <w:p>
                  <w:pPr>
                    <w:jc w:val="center"/>
                    <w:rPr>
                      <w:color w:val="auto"/>
                    </w:rPr>
                  </w:pPr>
                  <w:r>
                    <w:rPr>
                      <w:rFonts w:hint="eastAsia" w:hAnsi="宋体"/>
                      <w:color w:val="auto"/>
                      <w:szCs w:val="21"/>
                      <w:lang w:val="en-US" w:eastAsia="zh-CN"/>
                    </w:rPr>
                    <w:t>2017.8.10</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20~26</w:t>
                  </w:r>
                </w:p>
              </w:tc>
              <w:tc>
                <w:tcPr>
                  <w:tcW w:w="1303" w:type="dxa"/>
                  <w:tcBorders>
                    <w:tl2br w:val="nil"/>
                    <w:tr2bl w:val="nil"/>
                  </w:tcBorders>
                  <w:vAlign w:val="center"/>
                </w:tcPr>
                <w:p>
                  <w:pPr>
                    <w:jc w:val="center"/>
                    <w:rPr>
                      <w:rFonts w:hint="eastAsia" w:eastAsia="宋体"/>
                      <w:color w:val="auto"/>
                      <w:szCs w:val="21"/>
                      <w:lang w:eastAsia="zh-CN"/>
                    </w:rPr>
                  </w:pPr>
                  <w:r>
                    <w:rPr>
                      <w:rFonts w:hint="eastAsia"/>
                      <w:szCs w:val="21"/>
                      <w:lang w:val="en-US" w:eastAsia="zh-CN"/>
                    </w:rPr>
                    <w:t>21</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33~41</w:t>
                  </w:r>
                </w:p>
              </w:tc>
              <w:tc>
                <w:tcPr>
                  <w:tcW w:w="1304" w:type="dxa"/>
                  <w:tcBorders>
                    <w:tl2br w:val="nil"/>
                    <w:tr2bl w:val="nil"/>
                  </w:tcBorders>
                  <w:vAlign w:val="center"/>
                </w:tcPr>
                <w:p>
                  <w:pPr>
                    <w:jc w:val="center"/>
                    <w:rPr>
                      <w:rFonts w:hint="eastAsia" w:eastAsia="宋体"/>
                      <w:color w:val="auto"/>
                      <w:szCs w:val="21"/>
                      <w:lang w:val="en-US" w:eastAsia="zh-CN"/>
                    </w:rPr>
                  </w:pPr>
                  <w:r>
                    <w:rPr>
                      <w:rFonts w:hint="eastAsia"/>
                      <w:szCs w:val="21"/>
                      <w:lang w:val="en-US" w:eastAsia="zh-CN"/>
                    </w:rPr>
                    <w:t>36</w:t>
                  </w:r>
                </w:p>
              </w:tc>
              <w:tc>
                <w:tcPr>
                  <w:tcW w:w="1310" w:type="dxa"/>
                  <w:tcBorders>
                    <w:tl2br w:val="nil"/>
                    <w:tr2bl w:val="nil"/>
                  </w:tcBorders>
                  <w:vAlign w:val="center"/>
                </w:tcPr>
                <w:p>
                  <w:pPr>
                    <w:jc w:val="center"/>
                    <w:rPr>
                      <w:color w:val="auto"/>
                      <w:szCs w:val="21"/>
                    </w:rPr>
                  </w:pPr>
                  <w:r>
                    <w:rPr>
                      <w:rFonts w:hint="eastAsia"/>
                      <w:szCs w:val="21"/>
                      <w:lang w:val="en-US" w:eastAsia="zh-CN"/>
                    </w:rPr>
                    <w:t>87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1084" w:type="dxa"/>
                  <w:vMerge w:val="continue"/>
                  <w:tcBorders>
                    <w:tl2br w:val="nil"/>
                    <w:tr2bl w:val="nil"/>
                  </w:tcBorders>
                  <w:vAlign w:val="center"/>
                </w:tcPr>
                <w:p>
                  <w:pPr>
                    <w:widowControl/>
                    <w:jc w:val="left"/>
                    <w:rPr>
                      <w:b/>
                      <w:bCs/>
                      <w:color w:val="auto"/>
                      <w:szCs w:val="21"/>
                    </w:rPr>
                  </w:pPr>
                </w:p>
              </w:tc>
              <w:tc>
                <w:tcPr>
                  <w:tcW w:w="1465" w:type="dxa"/>
                  <w:gridSpan w:val="2"/>
                  <w:tcBorders>
                    <w:tl2br w:val="nil"/>
                    <w:tr2bl w:val="nil"/>
                  </w:tcBorders>
                  <w:vAlign w:val="center"/>
                </w:tcPr>
                <w:p>
                  <w:pPr>
                    <w:jc w:val="center"/>
                    <w:rPr>
                      <w:color w:val="auto"/>
                    </w:rPr>
                  </w:pPr>
                  <w:r>
                    <w:rPr>
                      <w:rFonts w:hint="eastAsia" w:hAnsi="宋体"/>
                      <w:color w:val="auto"/>
                      <w:szCs w:val="21"/>
                      <w:lang w:val="en-US" w:eastAsia="zh-CN"/>
                    </w:rPr>
                    <w:t>2017.8.11</w:t>
                  </w:r>
                </w:p>
              </w:tc>
              <w:tc>
                <w:tcPr>
                  <w:tcW w:w="1303" w:type="dxa"/>
                  <w:tcBorders>
                    <w:tl2br w:val="nil"/>
                    <w:tr2bl w:val="nil"/>
                  </w:tcBorders>
                  <w:vAlign w:val="center"/>
                </w:tcPr>
                <w:p>
                  <w:pPr>
                    <w:jc w:val="center"/>
                    <w:rPr>
                      <w:rFonts w:hint="eastAsia" w:eastAsia="宋体"/>
                      <w:color w:val="auto"/>
                      <w:lang w:val="en-US" w:eastAsia="zh-CN"/>
                    </w:rPr>
                  </w:pPr>
                  <w:r>
                    <w:rPr>
                      <w:rFonts w:hint="eastAsia"/>
                      <w:color w:val="auto"/>
                      <w:lang w:val="en-US" w:eastAsia="zh-CN"/>
                    </w:rPr>
                    <w:t>19~24</w:t>
                  </w:r>
                </w:p>
              </w:tc>
              <w:tc>
                <w:tcPr>
                  <w:tcW w:w="1303" w:type="dxa"/>
                  <w:tcBorders>
                    <w:tl2br w:val="nil"/>
                    <w:tr2bl w:val="nil"/>
                  </w:tcBorders>
                  <w:vAlign w:val="center"/>
                </w:tcPr>
                <w:p>
                  <w:pPr>
                    <w:jc w:val="center"/>
                    <w:rPr>
                      <w:rFonts w:hint="eastAsia" w:eastAsia="宋体"/>
                      <w:color w:val="auto"/>
                      <w:szCs w:val="21"/>
                      <w:lang w:eastAsia="zh-CN"/>
                    </w:rPr>
                  </w:pPr>
                  <w:r>
                    <w:rPr>
                      <w:rFonts w:hint="eastAsia"/>
                      <w:szCs w:val="21"/>
                      <w:lang w:val="en-US" w:eastAsia="zh-CN"/>
                    </w:rPr>
                    <w:t>19</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34~41</w:t>
                  </w:r>
                </w:p>
              </w:tc>
              <w:tc>
                <w:tcPr>
                  <w:tcW w:w="1304" w:type="dxa"/>
                  <w:tcBorders>
                    <w:tl2br w:val="nil"/>
                    <w:tr2bl w:val="nil"/>
                  </w:tcBorders>
                  <w:vAlign w:val="center"/>
                </w:tcPr>
                <w:p>
                  <w:pPr>
                    <w:jc w:val="center"/>
                    <w:rPr>
                      <w:rFonts w:hint="eastAsia" w:eastAsia="宋体"/>
                      <w:color w:val="auto"/>
                      <w:szCs w:val="21"/>
                      <w:lang w:val="en-US" w:eastAsia="zh-CN"/>
                    </w:rPr>
                  </w:pPr>
                  <w:r>
                    <w:rPr>
                      <w:rFonts w:hint="eastAsia"/>
                      <w:szCs w:val="21"/>
                      <w:lang w:val="en-US" w:eastAsia="zh-CN"/>
                    </w:rPr>
                    <w:t>35</w:t>
                  </w:r>
                </w:p>
              </w:tc>
              <w:tc>
                <w:tcPr>
                  <w:tcW w:w="1310" w:type="dxa"/>
                  <w:tcBorders>
                    <w:tl2br w:val="nil"/>
                    <w:tr2bl w:val="nil"/>
                  </w:tcBorders>
                  <w:vAlign w:val="center"/>
                </w:tcPr>
                <w:p>
                  <w:pPr>
                    <w:jc w:val="center"/>
                    <w:rPr>
                      <w:color w:val="auto"/>
                      <w:szCs w:val="21"/>
                    </w:rPr>
                  </w:pPr>
                  <w:r>
                    <w:rPr>
                      <w:rFonts w:hint="eastAsia"/>
                      <w:szCs w:val="21"/>
                      <w:lang w:val="en-US" w:eastAsia="zh-CN"/>
                    </w:rPr>
                    <w:t>106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1084" w:type="dxa"/>
                  <w:vMerge w:val="continue"/>
                  <w:tcBorders>
                    <w:tl2br w:val="nil"/>
                    <w:tr2bl w:val="nil"/>
                  </w:tcBorders>
                  <w:vAlign w:val="center"/>
                </w:tcPr>
                <w:p>
                  <w:pPr>
                    <w:widowControl/>
                    <w:jc w:val="left"/>
                    <w:rPr>
                      <w:b/>
                      <w:bCs/>
                      <w:color w:val="auto"/>
                      <w:szCs w:val="21"/>
                    </w:rPr>
                  </w:pPr>
                </w:p>
              </w:tc>
              <w:tc>
                <w:tcPr>
                  <w:tcW w:w="1465" w:type="dxa"/>
                  <w:gridSpan w:val="2"/>
                  <w:tcBorders>
                    <w:tl2br w:val="nil"/>
                    <w:tr2bl w:val="nil"/>
                  </w:tcBorders>
                  <w:vAlign w:val="center"/>
                </w:tcPr>
                <w:p>
                  <w:pPr>
                    <w:jc w:val="center"/>
                    <w:rPr>
                      <w:color w:val="auto"/>
                    </w:rPr>
                  </w:pPr>
                  <w:r>
                    <w:rPr>
                      <w:rFonts w:hint="eastAsia" w:hAnsi="宋体"/>
                      <w:color w:val="auto"/>
                      <w:szCs w:val="21"/>
                      <w:lang w:val="en-US" w:eastAsia="zh-CN"/>
                    </w:rPr>
                    <w:t>2017.8.14</w:t>
                  </w:r>
                </w:p>
              </w:tc>
              <w:tc>
                <w:tcPr>
                  <w:tcW w:w="1303" w:type="dxa"/>
                  <w:tcBorders>
                    <w:tl2br w:val="nil"/>
                    <w:tr2bl w:val="nil"/>
                  </w:tcBorders>
                  <w:vAlign w:val="center"/>
                </w:tcPr>
                <w:p>
                  <w:pPr>
                    <w:jc w:val="center"/>
                    <w:rPr>
                      <w:rFonts w:hint="eastAsia" w:eastAsia="宋体"/>
                      <w:color w:val="auto"/>
                      <w:lang w:val="en-US" w:eastAsia="zh-CN"/>
                    </w:rPr>
                  </w:pPr>
                  <w:r>
                    <w:rPr>
                      <w:rFonts w:hint="eastAsia"/>
                      <w:color w:val="auto"/>
                      <w:lang w:val="en-US" w:eastAsia="zh-CN"/>
                    </w:rPr>
                    <w:t>18~26</w:t>
                  </w:r>
                </w:p>
              </w:tc>
              <w:tc>
                <w:tcPr>
                  <w:tcW w:w="1303" w:type="dxa"/>
                  <w:tcBorders>
                    <w:tl2br w:val="nil"/>
                    <w:tr2bl w:val="nil"/>
                  </w:tcBorders>
                  <w:vAlign w:val="center"/>
                </w:tcPr>
                <w:p>
                  <w:pPr>
                    <w:jc w:val="center"/>
                    <w:rPr>
                      <w:rFonts w:hint="eastAsia" w:eastAsia="宋体"/>
                      <w:color w:val="auto"/>
                      <w:szCs w:val="21"/>
                      <w:lang w:eastAsia="zh-CN"/>
                    </w:rPr>
                  </w:pPr>
                  <w:r>
                    <w:rPr>
                      <w:rFonts w:hint="eastAsia"/>
                      <w:szCs w:val="21"/>
                      <w:lang w:val="en-US" w:eastAsia="zh-CN"/>
                    </w:rPr>
                    <w:t>17</w:t>
                  </w:r>
                </w:p>
              </w:tc>
              <w:tc>
                <w:tcPr>
                  <w:tcW w:w="1303" w:type="dxa"/>
                  <w:tcBorders>
                    <w:tl2br w:val="nil"/>
                    <w:tr2bl w:val="nil"/>
                  </w:tcBorders>
                  <w:vAlign w:val="center"/>
                </w:tcPr>
                <w:p>
                  <w:pPr>
                    <w:autoSpaceDN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34~40</w:t>
                  </w:r>
                </w:p>
              </w:tc>
              <w:tc>
                <w:tcPr>
                  <w:tcW w:w="1304" w:type="dxa"/>
                  <w:tcBorders>
                    <w:tl2br w:val="nil"/>
                    <w:tr2bl w:val="nil"/>
                  </w:tcBorders>
                  <w:vAlign w:val="center"/>
                </w:tcPr>
                <w:p>
                  <w:pPr>
                    <w:jc w:val="center"/>
                    <w:rPr>
                      <w:rFonts w:hint="eastAsia" w:eastAsia="宋体"/>
                      <w:color w:val="auto"/>
                      <w:szCs w:val="21"/>
                      <w:highlight w:val="none"/>
                      <w:lang w:val="en-US" w:eastAsia="zh-CN"/>
                    </w:rPr>
                  </w:pPr>
                  <w:r>
                    <w:rPr>
                      <w:rFonts w:hint="eastAsia"/>
                      <w:szCs w:val="21"/>
                      <w:highlight w:val="none"/>
                      <w:lang w:val="en-US" w:eastAsia="zh-CN"/>
                    </w:rPr>
                    <w:t>38</w:t>
                  </w:r>
                </w:p>
              </w:tc>
              <w:tc>
                <w:tcPr>
                  <w:tcW w:w="1310" w:type="dxa"/>
                  <w:tcBorders>
                    <w:tl2br w:val="nil"/>
                    <w:tr2bl w:val="nil"/>
                  </w:tcBorders>
                  <w:vAlign w:val="center"/>
                </w:tcPr>
                <w:p>
                  <w:pPr>
                    <w:jc w:val="center"/>
                    <w:rPr>
                      <w:rFonts w:hint="eastAsia" w:eastAsia="宋体"/>
                      <w:color w:val="auto"/>
                      <w:szCs w:val="21"/>
                      <w:highlight w:val="none"/>
                      <w:lang w:val="en-US" w:eastAsia="zh-CN"/>
                    </w:rPr>
                  </w:pPr>
                  <w:r>
                    <w:rPr>
                      <w:rFonts w:hint="eastAsia"/>
                      <w:szCs w:val="21"/>
                      <w:highlight w:val="none"/>
                      <w:lang w:val="en-US" w:eastAsia="zh-CN"/>
                    </w:rPr>
                    <w:t>112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1084" w:type="dxa"/>
                  <w:vMerge w:val="continue"/>
                  <w:tcBorders>
                    <w:tl2br w:val="nil"/>
                    <w:tr2bl w:val="nil"/>
                  </w:tcBorders>
                  <w:vAlign w:val="center"/>
                </w:tcPr>
                <w:p>
                  <w:pPr>
                    <w:widowControl/>
                    <w:jc w:val="left"/>
                    <w:rPr>
                      <w:b/>
                      <w:bCs/>
                      <w:color w:val="auto"/>
                      <w:szCs w:val="21"/>
                    </w:rPr>
                  </w:pPr>
                </w:p>
              </w:tc>
              <w:tc>
                <w:tcPr>
                  <w:tcW w:w="1465" w:type="dxa"/>
                  <w:gridSpan w:val="2"/>
                  <w:tcBorders>
                    <w:tl2br w:val="nil"/>
                    <w:tr2bl w:val="nil"/>
                  </w:tcBorders>
                  <w:vAlign w:val="center"/>
                </w:tcPr>
                <w:p>
                  <w:pPr>
                    <w:jc w:val="center"/>
                    <w:rPr>
                      <w:color w:val="auto"/>
                    </w:rPr>
                  </w:pPr>
                  <w:r>
                    <w:rPr>
                      <w:rFonts w:hint="eastAsia" w:hAnsi="宋体"/>
                      <w:color w:val="auto"/>
                      <w:szCs w:val="21"/>
                      <w:lang w:val="en-US" w:eastAsia="zh-CN"/>
                    </w:rPr>
                    <w:t>2017.8.15</w:t>
                  </w:r>
                </w:p>
              </w:tc>
              <w:tc>
                <w:tcPr>
                  <w:tcW w:w="1303" w:type="dxa"/>
                  <w:tcBorders>
                    <w:tl2br w:val="nil"/>
                    <w:tr2bl w:val="nil"/>
                  </w:tcBorders>
                  <w:vAlign w:val="center"/>
                </w:tcPr>
                <w:p>
                  <w:pPr>
                    <w:jc w:val="center"/>
                    <w:rPr>
                      <w:rFonts w:hint="eastAsia" w:eastAsia="宋体"/>
                      <w:color w:val="auto"/>
                      <w:lang w:val="en-US" w:eastAsia="zh-CN"/>
                    </w:rPr>
                  </w:pPr>
                  <w:r>
                    <w:rPr>
                      <w:rFonts w:hint="eastAsia"/>
                      <w:color w:val="auto"/>
                      <w:lang w:val="en-US" w:eastAsia="zh-CN"/>
                    </w:rPr>
                    <w:t>20~25</w:t>
                  </w:r>
                </w:p>
              </w:tc>
              <w:tc>
                <w:tcPr>
                  <w:tcW w:w="1303" w:type="dxa"/>
                  <w:tcBorders>
                    <w:tl2br w:val="nil"/>
                    <w:tr2bl w:val="nil"/>
                  </w:tcBorders>
                  <w:vAlign w:val="center"/>
                </w:tcPr>
                <w:p>
                  <w:pPr>
                    <w:jc w:val="center"/>
                    <w:rPr>
                      <w:color w:val="auto"/>
                      <w:szCs w:val="21"/>
                      <w:highlight w:val="yellow"/>
                    </w:rPr>
                  </w:pPr>
                  <w:r>
                    <w:rPr>
                      <w:rFonts w:hint="eastAsia"/>
                      <w:szCs w:val="21"/>
                      <w:lang w:val="en-US" w:eastAsia="zh-CN"/>
                    </w:rPr>
                    <w:t>21</w:t>
                  </w:r>
                </w:p>
              </w:tc>
              <w:tc>
                <w:tcPr>
                  <w:tcW w:w="1303" w:type="dxa"/>
                  <w:tcBorders>
                    <w:tl2br w:val="nil"/>
                    <w:tr2bl w:val="nil"/>
                  </w:tcBorders>
                  <w:vAlign w:val="center"/>
                </w:tcPr>
                <w:p>
                  <w:pPr>
                    <w:autoSpaceDN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37~42</w:t>
                  </w:r>
                </w:p>
              </w:tc>
              <w:tc>
                <w:tcPr>
                  <w:tcW w:w="1304" w:type="dxa"/>
                  <w:tcBorders>
                    <w:tl2br w:val="nil"/>
                    <w:tr2bl w:val="nil"/>
                  </w:tcBorders>
                  <w:vAlign w:val="center"/>
                </w:tcPr>
                <w:p>
                  <w:pPr>
                    <w:jc w:val="center"/>
                    <w:rPr>
                      <w:rFonts w:hint="eastAsia" w:eastAsia="宋体"/>
                      <w:color w:val="auto"/>
                      <w:szCs w:val="21"/>
                      <w:highlight w:val="none"/>
                      <w:lang w:val="en-US" w:eastAsia="zh-CN"/>
                    </w:rPr>
                  </w:pPr>
                  <w:r>
                    <w:rPr>
                      <w:rFonts w:hint="eastAsia"/>
                      <w:szCs w:val="21"/>
                      <w:highlight w:val="none"/>
                      <w:lang w:val="en-US" w:eastAsia="zh-CN"/>
                    </w:rPr>
                    <w:t>38</w:t>
                  </w:r>
                </w:p>
              </w:tc>
              <w:tc>
                <w:tcPr>
                  <w:tcW w:w="1310" w:type="dxa"/>
                  <w:tcBorders>
                    <w:tl2br w:val="nil"/>
                    <w:tr2bl w:val="nil"/>
                  </w:tcBorders>
                  <w:vAlign w:val="center"/>
                </w:tcPr>
                <w:p>
                  <w:pPr>
                    <w:pStyle w:val="21"/>
                    <w:ind w:left="0" w:leftChars="0" w:firstLine="0" w:firstLineChars="0"/>
                    <w:jc w:val="center"/>
                    <w:rPr>
                      <w:rFonts w:hint="eastAsia" w:eastAsia="宋体"/>
                      <w:color w:val="auto"/>
                      <w:szCs w:val="21"/>
                      <w:highlight w:val="none"/>
                      <w:lang w:val="en-US" w:eastAsia="zh-CN"/>
                    </w:rPr>
                  </w:pPr>
                  <w:r>
                    <w:rPr>
                      <w:rFonts w:hint="eastAsia"/>
                      <w:color w:val="auto"/>
                      <w:szCs w:val="21"/>
                      <w:highlight w:val="none"/>
                      <w:lang w:val="en-US" w:eastAsia="zh-CN"/>
                    </w:rPr>
                    <w:t>112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1084" w:type="dxa"/>
                  <w:vMerge w:val="continue"/>
                  <w:tcBorders>
                    <w:tl2br w:val="nil"/>
                    <w:tr2bl w:val="nil"/>
                  </w:tcBorders>
                  <w:vAlign w:val="center"/>
                </w:tcPr>
                <w:p>
                  <w:pPr>
                    <w:widowControl/>
                    <w:jc w:val="left"/>
                    <w:rPr>
                      <w:b/>
                      <w:bCs/>
                      <w:color w:val="auto"/>
                      <w:szCs w:val="21"/>
                    </w:rPr>
                  </w:pPr>
                </w:p>
              </w:tc>
              <w:tc>
                <w:tcPr>
                  <w:tcW w:w="1465" w:type="dxa"/>
                  <w:gridSpan w:val="2"/>
                  <w:tcBorders>
                    <w:tl2br w:val="nil"/>
                    <w:tr2bl w:val="nil"/>
                  </w:tcBorders>
                  <w:vAlign w:val="center"/>
                </w:tcPr>
                <w:p>
                  <w:pPr>
                    <w:jc w:val="center"/>
                    <w:rPr>
                      <w:color w:val="auto"/>
                    </w:rPr>
                  </w:pPr>
                  <w:r>
                    <w:rPr>
                      <w:rFonts w:hint="eastAsia" w:hAnsi="宋体"/>
                      <w:color w:val="auto"/>
                      <w:szCs w:val="21"/>
                      <w:lang w:val="en-US" w:eastAsia="zh-CN"/>
                    </w:rPr>
                    <w:t>2017.8.16</w:t>
                  </w:r>
                </w:p>
              </w:tc>
              <w:tc>
                <w:tcPr>
                  <w:tcW w:w="1303" w:type="dxa"/>
                  <w:tcBorders>
                    <w:tl2br w:val="nil"/>
                    <w:tr2bl w:val="nil"/>
                  </w:tcBorders>
                  <w:vAlign w:val="center"/>
                </w:tcPr>
                <w:p>
                  <w:pPr>
                    <w:jc w:val="center"/>
                    <w:rPr>
                      <w:rFonts w:hint="eastAsia" w:eastAsia="宋体"/>
                      <w:color w:val="auto"/>
                      <w:lang w:val="en-US" w:eastAsia="zh-CN"/>
                    </w:rPr>
                  </w:pPr>
                  <w:r>
                    <w:rPr>
                      <w:rFonts w:hint="eastAsia"/>
                      <w:color w:val="auto"/>
                      <w:lang w:val="en-US" w:eastAsia="zh-CN"/>
                    </w:rPr>
                    <w:t>22~27</w:t>
                  </w:r>
                </w:p>
              </w:tc>
              <w:tc>
                <w:tcPr>
                  <w:tcW w:w="1303" w:type="dxa"/>
                  <w:tcBorders>
                    <w:tl2br w:val="nil"/>
                    <w:tr2bl w:val="nil"/>
                  </w:tcBorders>
                  <w:vAlign w:val="center"/>
                </w:tcPr>
                <w:p>
                  <w:pPr>
                    <w:jc w:val="center"/>
                    <w:rPr>
                      <w:rFonts w:hint="eastAsia" w:eastAsia="宋体"/>
                      <w:color w:val="auto"/>
                      <w:szCs w:val="21"/>
                      <w:highlight w:val="yellow"/>
                      <w:lang w:val="en-US" w:eastAsia="zh-CN"/>
                    </w:rPr>
                  </w:pPr>
                  <w:r>
                    <w:rPr>
                      <w:rFonts w:hint="eastAsia"/>
                      <w:szCs w:val="21"/>
                      <w:lang w:val="en-US" w:eastAsia="zh-CN"/>
                    </w:rPr>
                    <w:t>22</w:t>
                  </w:r>
                </w:p>
              </w:tc>
              <w:tc>
                <w:tcPr>
                  <w:tcW w:w="1303" w:type="dxa"/>
                  <w:tcBorders>
                    <w:tl2br w:val="nil"/>
                    <w:tr2bl w:val="nil"/>
                  </w:tcBorders>
                  <w:vAlign w:val="center"/>
                </w:tcPr>
                <w:p>
                  <w:pPr>
                    <w:autoSpaceDN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33~40</w:t>
                  </w:r>
                </w:p>
              </w:tc>
              <w:tc>
                <w:tcPr>
                  <w:tcW w:w="1304" w:type="dxa"/>
                  <w:tcBorders>
                    <w:tl2br w:val="nil"/>
                    <w:tr2bl w:val="nil"/>
                  </w:tcBorders>
                  <w:vAlign w:val="center"/>
                </w:tcPr>
                <w:p>
                  <w:pPr>
                    <w:jc w:val="center"/>
                    <w:rPr>
                      <w:rFonts w:hint="eastAsia" w:eastAsia="宋体"/>
                      <w:color w:val="auto"/>
                      <w:szCs w:val="21"/>
                      <w:highlight w:val="none"/>
                      <w:lang w:val="en-US" w:eastAsia="zh-CN"/>
                    </w:rPr>
                  </w:pPr>
                  <w:r>
                    <w:rPr>
                      <w:rFonts w:hint="eastAsia"/>
                      <w:szCs w:val="21"/>
                      <w:highlight w:val="none"/>
                      <w:lang w:val="en-US" w:eastAsia="zh-CN"/>
                    </w:rPr>
                    <w:t>37</w:t>
                  </w:r>
                </w:p>
              </w:tc>
              <w:tc>
                <w:tcPr>
                  <w:tcW w:w="1310"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108</w:t>
                  </w:r>
                </w:p>
                <w:p>
                  <w:pPr>
                    <w:jc w:val="center"/>
                    <w:rPr>
                      <w:rFonts w:hint="eastAsia"/>
                      <w:szCs w:val="21"/>
                      <w:highlight w:val="none"/>
                      <w:lang w:val="en-US" w:eastAsia="zh-CN"/>
                    </w:rPr>
                  </w:pPr>
                </w:p>
                <w:p>
                  <w:pPr>
                    <w:jc w:val="center"/>
                    <w:rPr>
                      <w:rFonts w:hint="eastAsia" w:eastAsia="宋体"/>
                      <w:color w:val="auto"/>
                      <w:szCs w:val="21"/>
                      <w:highlight w:val="none"/>
                      <w:lang w:val="en-US" w:eastAsia="zh-CN"/>
                    </w:rPr>
                  </w:pPr>
                  <w:r>
                    <w:rPr>
                      <w:rFonts w:hint="eastAsia"/>
                      <w:szCs w:val="21"/>
                      <w:highlight w:val="none"/>
                      <w:lang w:val="en-US" w:eastAsia="zh-CN"/>
                    </w:rPr>
                    <w:t>108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2549" w:type="dxa"/>
                  <w:gridSpan w:val="3"/>
                  <w:tcBorders>
                    <w:tl2br w:val="nil"/>
                    <w:tr2bl w:val="nil"/>
                  </w:tcBorders>
                  <w:vAlign w:val="center"/>
                </w:tcPr>
                <w:p>
                  <w:pPr>
                    <w:autoSpaceDN w:val="0"/>
                    <w:snapToGrid w:val="0"/>
                    <w:jc w:val="center"/>
                    <w:rPr>
                      <w:color w:val="auto"/>
                      <w:szCs w:val="21"/>
                    </w:rPr>
                  </w:pPr>
                  <w:r>
                    <w:rPr>
                      <w:color w:val="auto"/>
                      <w:szCs w:val="21"/>
                    </w:rPr>
                    <w:t>超标率（%）</w:t>
                  </w:r>
                </w:p>
              </w:tc>
              <w:tc>
                <w:tcPr>
                  <w:tcW w:w="1303" w:type="dxa"/>
                  <w:tcBorders>
                    <w:tl2br w:val="nil"/>
                    <w:tr2bl w:val="nil"/>
                  </w:tcBorders>
                  <w:vAlign w:val="center"/>
                </w:tcPr>
                <w:p>
                  <w:pPr>
                    <w:autoSpaceDN w:val="0"/>
                    <w:snapToGrid w:val="0"/>
                    <w:jc w:val="center"/>
                    <w:rPr>
                      <w:color w:val="auto"/>
                      <w:kern w:val="0"/>
                      <w:szCs w:val="21"/>
                    </w:rPr>
                  </w:pPr>
                  <w:r>
                    <w:rPr>
                      <w:rFonts w:hint="eastAsia"/>
                      <w:color w:val="auto"/>
                      <w:kern w:val="0"/>
                      <w:szCs w:val="21"/>
                    </w:rPr>
                    <w:t>0</w:t>
                  </w:r>
                </w:p>
              </w:tc>
              <w:tc>
                <w:tcPr>
                  <w:tcW w:w="1303" w:type="dxa"/>
                  <w:tcBorders>
                    <w:tl2br w:val="nil"/>
                    <w:tr2bl w:val="nil"/>
                  </w:tcBorders>
                  <w:vAlign w:val="center"/>
                </w:tcPr>
                <w:p>
                  <w:pPr>
                    <w:autoSpaceDN w:val="0"/>
                    <w:snapToGrid w:val="0"/>
                    <w:jc w:val="center"/>
                    <w:rPr>
                      <w:color w:val="auto"/>
                      <w:szCs w:val="21"/>
                    </w:rPr>
                  </w:pPr>
                  <w:r>
                    <w:rPr>
                      <w:rFonts w:hint="eastAsia"/>
                      <w:color w:val="auto"/>
                      <w:szCs w:val="21"/>
                    </w:rPr>
                    <w:t>0</w:t>
                  </w:r>
                </w:p>
              </w:tc>
              <w:tc>
                <w:tcPr>
                  <w:tcW w:w="1303" w:type="dxa"/>
                  <w:tcBorders>
                    <w:tl2br w:val="nil"/>
                    <w:tr2bl w:val="nil"/>
                  </w:tcBorders>
                  <w:vAlign w:val="center"/>
                </w:tcPr>
                <w:p>
                  <w:pPr>
                    <w:autoSpaceDN w:val="0"/>
                    <w:snapToGrid w:val="0"/>
                    <w:jc w:val="center"/>
                    <w:rPr>
                      <w:color w:val="auto"/>
                      <w:kern w:val="0"/>
                      <w:szCs w:val="21"/>
                    </w:rPr>
                  </w:pPr>
                  <w:r>
                    <w:rPr>
                      <w:rFonts w:hint="eastAsia"/>
                      <w:color w:val="auto"/>
                      <w:kern w:val="0"/>
                      <w:szCs w:val="21"/>
                    </w:rPr>
                    <w:t>0</w:t>
                  </w:r>
                </w:p>
              </w:tc>
              <w:tc>
                <w:tcPr>
                  <w:tcW w:w="1304" w:type="dxa"/>
                  <w:tcBorders>
                    <w:tl2br w:val="nil"/>
                    <w:tr2bl w:val="nil"/>
                  </w:tcBorders>
                  <w:vAlign w:val="center"/>
                </w:tcPr>
                <w:p>
                  <w:pPr>
                    <w:autoSpaceDN w:val="0"/>
                    <w:snapToGrid w:val="0"/>
                    <w:jc w:val="center"/>
                    <w:rPr>
                      <w:color w:val="auto"/>
                      <w:szCs w:val="21"/>
                    </w:rPr>
                  </w:pPr>
                  <w:r>
                    <w:rPr>
                      <w:rFonts w:hint="eastAsia"/>
                      <w:color w:val="auto"/>
                      <w:szCs w:val="21"/>
                    </w:rPr>
                    <w:t>0</w:t>
                  </w:r>
                </w:p>
              </w:tc>
              <w:tc>
                <w:tcPr>
                  <w:tcW w:w="1310" w:type="dxa"/>
                  <w:tcBorders>
                    <w:tl2br w:val="nil"/>
                    <w:tr2bl w:val="nil"/>
                  </w:tcBorders>
                  <w:vAlign w:val="center"/>
                </w:tcPr>
                <w:p>
                  <w:pPr>
                    <w:autoSpaceDN w:val="0"/>
                    <w:snapToGrid w:val="0"/>
                    <w:jc w:val="center"/>
                    <w:rPr>
                      <w:rFonts w:hint="eastAsia" w:eastAsia="宋体"/>
                      <w:color w:val="auto"/>
                      <w:szCs w:val="21"/>
                      <w:lang w:eastAsia="zh-CN"/>
                    </w:rPr>
                  </w:pPr>
                  <w:r>
                    <w:rPr>
                      <w:rFonts w:hint="eastAsia"/>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2549" w:type="dxa"/>
                  <w:gridSpan w:val="3"/>
                  <w:tcBorders>
                    <w:tl2br w:val="nil"/>
                    <w:tr2bl w:val="nil"/>
                  </w:tcBorders>
                  <w:vAlign w:val="center"/>
                </w:tcPr>
                <w:p>
                  <w:pPr>
                    <w:autoSpaceDN w:val="0"/>
                    <w:snapToGrid w:val="0"/>
                    <w:jc w:val="center"/>
                    <w:rPr>
                      <w:color w:val="auto"/>
                      <w:szCs w:val="21"/>
                    </w:rPr>
                  </w:pPr>
                  <w:r>
                    <w:rPr>
                      <w:color w:val="auto"/>
                      <w:szCs w:val="21"/>
                    </w:rPr>
                    <w:t>最大</w:t>
                  </w:r>
                  <w:r>
                    <w:rPr>
                      <w:rFonts w:hint="eastAsia" w:hAnsi="宋体"/>
                      <w:color w:val="auto"/>
                      <w:szCs w:val="21"/>
                    </w:rPr>
                    <w:t>超标倍数</w:t>
                  </w:r>
                </w:p>
              </w:tc>
              <w:tc>
                <w:tcPr>
                  <w:tcW w:w="1303" w:type="dxa"/>
                  <w:tcBorders>
                    <w:tl2br w:val="nil"/>
                    <w:tr2bl w:val="nil"/>
                  </w:tcBorders>
                  <w:vAlign w:val="center"/>
                </w:tcPr>
                <w:p>
                  <w:pPr>
                    <w:autoSpaceDN w:val="0"/>
                    <w:snapToGrid w:val="0"/>
                    <w:jc w:val="center"/>
                    <w:rPr>
                      <w:color w:val="auto"/>
                      <w:kern w:val="0"/>
                      <w:szCs w:val="21"/>
                    </w:rPr>
                  </w:pPr>
                  <w:r>
                    <w:rPr>
                      <w:rFonts w:hint="eastAsia"/>
                      <w:color w:val="auto"/>
                      <w:kern w:val="0"/>
                      <w:szCs w:val="21"/>
                    </w:rPr>
                    <w:t>0</w:t>
                  </w:r>
                </w:p>
              </w:tc>
              <w:tc>
                <w:tcPr>
                  <w:tcW w:w="1303" w:type="dxa"/>
                  <w:tcBorders>
                    <w:tl2br w:val="nil"/>
                    <w:tr2bl w:val="nil"/>
                  </w:tcBorders>
                  <w:vAlign w:val="center"/>
                </w:tcPr>
                <w:p>
                  <w:pPr>
                    <w:autoSpaceDN w:val="0"/>
                    <w:snapToGrid w:val="0"/>
                    <w:jc w:val="center"/>
                    <w:rPr>
                      <w:color w:val="auto"/>
                      <w:szCs w:val="21"/>
                    </w:rPr>
                  </w:pPr>
                  <w:r>
                    <w:rPr>
                      <w:rFonts w:hint="eastAsia"/>
                      <w:color w:val="auto"/>
                      <w:szCs w:val="21"/>
                    </w:rPr>
                    <w:t>0</w:t>
                  </w:r>
                </w:p>
              </w:tc>
              <w:tc>
                <w:tcPr>
                  <w:tcW w:w="1303" w:type="dxa"/>
                  <w:tcBorders>
                    <w:tl2br w:val="nil"/>
                    <w:tr2bl w:val="nil"/>
                  </w:tcBorders>
                  <w:vAlign w:val="center"/>
                </w:tcPr>
                <w:p>
                  <w:pPr>
                    <w:autoSpaceDN w:val="0"/>
                    <w:snapToGrid w:val="0"/>
                    <w:jc w:val="center"/>
                    <w:rPr>
                      <w:color w:val="auto"/>
                      <w:kern w:val="0"/>
                      <w:szCs w:val="21"/>
                    </w:rPr>
                  </w:pPr>
                  <w:r>
                    <w:rPr>
                      <w:rFonts w:hint="eastAsia"/>
                      <w:color w:val="auto"/>
                      <w:kern w:val="0"/>
                      <w:szCs w:val="21"/>
                    </w:rPr>
                    <w:t>0</w:t>
                  </w:r>
                </w:p>
              </w:tc>
              <w:tc>
                <w:tcPr>
                  <w:tcW w:w="1304" w:type="dxa"/>
                  <w:tcBorders>
                    <w:tl2br w:val="nil"/>
                    <w:tr2bl w:val="nil"/>
                  </w:tcBorders>
                  <w:vAlign w:val="center"/>
                </w:tcPr>
                <w:p>
                  <w:pPr>
                    <w:autoSpaceDN w:val="0"/>
                    <w:snapToGrid w:val="0"/>
                    <w:jc w:val="center"/>
                    <w:rPr>
                      <w:color w:val="auto"/>
                      <w:szCs w:val="21"/>
                    </w:rPr>
                  </w:pPr>
                  <w:r>
                    <w:rPr>
                      <w:rFonts w:hint="eastAsia"/>
                      <w:color w:val="auto"/>
                      <w:szCs w:val="21"/>
                    </w:rPr>
                    <w:t>0</w:t>
                  </w:r>
                </w:p>
              </w:tc>
              <w:tc>
                <w:tcPr>
                  <w:tcW w:w="1310" w:type="dxa"/>
                  <w:tcBorders>
                    <w:tl2br w:val="nil"/>
                    <w:tr2bl w:val="nil"/>
                  </w:tcBorders>
                  <w:vAlign w:val="center"/>
                </w:tcPr>
                <w:p>
                  <w:pPr>
                    <w:autoSpaceDN w:val="0"/>
                    <w:snapToGrid w:val="0"/>
                    <w:jc w:val="center"/>
                    <w:rPr>
                      <w:rFonts w:hint="eastAsia" w:eastAsia="宋体"/>
                      <w:color w:val="auto"/>
                      <w:szCs w:val="21"/>
                      <w:lang w:eastAsia="zh-CN"/>
                    </w:rPr>
                  </w:pPr>
                  <w:r>
                    <w:rPr>
                      <w:rFonts w:hint="eastAsia"/>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47" w:hRule="exact"/>
                <w:jc w:val="center"/>
              </w:trPr>
              <w:tc>
                <w:tcPr>
                  <w:tcW w:w="2549" w:type="dxa"/>
                  <w:gridSpan w:val="3"/>
                  <w:tcBorders>
                    <w:tl2br w:val="nil"/>
                    <w:tr2bl w:val="nil"/>
                  </w:tcBorders>
                  <w:vAlign w:val="center"/>
                </w:tcPr>
                <w:p>
                  <w:pPr>
                    <w:autoSpaceDN w:val="0"/>
                    <w:snapToGrid w:val="0"/>
                    <w:jc w:val="center"/>
                    <w:rPr>
                      <w:color w:val="auto"/>
                      <w:szCs w:val="21"/>
                    </w:rPr>
                  </w:pPr>
                  <w:r>
                    <w:rPr>
                      <w:bCs/>
                      <w:color w:val="auto"/>
                      <w:szCs w:val="21"/>
                    </w:rPr>
                    <w:t>GB3095-</w:t>
                  </w:r>
                  <w:r>
                    <w:rPr>
                      <w:rFonts w:hint="eastAsia" w:hAnsi="宋体"/>
                      <w:bCs/>
                      <w:color w:val="auto"/>
                      <w:szCs w:val="21"/>
                    </w:rPr>
                    <w:t>2012</w:t>
                  </w:r>
                  <w:r>
                    <w:rPr>
                      <w:bCs/>
                      <w:color w:val="auto"/>
                      <w:szCs w:val="21"/>
                    </w:rPr>
                    <w:t>二级标准</w:t>
                  </w:r>
                </w:p>
              </w:tc>
              <w:tc>
                <w:tcPr>
                  <w:tcW w:w="1303" w:type="dxa"/>
                  <w:tcBorders>
                    <w:tl2br w:val="nil"/>
                    <w:tr2bl w:val="nil"/>
                  </w:tcBorders>
                  <w:vAlign w:val="center"/>
                </w:tcPr>
                <w:p>
                  <w:pPr>
                    <w:autoSpaceDN w:val="0"/>
                    <w:snapToGrid w:val="0"/>
                    <w:jc w:val="center"/>
                    <w:rPr>
                      <w:color w:val="auto"/>
                      <w:szCs w:val="21"/>
                    </w:rPr>
                  </w:pPr>
                  <w:r>
                    <w:rPr>
                      <w:rFonts w:hint="eastAsia"/>
                      <w:color w:val="auto"/>
                      <w:szCs w:val="21"/>
                    </w:rPr>
                    <w:t>500</w:t>
                  </w:r>
                </w:p>
              </w:tc>
              <w:tc>
                <w:tcPr>
                  <w:tcW w:w="1303" w:type="dxa"/>
                  <w:tcBorders>
                    <w:tl2br w:val="nil"/>
                    <w:tr2bl w:val="nil"/>
                  </w:tcBorders>
                  <w:vAlign w:val="center"/>
                </w:tcPr>
                <w:p>
                  <w:pPr>
                    <w:autoSpaceDN w:val="0"/>
                    <w:snapToGrid w:val="0"/>
                    <w:jc w:val="center"/>
                    <w:rPr>
                      <w:color w:val="auto"/>
                      <w:szCs w:val="21"/>
                    </w:rPr>
                  </w:pPr>
                  <w:r>
                    <w:rPr>
                      <w:rFonts w:hint="eastAsia"/>
                      <w:color w:val="auto"/>
                      <w:szCs w:val="21"/>
                    </w:rPr>
                    <w:t>150</w:t>
                  </w:r>
                </w:p>
              </w:tc>
              <w:tc>
                <w:tcPr>
                  <w:tcW w:w="1303" w:type="dxa"/>
                  <w:tcBorders>
                    <w:tl2br w:val="nil"/>
                    <w:tr2bl w:val="nil"/>
                  </w:tcBorders>
                  <w:vAlign w:val="center"/>
                </w:tcPr>
                <w:p>
                  <w:pPr>
                    <w:autoSpaceDN w:val="0"/>
                    <w:snapToGrid w:val="0"/>
                    <w:jc w:val="center"/>
                    <w:rPr>
                      <w:color w:val="auto"/>
                      <w:szCs w:val="21"/>
                    </w:rPr>
                  </w:pPr>
                  <w:r>
                    <w:rPr>
                      <w:rFonts w:hint="eastAsia"/>
                      <w:color w:val="auto"/>
                      <w:szCs w:val="21"/>
                    </w:rPr>
                    <w:t>200</w:t>
                  </w:r>
                </w:p>
              </w:tc>
              <w:tc>
                <w:tcPr>
                  <w:tcW w:w="1304" w:type="dxa"/>
                  <w:tcBorders>
                    <w:tl2br w:val="nil"/>
                    <w:tr2bl w:val="nil"/>
                  </w:tcBorders>
                  <w:vAlign w:val="center"/>
                </w:tcPr>
                <w:p>
                  <w:pPr>
                    <w:autoSpaceDN w:val="0"/>
                    <w:snapToGrid w:val="0"/>
                    <w:jc w:val="center"/>
                    <w:rPr>
                      <w:color w:val="auto"/>
                      <w:szCs w:val="21"/>
                    </w:rPr>
                  </w:pPr>
                  <w:r>
                    <w:rPr>
                      <w:rFonts w:hint="eastAsia"/>
                      <w:color w:val="auto"/>
                      <w:szCs w:val="21"/>
                    </w:rPr>
                    <w:t>80</w:t>
                  </w:r>
                </w:p>
              </w:tc>
              <w:tc>
                <w:tcPr>
                  <w:tcW w:w="1310" w:type="dxa"/>
                  <w:tcBorders>
                    <w:tl2br w:val="nil"/>
                    <w:tr2bl w:val="nil"/>
                  </w:tcBorders>
                  <w:vAlign w:val="center"/>
                </w:tcPr>
                <w:p>
                  <w:pPr>
                    <w:autoSpaceDN w:val="0"/>
                    <w:snapToGrid w:val="0"/>
                    <w:jc w:val="center"/>
                    <w:rPr>
                      <w:color w:val="auto"/>
                      <w:szCs w:val="21"/>
                    </w:rPr>
                  </w:pPr>
                  <w:r>
                    <w:rPr>
                      <w:rFonts w:hint="eastAsia"/>
                      <w:color w:val="auto"/>
                      <w:szCs w:val="21"/>
                    </w:rPr>
                    <w:t>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96" w:type="dxa"/>
                  <w:gridSpan w:val="2"/>
                  <w:vMerge w:val="restart"/>
                  <w:tcBorders>
                    <w:tl2br w:val="nil"/>
                    <w:tr2bl w:val="nil"/>
                  </w:tcBorders>
                  <w:vAlign w:val="center"/>
                </w:tcPr>
                <w:p>
                  <w:pPr>
                    <w:autoSpaceDN w:val="0"/>
                    <w:snapToGrid w:val="0"/>
                    <w:jc w:val="center"/>
                    <w:rPr>
                      <w:rFonts w:hint="eastAsia" w:eastAsia="宋体"/>
                      <w:bCs/>
                      <w:color w:val="auto"/>
                      <w:szCs w:val="21"/>
                      <w:lang w:eastAsia="zh-CN"/>
                    </w:rPr>
                  </w:pPr>
                  <w:r>
                    <w:rPr>
                      <w:rFonts w:hint="eastAsia"/>
                      <w:bCs/>
                      <w:color w:val="auto"/>
                      <w:szCs w:val="21"/>
                      <w:lang w:eastAsia="zh-CN"/>
                    </w:rPr>
                    <w:t>项目地</w:t>
                  </w:r>
                </w:p>
              </w:tc>
              <w:tc>
                <w:tcPr>
                  <w:tcW w:w="1453" w:type="dxa"/>
                  <w:tcBorders>
                    <w:tl2br w:val="nil"/>
                    <w:tr2bl w:val="nil"/>
                  </w:tcBorders>
                  <w:vAlign w:val="center"/>
                </w:tcPr>
                <w:p>
                  <w:pPr>
                    <w:autoSpaceDN w:val="0"/>
                    <w:snapToGrid w:val="0"/>
                    <w:jc w:val="center"/>
                    <w:rPr>
                      <w:bCs/>
                      <w:color w:val="auto"/>
                      <w:szCs w:val="21"/>
                    </w:rPr>
                  </w:pPr>
                  <w:r>
                    <w:rPr>
                      <w:rFonts w:hint="eastAsia" w:hAnsi="宋体"/>
                      <w:color w:val="auto"/>
                      <w:szCs w:val="21"/>
                      <w:lang w:val="en-US" w:eastAsia="zh-CN"/>
                    </w:rPr>
                    <w:t>2017.8.8</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22~32</w:t>
                  </w:r>
                </w:p>
              </w:tc>
              <w:tc>
                <w:tcPr>
                  <w:tcW w:w="1303" w:type="dxa"/>
                  <w:tcBorders>
                    <w:tl2br w:val="nil"/>
                    <w:tr2bl w:val="nil"/>
                  </w:tcBorders>
                  <w:vAlign w:val="center"/>
                </w:tcPr>
                <w:p>
                  <w:pPr>
                    <w:jc w:val="center"/>
                    <w:rPr>
                      <w:rFonts w:hint="eastAsia"/>
                      <w:color w:val="auto"/>
                      <w:szCs w:val="21"/>
                    </w:rPr>
                  </w:pPr>
                  <w:r>
                    <w:rPr>
                      <w:rFonts w:hint="eastAsia"/>
                      <w:szCs w:val="21"/>
                      <w:lang w:val="en-US" w:eastAsia="zh-CN"/>
                    </w:rPr>
                    <w:t>22</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33~38</w:t>
                  </w:r>
                </w:p>
              </w:tc>
              <w:tc>
                <w:tcPr>
                  <w:tcW w:w="1304" w:type="dxa"/>
                  <w:tcBorders>
                    <w:tl2br w:val="nil"/>
                    <w:tr2bl w:val="nil"/>
                  </w:tcBorders>
                  <w:vAlign w:val="center"/>
                </w:tcPr>
                <w:p>
                  <w:pPr>
                    <w:jc w:val="center"/>
                    <w:rPr>
                      <w:rFonts w:hint="eastAsia"/>
                      <w:color w:val="auto"/>
                      <w:szCs w:val="21"/>
                    </w:rPr>
                  </w:pPr>
                  <w:r>
                    <w:rPr>
                      <w:rFonts w:hint="eastAsia"/>
                      <w:szCs w:val="21"/>
                      <w:lang w:val="en-US" w:eastAsia="zh-CN"/>
                    </w:rPr>
                    <w:t>34</w:t>
                  </w:r>
                </w:p>
              </w:tc>
              <w:tc>
                <w:tcPr>
                  <w:tcW w:w="1310" w:type="dxa"/>
                  <w:tcBorders>
                    <w:tl2br w:val="nil"/>
                    <w:tr2bl w:val="nil"/>
                  </w:tcBorders>
                  <w:vAlign w:val="center"/>
                </w:tcPr>
                <w:p>
                  <w:pPr>
                    <w:jc w:val="center"/>
                    <w:rPr>
                      <w:rFonts w:hint="eastAsia"/>
                      <w:color w:val="auto"/>
                      <w:szCs w:val="21"/>
                    </w:rPr>
                  </w:pPr>
                  <w:r>
                    <w:rPr>
                      <w:rFonts w:hint="eastAsia"/>
                      <w:szCs w:val="21"/>
                      <w:lang w:val="en-US" w:eastAsia="zh-CN"/>
                    </w:rPr>
                    <w:t>97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96" w:type="dxa"/>
                  <w:gridSpan w:val="2"/>
                  <w:vMerge w:val="continue"/>
                  <w:tcBorders>
                    <w:tl2br w:val="nil"/>
                    <w:tr2bl w:val="nil"/>
                  </w:tcBorders>
                  <w:vAlign w:val="center"/>
                </w:tcPr>
                <w:p>
                  <w:pPr>
                    <w:autoSpaceDN w:val="0"/>
                    <w:snapToGrid w:val="0"/>
                    <w:jc w:val="center"/>
                    <w:rPr>
                      <w:bCs/>
                      <w:color w:val="auto"/>
                      <w:szCs w:val="21"/>
                    </w:rPr>
                  </w:pPr>
                </w:p>
              </w:tc>
              <w:tc>
                <w:tcPr>
                  <w:tcW w:w="1453" w:type="dxa"/>
                  <w:tcBorders>
                    <w:tl2br w:val="nil"/>
                    <w:tr2bl w:val="nil"/>
                  </w:tcBorders>
                  <w:vAlign w:val="center"/>
                </w:tcPr>
                <w:p>
                  <w:pPr>
                    <w:jc w:val="center"/>
                    <w:rPr>
                      <w:bCs/>
                      <w:color w:val="auto"/>
                      <w:szCs w:val="21"/>
                    </w:rPr>
                  </w:pPr>
                  <w:r>
                    <w:rPr>
                      <w:rFonts w:hint="eastAsia" w:hAnsi="宋体"/>
                      <w:color w:val="auto"/>
                      <w:szCs w:val="21"/>
                      <w:lang w:val="en-US" w:eastAsia="zh-CN"/>
                    </w:rPr>
                    <w:t>2017.8.9</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19~27</w:t>
                  </w:r>
                </w:p>
              </w:tc>
              <w:tc>
                <w:tcPr>
                  <w:tcW w:w="1303" w:type="dxa"/>
                  <w:tcBorders>
                    <w:tl2br w:val="nil"/>
                    <w:tr2bl w:val="nil"/>
                  </w:tcBorders>
                  <w:vAlign w:val="center"/>
                </w:tcPr>
                <w:p>
                  <w:pPr>
                    <w:jc w:val="center"/>
                    <w:rPr>
                      <w:rFonts w:hint="eastAsia"/>
                      <w:color w:val="auto"/>
                      <w:szCs w:val="21"/>
                    </w:rPr>
                  </w:pPr>
                  <w:r>
                    <w:rPr>
                      <w:rFonts w:hint="eastAsia"/>
                      <w:szCs w:val="21"/>
                      <w:lang w:val="en-US" w:eastAsia="zh-CN"/>
                    </w:rPr>
                    <w:t>21</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36~41</w:t>
                  </w:r>
                </w:p>
              </w:tc>
              <w:tc>
                <w:tcPr>
                  <w:tcW w:w="1304" w:type="dxa"/>
                  <w:tcBorders>
                    <w:tl2br w:val="nil"/>
                    <w:tr2bl w:val="nil"/>
                  </w:tcBorders>
                  <w:vAlign w:val="center"/>
                </w:tcPr>
                <w:p>
                  <w:pPr>
                    <w:jc w:val="center"/>
                    <w:rPr>
                      <w:rFonts w:hint="eastAsia"/>
                      <w:color w:val="auto"/>
                      <w:szCs w:val="21"/>
                    </w:rPr>
                  </w:pPr>
                  <w:r>
                    <w:rPr>
                      <w:rFonts w:hint="eastAsia"/>
                      <w:szCs w:val="21"/>
                      <w:lang w:val="en-US" w:eastAsia="zh-CN"/>
                    </w:rPr>
                    <w:t>37</w:t>
                  </w:r>
                </w:p>
              </w:tc>
              <w:tc>
                <w:tcPr>
                  <w:tcW w:w="1310" w:type="dxa"/>
                  <w:tcBorders>
                    <w:tl2br w:val="nil"/>
                    <w:tr2bl w:val="nil"/>
                  </w:tcBorders>
                  <w:vAlign w:val="center"/>
                </w:tcPr>
                <w:p>
                  <w:pPr>
                    <w:jc w:val="center"/>
                    <w:rPr>
                      <w:rFonts w:hint="eastAsia"/>
                      <w:color w:val="auto"/>
                      <w:szCs w:val="21"/>
                    </w:rPr>
                  </w:pPr>
                  <w:r>
                    <w:rPr>
                      <w:rFonts w:hint="eastAsia"/>
                      <w:szCs w:val="21"/>
                      <w:lang w:val="en-US" w:eastAsia="zh-CN"/>
                    </w:rPr>
                    <w:t>103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96" w:type="dxa"/>
                  <w:gridSpan w:val="2"/>
                  <w:vMerge w:val="continue"/>
                  <w:tcBorders>
                    <w:tl2br w:val="nil"/>
                    <w:tr2bl w:val="nil"/>
                  </w:tcBorders>
                  <w:vAlign w:val="center"/>
                </w:tcPr>
                <w:p>
                  <w:pPr>
                    <w:autoSpaceDN w:val="0"/>
                    <w:snapToGrid w:val="0"/>
                    <w:jc w:val="center"/>
                    <w:rPr>
                      <w:bCs/>
                      <w:color w:val="auto"/>
                      <w:szCs w:val="21"/>
                    </w:rPr>
                  </w:pPr>
                </w:p>
              </w:tc>
              <w:tc>
                <w:tcPr>
                  <w:tcW w:w="1453" w:type="dxa"/>
                  <w:tcBorders>
                    <w:tl2br w:val="nil"/>
                    <w:tr2bl w:val="nil"/>
                  </w:tcBorders>
                  <w:vAlign w:val="center"/>
                </w:tcPr>
                <w:p>
                  <w:pPr>
                    <w:jc w:val="center"/>
                    <w:rPr>
                      <w:bCs/>
                      <w:color w:val="auto"/>
                      <w:szCs w:val="21"/>
                    </w:rPr>
                  </w:pPr>
                  <w:r>
                    <w:rPr>
                      <w:rFonts w:hint="eastAsia" w:hAnsi="宋体"/>
                      <w:color w:val="auto"/>
                      <w:szCs w:val="21"/>
                      <w:lang w:val="en-US" w:eastAsia="zh-CN"/>
                    </w:rPr>
                    <w:t>2017.8.10</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21~26</w:t>
                  </w:r>
                </w:p>
              </w:tc>
              <w:tc>
                <w:tcPr>
                  <w:tcW w:w="1303" w:type="dxa"/>
                  <w:tcBorders>
                    <w:tl2br w:val="nil"/>
                    <w:tr2bl w:val="nil"/>
                  </w:tcBorders>
                  <w:vAlign w:val="center"/>
                </w:tcPr>
                <w:p>
                  <w:pPr>
                    <w:jc w:val="center"/>
                    <w:rPr>
                      <w:rFonts w:hint="eastAsia"/>
                      <w:color w:val="auto"/>
                      <w:szCs w:val="21"/>
                    </w:rPr>
                  </w:pPr>
                  <w:r>
                    <w:rPr>
                      <w:rFonts w:hint="eastAsia"/>
                      <w:szCs w:val="21"/>
                      <w:lang w:val="en-US" w:eastAsia="zh-CN"/>
                    </w:rPr>
                    <w:t>21</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33~39</w:t>
                  </w:r>
                </w:p>
              </w:tc>
              <w:tc>
                <w:tcPr>
                  <w:tcW w:w="1304" w:type="dxa"/>
                  <w:tcBorders>
                    <w:tl2br w:val="nil"/>
                    <w:tr2bl w:val="nil"/>
                  </w:tcBorders>
                  <w:vAlign w:val="center"/>
                </w:tcPr>
                <w:p>
                  <w:pPr>
                    <w:jc w:val="center"/>
                    <w:rPr>
                      <w:rFonts w:hint="eastAsia"/>
                      <w:color w:val="auto"/>
                      <w:szCs w:val="21"/>
                    </w:rPr>
                  </w:pPr>
                  <w:r>
                    <w:rPr>
                      <w:rFonts w:hint="eastAsia"/>
                      <w:szCs w:val="21"/>
                      <w:lang w:val="en-US" w:eastAsia="zh-CN"/>
                    </w:rPr>
                    <w:t>35</w:t>
                  </w:r>
                </w:p>
              </w:tc>
              <w:tc>
                <w:tcPr>
                  <w:tcW w:w="1310" w:type="dxa"/>
                  <w:tcBorders>
                    <w:tl2br w:val="nil"/>
                    <w:tr2bl w:val="nil"/>
                  </w:tcBorders>
                  <w:vAlign w:val="center"/>
                </w:tcPr>
                <w:p>
                  <w:pPr>
                    <w:jc w:val="center"/>
                    <w:rPr>
                      <w:rFonts w:hint="eastAsia"/>
                      <w:color w:val="auto"/>
                      <w:szCs w:val="21"/>
                    </w:rPr>
                  </w:pPr>
                  <w:r>
                    <w:rPr>
                      <w:rFonts w:hint="eastAsia"/>
                      <w:szCs w:val="21"/>
                      <w:lang w:val="en-US" w:eastAsia="zh-CN"/>
                    </w:rPr>
                    <w:t>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96" w:type="dxa"/>
                  <w:gridSpan w:val="2"/>
                  <w:vMerge w:val="continue"/>
                  <w:tcBorders>
                    <w:tl2br w:val="nil"/>
                    <w:tr2bl w:val="nil"/>
                  </w:tcBorders>
                  <w:vAlign w:val="center"/>
                </w:tcPr>
                <w:p>
                  <w:pPr>
                    <w:autoSpaceDN w:val="0"/>
                    <w:snapToGrid w:val="0"/>
                    <w:jc w:val="center"/>
                    <w:rPr>
                      <w:bCs/>
                      <w:color w:val="auto"/>
                      <w:szCs w:val="21"/>
                    </w:rPr>
                  </w:pPr>
                </w:p>
              </w:tc>
              <w:tc>
                <w:tcPr>
                  <w:tcW w:w="1453" w:type="dxa"/>
                  <w:tcBorders>
                    <w:tl2br w:val="nil"/>
                    <w:tr2bl w:val="nil"/>
                  </w:tcBorders>
                  <w:vAlign w:val="center"/>
                </w:tcPr>
                <w:p>
                  <w:pPr>
                    <w:jc w:val="center"/>
                    <w:rPr>
                      <w:bCs/>
                      <w:color w:val="auto"/>
                      <w:szCs w:val="21"/>
                    </w:rPr>
                  </w:pPr>
                  <w:r>
                    <w:rPr>
                      <w:rFonts w:hint="eastAsia" w:hAnsi="宋体"/>
                      <w:color w:val="auto"/>
                      <w:szCs w:val="21"/>
                      <w:lang w:val="en-US" w:eastAsia="zh-CN"/>
                    </w:rPr>
                    <w:t>2017.8.11</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20~28</w:t>
                  </w:r>
                </w:p>
              </w:tc>
              <w:tc>
                <w:tcPr>
                  <w:tcW w:w="1303" w:type="dxa"/>
                  <w:tcBorders>
                    <w:tl2br w:val="nil"/>
                    <w:tr2bl w:val="nil"/>
                  </w:tcBorders>
                  <w:vAlign w:val="center"/>
                </w:tcPr>
                <w:p>
                  <w:pPr>
                    <w:jc w:val="center"/>
                    <w:rPr>
                      <w:rFonts w:hint="eastAsia"/>
                      <w:color w:val="auto"/>
                      <w:szCs w:val="21"/>
                    </w:rPr>
                  </w:pPr>
                  <w:r>
                    <w:rPr>
                      <w:rFonts w:hint="eastAsia"/>
                      <w:szCs w:val="21"/>
                      <w:lang w:val="en-US" w:eastAsia="zh-CN"/>
                    </w:rPr>
                    <w:t>21</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34~41</w:t>
                  </w:r>
                </w:p>
              </w:tc>
              <w:tc>
                <w:tcPr>
                  <w:tcW w:w="1304" w:type="dxa"/>
                  <w:tcBorders>
                    <w:tl2br w:val="nil"/>
                    <w:tr2bl w:val="nil"/>
                  </w:tcBorders>
                  <w:vAlign w:val="center"/>
                </w:tcPr>
                <w:p>
                  <w:pPr>
                    <w:jc w:val="center"/>
                    <w:rPr>
                      <w:rFonts w:hint="eastAsia"/>
                      <w:color w:val="auto"/>
                      <w:szCs w:val="21"/>
                    </w:rPr>
                  </w:pPr>
                  <w:r>
                    <w:rPr>
                      <w:rFonts w:hint="eastAsia"/>
                      <w:szCs w:val="21"/>
                      <w:lang w:val="en-US" w:eastAsia="zh-CN"/>
                    </w:rPr>
                    <w:t>35</w:t>
                  </w:r>
                </w:p>
              </w:tc>
              <w:tc>
                <w:tcPr>
                  <w:tcW w:w="1310" w:type="dxa"/>
                  <w:tcBorders>
                    <w:tl2br w:val="nil"/>
                    <w:tr2bl w:val="nil"/>
                  </w:tcBorders>
                  <w:vAlign w:val="center"/>
                </w:tcPr>
                <w:p>
                  <w:pPr>
                    <w:jc w:val="center"/>
                    <w:rPr>
                      <w:rFonts w:hint="eastAsia"/>
                      <w:color w:val="auto"/>
                      <w:szCs w:val="21"/>
                    </w:rPr>
                  </w:pPr>
                  <w:r>
                    <w:rPr>
                      <w:rFonts w:hint="eastAsia"/>
                      <w:szCs w:val="21"/>
                      <w:lang w:val="en-US" w:eastAsia="zh-CN"/>
                    </w:rPr>
                    <w:t>105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96" w:type="dxa"/>
                  <w:gridSpan w:val="2"/>
                  <w:vMerge w:val="continue"/>
                  <w:tcBorders>
                    <w:tl2br w:val="nil"/>
                    <w:tr2bl w:val="nil"/>
                  </w:tcBorders>
                  <w:vAlign w:val="center"/>
                </w:tcPr>
                <w:p>
                  <w:pPr>
                    <w:autoSpaceDN w:val="0"/>
                    <w:snapToGrid w:val="0"/>
                    <w:jc w:val="center"/>
                    <w:rPr>
                      <w:bCs/>
                      <w:color w:val="auto"/>
                      <w:szCs w:val="21"/>
                    </w:rPr>
                  </w:pPr>
                </w:p>
              </w:tc>
              <w:tc>
                <w:tcPr>
                  <w:tcW w:w="1453" w:type="dxa"/>
                  <w:tcBorders>
                    <w:tl2br w:val="nil"/>
                    <w:tr2bl w:val="nil"/>
                  </w:tcBorders>
                  <w:vAlign w:val="center"/>
                </w:tcPr>
                <w:p>
                  <w:pPr>
                    <w:jc w:val="center"/>
                    <w:rPr>
                      <w:bCs/>
                      <w:color w:val="auto"/>
                      <w:szCs w:val="21"/>
                    </w:rPr>
                  </w:pPr>
                  <w:r>
                    <w:rPr>
                      <w:rFonts w:hint="eastAsia" w:hAnsi="宋体"/>
                      <w:color w:val="auto"/>
                      <w:szCs w:val="21"/>
                      <w:lang w:val="en-US" w:eastAsia="zh-CN"/>
                    </w:rPr>
                    <w:t>2017.8.14</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22~29</w:t>
                  </w:r>
                </w:p>
              </w:tc>
              <w:tc>
                <w:tcPr>
                  <w:tcW w:w="1303" w:type="dxa"/>
                  <w:tcBorders>
                    <w:tl2br w:val="nil"/>
                    <w:tr2bl w:val="nil"/>
                  </w:tcBorders>
                  <w:vAlign w:val="center"/>
                </w:tcPr>
                <w:p>
                  <w:pPr>
                    <w:jc w:val="center"/>
                    <w:rPr>
                      <w:rFonts w:hint="eastAsia"/>
                      <w:color w:val="auto"/>
                      <w:szCs w:val="21"/>
                    </w:rPr>
                  </w:pPr>
                  <w:r>
                    <w:rPr>
                      <w:rFonts w:hint="eastAsia"/>
                      <w:szCs w:val="21"/>
                      <w:lang w:val="en-US" w:eastAsia="zh-CN"/>
                    </w:rPr>
                    <w:t>23</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34~41</w:t>
                  </w:r>
                </w:p>
              </w:tc>
              <w:tc>
                <w:tcPr>
                  <w:tcW w:w="1304" w:type="dxa"/>
                  <w:tcBorders>
                    <w:tl2br w:val="nil"/>
                    <w:tr2bl w:val="nil"/>
                  </w:tcBorders>
                  <w:vAlign w:val="center"/>
                </w:tcPr>
                <w:p>
                  <w:pPr>
                    <w:jc w:val="center"/>
                    <w:rPr>
                      <w:rFonts w:hint="eastAsia"/>
                      <w:color w:val="auto"/>
                      <w:szCs w:val="21"/>
                    </w:rPr>
                  </w:pPr>
                  <w:r>
                    <w:rPr>
                      <w:rFonts w:hint="eastAsia"/>
                      <w:szCs w:val="21"/>
                      <w:lang w:val="en-US" w:eastAsia="zh-CN"/>
                    </w:rPr>
                    <w:t>38</w:t>
                  </w:r>
                </w:p>
              </w:tc>
              <w:tc>
                <w:tcPr>
                  <w:tcW w:w="1310" w:type="dxa"/>
                  <w:tcBorders>
                    <w:tl2br w:val="nil"/>
                    <w:tr2bl w:val="nil"/>
                  </w:tcBorders>
                  <w:vAlign w:val="center"/>
                </w:tcPr>
                <w:p>
                  <w:pPr>
                    <w:jc w:val="center"/>
                    <w:rPr>
                      <w:rFonts w:hint="eastAsia"/>
                      <w:color w:val="auto"/>
                      <w:szCs w:val="21"/>
                    </w:rPr>
                  </w:pPr>
                  <w:r>
                    <w:rPr>
                      <w:rFonts w:hint="eastAsia"/>
                      <w:szCs w:val="21"/>
                      <w:lang w:val="en-US" w:eastAsia="zh-CN"/>
                    </w:rPr>
                    <w:t>114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96" w:type="dxa"/>
                  <w:gridSpan w:val="2"/>
                  <w:vMerge w:val="continue"/>
                  <w:tcBorders>
                    <w:tl2br w:val="nil"/>
                    <w:tr2bl w:val="nil"/>
                  </w:tcBorders>
                  <w:vAlign w:val="center"/>
                </w:tcPr>
                <w:p>
                  <w:pPr>
                    <w:autoSpaceDN w:val="0"/>
                    <w:snapToGrid w:val="0"/>
                    <w:jc w:val="center"/>
                    <w:rPr>
                      <w:bCs/>
                      <w:color w:val="auto"/>
                      <w:szCs w:val="21"/>
                    </w:rPr>
                  </w:pPr>
                </w:p>
              </w:tc>
              <w:tc>
                <w:tcPr>
                  <w:tcW w:w="1453" w:type="dxa"/>
                  <w:tcBorders>
                    <w:tl2br w:val="nil"/>
                    <w:tr2bl w:val="nil"/>
                  </w:tcBorders>
                  <w:vAlign w:val="center"/>
                </w:tcPr>
                <w:p>
                  <w:pPr>
                    <w:jc w:val="center"/>
                    <w:rPr>
                      <w:bCs/>
                      <w:color w:val="auto"/>
                      <w:szCs w:val="21"/>
                    </w:rPr>
                  </w:pPr>
                  <w:r>
                    <w:rPr>
                      <w:rFonts w:hint="eastAsia" w:hAnsi="宋体"/>
                      <w:color w:val="auto"/>
                      <w:szCs w:val="21"/>
                      <w:lang w:val="en-US" w:eastAsia="zh-CN"/>
                    </w:rPr>
                    <w:t>2017.8.15</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20~26</w:t>
                  </w:r>
                </w:p>
              </w:tc>
              <w:tc>
                <w:tcPr>
                  <w:tcW w:w="1303" w:type="dxa"/>
                  <w:tcBorders>
                    <w:tl2br w:val="nil"/>
                    <w:tr2bl w:val="nil"/>
                  </w:tcBorders>
                  <w:vAlign w:val="center"/>
                </w:tcPr>
                <w:p>
                  <w:pPr>
                    <w:jc w:val="center"/>
                    <w:rPr>
                      <w:rFonts w:hint="eastAsia"/>
                      <w:color w:val="auto"/>
                      <w:szCs w:val="21"/>
                    </w:rPr>
                  </w:pPr>
                  <w:r>
                    <w:rPr>
                      <w:rFonts w:hint="eastAsia"/>
                      <w:szCs w:val="21"/>
                      <w:lang w:val="en-US" w:eastAsia="zh-CN"/>
                    </w:rPr>
                    <w:t>21</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37~42</w:t>
                  </w:r>
                </w:p>
              </w:tc>
              <w:tc>
                <w:tcPr>
                  <w:tcW w:w="1304" w:type="dxa"/>
                  <w:tcBorders>
                    <w:tl2br w:val="nil"/>
                    <w:tr2bl w:val="nil"/>
                  </w:tcBorders>
                  <w:vAlign w:val="center"/>
                </w:tcPr>
                <w:p>
                  <w:pPr>
                    <w:jc w:val="center"/>
                    <w:rPr>
                      <w:rFonts w:hint="eastAsia"/>
                      <w:color w:val="auto"/>
                      <w:szCs w:val="21"/>
                    </w:rPr>
                  </w:pPr>
                  <w:r>
                    <w:rPr>
                      <w:rFonts w:hint="eastAsia"/>
                      <w:szCs w:val="21"/>
                      <w:lang w:val="en-US" w:eastAsia="zh-CN"/>
                    </w:rPr>
                    <w:t>41</w:t>
                  </w:r>
                </w:p>
              </w:tc>
              <w:tc>
                <w:tcPr>
                  <w:tcW w:w="1310" w:type="dxa"/>
                  <w:tcBorders>
                    <w:tl2br w:val="nil"/>
                    <w:tr2bl w:val="nil"/>
                  </w:tcBorders>
                  <w:vAlign w:val="top"/>
                </w:tcPr>
                <w:p>
                  <w:pPr>
                    <w:jc w:val="center"/>
                    <w:rPr>
                      <w:rFonts w:hint="eastAsia"/>
                      <w:color w:val="auto"/>
                      <w:szCs w:val="21"/>
                    </w:rPr>
                  </w:pPr>
                  <w:r>
                    <w:rPr>
                      <w:rFonts w:hint="eastAsia"/>
                      <w:szCs w:val="21"/>
                      <w:lang w:val="en-US" w:eastAsia="zh-CN"/>
                    </w:rPr>
                    <w:t>113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96" w:type="dxa"/>
                  <w:gridSpan w:val="2"/>
                  <w:vMerge w:val="continue"/>
                  <w:tcBorders>
                    <w:tl2br w:val="nil"/>
                    <w:tr2bl w:val="nil"/>
                  </w:tcBorders>
                  <w:vAlign w:val="center"/>
                </w:tcPr>
                <w:p>
                  <w:pPr>
                    <w:autoSpaceDN w:val="0"/>
                    <w:snapToGrid w:val="0"/>
                    <w:jc w:val="center"/>
                    <w:rPr>
                      <w:bCs/>
                      <w:color w:val="auto"/>
                      <w:szCs w:val="21"/>
                    </w:rPr>
                  </w:pPr>
                </w:p>
              </w:tc>
              <w:tc>
                <w:tcPr>
                  <w:tcW w:w="1453" w:type="dxa"/>
                  <w:tcBorders>
                    <w:tl2br w:val="nil"/>
                    <w:tr2bl w:val="nil"/>
                  </w:tcBorders>
                  <w:vAlign w:val="center"/>
                </w:tcPr>
                <w:p>
                  <w:pPr>
                    <w:jc w:val="center"/>
                    <w:rPr>
                      <w:bCs/>
                      <w:color w:val="auto"/>
                      <w:szCs w:val="21"/>
                    </w:rPr>
                  </w:pPr>
                  <w:r>
                    <w:rPr>
                      <w:rFonts w:hint="eastAsia" w:hAnsi="宋体"/>
                      <w:color w:val="auto"/>
                      <w:szCs w:val="21"/>
                      <w:lang w:val="en-US" w:eastAsia="zh-CN"/>
                    </w:rPr>
                    <w:t>2017.8.16</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17~24</w:t>
                  </w:r>
                </w:p>
              </w:tc>
              <w:tc>
                <w:tcPr>
                  <w:tcW w:w="1303" w:type="dxa"/>
                  <w:tcBorders>
                    <w:tl2br w:val="nil"/>
                    <w:tr2bl w:val="nil"/>
                  </w:tcBorders>
                  <w:vAlign w:val="center"/>
                </w:tcPr>
                <w:p>
                  <w:pPr>
                    <w:jc w:val="center"/>
                    <w:rPr>
                      <w:rFonts w:hint="eastAsia"/>
                      <w:color w:val="auto"/>
                      <w:szCs w:val="21"/>
                    </w:rPr>
                  </w:pPr>
                  <w:r>
                    <w:rPr>
                      <w:rFonts w:hint="eastAsia"/>
                      <w:szCs w:val="21"/>
                      <w:lang w:val="en-US" w:eastAsia="zh-CN"/>
                    </w:rPr>
                    <w:t>20</w:t>
                  </w:r>
                </w:p>
              </w:tc>
              <w:tc>
                <w:tcPr>
                  <w:tcW w:w="1303" w:type="dxa"/>
                  <w:tcBorders>
                    <w:tl2br w:val="nil"/>
                    <w:tr2bl w:val="nil"/>
                  </w:tcBorders>
                  <w:vAlign w:val="center"/>
                </w:tcPr>
                <w:p>
                  <w:pPr>
                    <w:autoSpaceDN w:val="0"/>
                    <w:snapToGrid w:val="0"/>
                    <w:jc w:val="center"/>
                    <w:rPr>
                      <w:rFonts w:hint="eastAsia" w:eastAsia="宋体"/>
                      <w:color w:val="auto"/>
                      <w:szCs w:val="21"/>
                      <w:lang w:val="en-US" w:eastAsia="zh-CN"/>
                    </w:rPr>
                  </w:pPr>
                  <w:r>
                    <w:rPr>
                      <w:rFonts w:hint="eastAsia"/>
                      <w:color w:val="auto"/>
                      <w:szCs w:val="21"/>
                      <w:lang w:val="en-US" w:eastAsia="zh-CN"/>
                    </w:rPr>
                    <w:t>34~39</w:t>
                  </w:r>
                </w:p>
              </w:tc>
              <w:tc>
                <w:tcPr>
                  <w:tcW w:w="1304" w:type="dxa"/>
                  <w:tcBorders>
                    <w:tl2br w:val="nil"/>
                    <w:tr2bl w:val="nil"/>
                  </w:tcBorders>
                  <w:vAlign w:val="center"/>
                </w:tcPr>
                <w:p>
                  <w:pPr>
                    <w:jc w:val="center"/>
                    <w:rPr>
                      <w:rFonts w:hint="eastAsia"/>
                      <w:color w:val="auto"/>
                      <w:szCs w:val="21"/>
                    </w:rPr>
                  </w:pPr>
                  <w:r>
                    <w:rPr>
                      <w:rFonts w:hint="eastAsia"/>
                      <w:szCs w:val="21"/>
                      <w:lang w:val="en-US" w:eastAsia="zh-CN"/>
                    </w:rPr>
                    <w:t>37</w:t>
                  </w:r>
                </w:p>
              </w:tc>
              <w:tc>
                <w:tcPr>
                  <w:tcW w:w="1310" w:type="dxa"/>
                  <w:tcBorders>
                    <w:tl2br w:val="nil"/>
                    <w:tr2bl w:val="nil"/>
                  </w:tcBorders>
                  <w:vAlign w:val="top"/>
                </w:tcPr>
                <w:p>
                  <w:pPr>
                    <w:jc w:val="center"/>
                    <w:rPr>
                      <w:rFonts w:hint="eastAsia"/>
                      <w:color w:val="auto"/>
                      <w:szCs w:val="21"/>
                    </w:rPr>
                  </w:pPr>
                  <w:r>
                    <w:rPr>
                      <w:rFonts w:hint="eastAsia"/>
                      <w:szCs w:val="21"/>
                      <w:lang w:val="en-US" w:eastAsia="zh-CN"/>
                    </w:rPr>
                    <w:t>109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63" w:hRule="exact"/>
                <w:jc w:val="center"/>
              </w:trPr>
              <w:tc>
                <w:tcPr>
                  <w:tcW w:w="2549" w:type="dxa"/>
                  <w:gridSpan w:val="3"/>
                  <w:tcBorders>
                    <w:tl2br w:val="nil"/>
                    <w:tr2bl w:val="nil"/>
                  </w:tcBorders>
                  <w:vAlign w:val="center"/>
                </w:tcPr>
                <w:p>
                  <w:pPr>
                    <w:autoSpaceDN w:val="0"/>
                    <w:snapToGrid w:val="0"/>
                    <w:jc w:val="center"/>
                    <w:rPr>
                      <w:bCs/>
                      <w:color w:val="auto"/>
                      <w:szCs w:val="21"/>
                    </w:rPr>
                  </w:pPr>
                  <w:r>
                    <w:rPr>
                      <w:color w:val="auto"/>
                      <w:szCs w:val="21"/>
                    </w:rPr>
                    <w:t>超标率（%）</w:t>
                  </w:r>
                </w:p>
              </w:tc>
              <w:tc>
                <w:tcPr>
                  <w:tcW w:w="1303" w:type="dxa"/>
                  <w:tcBorders>
                    <w:tl2br w:val="nil"/>
                    <w:tr2bl w:val="nil"/>
                  </w:tcBorders>
                  <w:vAlign w:val="center"/>
                </w:tcPr>
                <w:p>
                  <w:pPr>
                    <w:autoSpaceDN w:val="0"/>
                    <w:snapToGrid w:val="0"/>
                    <w:jc w:val="center"/>
                    <w:rPr>
                      <w:rFonts w:hint="eastAsia"/>
                      <w:color w:val="auto"/>
                      <w:szCs w:val="21"/>
                    </w:rPr>
                  </w:pPr>
                  <w:r>
                    <w:rPr>
                      <w:rFonts w:hint="eastAsia"/>
                      <w:color w:val="auto"/>
                      <w:kern w:val="0"/>
                      <w:szCs w:val="21"/>
                    </w:rPr>
                    <w:t>0</w:t>
                  </w:r>
                </w:p>
              </w:tc>
              <w:tc>
                <w:tcPr>
                  <w:tcW w:w="1303" w:type="dxa"/>
                  <w:tcBorders>
                    <w:tl2br w:val="nil"/>
                    <w:tr2bl w:val="nil"/>
                  </w:tcBorders>
                  <w:vAlign w:val="center"/>
                </w:tcPr>
                <w:p>
                  <w:pPr>
                    <w:autoSpaceDN w:val="0"/>
                    <w:snapToGrid w:val="0"/>
                    <w:jc w:val="center"/>
                    <w:rPr>
                      <w:rFonts w:hint="eastAsia"/>
                      <w:color w:val="auto"/>
                      <w:szCs w:val="21"/>
                    </w:rPr>
                  </w:pPr>
                  <w:r>
                    <w:rPr>
                      <w:rFonts w:hint="eastAsia"/>
                      <w:color w:val="auto"/>
                      <w:szCs w:val="21"/>
                    </w:rPr>
                    <w:t>0</w:t>
                  </w:r>
                </w:p>
              </w:tc>
              <w:tc>
                <w:tcPr>
                  <w:tcW w:w="1303" w:type="dxa"/>
                  <w:tcBorders>
                    <w:tl2br w:val="nil"/>
                    <w:tr2bl w:val="nil"/>
                  </w:tcBorders>
                  <w:vAlign w:val="center"/>
                </w:tcPr>
                <w:p>
                  <w:pPr>
                    <w:autoSpaceDN w:val="0"/>
                    <w:snapToGrid w:val="0"/>
                    <w:jc w:val="center"/>
                    <w:rPr>
                      <w:rFonts w:hint="eastAsia"/>
                      <w:color w:val="auto"/>
                      <w:szCs w:val="21"/>
                    </w:rPr>
                  </w:pPr>
                  <w:r>
                    <w:rPr>
                      <w:rFonts w:hint="eastAsia"/>
                      <w:color w:val="auto"/>
                      <w:kern w:val="0"/>
                      <w:szCs w:val="21"/>
                    </w:rPr>
                    <w:t>0</w:t>
                  </w:r>
                </w:p>
              </w:tc>
              <w:tc>
                <w:tcPr>
                  <w:tcW w:w="1304" w:type="dxa"/>
                  <w:tcBorders>
                    <w:tl2br w:val="nil"/>
                    <w:tr2bl w:val="nil"/>
                  </w:tcBorders>
                  <w:vAlign w:val="center"/>
                </w:tcPr>
                <w:p>
                  <w:pPr>
                    <w:autoSpaceDN w:val="0"/>
                    <w:snapToGrid w:val="0"/>
                    <w:jc w:val="center"/>
                    <w:rPr>
                      <w:rFonts w:hint="eastAsia"/>
                      <w:color w:val="auto"/>
                      <w:szCs w:val="21"/>
                    </w:rPr>
                  </w:pPr>
                  <w:r>
                    <w:rPr>
                      <w:rFonts w:hint="eastAsia"/>
                      <w:color w:val="auto"/>
                      <w:szCs w:val="21"/>
                    </w:rPr>
                    <w:t>0</w:t>
                  </w:r>
                </w:p>
              </w:tc>
              <w:tc>
                <w:tcPr>
                  <w:tcW w:w="1310" w:type="dxa"/>
                  <w:tcBorders>
                    <w:tl2br w:val="nil"/>
                    <w:tr2bl w:val="nil"/>
                  </w:tcBorders>
                  <w:vAlign w:val="center"/>
                </w:tcPr>
                <w:p>
                  <w:pPr>
                    <w:autoSpaceDN w:val="0"/>
                    <w:snapToGrid w:val="0"/>
                    <w:jc w:val="center"/>
                    <w:rPr>
                      <w:rFonts w:hint="eastAsia"/>
                      <w:color w:val="auto"/>
                      <w:szCs w:val="21"/>
                    </w:rPr>
                  </w:pPr>
                  <w:r>
                    <w:rPr>
                      <w:rFonts w:hint="eastAsia"/>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21" w:hRule="exact"/>
                <w:jc w:val="center"/>
              </w:trPr>
              <w:tc>
                <w:tcPr>
                  <w:tcW w:w="2549" w:type="dxa"/>
                  <w:gridSpan w:val="3"/>
                  <w:tcBorders>
                    <w:tl2br w:val="nil"/>
                    <w:tr2bl w:val="nil"/>
                  </w:tcBorders>
                  <w:vAlign w:val="center"/>
                </w:tcPr>
                <w:p>
                  <w:pPr>
                    <w:autoSpaceDN w:val="0"/>
                    <w:snapToGrid w:val="0"/>
                    <w:jc w:val="center"/>
                    <w:rPr>
                      <w:bCs/>
                      <w:color w:val="auto"/>
                      <w:szCs w:val="21"/>
                    </w:rPr>
                  </w:pPr>
                  <w:r>
                    <w:rPr>
                      <w:color w:val="auto"/>
                      <w:szCs w:val="21"/>
                    </w:rPr>
                    <w:t>最大</w:t>
                  </w:r>
                  <w:r>
                    <w:rPr>
                      <w:rFonts w:hint="eastAsia" w:hAnsi="宋体"/>
                      <w:color w:val="auto"/>
                      <w:szCs w:val="21"/>
                    </w:rPr>
                    <w:t>超标倍数</w:t>
                  </w:r>
                </w:p>
              </w:tc>
              <w:tc>
                <w:tcPr>
                  <w:tcW w:w="1303" w:type="dxa"/>
                  <w:tcBorders>
                    <w:tl2br w:val="nil"/>
                    <w:tr2bl w:val="nil"/>
                  </w:tcBorders>
                  <w:vAlign w:val="center"/>
                </w:tcPr>
                <w:p>
                  <w:pPr>
                    <w:autoSpaceDN w:val="0"/>
                    <w:snapToGrid w:val="0"/>
                    <w:jc w:val="center"/>
                    <w:rPr>
                      <w:rFonts w:hint="eastAsia"/>
                      <w:color w:val="auto"/>
                      <w:szCs w:val="21"/>
                    </w:rPr>
                  </w:pPr>
                  <w:r>
                    <w:rPr>
                      <w:rFonts w:hint="eastAsia"/>
                      <w:color w:val="auto"/>
                      <w:kern w:val="0"/>
                      <w:szCs w:val="21"/>
                    </w:rPr>
                    <w:t>0</w:t>
                  </w:r>
                </w:p>
              </w:tc>
              <w:tc>
                <w:tcPr>
                  <w:tcW w:w="1303" w:type="dxa"/>
                  <w:tcBorders>
                    <w:tl2br w:val="nil"/>
                    <w:tr2bl w:val="nil"/>
                  </w:tcBorders>
                  <w:vAlign w:val="center"/>
                </w:tcPr>
                <w:p>
                  <w:pPr>
                    <w:autoSpaceDN w:val="0"/>
                    <w:snapToGrid w:val="0"/>
                    <w:jc w:val="center"/>
                    <w:rPr>
                      <w:rFonts w:hint="eastAsia"/>
                      <w:color w:val="auto"/>
                      <w:szCs w:val="21"/>
                    </w:rPr>
                  </w:pPr>
                  <w:r>
                    <w:rPr>
                      <w:rFonts w:hint="eastAsia"/>
                      <w:color w:val="auto"/>
                      <w:szCs w:val="21"/>
                    </w:rPr>
                    <w:t>0</w:t>
                  </w:r>
                </w:p>
              </w:tc>
              <w:tc>
                <w:tcPr>
                  <w:tcW w:w="1303" w:type="dxa"/>
                  <w:tcBorders>
                    <w:tl2br w:val="nil"/>
                    <w:tr2bl w:val="nil"/>
                  </w:tcBorders>
                  <w:vAlign w:val="center"/>
                </w:tcPr>
                <w:p>
                  <w:pPr>
                    <w:autoSpaceDN w:val="0"/>
                    <w:snapToGrid w:val="0"/>
                    <w:jc w:val="center"/>
                    <w:rPr>
                      <w:rFonts w:hint="eastAsia"/>
                      <w:color w:val="auto"/>
                      <w:szCs w:val="21"/>
                    </w:rPr>
                  </w:pPr>
                  <w:r>
                    <w:rPr>
                      <w:rFonts w:hint="eastAsia"/>
                      <w:color w:val="auto"/>
                      <w:kern w:val="0"/>
                      <w:szCs w:val="21"/>
                    </w:rPr>
                    <w:t>0</w:t>
                  </w:r>
                </w:p>
              </w:tc>
              <w:tc>
                <w:tcPr>
                  <w:tcW w:w="1304" w:type="dxa"/>
                  <w:tcBorders>
                    <w:tl2br w:val="nil"/>
                    <w:tr2bl w:val="nil"/>
                  </w:tcBorders>
                  <w:vAlign w:val="center"/>
                </w:tcPr>
                <w:p>
                  <w:pPr>
                    <w:autoSpaceDN w:val="0"/>
                    <w:snapToGrid w:val="0"/>
                    <w:jc w:val="center"/>
                    <w:rPr>
                      <w:rFonts w:hint="eastAsia"/>
                      <w:color w:val="auto"/>
                      <w:szCs w:val="21"/>
                    </w:rPr>
                  </w:pPr>
                  <w:r>
                    <w:rPr>
                      <w:rFonts w:hint="eastAsia"/>
                      <w:color w:val="auto"/>
                      <w:szCs w:val="21"/>
                    </w:rPr>
                    <w:t>0</w:t>
                  </w:r>
                </w:p>
              </w:tc>
              <w:tc>
                <w:tcPr>
                  <w:tcW w:w="1310" w:type="dxa"/>
                  <w:tcBorders>
                    <w:tl2br w:val="nil"/>
                    <w:tr2bl w:val="nil"/>
                  </w:tcBorders>
                  <w:vAlign w:val="center"/>
                </w:tcPr>
                <w:p>
                  <w:pPr>
                    <w:autoSpaceDN w:val="0"/>
                    <w:snapToGrid w:val="0"/>
                    <w:jc w:val="center"/>
                    <w:rPr>
                      <w:rFonts w:hint="eastAsia"/>
                      <w:color w:val="auto"/>
                      <w:szCs w:val="21"/>
                    </w:rPr>
                  </w:pPr>
                  <w:r>
                    <w:rPr>
                      <w:rFonts w:hint="eastAsia"/>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396" w:hRule="exact"/>
                <w:jc w:val="center"/>
              </w:trPr>
              <w:tc>
                <w:tcPr>
                  <w:tcW w:w="2549" w:type="dxa"/>
                  <w:gridSpan w:val="3"/>
                  <w:tcBorders>
                    <w:tl2br w:val="nil"/>
                    <w:tr2bl w:val="nil"/>
                  </w:tcBorders>
                  <w:vAlign w:val="center"/>
                </w:tcPr>
                <w:p>
                  <w:pPr>
                    <w:autoSpaceDN w:val="0"/>
                    <w:snapToGrid w:val="0"/>
                    <w:jc w:val="center"/>
                    <w:rPr>
                      <w:bCs/>
                      <w:color w:val="auto"/>
                      <w:szCs w:val="21"/>
                    </w:rPr>
                  </w:pPr>
                  <w:r>
                    <w:rPr>
                      <w:bCs/>
                      <w:color w:val="auto"/>
                      <w:szCs w:val="21"/>
                    </w:rPr>
                    <w:t>GB3095-</w:t>
                  </w:r>
                  <w:r>
                    <w:rPr>
                      <w:rFonts w:hint="eastAsia" w:hAnsi="宋体"/>
                      <w:bCs/>
                      <w:color w:val="auto"/>
                      <w:szCs w:val="21"/>
                    </w:rPr>
                    <w:t>2012</w:t>
                  </w:r>
                  <w:r>
                    <w:rPr>
                      <w:bCs/>
                      <w:color w:val="auto"/>
                      <w:szCs w:val="21"/>
                    </w:rPr>
                    <w:t>二级标准</w:t>
                  </w:r>
                </w:p>
              </w:tc>
              <w:tc>
                <w:tcPr>
                  <w:tcW w:w="1303" w:type="dxa"/>
                  <w:tcBorders>
                    <w:tl2br w:val="nil"/>
                    <w:tr2bl w:val="nil"/>
                  </w:tcBorders>
                  <w:vAlign w:val="center"/>
                </w:tcPr>
                <w:p>
                  <w:pPr>
                    <w:autoSpaceDN w:val="0"/>
                    <w:snapToGrid w:val="0"/>
                    <w:jc w:val="center"/>
                    <w:rPr>
                      <w:rFonts w:hint="eastAsia"/>
                      <w:color w:val="auto"/>
                      <w:szCs w:val="21"/>
                    </w:rPr>
                  </w:pPr>
                  <w:r>
                    <w:rPr>
                      <w:rFonts w:hint="eastAsia"/>
                      <w:color w:val="auto"/>
                      <w:szCs w:val="21"/>
                    </w:rPr>
                    <w:t>500</w:t>
                  </w:r>
                </w:p>
              </w:tc>
              <w:tc>
                <w:tcPr>
                  <w:tcW w:w="1303" w:type="dxa"/>
                  <w:tcBorders>
                    <w:tl2br w:val="nil"/>
                    <w:tr2bl w:val="nil"/>
                  </w:tcBorders>
                  <w:vAlign w:val="center"/>
                </w:tcPr>
                <w:p>
                  <w:pPr>
                    <w:autoSpaceDN w:val="0"/>
                    <w:snapToGrid w:val="0"/>
                    <w:jc w:val="center"/>
                    <w:rPr>
                      <w:rFonts w:hint="eastAsia"/>
                      <w:color w:val="auto"/>
                      <w:szCs w:val="21"/>
                    </w:rPr>
                  </w:pPr>
                  <w:r>
                    <w:rPr>
                      <w:rFonts w:hint="eastAsia"/>
                      <w:color w:val="auto"/>
                      <w:szCs w:val="21"/>
                    </w:rPr>
                    <w:t>150</w:t>
                  </w:r>
                </w:p>
              </w:tc>
              <w:tc>
                <w:tcPr>
                  <w:tcW w:w="1303" w:type="dxa"/>
                  <w:tcBorders>
                    <w:tl2br w:val="nil"/>
                    <w:tr2bl w:val="nil"/>
                  </w:tcBorders>
                  <w:vAlign w:val="center"/>
                </w:tcPr>
                <w:p>
                  <w:pPr>
                    <w:autoSpaceDN w:val="0"/>
                    <w:snapToGrid w:val="0"/>
                    <w:jc w:val="center"/>
                    <w:rPr>
                      <w:rFonts w:hint="eastAsia"/>
                      <w:color w:val="auto"/>
                      <w:szCs w:val="21"/>
                    </w:rPr>
                  </w:pPr>
                  <w:r>
                    <w:rPr>
                      <w:rFonts w:hint="eastAsia"/>
                      <w:color w:val="auto"/>
                      <w:szCs w:val="21"/>
                    </w:rPr>
                    <w:t>200</w:t>
                  </w:r>
                </w:p>
              </w:tc>
              <w:tc>
                <w:tcPr>
                  <w:tcW w:w="1304" w:type="dxa"/>
                  <w:tcBorders>
                    <w:tl2br w:val="nil"/>
                    <w:tr2bl w:val="nil"/>
                  </w:tcBorders>
                  <w:vAlign w:val="center"/>
                </w:tcPr>
                <w:p>
                  <w:pPr>
                    <w:autoSpaceDN w:val="0"/>
                    <w:snapToGrid w:val="0"/>
                    <w:jc w:val="center"/>
                    <w:rPr>
                      <w:rFonts w:hint="eastAsia"/>
                      <w:color w:val="auto"/>
                      <w:szCs w:val="21"/>
                    </w:rPr>
                  </w:pPr>
                  <w:r>
                    <w:rPr>
                      <w:rFonts w:hint="eastAsia"/>
                      <w:color w:val="auto"/>
                      <w:szCs w:val="21"/>
                    </w:rPr>
                    <w:t>80</w:t>
                  </w:r>
                </w:p>
              </w:tc>
              <w:tc>
                <w:tcPr>
                  <w:tcW w:w="1310" w:type="dxa"/>
                  <w:tcBorders>
                    <w:tl2br w:val="nil"/>
                    <w:tr2bl w:val="nil"/>
                  </w:tcBorders>
                  <w:vAlign w:val="center"/>
                </w:tcPr>
                <w:p>
                  <w:pPr>
                    <w:autoSpaceDN w:val="0"/>
                    <w:snapToGrid w:val="0"/>
                    <w:jc w:val="center"/>
                    <w:rPr>
                      <w:rFonts w:hint="eastAsia"/>
                      <w:color w:val="auto"/>
                      <w:szCs w:val="21"/>
                    </w:rPr>
                  </w:pPr>
                  <w:r>
                    <w:rPr>
                      <w:rFonts w:hint="eastAsia"/>
                      <w:color w:val="auto"/>
                      <w:szCs w:val="21"/>
                    </w:rPr>
                    <w:t>150</w:t>
                  </w:r>
                </w:p>
              </w:tc>
            </w:tr>
          </w:tbl>
          <w:p>
            <w:pPr>
              <w:spacing w:line="360" w:lineRule="auto"/>
              <w:ind w:firstLine="480" w:firstLineChars="200"/>
              <w:rPr>
                <w:rFonts w:hint="eastAsia"/>
                <w:b/>
                <w:bCs/>
                <w:color w:val="auto"/>
                <w:sz w:val="24"/>
                <w:szCs w:val="24"/>
              </w:rPr>
            </w:pPr>
            <w:r>
              <w:rPr>
                <w:rFonts w:hint="eastAsia"/>
                <w:color w:val="auto"/>
                <w:sz w:val="24"/>
                <w:szCs w:val="24"/>
              </w:rPr>
              <w:t>由监测结果可知，</w:t>
            </w:r>
            <w:r>
              <w:rPr>
                <w:rFonts w:hint="eastAsia"/>
                <w:bCs/>
                <w:color w:val="auto"/>
                <w:sz w:val="24"/>
                <w:szCs w:val="24"/>
              </w:rPr>
              <w:t>项目所在区域环境空气质量监测因子</w:t>
            </w:r>
            <w:r>
              <w:rPr>
                <w:bCs/>
                <w:color w:val="auto"/>
                <w:sz w:val="24"/>
                <w:szCs w:val="24"/>
              </w:rPr>
              <w:t>SO</w:t>
            </w:r>
            <w:r>
              <w:rPr>
                <w:bCs/>
                <w:color w:val="auto"/>
                <w:sz w:val="24"/>
                <w:szCs w:val="24"/>
                <w:vertAlign w:val="subscript"/>
              </w:rPr>
              <w:t>2</w:t>
            </w:r>
            <w:r>
              <w:rPr>
                <w:bCs/>
                <w:color w:val="auto"/>
                <w:sz w:val="24"/>
                <w:szCs w:val="24"/>
              </w:rPr>
              <w:t>、NO</w:t>
            </w:r>
            <w:r>
              <w:rPr>
                <w:bCs/>
                <w:color w:val="auto"/>
                <w:sz w:val="24"/>
                <w:szCs w:val="24"/>
                <w:vertAlign w:val="subscript"/>
              </w:rPr>
              <w:t>2</w:t>
            </w:r>
            <w:r>
              <w:rPr>
                <w:spacing w:val="-20"/>
                <w:kern w:val="0"/>
                <w:sz w:val="24"/>
                <w:szCs w:val="24"/>
              </w:rPr>
              <w:t>1h</w:t>
            </w:r>
            <w:r>
              <w:rPr>
                <w:rFonts w:hint="eastAsia"/>
                <w:bCs/>
                <w:color w:val="auto"/>
                <w:sz w:val="24"/>
                <w:szCs w:val="24"/>
              </w:rPr>
              <w:t>平均浓度、</w:t>
            </w:r>
            <w:r>
              <w:rPr>
                <w:rFonts w:hint="eastAsia"/>
                <w:bCs/>
                <w:color w:val="auto"/>
                <w:sz w:val="24"/>
                <w:szCs w:val="24"/>
                <w:lang w:val="en-US" w:eastAsia="zh-CN"/>
              </w:rPr>
              <w:t>24h平</w:t>
            </w:r>
            <w:r>
              <w:rPr>
                <w:rFonts w:hint="eastAsia"/>
                <w:bCs/>
                <w:color w:val="auto"/>
                <w:sz w:val="24"/>
                <w:szCs w:val="24"/>
              </w:rPr>
              <w:t>均浓度</w:t>
            </w:r>
            <w:r>
              <w:rPr>
                <w:rFonts w:hint="eastAsia"/>
                <w:bCs/>
                <w:color w:val="auto"/>
                <w:sz w:val="24"/>
                <w:szCs w:val="24"/>
                <w:lang w:eastAsia="zh-CN"/>
              </w:rPr>
              <w:t>、</w:t>
            </w:r>
            <w:r>
              <w:rPr>
                <w:rFonts w:hint="eastAsia"/>
                <w:color w:val="auto"/>
                <w:sz w:val="24"/>
                <w:szCs w:val="24"/>
              </w:rPr>
              <w:t>PM</w:t>
            </w:r>
            <w:r>
              <w:rPr>
                <w:rFonts w:hint="eastAsia"/>
                <w:color w:val="auto"/>
                <w:sz w:val="24"/>
                <w:szCs w:val="24"/>
                <w:vertAlign w:val="subscript"/>
              </w:rPr>
              <w:t>10</w:t>
            </w:r>
            <w:r>
              <w:rPr>
                <w:rFonts w:hint="eastAsia"/>
                <w:color w:val="auto"/>
                <w:sz w:val="24"/>
                <w:szCs w:val="24"/>
                <w:lang w:val="en-US" w:eastAsia="zh-CN"/>
              </w:rPr>
              <w:t>24h平</w:t>
            </w:r>
            <w:r>
              <w:rPr>
                <w:rFonts w:hint="eastAsia"/>
                <w:color w:val="auto"/>
                <w:sz w:val="24"/>
                <w:szCs w:val="24"/>
              </w:rPr>
              <w:t>均</w:t>
            </w:r>
            <w:r>
              <w:rPr>
                <w:rFonts w:hint="eastAsia"/>
                <w:color w:val="auto"/>
                <w:sz w:val="24"/>
                <w:szCs w:val="24"/>
                <w:lang w:eastAsia="zh-CN"/>
              </w:rPr>
              <w:t>浓度</w:t>
            </w:r>
            <w:r>
              <w:rPr>
                <w:rFonts w:hint="eastAsia"/>
                <w:bCs/>
                <w:color w:val="auto"/>
                <w:sz w:val="24"/>
                <w:szCs w:val="24"/>
              </w:rPr>
              <w:t>均能够</w:t>
            </w:r>
            <w:r>
              <w:rPr>
                <w:bCs/>
                <w:color w:val="auto"/>
                <w:sz w:val="24"/>
                <w:szCs w:val="24"/>
              </w:rPr>
              <w:t>满足</w:t>
            </w:r>
            <w:r>
              <w:rPr>
                <w:color w:val="auto"/>
                <w:sz w:val="24"/>
                <w:szCs w:val="24"/>
              </w:rPr>
              <w:t>《环境空气质量标准》</w:t>
            </w:r>
            <w:r>
              <w:rPr>
                <w:rFonts w:hint="eastAsia"/>
                <w:bCs/>
                <w:color w:val="auto"/>
                <w:sz w:val="24"/>
                <w:szCs w:val="24"/>
              </w:rPr>
              <w:t>（</w:t>
            </w:r>
            <w:r>
              <w:rPr>
                <w:color w:val="auto"/>
                <w:sz w:val="24"/>
                <w:szCs w:val="24"/>
              </w:rPr>
              <w:t>GB3095</w:t>
            </w:r>
            <w:r>
              <w:rPr>
                <w:rFonts w:hint="eastAsia"/>
                <w:color w:val="auto"/>
                <w:sz w:val="24"/>
                <w:szCs w:val="24"/>
              </w:rPr>
              <w:t>-</w:t>
            </w:r>
            <w:r>
              <w:rPr>
                <w:color w:val="auto"/>
                <w:sz w:val="24"/>
                <w:szCs w:val="24"/>
              </w:rPr>
              <w:t>2012</w:t>
            </w:r>
            <w:r>
              <w:rPr>
                <w:rFonts w:hint="eastAsia"/>
                <w:color w:val="auto"/>
                <w:sz w:val="24"/>
                <w:szCs w:val="24"/>
              </w:rPr>
              <w:t>）</w:t>
            </w:r>
            <w:r>
              <w:rPr>
                <w:color w:val="auto"/>
                <w:sz w:val="24"/>
                <w:szCs w:val="24"/>
              </w:rPr>
              <w:t>中二级标准</w:t>
            </w:r>
            <w:r>
              <w:rPr>
                <w:rFonts w:hint="eastAsia"/>
                <w:color w:val="auto"/>
                <w:sz w:val="24"/>
                <w:szCs w:val="24"/>
                <w:lang w:eastAsia="zh-CN"/>
              </w:rPr>
              <w:t>。</w:t>
            </w:r>
          </w:p>
          <w:p>
            <w:pPr>
              <w:spacing w:line="360" w:lineRule="auto"/>
              <w:ind w:firstLine="472" w:firstLineChars="196"/>
              <w:rPr>
                <w:color w:val="auto"/>
                <w:sz w:val="24"/>
                <w:szCs w:val="24"/>
              </w:rPr>
            </w:pPr>
            <w:r>
              <w:rPr>
                <w:rFonts w:hint="eastAsia"/>
                <w:b/>
                <w:bCs/>
                <w:color w:val="auto"/>
                <w:sz w:val="24"/>
                <w:szCs w:val="24"/>
              </w:rPr>
              <w:t>二</w:t>
            </w:r>
            <w:r>
              <w:rPr>
                <w:b/>
                <w:bCs/>
                <w:color w:val="auto"/>
                <w:sz w:val="24"/>
                <w:szCs w:val="24"/>
              </w:rPr>
              <w:t>、</w:t>
            </w:r>
            <w:r>
              <w:rPr>
                <w:b/>
                <w:color w:val="auto"/>
                <w:sz w:val="24"/>
                <w:szCs w:val="24"/>
              </w:rPr>
              <w:t>声环境质量</w:t>
            </w:r>
          </w:p>
          <w:p>
            <w:pPr>
              <w:adjustRightInd w:val="0"/>
              <w:snapToGrid w:val="0"/>
              <w:spacing w:line="360" w:lineRule="auto"/>
              <w:ind w:firstLine="480" w:firstLineChars="200"/>
              <w:rPr>
                <w:color w:val="auto"/>
                <w:sz w:val="24"/>
                <w:szCs w:val="24"/>
              </w:rPr>
            </w:pPr>
            <w:r>
              <w:rPr>
                <w:color w:val="auto"/>
                <w:sz w:val="24"/>
                <w:szCs w:val="24"/>
              </w:rPr>
              <w:t>本次声环境质量现状监测委托</w:t>
            </w:r>
            <w:r>
              <w:rPr>
                <w:rFonts w:hint="eastAsia" w:ascii="Times New Roman" w:hAnsi="Times New Roman"/>
                <w:color w:val="auto"/>
                <w:sz w:val="24"/>
                <w:szCs w:val="24"/>
                <w:lang w:eastAsia="zh-CN"/>
              </w:rPr>
              <w:t>陕西正泽检测科技有限公司</w:t>
            </w:r>
            <w:r>
              <w:rPr>
                <w:rFonts w:hint="eastAsia"/>
                <w:color w:val="auto"/>
                <w:sz w:val="24"/>
                <w:szCs w:val="24"/>
              </w:rPr>
              <w:t>，</w:t>
            </w:r>
            <w:r>
              <w:rPr>
                <w:color w:val="auto"/>
                <w:sz w:val="24"/>
                <w:szCs w:val="24"/>
              </w:rPr>
              <w:t>于201</w:t>
            </w:r>
            <w:r>
              <w:rPr>
                <w:rFonts w:hint="eastAsia"/>
                <w:color w:val="auto"/>
                <w:sz w:val="24"/>
                <w:szCs w:val="24"/>
                <w:lang w:val="en-US" w:eastAsia="zh-CN"/>
              </w:rPr>
              <w:t>7</w:t>
            </w:r>
            <w:r>
              <w:rPr>
                <w:color w:val="auto"/>
                <w:sz w:val="24"/>
                <w:szCs w:val="24"/>
              </w:rPr>
              <w:t>年</w:t>
            </w:r>
            <w:r>
              <w:rPr>
                <w:rFonts w:hint="eastAsia"/>
                <w:color w:val="auto"/>
                <w:sz w:val="24"/>
                <w:szCs w:val="24"/>
                <w:lang w:val="en-US" w:eastAsia="zh-CN"/>
              </w:rPr>
              <w:t>8</w:t>
            </w:r>
            <w:r>
              <w:rPr>
                <w:color w:val="auto"/>
                <w:sz w:val="24"/>
                <w:szCs w:val="24"/>
              </w:rPr>
              <w:t>月</w:t>
            </w:r>
            <w:r>
              <w:rPr>
                <w:rFonts w:hint="eastAsia"/>
                <w:color w:val="auto"/>
                <w:sz w:val="24"/>
                <w:szCs w:val="24"/>
                <w:lang w:val="en-US" w:eastAsia="zh-CN"/>
              </w:rPr>
              <w:t>10</w:t>
            </w:r>
            <w:r>
              <w:rPr>
                <w:color w:val="auto"/>
                <w:sz w:val="24"/>
                <w:szCs w:val="24"/>
              </w:rPr>
              <w:t>日</w:t>
            </w:r>
            <w:r>
              <w:rPr>
                <w:rFonts w:hint="eastAsia"/>
                <w:color w:val="auto"/>
                <w:sz w:val="24"/>
                <w:szCs w:val="24"/>
              </w:rPr>
              <w:t>至</w:t>
            </w:r>
            <w:r>
              <w:rPr>
                <w:rFonts w:hint="eastAsia"/>
                <w:color w:val="auto"/>
                <w:sz w:val="24"/>
                <w:szCs w:val="24"/>
                <w:lang w:val="en-US" w:eastAsia="zh-CN"/>
              </w:rPr>
              <w:t>11</w:t>
            </w:r>
            <w:r>
              <w:rPr>
                <w:color w:val="auto"/>
                <w:sz w:val="24"/>
                <w:szCs w:val="24"/>
              </w:rPr>
              <w:t>日对</w:t>
            </w:r>
            <w:r>
              <w:rPr>
                <w:rFonts w:hint="eastAsia"/>
                <w:color w:val="auto"/>
                <w:sz w:val="24"/>
                <w:szCs w:val="24"/>
              </w:rPr>
              <w:t>四周厂界</w:t>
            </w:r>
            <w:r>
              <w:rPr>
                <w:color w:val="auto"/>
                <w:sz w:val="24"/>
                <w:szCs w:val="24"/>
              </w:rPr>
              <w:t>声环境质量现状进行监测，监测</w:t>
            </w:r>
            <w:r>
              <w:rPr>
                <w:rFonts w:hint="eastAsia"/>
                <w:color w:val="auto"/>
                <w:sz w:val="24"/>
                <w:szCs w:val="24"/>
              </w:rPr>
              <w:t>点位见附图</w:t>
            </w:r>
            <w:r>
              <w:rPr>
                <w:rFonts w:hint="eastAsia"/>
                <w:color w:val="auto"/>
                <w:sz w:val="24"/>
                <w:szCs w:val="24"/>
                <w:lang w:val="en-US" w:eastAsia="zh-CN"/>
              </w:rPr>
              <w:t>4</w:t>
            </w:r>
            <w:r>
              <w:rPr>
                <w:rFonts w:hint="eastAsia"/>
                <w:color w:val="auto"/>
                <w:sz w:val="24"/>
                <w:szCs w:val="24"/>
              </w:rPr>
              <w:t>，监测</w:t>
            </w:r>
            <w:r>
              <w:rPr>
                <w:color w:val="auto"/>
                <w:sz w:val="24"/>
                <w:szCs w:val="24"/>
              </w:rPr>
              <w:t>结果见表</w:t>
            </w:r>
            <w:r>
              <w:rPr>
                <w:rFonts w:hint="eastAsia"/>
                <w:color w:val="auto"/>
                <w:sz w:val="24"/>
                <w:szCs w:val="24"/>
                <w:lang w:val="en-US" w:eastAsia="zh-CN"/>
              </w:rPr>
              <w:t>7</w:t>
            </w:r>
            <w:r>
              <w:rPr>
                <w:color w:val="auto"/>
                <w:sz w:val="24"/>
                <w:szCs w:val="24"/>
              </w:rPr>
              <w:t>。</w:t>
            </w:r>
          </w:p>
          <w:p>
            <w:pPr>
              <w:spacing w:line="360" w:lineRule="auto"/>
              <w:ind w:firstLine="240"/>
              <w:jc w:val="center"/>
              <w:rPr>
                <w:b/>
                <w:bCs/>
                <w:color w:val="auto"/>
                <w:sz w:val="24"/>
                <w:szCs w:val="24"/>
              </w:rPr>
            </w:pPr>
            <w:r>
              <w:rPr>
                <w:b/>
                <w:bCs/>
                <w:color w:val="auto"/>
                <w:sz w:val="24"/>
                <w:szCs w:val="24"/>
              </w:rPr>
              <w:t>表</w:t>
            </w:r>
            <w:r>
              <w:rPr>
                <w:rFonts w:hint="eastAsia"/>
                <w:b/>
                <w:bCs/>
                <w:color w:val="auto"/>
                <w:sz w:val="24"/>
                <w:szCs w:val="24"/>
                <w:lang w:val="en-US" w:eastAsia="zh-CN"/>
              </w:rPr>
              <w:t>7</w:t>
            </w:r>
            <w:r>
              <w:rPr>
                <w:b/>
                <w:bCs/>
                <w:color w:val="auto"/>
                <w:sz w:val="24"/>
                <w:szCs w:val="24"/>
              </w:rPr>
              <w:t xml:space="preserve">  环境噪声监测结果  单位：dB（A）</w:t>
            </w:r>
          </w:p>
          <w:tbl>
            <w:tblPr>
              <w:tblStyle w:val="34"/>
              <w:tblW w:w="907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5"/>
              <w:gridCol w:w="18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trPr>
              <w:tc>
                <w:tcPr>
                  <w:tcW w:w="1814" w:type="dxa"/>
                  <w:vMerge w:val="restart"/>
                  <w:tcBorders>
                    <w:tl2br w:val="nil"/>
                    <w:tr2bl w:val="nil"/>
                  </w:tcBorders>
                  <w:vAlign w:val="center"/>
                </w:tcPr>
                <w:p>
                  <w:pPr>
                    <w:ind w:firstLine="210"/>
                    <w:jc w:val="center"/>
                    <w:rPr>
                      <w:color w:val="auto"/>
                      <w:szCs w:val="21"/>
                    </w:rPr>
                  </w:pPr>
                  <w:r>
                    <w:rPr>
                      <w:rFonts w:hint="eastAsia"/>
                      <w:color w:val="auto"/>
                      <w:szCs w:val="21"/>
                    </w:rPr>
                    <w:t xml:space="preserve">     </w:t>
                  </w:r>
                  <w:r>
                    <w:rPr>
                      <w:color w:val="auto"/>
                      <w:szCs w:val="21"/>
                    </w:rPr>
                    <w:t>监测时间</w:t>
                  </w:r>
                </w:p>
                <w:p>
                  <w:pPr>
                    <w:rPr>
                      <w:color w:val="auto"/>
                      <w:szCs w:val="21"/>
                    </w:rPr>
                  </w:pPr>
                  <w:r>
                    <w:rPr>
                      <w:color w:val="auto"/>
                      <w:szCs w:val="21"/>
                    </w:rPr>
                    <w:t>监测点位</w:t>
                  </w:r>
                </w:p>
              </w:tc>
              <w:tc>
                <w:tcPr>
                  <w:tcW w:w="3628" w:type="dxa"/>
                  <w:gridSpan w:val="2"/>
                  <w:tcBorders>
                    <w:tl2br w:val="nil"/>
                    <w:tr2bl w:val="nil"/>
                  </w:tcBorders>
                  <w:vAlign w:val="center"/>
                </w:tcPr>
                <w:p>
                  <w:pPr>
                    <w:ind w:firstLine="210"/>
                    <w:jc w:val="center"/>
                    <w:rPr>
                      <w:color w:val="auto"/>
                      <w:szCs w:val="21"/>
                    </w:rPr>
                  </w:pPr>
                  <w:r>
                    <w:rPr>
                      <w:rFonts w:hint="eastAsia"/>
                      <w:color w:val="auto"/>
                      <w:szCs w:val="21"/>
                      <w:lang w:val="en-US" w:eastAsia="zh-CN"/>
                    </w:rPr>
                    <w:t>8</w:t>
                  </w:r>
                  <w:r>
                    <w:rPr>
                      <w:color w:val="auto"/>
                      <w:szCs w:val="21"/>
                    </w:rPr>
                    <w:t>月</w:t>
                  </w:r>
                  <w:r>
                    <w:rPr>
                      <w:rFonts w:hint="eastAsia"/>
                      <w:color w:val="auto"/>
                      <w:szCs w:val="21"/>
                      <w:lang w:val="en-US" w:eastAsia="zh-CN"/>
                    </w:rPr>
                    <w:t>10</w:t>
                  </w:r>
                  <w:r>
                    <w:rPr>
                      <w:color w:val="auto"/>
                      <w:szCs w:val="21"/>
                    </w:rPr>
                    <w:t>日</w:t>
                  </w:r>
                </w:p>
              </w:tc>
              <w:tc>
                <w:tcPr>
                  <w:tcW w:w="3630" w:type="dxa"/>
                  <w:gridSpan w:val="2"/>
                  <w:tcBorders>
                    <w:tl2br w:val="nil"/>
                    <w:tr2bl w:val="nil"/>
                  </w:tcBorders>
                  <w:vAlign w:val="center"/>
                </w:tcPr>
                <w:p>
                  <w:pPr>
                    <w:ind w:firstLine="210"/>
                    <w:jc w:val="center"/>
                    <w:rPr>
                      <w:color w:val="auto"/>
                      <w:szCs w:val="21"/>
                    </w:rPr>
                  </w:pPr>
                  <w:r>
                    <w:rPr>
                      <w:rFonts w:hint="eastAsia"/>
                      <w:color w:val="auto"/>
                      <w:szCs w:val="21"/>
                      <w:lang w:val="en-US" w:eastAsia="zh-CN"/>
                    </w:rPr>
                    <w:t>8</w:t>
                  </w:r>
                  <w:r>
                    <w:rPr>
                      <w:color w:val="auto"/>
                      <w:szCs w:val="21"/>
                    </w:rPr>
                    <w:t>月</w:t>
                  </w:r>
                  <w:r>
                    <w:rPr>
                      <w:rFonts w:hint="eastAsia"/>
                      <w:color w:val="auto"/>
                      <w:szCs w:val="21"/>
                      <w:lang w:val="en-US" w:eastAsia="zh-CN"/>
                    </w:rPr>
                    <w:t>11</w:t>
                  </w:r>
                  <w:r>
                    <w:rPr>
                      <w:color w:val="auto"/>
                      <w:szCs w:val="21"/>
                    </w:rPr>
                    <w:t>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trPr>
              <w:tc>
                <w:tcPr>
                  <w:tcW w:w="1814" w:type="dxa"/>
                  <w:vMerge w:val="continue"/>
                  <w:tcBorders>
                    <w:tl2br w:val="nil"/>
                    <w:tr2bl w:val="nil"/>
                  </w:tcBorders>
                  <w:vAlign w:val="center"/>
                </w:tcPr>
                <w:p>
                  <w:pPr>
                    <w:ind w:firstLine="210"/>
                    <w:jc w:val="center"/>
                    <w:rPr>
                      <w:color w:val="auto"/>
                      <w:szCs w:val="21"/>
                    </w:rPr>
                  </w:pPr>
                </w:p>
              </w:tc>
              <w:tc>
                <w:tcPr>
                  <w:tcW w:w="1814" w:type="dxa"/>
                  <w:tcBorders>
                    <w:tl2br w:val="nil"/>
                    <w:tr2bl w:val="nil"/>
                  </w:tcBorders>
                  <w:vAlign w:val="center"/>
                </w:tcPr>
                <w:p>
                  <w:pPr>
                    <w:jc w:val="center"/>
                    <w:rPr>
                      <w:color w:val="auto"/>
                      <w:szCs w:val="21"/>
                    </w:rPr>
                  </w:pPr>
                  <w:r>
                    <w:rPr>
                      <w:color w:val="auto"/>
                      <w:szCs w:val="21"/>
                    </w:rPr>
                    <w:t>昼间</w:t>
                  </w:r>
                </w:p>
              </w:tc>
              <w:tc>
                <w:tcPr>
                  <w:tcW w:w="1814" w:type="dxa"/>
                  <w:tcBorders>
                    <w:tl2br w:val="nil"/>
                    <w:tr2bl w:val="nil"/>
                  </w:tcBorders>
                  <w:vAlign w:val="center"/>
                </w:tcPr>
                <w:p>
                  <w:pPr>
                    <w:jc w:val="center"/>
                    <w:rPr>
                      <w:color w:val="auto"/>
                      <w:szCs w:val="21"/>
                    </w:rPr>
                  </w:pPr>
                  <w:r>
                    <w:rPr>
                      <w:color w:val="auto"/>
                      <w:szCs w:val="21"/>
                    </w:rPr>
                    <w:t>夜间</w:t>
                  </w:r>
                </w:p>
              </w:tc>
              <w:tc>
                <w:tcPr>
                  <w:tcW w:w="1815" w:type="dxa"/>
                  <w:tcBorders>
                    <w:tl2br w:val="nil"/>
                    <w:tr2bl w:val="nil"/>
                  </w:tcBorders>
                  <w:vAlign w:val="center"/>
                </w:tcPr>
                <w:p>
                  <w:pPr>
                    <w:jc w:val="center"/>
                    <w:rPr>
                      <w:color w:val="auto"/>
                      <w:szCs w:val="21"/>
                    </w:rPr>
                  </w:pPr>
                  <w:r>
                    <w:rPr>
                      <w:color w:val="auto"/>
                      <w:szCs w:val="21"/>
                    </w:rPr>
                    <w:t>昼间</w:t>
                  </w:r>
                </w:p>
              </w:tc>
              <w:tc>
                <w:tcPr>
                  <w:tcW w:w="1815" w:type="dxa"/>
                  <w:tcBorders>
                    <w:tl2br w:val="nil"/>
                    <w:tr2bl w:val="nil"/>
                  </w:tcBorders>
                  <w:vAlign w:val="center"/>
                </w:tcPr>
                <w:p>
                  <w:pPr>
                    <w:jc w:val="center"/>
                    <w:rPr>
                      <w:color w:val="auto"/>
                      <w:szCs w:val="21"/>
                    </w:rPr>
                  </w:pPr>
                  <w:r>
                    <w:rPr>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trPr>
              <w:tc>
                <w:tcPr>
                  <w:tcW w:w="1814" w:type="dxa"/>
                  <w:tcBorders>
                    <w:tl2br w:val="nil"/>
                    <w:tr2bl w:val="nil"/>
                  </w:tcBorders>
                  <w:vAlign w:val="center"/>
                </w:tcPr>
                <w:p>
                  <w:pPr>
                    <w:jc w:val="center"/>
                    <w:rPr>
                      <w:rFonts w:hint="eastAsia" w:eastAsia="宋体"/>
                      <w:color w:val="auto"/>
                      <w:szCs w:val="21"/>
                      <w:lang w:eastAsia="zh-CN"/>
                    </w:rPr>
                  </w:pPr>
                  <w:r>
                    <w:rPr>
                      <w:rFonts w:hint="eastAsia"/>
                      <w:color w:val="auto"/>
                      <w:szCs w:val="21"/>
                      <w:lang w:val="en-US" w:eastAsia="zh-CN"/>
                    </w:rPr>
                    <w:t>1#</w:t>
                  </w:r>
                </w:p>
              </w:tc>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52.5</w:t>
                  </w:r>
                </w:p>
              </w:tc>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40.8</w:t>
                  </w:r>
                </w:p>
              </w:tc>
              <w:tc>
                <w:tcPr>
                  <w:tcW w:w="181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54.4</w:t>
                  </w:r>
                </w:p>
              </w:tc>
              <w:tc>
                <w:tcPr>
                  <w:tcW w:w="181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39.7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trPr>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2#</w:t>
                  </w:r>
                </w:p>
              </w:tc>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49.3</w:t>
                  </w:r>
                </w:p>
              </w:tc>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43.1</w:t>
                  </w:r>
                </w:p>
              </w:tc>
              <w:tc>
                <w:tcPr>
                  <w:tcW w:w="181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48.7</w:t>
                  </w:r>
                </w:p>
              </w:tc>
              <w:tc>
                <w:tcPr>
                  <w:tcW w:w="181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42.1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trPr>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3#</w:t>
                  </w:r>
                </w:p>
              </w:tc>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62.4</w:t>
                  </w:r>
                </w:p>
              </w:tc>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52.3</w:t>
                  </w:r>
                </w:p>
              </w:tc>
              <w:tc>
                <w:tcPr>
                  <w:tcW w:w="181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64.4</w:t>
                  </w:r>
                </w:p>
              </w:tc>
              <w:tc>
                <w:tcPr>
                  <w:tcW w:w="181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53.6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trPr>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4#</w:t>
                  </w:r>
                </w:p>
              </w:tc>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52.3</w:t>
                  </w:r>
                </w:p>
              </w:tc>
              <w:tc>
                <w:tcPr>
                  <w:tcW w:w="1814"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43.5</w:t>
                  </w:r>
                </w:p>
              </w:tc>
              <w:tc>
                <w:tcPr>
                  <w:tcW w:w="181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51.6</w:t>
                  </w:r>
                </w:p>
              </w:tc>
              <w:tc>
                <w:tcPr>
                  <w:tcW w:w="181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44.8</w:t>
                  </w:r>
                </w:p>
              </w:tc>
            </w:tr>
          </w:tbl>
          <w:p>
            <w:pPr>
              <w:spacing w:line="360" w:lineRule="auto"/>
              <w:ind w:firstLine="480" w:firstLineChars="200"/>
              <w:rPr>
                <w:color w:val="auto"/>
                <w:sz w:val="24"/>
                <w:highlight w:val="none"/>
              </w:rPr>
            </w:pPr>
            <w:r>
              <w:rPr>
                <w:color w:val="auto"/>
                <w:sz w:val="24"/>
                <w:highlight w:val="none"/>
              </w:rPr>
              <w:t>监测结果表明</w:t>
            </w:r>
            <w:r>
              <w:rPr>
                <w:rFonts w:hint="eastAsia"/>
                <w:color w:val="auto"/>
                <w:sz w:val="24"/>
                <w:highlight w:val="none"/>
                <w:lang w:eastAsia="zh-CN"/>
              </w:rPr>
              <w:t>，</w:t>
            </w:r>
            <w:r>
              <w:rPr>
                <w:rFonts w:hint="eastAsia"/>
                <w:color w:val="auto"/>
                <w:sz w:val="24"/>
                <w:highlight w:val="none"/>
                <w:lang w:val="en-US" w:eastAsia="zh-CN"/>
              </w:rPr>
              <w:t>项目</w:t>
            </w:r>
            <w:r>
              <w:rPr>
                <w:rFonts w:hint="eastAsia"/>
                <w:color w:val="auto"/>
                <w:sz w:val="24"/>
                <w:szCs w:val="24"/>
                <w:highlight w:val="none"/>
              </w:rPr>
              <w:t>四周厂界</w:t>
            </w:r>
            <w:r>
              <w:rPr>
                <w:color w:val="auto"/>
                <w:sz w:val="24"/>
                <w:szCs w:val="24"/>
                <w:highlight w:val="none"/>
              </w:rPr>
              <w:t>声环境现状</w:t>
            </w:r>
            <w:r>
              <w:rPr>
                <w:rFonts w:hint="eastAsia"/>
                <w:color w:val="auto"/>
                <w:sz w:val="24"/>
                <w:szCs w:val="24"/>
                <w:highlight w:val="none"/>
              </w:rPr>
              <w:t>监测</w:t>
            </w:r>
            <w:r>
              <w:rPr>
                <w:color w:val="auto"/>
                <w:sz w:val="24"/>
                <w:szCs w:val="24"/>
                <w:highlight w:val="none"/>
              </w:rPr>
              <w:t>值均能够</w:t>
            </w:r>
            <w:r>
              <w:rPr>
                <w:rFonts w:hint="eastAsia"/>
                <w:color w:val="auto"/>
                <w:sz w:val="24"/>
                <w:szCs w:val="24"/>
                <w:highlight w:val="none"/>
              </w:rPr>
              <w:t>达到</w:t>
            </w:r>
            <w:r>
              <w:rPr>
                <w:color w:val="auto"/>
                <w:sz w:val="24"/>
                <w:szCs w:val="24"/>
                <w:highlight w:val="none"/>
              </w:rPr>
              <w:t>GB3096-2008《声环境质量标准》中</w:t>
            </w:r>
            <w:r>
              <w:rPr>
                <w:rFonts w:hint="eastAsia"/>
                <w:color w:val="auto"/>
                <w:sz w:val="24"/>
                <w:szCs w:val="24"/>
                <w:highlight w:val="none"/>
                <w:lang w:val="en-US" w:eastAsia="zh-CN"/>
              </w:rPr>
              <w:t>3类</w:t>
            </w:r>
            <w:r>
              <w:rPr>
                <w:color w:val="auto"/>
                <w:sz w:val="24"/>
                <w:szCs w:val="24"/>
                <w:highlight w:val="none"/>
              </w:rPr>
              <w:t>标准昼、夜间噪声</w:t>
            </w:r>
            <w:r>
              <w:rPr>
                <w:rFonts w:hint="eastAsia"/>
                <w:color w:val="auto"/>
                <w:sz w:val="24"/>
                <w:szCs w:val="24"/>
                <w:highlight w:val="none"/>
              </w:rPr>
              <w:t>限值</w:t>
            </w:r>
            <w:r>
              <w:rPr>
                <w:rFonts w:hint="eastAsia"/>
                <w:color w:val="auto"/>
                <w:sz w:val="24"/>
                <w:szCs w:val="24"/>
                <w:highlight w:val="none"/>
                <w:lang w:eastAsia="zh-CN"/>
              </w:rPr>
              <w:t>，说明项目声环境质量良好</w:t>
            </w:r>
            <w:r>
              <w:rPr>
                <w:color w:val="auto"/>
                <w:sz w:val="24"/>
                <w:highlight w:val="none"/>
              </w:rPr>
              <w:t>。</w:t>
            </w:r>
          </w:p>
          <w:p>
            <w:pPr>
              <w:spacing w:line="360" w:lineRule="auto"/>
              <w:ind w:firstLine="472" w:firstLineChars="196"/>
              <w:rPr>
                <w:color w:val="auto"/>
                <w:sz w:val="24"/>
                <w:szCs w:val="24"/>
              </w:rPr>
            </w:pPr>
            <w:r>
              <w:rPr>
                <w:rFonts w:hint="eastAsia"/>
                <w:b/>
                <w:bCs/>
                <w:color w:val="auto"/>
                <w:sz w:val="24"/>
                <w:szCs w:val="24"/>
                <w:lang w:eastAsia="zh-CN"/>
              </w:rPr>
              <w:t>三</w:t>
            </w:r>
            <w:r>
              <w:rPr>
                <w:b/>
                <w:bCs/>
                <w:color w:val="auto"/>
                <w:sz w:val="24"/>
                <w:szCs w:val="24"/>
              </w:rPr>
              <w:t>、</w:t>
            </w:r>
            <w:r>
              <w:rPr>
                <w:rFonts w:hint="eastAsia"/>
                <w:b/>
                <w:color w:val="auto"/>
                <w:sz w:val="24"/>
                <w:szCs w:val="24"/>
                <w:lang w:eastAsia="zh-CN"/>
              </w:rPr>
              <w:t>地下水</w:t>
            </w:r>
            <w:r>
              <w:rPr>
                <w:b/>
                <w:color w:val="auto"/>
                <w:sz w:val="24"/>
                <w:szCs w:val="24"/>
              </w:rPr>
              <w:t>环境质量</w:t>
            </w:r>
          </w:p>
          <w:p>
            <w:pPr>
              <w:pStyle w:val="2"/>
              <w:spacing w:line="360" w:lineRule="auto"/>
              <w:ind w:firstLine="440" w:firstLineChars="200"/>
              <w:rPr>
                <w:b/>
                <w:bCs/>
                <w:color w:val="auto"/>
                <w:sz w:val="24"/>
                <w:szCs w:val="24"/>
              </w:rPr>
            </w:pPr>
            <w:r>
              <w:rPr>
                <w:rFonts w:hint="default" w:ascii="Times New Roman" w:hAnsi="Times New Roman" w:eastAsia="宋体" w:cs="Times New Roman"/>
                <w:color w:val="auto"/>
                <w:sz w:val="24"/>
                <w:szCs w:val="24"/>
              </w:rPr>
              <w:t>本次声环境质量现状监测委托</w:t>
            </w:r>
            <w:r>
              <w:rPr>
                <w:rFonts w:hint="default" w:ascii="Times New Roman" w:hAnsi="Times New Roman" w:eastAsia="宋体" w:cs="Times New Roman"/>
                <w:color w:val="auto"/>
                <w:sz w:val="24"/>
                <w:szCs w:val="24"/>
                <w:lang w:eastAsia="zh-CN"/>
              </w:rPr>
              <w:t>陕西正泽检测科技有限公司</w:t>
            </w:r>
            <w:r>
              <w:rPr>
                <w:rFonts w:hint="default" w:ascii="Times New Roman" w:hAnsi="Times New Roman" w:eastAsia="宋体" w:cs="Times New Roman"/>
                <w:color w:val="auto"/>
                <w:sz w:val="24"/>
                <w:szCs w:val="24"/>
              </w:rPr>
              <w:t>，于201</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日对</w:t>
            </w:r>
            <w:r>
              <w:rPr>
                <w:rFonts w:hint="eastAsia" w:ascii="Times New Roman" w:hAnsi="Times New Roman" w:eastAsia="宋体" w:cs="Times New Roman"/>
                <w:color w:val="auto"/>
                <w:sz w:val="24"/>
                <w:szCs w:val="24"/>
                <w:lang w:eastAsia="zh-CN"/>
              </w:rPr>
              <w:t>马坊村水井、石管子村泉水进行监测，监测点位见附图4，监测结果见表</w:t>
            </w: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lang w:eastAsia="zh-CN"/>
              </w:rPr>
              <w:t>。</w:t>
            </w:r>
          </w:p>
          <w:p>
            <w:pPr>
              <w:spacing w:line="360" w:lineRule="auto"/>
              <w:ind w:firstLine="240"/>
              <w:jc w:val="center"/>
              <w:rPr>
                <w:b/>
                <w:bCs/>
                <w:color w:val="auto"/>
                <w:sz w:val="24"/>
                <w:szCs w:val="24"/>
              </w:rPr>
            </w:pPr>
            <w:r>
              <w:rPr>
                <w:b/>
                <w:bCs/>
                <w:color w:val="auto"/>
                <w:sz w:val="24"/>
                <w:szCs w:val="24"/>
              </w:rPr>
              <w:t>表</w:t>
            </w:r>
            <w:r>
              <w:rPr>
                <w:rFonts w:hint="eastAsia"/>
                <w:b/>
                <w:bCs/>
                <w:color w:val="auto"/>
                <w:sz w:val="24"/>
                <w:szCs w:val="24"/>
                <w:lang w:val="en-US" w:eastAsia="zh-CN"/>
              </w:rPr>
              <w:t>8</w:t>
            </w:r>
            <w:r>
              <w:rPr>
                <w:b/>
                <w:bCs/>
                <w:color w:val="auto"/>
                <w:sz w:val="24"/>
                <w:szCs w:val="24"/>
              </w:rPr>
              <w:t xml:space="preserve">  </w:t>
            </w:r>
            <w:r>
              <w:rPr>
                <w:rFonts w:hint="eastAsia"/>
                <w:b/>
                <w:bCs/>
                <w:color w:val="auto"/>
                <w:sz w:val="24"/>
                <w:szCs w:val="24"/>
                <w:lang w:eastAsia="zh-CN"/>
              </w:rPr>
              <w:t>地下水</w:t>
            </w:r>
            <w:r>
              <w:rPr>
                <w:b/>
                <w:bCs/>
                <w:color w:val="auto"/>
                <w:sz w:val="24"/>
                <w:szCs w:val="24"/>
              </w:rPr>
              <w:t xml:space="preserve">监测结果  </w:t>
            </w:r>
          </w:p>
          <w:tbl>
            <w:tblPr>
              <w:tblStyle w:val="35"/>
              <w:tblW w:w="907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3024"/>
              <w:gridCol w:w="30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项目</w:t>
                  </w:r>
                </w:p>
              </w:tc>
              <w:tc>
                <w:tcPr>
                  <w:tcW w:w="3024" w:type="dxa"/>
                  <w:tcBorders>
                    <w:tl2br w:val="nil"/>
                    <w:tr2bl w:val="nil"/>
                  </w:tcBorders>
                  <w:vAlign w:val="center"/>
                </w:tcPr>
                <w:p>
                  <w:pPr>
                    <w:jc w:val="center"/>
                    <w:rPr>
                      <w:rFonts w:hint="eastAsia" w:eastAsia="宋体"/>
                      <w:vertAlign w:val="baseline"/>
                      <w:lang w:eastAsia="zh-CN"/>
                    </w:rPr>
                  </w:pPr>
                  <w:r>
                    <w:rPr>
                      <w:rFonts w:hint="eastAsia"/>
                      <w:vertAlign w:val="baseline"/>
                      <w:lang w:eastAsia="zh-CN"/>
                    </w:rPr>
                    <w:t>马坊村水井</w:t>
                  </w:r>
                </w:p>
              </w:tc>
              <w:tc>
                <w:tcPr>
                  <w:tcW w:w="3024" w:type="dxa"/>
                  <w:tcBorders>
                    <w:tl2br w:val="nil"/>
                    <w:tr2bl w:val="nil"/>
                  </w:tcBorders>
                  <w:vAlign w:val="center"/>
                </w:tcPr>
                <w:p>
                  <w:pPr>
                    <w:jc w:val="center"/>
                    <w:rPr>
                      <w:rFonts w:hint="eastAsia" w:eastAsia="宋体"/>
                      <w:vertAlign w:val="baseline"/>
                      <w:lang w:eastAsia="zh-CN"/>
                    </w:rPr>
                  </w:pPr>
                  <w:r>
                    <w:rPr>
                      <w:rFonts w:hint="eastAsia"/>
                      <w:vertAlign w:val="baseline"/>
                      <w:lang w:eastAsia="zh-CN"/>
                    </w:rPr>
                    <w:t>石管子村泉水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lang w:eastAsia="zh-CN"/>
                    </w:rPr>
                    <w:t>井深</w:t>
                  </w:r>
                  <w:r>
                    <w:rPr>
                      <w:rFonts w:hint="default" w:ascii="Times New Roman" w:hAnsi="Times New Roman" w:eastAsia="宋体" w:cs="Times New Roman"/>
                      <w:sz w:val="21"/>
                      <w:szCs w:val="21"/>
                      <w:lang w:val="en-US" w:eastAsia="zh-CN"/>
                    </w:rPr>
                    <w:t xml:space="preserve"> m</w:t>
                  </w:r>
                </w:p>
              </w:tc>
              <w:tc>
                <w:tcPr>
                  <w:tcW w:w="3024" w:type="dxa"/>
                  <w:tcBorders>
                    <w:tl2br w:val="nil"/>
                    <w:tr2bl w:val="nil"/>
                  </w:tcBorders>
                  <w:vAlign w:val="center"/>
                </w:tcPr>
                <w:p>
                  <w:pPr>
                    <w:jc w:val="center"/>
                    <w:rPr>
                      <w:vertAlign w:val="baseline"/>
                    </w:rPr>
                  </w:pPr>
                  <w:r>
                    <w:rPr>
                      <w:rFonts w:hint="eastAsia" w:ascii="Times New Roman" w:hAnsi="Times New Roman" w:eastAsia="宋体" w:cs="Times New Roman"/>
                      <w:sz w:val="21"/>
                      <w:szCs w:val="21"/>
                      <w:lang w:val="en-US" w:eastAsia="zh-CN"/>
                    </w:rPr>
                    <w:t>33</w:t>
                  </w:r>
                </w:p>
              </w:tc>
              <w:tc>
                <w:tcPr>
                  <w:tcW w:w="302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lang w:eastAsia="zh-CN"/>
                    </w:rPr>
                    <w:t>水位</w:t>
                  </w:r>
                  <w:r>
                    <w:rPr>
                      <w:rFonts w:hint="default" w:ascii="Times New Roman" w:hAnsi="Times New Roman" w:eastAsia="宋体" w:cs="Times New Roman"/>
                      <w:sz w:val="21"/>
                      <w:szCs w:val="21"/>
                      <w:lang w:val="en-US" w:eastAsia="zh-CN"/>
                    </w:rPr>
                    <w:t>m</w:t>
                  </w:r>
                </w:p>
              </w:tc>
              <w:tc>
                <w:tcPr>
                  <w:tcW w:w="3024" w:type="dxa"/>
                  <w:tcBorders>
                    <w:tl2br w:val="nil"/>
                    <w:tr2bl w:val="nil"/>
                  </w:tcBorders>
                  <w:vAlign w:val="center"/>
                </w:tcPr>
                <w:p>
                  <w:pPr>
                    <w:jc w:val="center"/>
                    <w:rPr>
                      <w:vertAlign w:val="baseline"/>
                    </w:rPr>
                  </w:pPr>
                  <w:r>
                    <w:rPr>
                      <w:rFonts w:hint="eastAsia" w:ascii="Times New Roman" w:hAnsi="Times New Roman" w:eastAsia="宋体" w:cs="Times New Roman"/>
                      <w:sz w:val="21"/>
                      <w:szCs w:val="21"/>
                      <w:lang w:val="en-US" w:eastAsia="zh-CN"/>
                    </w:rPr>
                    <w:t>1181</w:t>
                  </w:r>
                </w:p>
              </w:tc>
              <w:tc>
                <w:tcPr>
                  <w:tcW w:w="302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lang w:eastAsia="zh-CN"/>
                    </w:rPr>
                    <w:t>井口标高</w:t>
                  </w:r>
                  <w:r>
                    <w:rPr>
                      <w:rFonts w:hint="default" w:ascii="Times New Roman" w:hAnsi="Times New Roman" w:eastAsia="宋体" w:cs="Times New Roman"/>
                      <w:sz w:val="21"/>
                      <w:szCs w:val="21"/>
                      <w:lang w:val="en-US" w:eastAsia="zh-CN"/>
                    </w:rPr>
                    <w:t>m</w:t>
                  </w:r>
                </w:p>
              </w:tc>
              <w:tc>
                <w:tcPr>
                  <w:tcW w:w="3024" w:type="dxa"/>
                  <w:tcBorders>
                    <w:tl2br w:val="nil"/>
                    <w:tr2bl w:val="nil"/>
                  </w:tcBorders>
                  <w:vAlign w:val="center"/>
                </w:tcPr>
                <w:p>
                  <w:pPr>
                    <w:jc w:val="center"/>
                    <w:rPr>
                      <w:vertAlign w:val="baseline"/>
                    </w:rPr>
                  </w:pPr>
                  <w:r>
                    <w:rPr>
                      <w:rFonts w:hint="eastAsia" w:ascii="Times New Roman" w:hAnsi="Times New Roman" w:eastAsia="宋体" w:cs="Times New Roman"/>
                      <w:sz w:val="21"/>
                      <w:szCs w:val="21"/>
                      <w:lang w:val="en-US" w:eastAsia="zh-CN"/>
                    </w:rPr>
                    <w:t>1214</w:t>
                  </w:r>
                </w:p>
              </w:tc>
              <w:tc>
                <w:tcPr>
                  <w:tcW w:w="302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pH值</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7.36</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7.59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kern w:val="0"/>
                      <w:sz w:val="21"/>
                      <w:szCs w:val="21"/>
                    </w:rPr>
                    <w:t>总硬度</w:t>
                  </w:r>
                  <w:r>
                    <w:rPr>
                      <w:rFonts w:hint="default" w:ascii="Times New Roman" w:hAnsi="Times New Roman" w:eastAsia="宋体" w:cs="Times New Roman"/>
                      <w:sz w:val="21"/>
                      <w:szCs w:val="21"/>
                    </w:rPr>
                    <w:t>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120.5</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96.7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溶解性总固体mg/L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160</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114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硫酸盐mg/L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38.5</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27.7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氯化物mg/L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36.4</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铁mg/L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color w:val="000000"/>
                      <w:sz w:val="21"/>
                      <w:szCs w:val="21"/>
                    </w:rPr>
                    <w:t>0.05</w:t>
                  </w:r>
                  <w:r>
                    <w:rPr>
                      <w:rFonts w:hint="default" w:ascii="Times New Roman" w:hAnsi="Times New Roman" w:eastAsia="宋体" w:cs="Times New Roman"/>
                      <w:color w:val="000000"/>
                      <w:sz w:val="21"/>
                      <w:szCs w:val="21"/>
                      <w:lang w:val="en-US" w:eastAsia="zh-CN"/>
                    </w:rPr>
                    <w:t>)</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color w:val="000000"/>
                      <w:sz w:val="21"/>
                      <w:szCs w:val="21"/>
                    </w:rPr>
                    <w:t>0.05</w:t>
                  </w:r>
                  <w:r>
                    <w:rPr>
                      <w:rFonts w:hint="default" w:ascii="Times New Roman" w:hAnsi="Times New Roman" w:eastAsia="宋体" w:cs="Times New Roman"/>
                      <w:color w:val="00000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锰mg/L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 (</w:t>
                  </w:r>
                  <w:r>
                    <w:rPr>
                      <w:rFonts w:hint="default" w:ascii="Times New Roman" w:hAnsi="Times New Roman" w:eastAsia="宋体" w:cs="Times New Roman"/>
                      <w:color w:val="000000"/>
                      <w:kern w:val="0"/>
                      <w:sz w:val="21"/>
                      <w:szCs w:val="21"/>
                    </w:rPr>
                    <w:t>0.05</w:t>
                  </w:r>
                  <w:r>
                    <w:rPr>
                      <w:rFonts w:hint="default" w:ascii="Times New Roman" w:hAnsi="Times New Roman" w:eastAsia="宋体" w:cs="Times New Roman"/>
                      <w:sz w:val="21"/>
                      <w:szCs w:val="21"/>
                      <w:lang w:val="en-US" w:eastAsia="zh-CN"/>
                    </w:rPr>
                    <w:t>)</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 (</w:t>
                  </w:r>
                  <w:r>
                    <w:rPr>
                      <w:rFonts w:hint="default" w:ascii="Times New Roman" w:hAnsi="Times New Roman" w:eastAsia="宋体" w:cs="Times New Roman"/>
                      <w:color w:val="000000"/>
                      <w:kern w:val="0"/>
                      <w:sz w:val="21"/>
                      <w:szCs w:val="21"/>
                    </w:rPr>
                    <w:t>0.05</w:t>
                  </w:r>
                  <w:r>
                    <w:rPr>
                      <w:rFonts w:hint="default" w:ascii="Times New Roman" w:hAnsi="Times New Roman" w:eastAsia="宋体"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镉mg/L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kern w:val="0"/>
                      <w:sz w:val="21"/>
                      <w:szCs w:val="21"/>
                    </w:rPr>
                    <w:t>0.001</w:t>
                  </w:r>
                  <w:r>
                    <w:rPr>
                      <w:rFonts w:hint="default" w:ascii="Times New Roman" w:hAnsi="Times New Roman" w:eastAsia="宋体" w:cs="Times New Roman"/>
                      <w:sz w:val="21"/>
                      <w:szCs w:val="21"/>
                      <w:lang w:val="en-US" w:eastAsia="zh-CN"/>
                    </w:rPr>
                    <w:t>)</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kern w:val="0"/>
                      <w:sz w:val="21"/>
                      <w:szCs w:val="21"/>
                    </w:rPr>
                    <w:t>0.001</w:t>
                  </w:r>
                  <w:r>
                    <w:rPr>
                      <w:rFonts w:hint="default" w:ascii="Times New Roman" w:hAnsi="Times New Roman" w:eastAsia="宋体"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铅mg/L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sz w:val="21"/>
                      <w:szCs w:val="21"/>
                    </w:rPr>
                    <w:t xml:space="preserve">0.01 </w:t>
                  </w:r>
                  <w:r>
                    <w:rPr>
                      <w:rFonts w:hint="default" w:ascii="Times New Roman" w:hAnsi="Times New Roman" w:eastAsia="宋体" w:cs="Times New Roman"/>
                      <w:sz w:val="21"/>
                      <w:szCs w:val="21"/>
                      <w:lang w:val="en-US" w:eastAsia="zh-CN"/>
                    </w:rPr>
                    <w:t>)</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sz w:val="21"/>
                      <w:szCs w:val="21"/>
                    </w:rPr>
                    <w:t xml:space="preserve">0.01 </w:t>
                  </w:r>
                  <w:r>
                    <w:rPr>
                      <w:rFonts w:hint="default" w:ascii="Times New Roman" w:hAnsi="Times New Roman" w:eastAsia="宋体"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挥发酚mg/L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kern w:val="0"/>
                      <w:sz w:val="21"/>
                      <w:szCs w:val="21"/>
                    </w:rPr>
                    <w:t>0.0003</w:t>
                  </w:r>
                  <w:r>
                    <w:rPr>
                      <w:rFonts w:hint="default" w:ascii="Times New Roman" w:hAnsi="Times New Roman" w:eastAsia="宋体" w:cs="Times New Roman"/>
                      <w:sz w:val="21"/>
                      <w:szCs w:val="21"/>
                      <w:lang w:val="en-US" w:eastAsia="zh-CN"/>
                    </w:rPr>
                    <w:t>)</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kern w:val="0"/>
                      <w:sz w:val="21"/>
                      <w:szCs w:val="21"/>
                    </w:rPr>
                    <w:t>0.0003</w:t>
                  </w:r>
                  <w:r>
                    <w:rPr>
                      <w:rFonts w:hint="default" w:ascii="Times New Roman" w:hAnsi="Times New Roman" w:eastAsia="宋体"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color w:val="000000"/>
                      <w:sz w:val="21"/>
                      <w:szCs w:val="21"/>
                    </w:rPr>
                    <w:t>氨氮mg/L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0.128</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0.084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高锰酸盐指数mg/L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1.85</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硝酸盐mg/L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0.56</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0.31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亚硝酸盐mg/L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sz w:val="21"/>
                      <w:szCs w:val="21"/>
                    </w:rPr>
                    <w:t>0.003</w:t>
                  </w:r>
                  <w:r>
                    <w:rPr>
                      <w:rFonts w:hint="default" w:ascii="Times New Roman" w:hAnsi="Times New Roman" w:eastAsia="宋体" w:cs="Times New Roman"/>
                      <w:sz w:val="21"/>
                      <w:szCs w:val="21"/>
                      <w:lang w:val="en-US" w:eastAsia="zh-CN"/>
                    </w:rPr>
                    <w:t>)</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w:t>
                  </w:r>
                  <w:r>
                    <w:rPr>
                      <w:rFonts w:hint="default" w:ascii="Times New Roman" w:hAnsi="Times New Roman" w:eastAsia="宋体" w:cs="Times New Roman"/>
                      <w:sz w:val="21"/>
                      <w:szCs w:val="21"/>
                    </w:rPr>
                    <w:t>0.003</w:t>
                  </w:r>
                  <w:r>
                    <w:rPr>
                      <w:rFonts w:hint="default" w:ascii="Times New Roman" w:hAnsi="Times New Roman" w:eastAsia="宋体"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氟化物mg/L</w:t>
                  </w:r>
                </w:p>
              </w:tc>
              <w:tc>
                <w:tcPr>
                  <w:tcW w:w="3024" w:type="dxa"/>
                  <w:tcBorders>
                    <w:tl2br w:val="nil"/>
                    <w:tr2bl w:val="nil"/>
                  </w:tcBorders>
                  <w:vAlign w:val="center"/>
                </w:tcPr>
                <w:p>
                  <w:pPr>
                    <w:jc w:val="center"/>
                    <w:rPr>
                      <w:vertAlign w:val="baseline"/>
                    </w:rPr>
                  </w:pPr>
                  <w:r>
                    <w:rPr>
                      <w:rFonts w:hint="eastAsia" w:ascii="Times New Roman" w:hAnsi="Times New Roman" w:eastAsia="宋体" w:cs="Times New Roman"/>
                      <w:color w:val="000000"/>
                      <w:sz w:val="21"/>
                      <w:szCs w:val="21"/>
                      <w:lang w:val="en-US" w:eastAsia="zh-CN"/>
                    </w:rPr>
                    <w:t>0.32</w:t>
                  </w:r>
                </w:p>
              </w:tc>
              <w:tc>
                <w:tcPr>
                  <w:tcW w:w="3024" w:type="dxa"/>
                  <w:tcBorders>
                    <w:tl2br w:val="nil"/>
                    <w:tr2bl w:val="nil"/>
                  </w:tcBorders>
                  <w:vAlign w:val="center"/>
                </w:tcPr>
                <w:p>
                  <w:pPr>
                    <w:jc w:val="center"/>
                    <w:rPr>
                      <w:vertAlign w:val="baseline"/>
                    </w:rPr>
                  </w:pPr>
                  <w:r>
                    <w:rPr>
                      <w:rFonts w:hint="eastAsia" w:ascii="Times New Roman" w:hAnsi="Times New Roman" w:eastAsia="宋体" w:cs="Times New Roman"/>
                      <w:color w:val="000000"/>
                      <w:sz w:val="21"/>
                      <w:szCs w:val="21"/>
                      <w:lang w:val="en-US" w:eastAsia="zh-CN"/>
                    </w:rPr>
                    <w:t>0.29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氰化物mg/L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ND(0.004)</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六价铬mg/L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color w:val="000000"/>
                      <w:sz w:val="21"/>
                      <w:szCs w:val="21"/>
                      <w:lang w:val="en-US" w:eastAsia="zh-CN"/>
                    </w:rPr>
                    <w:t>ND(</w:t>
                  </w:r>
                  <w:r>
                    <w:rPr>
                      <w:rFonts w:hint="default" w:ascii="Times New Roman" w:hAnsi="Times New Roman" w:eastAsia="宋体" w:cs="Times New Roman"/>
                      <w:sz w:val="21"/>
                      <w:szCs w:val="21"/>
                    </w:rPr>
                    <w:t>0.004</w:t>
                  </w:r>
                  <w:r>
                    <w:rPr>
                      <w:rFonts w:hint="default" w:ascii="Times New Roman" w:hAnsi="Times New Roman" w:eastAsia="宋体" w:cs="Times New Roman"/>
                      <w:color w:val="000000"/>
                      <w:sz w:val="21"/>
                      <w:szCs w:val="21"/>
                      <w:lang w:val="en-US" w:eastAsia="zh-CN"/>
                    </w:rPr>
                    <w:t>)</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color w:val="000000"/>
                      <w:sz w:val="21"/>
                      <w:szCs w:val="21"/>
                      <w:lang w:val="en-US" w:eastAsia="zh-CN"/>
                    </w:rPr>
                    <w:t>ND(</w:t>
                  </w:r>
                  <w:r>
                    <w:rPr>
                      <w:rFonts w:hint="default" w:ascii="Times New Roman" w:hAnsi="Times New Roman" w:eastAsia="宋体" w:cs="Times New Roman"/>
                      <w:sz w:val="21"/>
                      <w:szCs w:val="21"/>
                    </w:rPr>
                    <w:t>0.004</w:t>
                  </w:r>
                  <w:r>
                    <w:rPr>
                      <w:rFonts w:hint="default" w:ascii="Times New Roman" w:hAnsi="Times New Roman" w:eastAsia="宋体" w:cs="Times New Roman"/>
                      <w:color w:val="00000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汞mg/L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ND(0.00004)</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ND(0.00004)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砷mg/L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ND(0.0003)</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sz w:val="21"/>
                      <w:szCs w:val="21"/>
                      <w:lang w:val="en-US" w:eastAsia="zh-CN"/>
                    </w:rPr>
                    <w:t>ND(0.0003)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总大肠菌群</w:t>
                  </w:r>
                  <w:r>
                    <w:rPr>
                      <w:rFonts w:hint="default" w:ascii="Times New Roman" w:hAnsi="Times New Roman" w:eastAsia="宋体" w:cs="Times New Roman"/>
                      <w:sz w:val="21"/>
                      <w:szCs w:val="21"/>
                      <w:lang w:eastAsia="zh-CN"/>
                    </w:rPr>
                    <w:t>个</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L</w:t>
                  </w:r>
                </w:p>
              </w:tc>
              <w:tc>
                <w:tcPr>
                  <w:tcW w:w="3024" w:type="dxa"/>
                  <w:tcBorders>
                    <w:tl2br w:val="nil"/>
                    <w:tr2bl w:val="nil"/>
                  </w:tcBorders>
                  <w:vAlign w:val="center"/>
                </w:tcPr>
                <w:p>
                  <w:pPr>
                    <w:jc w:val="center"/>
                    <w:rPr>
                      <w:vertAlign w:val="baseline"/>
                    </w:rPr>
                  </w:pPr>
                  <w:r>
                    <w:rPr>
                      <w:rFonts w:hint="eastAsia" w:ascii="Times New Roman" w:hAnsi="Times New Roman" w:eastAsia="宋体" w:cs="Times New Roman"/>
                      <w:color w:val="auto"/>
                      <w:sz w:val="21"/>
                      <w:szCs w:val="21"/>
                      <w:lang w:val="en-US" w:eastAsia="zh-CN"/>
                    </w:rPr>
                    <w:t>1.1</w:t>
                  </w:r>
                </w:p>
              </w:tc>
              <w:tc>
                <w:tcPr>
                  <w:tcW w:w="3024" w:type="dxa"/>
                  <w:tcBorders>
                    <w:tl2br w:val="nil"/>
                    <w:tr2bl w:val="nil"/>
                  </w:tcBorders>
                  <w:vAlign w:val="center"/>
                </w:tcPr>
                <w:p>
                  <w:pPr>
                    <w:jc w:val="center"/>
                    <w:rPr>
                      <w:vertAlign w:val="baseline"/>
                    </w:rPr>
                  </w:pPr>
                  <w:r>
                    <w:rPr>
                      <w:rFonts w:hint="eastAsia" w:ascii="Times New Roman" w:hAnsi="Times New Roman" w:eastAsia="宋体" w:cs="Times New Roman"/>
                      <w:sz w:val="21"/>
                      <w:szCs w:val="21"/>
                      <w:lang w:val="en-US" w:eastAsia="zh-CN"/>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024" w:type="dxa"/>
                  <w:tcBorders>
                    <w:tl2br w:val="nil"/>
                    <w:tr2bl w:val="nil"/>
                  </w:tcBorders>
                  <w:vAlign w:val="center"/>
                </w:tcPr>
                <w:p>
                  <w:pPr>
                    <w:widowControl/>
                    <w:jc w:val="center"/>
                    <w:rPr>
                      <w:vertAlign w:val="baseline"/>
                    </w:rPr>
                  </w:pPr>
                  <w:r>
                    <w:rPr>
                      <w:rFonts w:hint="default" w:ascii="Times New Roman" w:hAnsi="Times New Roman" w:eastAsia="宋体" w:cs="Times New Roman"/>
                      <w:sz w:val="21"/>
                      <w:szCs w:val="21"/>
                    </w:rPr>
                    <w:t>细菌总数</w:t>
                  </w:r>
                  <w:r>
                    <w:rPr>
                      <w:rFonts w:hint="default" w:ascii="Times New Roman" w:hAnsi="Times New Roman" w:eastAsia="宋体" w:cs="Times New Roman"/>
                      <w:sz w:val="21"/>
                      <w:szCs w:val="21"/>
                      <w:lang w:eastAsia="zh-CN"/>
                    </w:rPr>
                    <w:t>个</w:t>
                  </w:r>
                  <w:r>
                    <w:rPr>
                      <w:rFonts w:hint="default" w:ascii="Times New Roman" w:hAnsi="Times New Roman" w:eastAsia="宋体" w:cs="Times New Roman"/>
                      <w:sz w:val="21"/>
                      <w:szCs w:val="21"/>
                    </w:rPr>
                    <w:t>/ml</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color w:val="auto"/>
                      <w:sz w:val="21"/>
                      <w:szCs w:val="21"/>
                      <w:lang w:val="en-US" w:eastAsia="zh-CN"/>
                    </w:rPr>
                    <w:t>46</w:t>
                  </w:r>
                </w:p>
              </w:tc>
              <w:tc>
                <w:tcPr>
                  <w:tcW w:w="3024" w:type="dxa"/>
                  <w:tcBorders>
                    <w:tl2br w:val="nil"/>
                    <w:tr2bl w:val="nil"/>
                  </w:tcBorders>
                  <w:vAlign w:val="center"/>
                </w:tcPr>
                <w:p>
                  <w:pPr>
                    <w:jc w:val="center"/>
                    <w:rPr>
                      <w:vertAlign w:val="baseline"/>
                    </w:rPr>
                  </w:pPr>
                  <w:r>
                    <w:rPr>
                      <w:rFonts w:hint="default" w:ascii="Times New Roman" w:hAnsi="Times New Roman" w:eastAsia="宋体" w:cs="Times New Roman"/>
                      <w:color w:val="auto"/>
                      <w:sz w:val="21"/>
                      <w:szCs w:val="21"/>
                      <w:lang w:val="en-US" w:eastAsia="zh-CN"/>
                    </w:rPr>
                    <w:t>55</w:t>
                  </w:r>
                </w:p>
              </w:tc>
            </w:tr>
          </w:tbl>
          <w:p>
            <w:pPr>
              <w:spacing w:line="360" w:lineRule="auto"/>
              <w:ind w:firstLine="480" w:firstLineChars="200"/>
            </w:pPr>
            <w:r>
              <w:rPr>
                <w:color w:val="auto"/>
                <w:sz w:val="24"/>
                <w:highlight w:val="none"/>
              </w:rPr>
              <w:t>监测结果表明</w:t>
            </w:r>
            <w:r>
              <w:rPr>
                <w:rFonts w:hint="eastAsia"/>
                <w:color w:val="auto"/>
                <w:sz w:val="24"/>
                <w:highlight w:val="none"/>
                <w:lang w:eastAsia="zh-CN"/>
              </w:rPr>
              <w:t>，</w:t>
            </w:r>
            <w:r>
              <w:rPr>
                <w:rFonts w:hint="eastAsia" w:ascii="Times New Roman" w:hAnsi="Times New Roman" w:eastAsia="宋体" w:cs="Times New Roman"/>
                <w:color w:val="auto"/>
                <w:sz w:val="24"/>
                <w:szCs w:val="24"/>
                <w:lang w:eastAsia="zh-CN"/>
              </w:rPr>
              <w:t>马坊村水井、石管子村泉水</w:t>
            </w:r>
            <w:r>
              <w:rPr>
                <w:rFonts w:hint="eastAsia"/>
                <w:color w:val="auto"/>
                <w:sz w:val="24"/>
                <w:szCs w:val="24"/>
                <w:highlight w:val="none"/>
              </w:rPr>
              <w:t>监测</w:t>
            </w:r>
            <w:r>
              <w:rPr>
                <w:color w:val="auto"/>
                <w:sz w:val="24"/>
                <w:szCs w:val="24"/>
                <w:highlight w:val="none"/>
              </w:rPr>
              <w:t>值均能够</w:t>
            </w:r>
            <w:r>
              <w:rPr>
                <w:rFonts w:hint="eastAsia"/>
                <w:color w:val="auto"/>
                <w:sz w:val="24"/>
                <w:szCs w:val="24"/>
                <w:highlight w:val="none"/>
              </w:rPr>
              <w:t>达到</w:t>
            </w:r>
            <w:r>
              <w:rPr>
                <w:rFonts w:hint="eastAsia"/>
                <w:color w:val="auto"/>
                <w:sz w:val="24"/>
                <w:szCs w:val="24"/>
                <w:lang w:val="en-US" w:eastAsia="zh-CN"/>
              </w:rPr>
              <w:t>《地下水质量标准》（GB/T14848-93）中的III类标准</w:t>
            </w:r>
            <w:r>
              <w:rPr>
                <w:rFonts w:hint="eastAsia"/>
                <w:color w:val="auto"/>
                <w:sz w:val="24"/>
                <w:szCs w:val="24"/>
                <w:highlight w:val="none"/>
              </w:rPr>
              <w:t>限值</w:t>
            </w:r>
            <w:r>
              <w:rPr>
                <w:rFonts w:hint="eastAsia"/>
                <w:color w:val="auto"/>
                <w:sz w:val="24"/>
                <w:szCs w:val="24"/>
                <w:highlight w:val="none"/>
                <w:lang w:eastAsia="zh-CN"/>
              </w:rPr>
              <w:t>，地下水环境质量良好</w:t>
            </w:r>
            <w:r>
              <w:rPr>
                <w:color w:val="auto"/>
                <w:sz w:val="24"/>
                <w:highlight w:val="none"/>
              </w:rPr>
              <w:t>。</w:t>
            </w:r>
          </w:p>
          <w:p>
            <w:pPr>
              <w:spacing w:line="360" w:lineRule="auto"/>
              <w:ind w:firstLine="482" w:firstLineChars="200"/>
              <w:rPr>
                <w:b/>
                <w:color w:val="auto"/>
                <w:sz w:val="24"/>
                <w:highlight w:val="none"/>
              </w:rPr>
            </w:pPr>
            <w:r>
              <w:rPr>
                <w:rFonts w:hint="eastAsia"/>
                <w:b/>
                <w:color w:val="auto"/>
                <w:sz w:val="24"/>
                <w:highlight w:val="none"/>
                <w:lang w:eastAsia="zh-CN"/>
              </w:rPr>
              <w:t>四</w:t>
            </w:r>
            <w:r>
              <w:rPr>
                <w:b/>
                <w:color w:val="auto"/>
                <w:sz w:val="24"/>
                <w:highlight w:val="none"/>
              </w:rPr>
              <w:t>、生态环境质量</w:t>
            </w:r>
          </w:p>
          <w:p>
            <w:pPr>
              <w:spacing w:line="360" w:lineRule="auto"/>
              <w:ind w:firstLine="480" w:firstLineChars="200"/>
              <w:rPr>
                <w:color w:val="FF0000"/>
                <w:sz w:val="24"/>
              </w:rPr>
            </w:pPr>
            <w:r>
              <w:rPr>
                <w:color w:val="auto"/>
                <w:sz w:val="24"/>
              </w:rPr>
              <w:t>本项目</w:t>
            </w:r>
            <w:r>
              <w:rPr>
                <w:rFonts w:hint="eastAsia"/>
                <w:color w:val="auto"/>
                <w:sz w:val="24"/>
                <w:lang w:eastAsia="zh-CN"/>
              </w:rPr>
              <w:t>用地均为弃土场，周边</w:t>
            </w:r>
            <w:r>
              <w:rPr>
                <w:color w:val="auto"/>
                <w:sz w:val="24"/>
              </w:rPr>
              <w:t>生态环境以</w:t>
            </w:r>
            <w:r>
              <w:rPr>
                <w:rFonts w:hint="eastAsia"/>
                <w:color w:val="auto"/>
                <w:sz w:val="24"/>
                <w:lang w:eastAsia="zh-CN"/>
              </w:rPr>
              <w:t>林地为主</w:t>
            </w:r>
            <w:r>
              <w:rPr>
                <w:color w:val="auto"/>
                <w:sz w:val="24"/>
              </w:rPr>
              <w:t>，无珍贵或濒危动、植物</w:t>
            </w:r>
            <w:r>
              <w:rPr>
                <w:rFonts w:hint="eastAsia"/>
                <w:color w:val="auto"/>
                <w:sz w:val="24"/>
              </w:rPr>
              <w:t>，</w:t>
            </w:r>
            <w:r>
              <w:rPr>
                <w:color w:val="auto"/>
                <w:sz w:val="24"/>
              </w:rPr>
              <w:t>生态环境较好。</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0" w:hRule="atLeast"/>
        </w:trPr>
        <w:tc>
          <w:tcPr>
            <w:tcW w:w="9288" w:type="dxa"/>
            <w:tcBorders>
              <w:tl2br w:val="nil"/>
              <w:tr2bl w:val="nil"/>
            </w:tcBorders>
          </w:tcPr>
          <w:p>
            <w:pPr>
              <w:spacing w:line="360" w:lineRule="auto"/>
              <w:ind w:firstLine="482" w:firstLineChars="200"/>
              <w:rPr>
                <w:b/>
                <w:color w:val="auto"/>
                <w:sz w:val="24"/>
                <w:highlight w:val="none"/>
              </w:rPr>
            </w:pPr>
            <w:r>
              <w:rPr>
                <w:b/>
                <w:color w:val="auto"/>
                <w:sz w:val="24"/>
                <w:highlight w:val="none"/>
              </w:rPr>
              <w:t>主要环境保护目标（列出名单及保护级别）</w:t>
            </w:r>
          </w:p>
          <w:p>
            <w:pPr>
              <w:adjustRightInd w:val="0"/>
              <w:snapToGrid w:val="0"/>
              <w:spacing w:line="360" w:lineRule="auto"/>
              <w:ind w:firstLine="480" w:firstLineChars="200"/>
              <w:rPr>
                <w:b/>
                <w:bCs/>
                <w:color w:val="auto"/>
                <w:sz w:val="24"/>
                <w:szCs w:val="24"/>
                <w:lang w:val="en-US" w:eastAsia="zh-CN"/>
              </w:rPr>
            </w:pPr>
            <w:r>
              <w:rPr>
                <w:rFonts w:hint="default" w:ascii="Times New Roman" w:hAnsi="Times New Roman" w:eastAsia="宋体" w:cs="Times New Roman"/>
                <w:sz w:val="24"/>
                <w:szCs w:val="22"/>
              </w:rPr>
              <w:t>本项目位于</w:t>
            </w:r>
            <w:r>
              <w:rPr>
                <w:rFonts w:hint="default" w:ascii="Times New Roman" w:hAnsi="Times New Roman" w:eastAsia="宋体" w:cs="Times New Roman"/>
                <w:sz w:val="24"/>
                <w:szCs w:val="22"/>
                <w:lang w:eastAsia="zh-CN"/>
              </w:rPr>
              <w:t>宜君县太安镇石管子村石板沟</w:t>
            </w:r>
            <w:r>
              <w:rPr>
                <w:rFonts w:hint="default" w:ascii="Times New Roman" w:hAnsi="Times New Roman" w:eastAsia="宋体" w:cs="Times New Roman"/>
                <w:sz w:val="24"/>
                <w:szCs w:val="22"/>
              </w:rPr>
              <w:t>，周边环境保护目标见表</w:t>
            </w:r>
            <w:r>
              <w:rPr>
                <w:rFonts w:hint="eastAsia" w:cs="Times New Roman"/>
                <w:sz w:val="24"/>
                <w:szCs w:val="22"/>
                <w:lang w:val="en-US" w:eastAsia="zh-CN"/>
              </w:rPr>
              <w:t>9</w:t>
            </w:r>
            <w:r>
              <w:rPr>
                <w:rFonts w:hint="default" w:ascii="Times New Roman" w:hAnsi="Times New Roman" w:eastAsia="宋体" w:cs="Times New Roman"/>
                <w:sz w:val="24"/>
                <w:szCs w:val="22"/>
              </w:rPr>
              <w:t>。</w:t>
            </w:r>
          </w:p>
          <w:p>
            <w:pPr>
              <w:spacing w:line="360" w:lineRule="auto"/>
              <w:ind w:firstLine="240"/>
              <w:jc w:val="center"/>
              <w:rPr>
                <w:b/>
                <w:bCs/>
                <w:color w:val="auto"/>
                <w:sz w:val="24"/>
                <w:szCs w:val="24"/>
                <w:lang w:val="en-US" w:eastAsia="zh-CN"/>
              </w:rPr>
            </w:pPr>
            <w:r>
              <w:rPr>
                <w:b/>
                <w:bCs/>
                <w:color w:val="auto"/>
                <w:sz w:val="24"/>
                <w:szCs w:val="24"/>
                <w:lang w:val="en-US" w:eastAsia="zh-CN"/>
              </w:rPr>
              <w:t>表</w:t>
            </w:r>
            <w:r>
              <w:rPr>
                <w:rFonts w:hint="eastAsia"/>
                <w:b/>
                <w:bCs/>
                <w:color w:val="auto"/>
                <w:sz w:val="24"/>
                <w:szCs w:val="24"/>
                <w:lang w:val="en-US" w:eastAsia="zh-CN"/>
              </w:rPr>
              <w:t>9  项目周边主要环境</w:t>
            </w:r>
            <w:r>
              <w:rPr>
                <w:b/>
                <w:bCs/>
                <w:color w:val="auto"/>
                <w:sz w:val="24"/>
                <w:szCs w:val="24"/>
                <w:lang w:val="en-US" w:eastAsia="zh-CN"/>
              </w:rPr>
              <w:t>保护目标</w:t>
            </w:r>
          </w:p>
          <w:tbl>
            <w:tblPr>
              <w:tblStyle w:val="34"/>
              <w:tblW w:w="9285"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86"/>
              <w:gridCol w:w="1249"/>
              <w:gridCol w:w="1078"/>
              <w:gridCol w:w="1078"/>
              <w:gridCol w:w="1078"/>
              <w:gridCol w:w="1081"/>
              <w:gridCol w:w="233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1386" w:type="dxa"/>
                  <w:tcBorders>
                    <w:tl2br w:val="nil"/>
                    <w:tr2bl w:val="nil"/>
                  </w:tcBorders>
                  <w:vAlign w:val="center"/>
                </w:tcPr>
                <w:p>
                  <w:pPr>
                    <w:jc w:val="center"/>
                  </w:pPr>
                  <w:r>
                    <w:t>主要保护目标</w:t>
                  </w:r>
                </w:p>
              </w:tc>
              <w:tc>
                <w:tcPr>
                  <w:tcW w:w="1249" w:type="dxa"/>
                  <w:tcBorders>
                    <w:tl2br w:val="nil"/>
                    <w:tr2bl w:val="nil"/>
                  </w:tcBorders>
                  <w:vAlign w:val="center"/>
                </w:tcPr>
                <w:p>
                  <w:pPr>
                    <w:jc w:val="center"/>
                  </w:pPr>
                  <w:r>
                    <w:t>保护对象</w:t>
                  </w:r>
                </w:p>
              </w:tc>
              <w:tc>
                <w:tcPr>
                  <w:tcW w:w="1078" w:type="dxa"/>
                  <w:tcBorders>
                    <w:tl2br w:val="nil"/>
                    <w:tr2bl w:val="nil"/>
                  </w:tcBorders>
                  <w:vAlign w:val="center"/>
                </w:tcPr>
                <w:p>
                  <w:pPr>
                    <w:jc w:val="center"/>
                  </w:pPr>
                  <w:r>
                    <w:t>方位</w:t>
                  </w:r>
                </w:p>
              </w:tc>
              <w:tc>
                <w:tcPr>
                  <w:tcW w:w="1078" w:type="dxa"/>
                  <w:tcBorders>
                    <w:tl2br w:val="nil"/>
                    <w:tr2bl w:val="nil"/>
                  </w:tcBorders>
                  <w:vAlign w:val="center"/>
                </w:tcPr>
                <w:p>
                  <w:pPr>
                    <w:jc w:val="center"/>
                  </w:pPr>
                  <w:r>
                    <w:t>距离</w:t>
                  </w:r>
                </w:p>
              </w:tc>
              <w:tc>
                <w:tcPr>
                  <w:tcW w:w="1078" w:type="dxa"/>
                  <w:tcBorders>
                    <w:tl2br w:val="nil"/>
                    <w:tr2bl w:val="nil"/>
                  </w:tcBorders>
                  <w:vAlign w:val="center"/>
                </w:tcPr>
                <w:p>
                  <w:pPr>
                    <w:jc w:val="center"/>
                    <w:rPr>
                      <w:rFonts w:hint="eastAsia"/>
                      <w:lang w:eastAsia="zh-CN"/>
                    </w:rPr>
                  </w:pPr>
                  <w:r>
                    <w:rPr>
                      <w:rFonts w:hint="eastAsia"/>
                      <w:lang w:eastAsia="zh-CN"/>
                    </w:rPr>
                    <w:t>户数</w:t>
                  </w:r>
                </w:p>
              </w:tc>
              <w:tc>
                <w:tcPr>
                  <w:tcW w:w="1081" w:type="dxa"/>
                  <w:tcBorders>
                    <w:tl2br w:val="nil"/>
                    <w:tr2bl w:val="nil"/>
                  </w:tcBorders>
                  <w:vAlign w:val="center"/>
                </w:tcPr>
                <w:p>
                  <w:pPr>
                    <w:jc w:val="center"/>
                    <w:rPr>
                      <w:rFonts w:hint="eastAsia"/>
                      <w:lang w:eastAsia="zh-CN"/>
                    </w:rPr>
                  </w:pPr>
                  <w:r>
                    <w:rPr>
                      <w:rFonts w:hint="eastAsia"/>
                      <w:lang w:eastAsia="zh-CN"/>
                    </w:rPr>
                    <w:t>人数</w:t>
                  </w:r>
                </w:p>
              </w:tc>
              <w:tc>
                <w:tcPr>
                  <w:tcW w:w="2335" w:type="dxa"/>
                  <w:tcBorders>
                    <w:tl2br w:val="nil"/>
                    <w:tr2bl w:val="nil"/>
                  </w:tcBorders>
                  <w:vAlign w:val="center"/>
                </w:tcPr>
                <w:p>
                  <w:pPr>
                    <w:ind w:firstLine="211"/>
                    <w:jc w:val="center"/>
                  </w:pPr>
                  <w:r>
                    <w:t>环境保护目标值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center"/>
              </w:trPr>
              <w:tc>
                <w:tcPr>
                  <w:tcW w:w="1386" w:type="dxa"/>
                  <w:vMerge w:val="restart"/>
                  <w:tcBorders>
                    <w:tl2br w:val="nil"/>
                    <w:tr2bl w:val="nil"/>
                  </w:tcBorders>
                  <w:vAlign w:val="center"/>
                </w:tcPr>
                <w:p>
                  <w:pPr>
                    <w:ind w:firstLine="210"/>
                    <w:jc w:val="center"/>
                  </w:pPr>
                  <w:r>
                    <w:rPr>
                      <w:rFonts w:hint="eastAsia"/>
                    </w:rPr>
                    <w:t>大气环境</w:t>
                  </w:r>
                </w:p>
              </w:tc>
              <w:tc>
                <w:tcPr>
                  <w:tcW w:w="1249" w:type="dxa"/>
                  <w:tcBorders>
                    <w:tl2br w:val="nil"/>
                    <w:tr2bl w:val="nil"/>
                  </w:tcBorders>
                  <w:vAlign w:val="center"/>
                </w:tcPr>
                <w:p>
                  <w:pPr>
                    <w:jc w:val="center"/>
                  </w:pPr>
                  <w:r>
                    <w:rPr>
                      <w:rFonts w:hint="eastAsia"/>
                      <w:lang w:eastAsia="zh-CN"/>
                    </w:rPr>
                    <w:t>石管子村</w:t>
                  </w:r>
                </w:p>
              </w:tc>
              <w:tc>
                <w:tcPr>
                  <w:tcW w:w="1078" w:type="dxa"/>
                  <w:tcBorders>
                    <w:tl2br w:val="nil"/>
                    <w:tr2bl w:val="nil"/>
                  </w:tcBorders>
                  <w:vAlign w:val="center"/>
                </w:tcPr>
                <w:p>
                  <w:pPr>
                    <w:jc w:val="center"/>
                    <w:rPr>
                      <w:rFonts w:hint="eastAsia"/>
                      <w:lang w:eastAsia="zh-CN"/>
                    </w:rPr>
                  </w:pPr>
                  <w:r>
                    <w:rPr>
                      <w:rFonts w:hint="eastAsia"/>
                      <w:lang w:eastAsia="zh-CN"/>
                    </w:rPr>
                    <w:t>东</w:t>
                  </w:r>
                </w:p>
              </w:tc>
              <w:tc>
                <w:tcPr>
                  <w:tcW w:w="1078" w:type="dxa"/>
                  <w:tcBorders>
                    <w:tl2br w:val="nil"/>
                    <w:tr2bl w:val="nil"/>
                  </w:tcBorders>
                  <w:vAlign w:val="center"/>
                </w:tcPr>
                <w:p>
                  <w:pPr>
                    <w:jc w:val="center"/>
                  </w:pPr>
                  <w:r>
                    <w:rPr>
                      <w:rFonts w:hint="eastAsia"/>
                      <w:lang w:val="en-US" w:eastAsia="zh-CN"/>
                    </w:rPr>
                    <w:t>400m</w:t>
                  </w:r>
                </w:p>
              </w:tc>
              <w:tc>
                <w:tcPr>
                  <w:tcW w:w="1078" w:type="dxa"/>
                  <w:tcBorders>
                    <w:tl2br w:val="nil"/>
                    <w:tr2bl w:val="nil"/>
                  </w:tcBorders>
                  <w:vAlign w:val="center"/>
                </w:tcPr>
                <w:p>
                  <w:pPr>
                    <w:jc w:val="center"/>
                    <w:rPr>
                      <w:rFonts w:hint="eastAsia"/>
                      <w:lang w:val="en-US" w:eastAsia="zh-CN"/>
                    </w:rPr>
                  </w:pPr>
                  <w:r>
                    <w:rPr>
                      <w:rFonts w:hint="eastAsia"/>
                      <w:lang w:val="en-US" w:eastAsia="zh-CN"/>
                    </w:rPr>
                    <w:t>40</w:t>
                  </w:r>
                </w:p>
              </w:tc>
              <w:tc>
                <w:tcPr>
                  <w:tcW w:w="1081" w:type="dxa"/>
                  <w:tcBorders>
                    <w:tl2br w:val="nil"/>
                    <w:tr2bl w:val="nil"/>
                  </w:tcBorders>
                  <w:vAlign w:val="center"/>
                </w:tcPr>
                <w:p>
                  <w:pPr>
                    <w:jc w:val="center"/>
                    <w:rPr>
                      <w:rFonts w:hint="eastAsia"/>
                      <w:lang w:val="en-US" w:eastAsia="zh-CN"/>
                    </w:rPr>
                  </w:pPr>
                  <w:r>
                    <w:rPr>
                      <w:rFonts w:hint="eastAsia"/>
                      <w:lang w:val="en-US" w:eastAsia="zh-CN"/>
                    </w:rPr>
                    <w:t>150</w:t>
                  </w:r>
                </w:p>
              </w:tc>
              <w:tc>
                <w:tcPr>
                  <w:tcW w:w="2335" w:type="dxa"/>
                  <w:vMerge w:val="restart"/>
                  <w:tcBorders>
                    <w:tl2br w:val="nil"/>
                    <w:tr2bl w:val="nil"/>
                  </w:tcBorders>
                  <w:vAlign w:val="center"/>
                </w:tcPr>
                <w:p>
                  <w:pPr>
                    <w:adjustRightInd w:val="0"/>
                    <w:snapToGrid w:val="0"/>
                  </w:pPr>
                  <w:r>
                    <w:t>《环境空气质量标准》（GB309</w:t>
                  </w:r>
                  <w:r>
                    <w:rPr>
                      <w:rFonts w:hint="eastAsia"/>
                      <w:lang w:val="en-US" w:eastAsia="zh-CN"/>
                    </w:rPr>
                    <w:t>5</w:t>
                  </w:r>
                  <w:r>
                    <w:t>-2012）中的二级标准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1386" w:type="dxa"/>
                  <w:vMerge w:val="continue"/>
                  <w:tcBorders>
                    <w:tl2br w:val="nil"/>
                    <w:tr2bl w:val="nil"/>
                  </w:tcBorders>
                  <w:vAlign w:val="center"/>
                </w:tcPr>
                <w:p>
                  <w:pPr>
                    <w:ind w:firstLine="210"/>
                    <w:jc w:val="center"/>
                  </w:pPr>
                </w:p>
              </w:tc>
              <w:tc>
                <w:tcPr>
                  <w:tcW w:w="1249" w:type="dxa"/>
                  <w:tcBorders>
                    <w:tl2br w:val="nil"/>
                    <w:tr2bl w:val="nil"/>
                  </w:tcBorders>
                  <w:vAlign w:val="center"/>
                </w:tcPr>
                <w:p>
                  <w:pPr>
                    <w:jc w:val="center"/>
                    <w:rPr>
                      <w:rFonts w:hint="eastAsia"/>
                      <w:lang w:eastAsia="zh-CN"/>
                    </w:rPr>
                  </w:pPr>
                  <w:r>
                    <w:rPr>
                      <w:rFonts w:hint="eastAsia"/>
                      <w:lang w:eastAsia="zh-CN"/>
                    </w:rPr>
                    <w:t>上高庙村</w:t>
                  </w:r>
                </w:p>
              </w:tc>
              <w:tc>
                <w:tcPr>
                  <w:tcW w:w="1078" w:type="dxa"/>
                  <w:tcBorders>
                    <w:tl2br w:val="nil"/>
                    <w:tr2bl w:val="nil"/>
                  </w:tcBorders>
                  <w:vAlign w:val="center"/>
                </w:tcPr>
                <w:p>
                  <w:pPr>
                    <w:jc w:val="center"/>
                    <w:rPr>
                      <w:rFonts w:hint="eastAsia"/>
                      <w:lang w:eastAsia="zh-CN"/>
                    </w:rPr>
                  </w:pPr>
                  <w:r>
                    <w:rPr>
                      <w:rFonts w:hint="eastAsia"/>
                      <w:lang w:eastAsia="zh-CN"/>
                    </w:rPr>
                    <w:t>东</w:t>
                  </w:r>
                </w:p>
              </w:tc>
              <w:tc>
                <w:tcPr>
                  <w:tcW w:w="1078" w:type="dxa"/>
                  <w:tcBorders>
                    <w:tl2br w:val="nil"/>
                    <w:tr2bl w:val="nil"/>
                  </w:tcBorders>
                  <w:vAlign w:val="center"/>
                </w:tcPr>
                <w:p>
                  <w:pPr>
                    <w:jc w:val="center"/>
                  </w:pPr>
                  <w:r>
                    <w:rPr>
                      <w:rFonts w:hint="eastAsia"/>
                      <w:lang w:val="en-US" w:eastAsia="zh-CN"/>
                    </w:rPr>
                    <w:t>1500</w:t>
                  </w:r>
                  <w:r>
                    <w:rPr>
                      <w:rFonts w:hint="eastAsia"/>
                    </w:rPr>
                    <w:t>m</w:t>
                  </w:r>
                </w:p>
              </w:tc>
              <w:tc>
                <w:tcPr>
                  <w:tcW w:w="1078" w:type="dxa"/>
                  <w:tcBorders>
                    <w:tl2br w:val="nil"/>
                    <w:tr2bl w:val="nil"/>
                  </w:tcBorders>
                  <w:vAlign w:val="center"/>
                </w:tcPr>
                <w:p>
                  <w:pPr>
                    <w:jc w:val="center"/>
                    <w:rPr>
                      <w:rFonts w:hint="eastAsia"/>
                      <w:lang w:val="en-US" w:eastAsia="zh-CN"/>
                    </w:rPr>
                  </w:pPr>
                  <w:r>
                    <w:rPr>
                      <w:rFonts w:hint="eastAsia"/>
                      <w:lang w:val="en-US" w:eastAsia="zh-CN"/>
                    </w:rPr>
                    <w:t>25</w:t>
                  </w:r>
                </w:p>
              </w:tc>
              <w:tc>
                <w:tcPr>
                  <w:tcW w:w="1081" w:type="dxa"/>
                  <w:tcBorders>
                    <w:tl2br w:val="nil"/>
                    <w:tr2bl w:val="nil"/>
                  </w:tcBorders>
                  <w:vAlign w:val="center"/>
                </w:tcPr>
                <w:p>
                  <w:pPr>
                    <w:jc w:val="center"/>
                    <w:rPr>
                      <w:rFonts w:hint="eastAsia"/>
                      <w:lang w:val="en-US" w:eastAsia="zh-CN"/>
                    </w:rPr>
                  </w:pPr>
                  <w:r>
                    <w:rPr>
                      <w:rFonts w:hint="eastAsia"/>
                      <w:lang w:val="en-US" w:eastAsia="zh-CN"/>
                    </w:rPr>
                    <w:t>110</w:t>
                  </w:r>
                </w:p>
              </w:tc>
              <w:tc>
                <w:tcPr>
                  <w:tcW w:w="2335" w:type="dxa"/>
                  <w:vMerge w:val="continue"/>
                  <w:tcBorders>
                    <w:tl2br w:val="nil"/>
                    <w:tr2bl w:val="nil"/>
                  </w:tcBorders>
                  <w:vAlign w:val="center"/>
                </w:tcPr>
                <w:p>
                  <w:pPr>
                    <w:adjustRightInd w:val="0"/>
                    <w:snapToGrid w:val="0"/>
                    <w:ind w:firstLine="21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1386" w:type="dxa"/>
                  <w:vMerge w:val="continue"/>
                  <w:tcBorders>
                    <w:tl2br w:val="nil"/>
                    <w:tr2bl w:val="nil"/>
                  </w:tcBorders>
                  <w:vAlign w:val="center"/>
                </w:tcPr>
                <w:p>
                  <w:pPr>
                    <w:ind w:firstLine="210"/>
                    <w:jc w:val="center"/>
                  </w:pPr>
                </w:p>
              </w:tc>
              <w:tc>
                <w:tcPr>
                  <w:tcW w:w="1249" w:type="dxa"/>
                  <w:tcBorders>
                    <w:tl2br w:val="nil"/>
                    <w:tr2bl w:val="nil"/>
                  </w:tcBorders>
                  <w:vAlign w:val="center"/>
                </w:tcPr>
                <w:p>
                  <w:pPr>
                    <w:jc w:val="center"/>
                    <w:rPr>
                      <w:rFonts w:hint="eastAsia"/>
                      <w:lang w:eastAsia="zh-CN"/>
                    </w:rPr>
                  </w:pPr>
                  <w:r>
                    <w:rPr>
                      <w:rFonts w:hint="eastAsia"/>
                      <w:lang w:eastAsia="zh-CN"/>
                    </w:rPr>
                    <w:t>东梁村</w:t>
                  </w:r>
                </w:p>
              </w:tc>
              <w:tc>
                <w:tcPr>
                  <w:tcW w:w="1078" w:type="dxa"/>
                  <w:tcBorders>
                    <w:tl2br w:val="nil"/>
                    <w:tr2bl w:val="nil"/>
                  </w:tcBorders>
                  <w:vAlign w:val="center"/>
                </w:tcPr>
                <w:p>
                  <w:pPr>
                    <w:jc w:val="center"/>
                    <w:rPr>
                      <w:rFonts w:hint="eastAsia"/>
                      <w:lang w:eastAsia="zh-CN"/>
                    </w:rPr>
                  </w:pPr>
                  <w:r>
                    <w:rPr>
                      <w:rFonts w:hint="eastAsia"/>
                      <w:lang w:eastAsia="zh-CN"/>
                    </w:rPr>
                    <w:t>东</w:t>
                  </w:r>
                </w:p>
              </w:tc>
              <w:tc>
                <w:tcPr>
                  <w:tcW w:w="1078" w:type="dxa"/>
                  <w:tcBorders>
                    <w:tl2br w:val="nil"/>
                    <w:tr2bl w:val="nil"/>
                  </w:tcBorders>
                  <w:vAlign w:val="center"/>
                </w:tcPr>
                <w:p>
                  <w:pPr>
                    <w:jc w:val="center"/>
                    <w:rPr>
                      <w:rFonts w:hint="eastAsia"/>
                      <w:lang w:val="en-US" w:eastAsia="zh-CN"/>
                    </w:rPr>
                  </w:pPr>
                  <w:r>
                    <w:rPr>
                      <w:rFonts w:hint="eastAsia"/>
                      <w:lang w:val="en-US" w:eastAsia="zh-CN"/>
                    </w:rPr>
                    <w:t>800m</w:t>
                  </w:r>
                </w:p>
              </w:tc>
              <w:tc>
                <w:tcPr>
                  <w:tcW w:w="1078" w:type="dxa"/>
                  <w:tcBorders>
                    <w:tl2br w:val="nil"/>
                    <w:tr2bl w:val="nil"/>
                  </w:tcBorders>
                  <w:vAlign w:val="center"/>
                </w:tcPr>
                <w:p>
                  <w:pPr>
                    <w:jc w:val="center"/>
                    <w:rPr>
                      <w:rFonts w:hint="eastAsia"/>
                      <w:lang w:val="en-US" w:eastAsia="zh-CN"/>
                    </w:rPr>
                  </w:pPr>
                  <w:r>
                    <w:rPr>
                      <w:rFonts w:hint="eastAsia"/>
                      <w:lang w:val="en-US" w:eastAsia="zh-CN"/>
                    </w:rPr>
                    <w:t>15</w:t>
                  </w:r>
                </w:p>
              </w:tc>
              <w:tc>
                <w:tcPr>
                  <w:tcW w:w="1081" w:type="dxa"/>
                  <w:tcBorders>
                    <w:tl2br w:val="nil"/>
                    <w:tr2bl w:val="nil"/>
                  </w:tcBorders>
                  <w:vAlign w:val="center"/>
                </w:tcPr>
                <w:p>
                  <w:pPr>
                    <w:jc w:val="center"/>
                    <w:rPr>
                      <w:rFonts w:hint="eastAsia"/>
                      <w:lang w:val="en-US" w:eastAsia="zh-CN"/>
                    </w:rPr>
                  </w:pPr>
                  <w:r>
                    <w:rPr>
                      <w:rFonts w:hint="eastAsia"/>
                      <w:lang w:val="en-US" w:eastAsia="zh-CN"/>
                    </w:rPr>
                    <w:t>55</w:t>
                  </w:r>
                </w:p>
              </w:tc>
              <w:tc>
                <w:tcPr>
                  <w:tcW w:w="2335" w:type="dxa"/>
                  <w:vMerge w:val="continue"/>
                  <w:tcBorders>
                    <w:tl2br w:val="nil"/>
                    <w:tr2bl w:val="nil"/>
                  </w:tcBorders>
                  <w:vAlign w:val="center"/>
                </w:tcPr>
                <w:p>
                  <w:pPr>
                    <w:adjustRightInd w:val="0"/>
                    <w:snapToGrid w:val="0"/>
                    <w:ind w:firstLine="21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1386" w:type="dxa"/>
                  <w:vMerge w:val="continue"/>
                  <w:tcBorders>
                    <w:tl2br w:val="nil"/>
                    <w:tr2bl w:val="nil"/>
                  </w:tcBorders>
                  <w:vAlign w:val="center"/>
                </w:tcPr>
                <w:p>
                  <w:pPr>
                    <w:ind w:firstLine="210"/>
                    <w:jc w:val="center"/>
                  </w:pPr>
                </w:p>
              </w:tc>
              <w:tc>
                <w:tcPr>
                  <w:tcW w:w="1249" w:type="dxa"/>
                  <w:tcBorders>
                    <w:tl2br w:val="nil"/>
                    <w:tr2bl w:val="nil"/>
                  </w:tcBorders>
                  <w:vAlign w:val="center"/>
                </w:tcPr>
                <w:p>
                  <w:pPr>
                    <w:jc w:val="center"/>
                    <w:rPr>
                      <w:rFonts w:hint="eastAsia"/>
                      <w:lang w:eastAsia="zh-CN"/>
                    </w:rPr>
                  </w:pPr>
                  <w:r>
                    <w:rPr>
                      <w:rFonts w:hint="eastAsia"/>
                      <w:lang w:eastAsia="zh-CN"/>
                    </w:rPr>
                    <w:t>徐崖底村</w:t>
                  </w:r>
                </w:p>
              </w:tc>
              <w:tc>
                <w:tcPr>
                  <w:tcW w:w="1078" w:type="dxa"/>
                  <w:tcBorders>
                    <w:tl2br w:val="nil"/>
                    <w:tr2bl w:val="nil"/>
                  </w:tcBorders>
                  <w:vAlign w:val="center"/>
                </w:tcPr>
                <w:p>
                  <w:pPr>
                    <w:jc w:val="center"/>
                    <w:rPr>
                      <w:rFonts w:hint="eastAsia"/>
                      <w:lang w:eastAsia="zh-CN"/>
                    </w:rPr>
                  </w:pPr>
                  <w:r>
                    <w:rPr>
                      <w:rFonts w:hint="eastAsia"/>
                      <w:lang w:eastAsia="zh-CN"/>
                    </w:rPr>
                    <w:t>东南</w:t>
                  </w:r>
                </w:p>
              </w:tc>
              <w:tc>
                <w:tcPr>
                  <w:tcW w:w="1078" w:type="dxa"/>
                  <w:tcBorders>
                    <w:tl2br w:val="nil"/>
                    <w:tr2bl w:val="nil"/>
                  </w:tcBorders>
                  <w:vAlign w:val="center"/>
                </w:tcPr>
                <w:p>
                  <w:pPr>
                    <w:jc w:val="center"/>
                    <w:rPr>
                      <w:rFonts w:hint="eastAsia"/>
                      <w:lang w:val="en-US" w:eastAsia="zh-CN"/>
                    </w:rPr>
                  </w:pPr>
                  <w:r>
                    <w:rPr>
                      <w:rFonts w:hint="eastAsia"/>
                      <w:lang w:val="en-US" w:eastAsia="zh-CN"/>
                    </w:rPr>
                    <w:t>1200m</w:t>
                  </w:r>
                </w:p>
              </w:tc>
              <w:tc>
                <w:tcPr>
                  <w:tcW w:w="1078" w:type="dxa"/>
                  <w:tcBorders>
                    <w:tl2br w:val="nil"/>
                    <w:tr2bl w:val="nil"/>
                  </w:tcBorders>
                  <w:vAlign w:val="center"/>
                </w:tcPr>
                <w:p>
                  <w:pPr>
                    <w:jc w:val="center"/>
                    <w:rPr>
                      <w:rFonts w:hint="eastAsia"/>
                      <w:lang w:val="en-US" w:eastAsia="zh-CN"/>
                    </w:rPr>
                  </w:pPr>
                  <w:r>
                    <w:rPr>
                      <w:rFonts w:hint="eastAsia"/>
                      <w:lang w:val="en-US" w:eastAsia="zh-CN"/>
                    </w:rPr>
                    <w:t>20</w:t>
                  </w:r>
                </w:p>
              </w:tc>
              <w:tc>
                <w:tcPr>
                  <w:tcW w:w="1081" w:type="dxa"/>
                  <w:tcBorders>
                    <w:tl2br w:val="nil"/>
                    <w:tr2bl w:val="nil"/>
                  </w:tcBorders>
                  <w:vAlign w:val="center"/>
                </w:tcPr>
                <w:p>
                  <w:pPr>
                    <w:jc w:val="center"/>
                    <w:rPr>
                      <w:rFonts w:hint="eastAsia"/>
                      <w:lang w:val="en-US" w:eastAsia="zh-CN"/>
                    </w:rPr>
                  </w:pPr>
                  <w:r>
                    <w:rPr>
                      <w:rFonts w:hint="eastAsia"/>
                      <w:lang w:val="en-US" w:eastAsia="zh-CN"/>
                    </w:rPr>
                    <w:t>85</w:t>
                  </w:r>
                </w:p>
              </w:tc>
              <w:tc>
                <w:tcPr>
                  <w:tcW w:w="2335" w:type="dxa"/>
                  <w:vMerge w:val="continue"/>
                  <w:tcBorders>
                    <w:tl2br w:val="nil"/>
                    <w:tr2bl w:val="nil"/>
                  </w:tcBorders>
                  <w:vAlign w:val="center"/>
                </w:tcPr>
                <w:p>
                  <w:pPr>
                    <w:adjustRightInd w:val="0"/>
                    <w:snapToGrid w:val="0"/>
                    <w:ind w:firstLine="21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1386" w:type="dxa"/>
                  <w:vMerge w:val="continue"/>
                  <w:tcBorders>
                    <w:tl2br w:val="nil"/>
                    <w:tr2bl w:val="nil"/>
                  </w:tcBorders>
                  <w:vAlign w:val="center"/>
                </w:tcPr>
                <w:p>
                  <w:pPr>
                    <w:ind w:firstLine="210"/>
                    <w:jc w:val="center"/>
                  </w:pPr>
                </w:p>
              </w:tc>
              <w:tc>
                <w:tcPr>
                  <w:tcW w:w="1249" w:type="dxa"/>
                  <w:tcBorders>
                    <w:tl2br w:val="nil"/>
                    <w:tr2bl w:val="nil"/>
                  </w:tcBorders>
                  <w:vAlign w:val="center"/>
                </w:tcPr>
                <w:p>
                  <w:pPr>
                    <w:jc w:val="center"/>
                    <w:rPr>
                      <w:rFonts w:hint="eastAsia"/>
                      <w:lang w:eastAsia="zh-CN"/>
                    </w:rPr>
                  </w:pPr>
                  <w:r>
                    <w:rPr>
                      <w:rFonts w:hint="eastAsia"/>
                      <w:lang w:eastAsia="zh-CN"/>
                    </w:rPr>
                    <w:t>北台村</w:t>
                  </w:r>
                </w:p>
              </w:tc>
              <w:tc>
                <w:tcPr>
                  <w:tcW w:w="1078" w:type="dxa"/>
                  <w:tcBorders>
                    <w:tl2br w:val="nil"/>
                    <w:tr2bl w:val="nil"/>
                  </w:tcBorders>
                  <w:vAlign w:val="center"/>
                </w:tcPr>
                <w:p>
                  <w:pPr>
                    <w:jc w:val="center"/>
                    <w:rPr>
                      <w:rFonts w:hint="eastAsia"/>
                      <w:lang w:eastAsia="zh-CN"/>
                    </w:rPr>
                  </w:pPr>
                  <w:r>
                    <w:rPr>
                      <w:rFonts w:hint="eastAsia"/>
                      <w:lang w:eastAsia="zh-CN"/>
                    </w:rPr>
                    <w:t>南</w:t>
                  </w:r>
                </w:p>
              </w:tc>
              <w:tc>
                <w:tcPr>
                  <w:tcW w:w="1078" w:type="dxa"/>
                  <w:tcBorders>
                    <w:tl2br w:val="nil"/>
                    <w:tr2bl w:val="nil"/>
                  </w:tcBorders>
                  <w:vAlign w:val="center"/>
                </w:tcPr>
                <w:p>
                  <w:pPr>
                    <w:jc w:val="center"/>
                    <w:rPr>
                      <w:rFonts w:hint="eastAsia"/>
                      <w:lang w:val="en-US" w:eastAsia="zh-CN"/>
                    </w:rPr>
                  </w:pPr>
                  <w:r>
                    <w:rPr>
                      <w:rFonts w:hint="eastAsia"/>
                      <w:lang w:val="en-US" w:eastAsia="zh-CN"/>
                    </w:rPr>
                    <w:t>1450m</w:t>
                  </w:r>
                </w:p>
              </w:tc>
              <w:tc>
                <w:tcPr>
                  <w:tcW w:w="1078" w:type="dxa"/>
                  <w:tcBorders>
                    <w:tl2br w:val="nil"/>
                    <w:tr2bl w:val="nil"/>
                  </w:tcBorders>
                  <w:vAlign w:val="center"/>
                </w:tcPr>
                <w:p>
                  <w:pPr>
                    <w:jc w:val="center"/>
                    <w:rPr>
                      <w:rFonts w:hint="eastAsia"/>
                      <w:lang w:val="en-US" w:eastAsia="zh-CN"/>
                    </w:rPr>
                  </w:pPr>
                  <w:r>
                    <w:rPr>
                      <w:rFonts w:hint="eastAsia"/>
                      <w:lang w:val="en-US" w:eastAsia="zh-CN"/>
                    </w:rPr>
                    <w:t>55</w:t>
                  </w:r>
                </w:p>
              </w:tc>
              <w:tc>
                <w:tcPr>
                  <w:tcW w:w="1081" w:type="dxa"/>
                  <w:tcBorders>
                    <w:tl2br w:val="nil"/>
                    <w:tr2bl w:val="nil"/>
                  </w:tcBorders>
                  <w:vAlign w:val="center"/>
                </w:tcPr>
                <w:p>
                  <w:pPr>
                    <w:jc w:val="center"/>
                    <w:rPr>
                      <w:rFonts w:hint="eastAsia"/>
                      <w:lang w:val="en-US" w:eastAsia="zh-CN"/>
                    </w:rPr>
                  </w:pPr>
                  <w:r>
                    <w:rPr>
                      <w:rFonts w:hint="eastAsia"/>
                      <w:lang w:val="en-US" w:eastAsia="zh-CN"/>
                    </w:rPr>
                    <w:t>210</w:t>
                  </w:r>
                </w:p>
              </w:tc>
              <w:tc>
                <w:tcPr>
                  <w:tcW w:w="2335" w:type="dxa"/>
                  <w:vMerge w:val="continue"/>
                  <w:tcBorders>
                    <w:tl2br w:val="nil"/>
                    <w:tr2bl w:val="nil"/>
                  </w:tcBorders>
                  <w:vAlign w:val="center"/>
                </w:tcPr>
                <w:p>
                  <w:pPr>
                    <w:adjustRightInd w:val="0"/>
                    <w:snapToGrid w:val="0"/>
                    <w:ind w:firstLine="21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1386" w:type="dxa"/>
                  <w:vMerge w:val="continue"/>
                  <w:tcBorders>
                    <w:tl2br w:val="nil"/>
                    <w:tr2bl w:val="nil"/>
                  </w:tcBorders>
                  <w:vAlign w:val="center"/>
                </w:tcPr>
                <w:p>
                  <w:pPr>
                    <w:ind w:firstLine="210"/>
                    <w:jc w:val="center"/>
                  </w:pPr>
                </w:p>
              </w:tc>
              <w:tc>
                <w:tcPr>
                  <w:tcW w:w="1249" w:type="dxa"/>
                  <w:tcBorders>
                    <w:tl2br w:val="nil"/>
                    <w:tr2bl w:val="nil"/>
                  </w:tcBorders>
                  <w:vAlign w:val="center"/>
                </w:tcPr>
                <w:p>
                  <w:pPr>
                    <w:jc w:val="center"/>
                    <w:rPr>
                      <w:rFonts w:hint="eastAsia"/>
                      <w:lang w:eastAsia="zh-CN"/>
                    </w:rPr>
                  </w:pPr>
                  <w:r>
                    <w:rPr>
                      <w:rFonts w:hint="eastAsia"/>
                      <w:lang w:eastAsia="zh-CN"/>
                    </w:rPr>
                    <w:t>南塔村</w:t>
                  </w:r>
                </w:p>
              </w:tc>
              <w:tc>
                <w:tcPr>
                  <w:tcW w:w="1078" w:type="dxa"/>
                  <w:tcBorders>
                    <w:tl2br w:val="nil"/>
                    <w:tr2bl w:val="nil"/>
                  </w:tcBorders>
                  <w:vAlign w:val="center"/>
                </w:tcPr>
                <w:p>
                  <w:pPr>
                    <w:jc w:val="center"/>
                    <w:rPr>
                      <w:rFonts w:hint="eastAsia"/>
                      <w:lang w:eastAsia="zh-CN"/>
                    </w:rPr>
                  </w:pPr>
                  <w:r>
                    <w:rPr>
                      <w:rFonts w:hint="eastAsia"/>
                      <w:lang w:eastAsia="zh-CN"/>
                    </w:rPr>
                    <w:t>西南</w:t>
                  </w:r>
                </w:p>
              </w:tc>
              <w:tc>
                <w:tcPr>
                  <w:tcW w:w="1078" w:type="dxa"/>
                  <w:tcBorders>
                    <w:tl2br w:val="nil"/>
                    <w:tr2bl w:val="nil"/>
                  </w:tcBorders>
                  <w:vAlign w:val="center"/>
                </w:tcPr>
                <w:p>
                  <w:pPr>
                    <w:jc w:val="center"/>
                    <w:rPr>
                      <w:rFonts w:hint="eastAsia"/>
                      <w:lang w:val="en-US" w:eastAsia="zh-CN"/>
                    </w:rPr>
                  </w:pPr>
                  <w:r>
                    <w:rPr>
                      <w:rFonts w:hint="eastAsia"/>
                      <w:lang w:val="en-US" w:eastAsia="zh-CN"/>
                    </w:rPr>
                    <w:t>1500m</w:t>
                  </w:r>
                </w:p>
              </w:tc>
              <w:tc>
                <w:tcPr>
                  <w:tcW w:w="1078" w:type="dxa"/>
                  <w:tcBorders>
                    <w:tl2br w:val="nil"/>
                    <w:tr2bl w:val="nil"/>
                  </w:tcBorders>
                  <w:vAlign w:val="center"/>
                </w:tcPr>
                <w:p>
                  <w:pPr>
                    <w:jc w:val="center"/>
                    <w:rPr>
                      <w:rFonts w:hint="eastAsia"/>
                      <w:lang w:val="en-US" w:eastAsia="zh-CN"/>
                    </w:rPr>
                  </w:pPr>
                  <w:r>
                    <w:rPr>
                      <w:rFonts w:hint="eastAsia"/>
                      <w:lang w:val="en-US" w:eastAsia="zh-CN"/>
                    </w:rPr>
                    <w:t>50</w:t>
                  </w:r>
                </w:p>
              </w:tc>
              <w:tc>
                <w:tcPr>
                  <w:tcW w:w="1081" w:type="dxa"/>
                  <w:tcBorders>
                    <w:tl2br w:val="nil"/>
                    <w:tr2bl w:val="nil"/>
                  </w:tcBorders>
                  <w:vAlign w:val="center"/>
                </w:tcPr>
                <w:p>
                  <w:pPr>
                    <w:jc w:val="center"/>
                    <w:rPr>
                      <w:rFonts w:hint="eastAsia"/>
                      <w:lang w:val="en-US" w:eastAsia="zh-CN"/>
                    </w:rPr>
                  </w:pPr>
                  <w:r>
                    <w:rPr>
                      <w:rFonts w:hint="eastAsia"/>
                      <w:lang w:val="en-US" w:eastAsia="zh-CN"/>
                    </w:rPr>
                    <w:t>205</w:t>
                  </w:r>
                </w:p>
              </w:tc>
              <w:tc>
                <w:tcPr>
                  <w:tcW w:w="2335" w:type="dxa"/>
                  <w:vMerge w:val="continue"/>
                  <w:tcBorders>
                    <w:tl2br w:val="nil"/>
                    <w:tr2bl w:val="nil"/>
                  </w:tcBorders>
                  <w:vAlign w:val="center"/>
                </w:tcPr>
                <w:p>
                  <w:pPr>
                    <w:adjustRightInd w:val="0"/>
                    <w:snapToGrid w:val="0"/>
                    <w:ind w:firstLine="21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1386" w:type="dxa"/>
                  <w:vMerge w:val="continue"/>
                  <w:tcBorders>
                    <w:tl2br w:val="nil"/>
                    <w:tr2bl w:val="nil"/>
                  </w:tcBorders>
                  <w:vAlign w:val="center"/>
                </w:tcPr>
                <w:p>
                  <w:pPr>
                    <w:ind w:firstLine="210"/>
                    <w:jc w:val="center"/>
                  </w:pPr>
                </w:p>
              </w:tc>
              <w:tc>
                <w:tcPr>
                  <w:tcW w:w="1249" w:type="dxa"/>
                  <w:tcBorders>
                    <w:tl2br w:val="nil"/>
                    <w:tr2bl w:val="nil"/>
                  </w:tcBorders>
                  <w:vAlign w:val="center"/>
                </w:tcPr>
                <w:p>
                  <w:pPr>
                    <w:jc w:val="center"/>
                    <w:rPr>
                      <w:rFonts w:hint="eastAsia"/>
                      <w:lang w:eastAsia="zh-CN"/>
                    </w:rPr>
                  </w:pPr>
                  <w:r>
                    <w:rPr>
                      <w:rFonts w:hint="eastAsia"/>
                      <w:lang w:eastAsia="zh-CN"/>
                    </w:rPr>
                    <w:t>南湾村</w:t>
                  </w:r>
                </w:p>
              </w:tc>
              <w:tc>
                <w:tcPr>
                  <w:tcW w:w="1078" w:type="dxa"/>
                  <w:tcBorders>
                    <w:tl2br w:val="nil"/>
                    <w:tr2bl w:val="nil"/>
                  </w:tcBorders>
                  <w:vAlign w:val="center"/>
                </w:tcPr>
                <w:p>
                  <w:pPr>
                    <w:jc w:val="center"/>
                    <w:rPr>
                      <w:rFonts w:hint="eastAsia"/>
                      <w:lang w:eastAsia="zh-CN"/>
                    </w:rPr>
                  </w:pPr>
                  <w:r>
                    <w:rPr>
                      <w:rFonts w:hint="eastAsia"/>
                      <w:lang w:eastAsia="zh-CN"/>
                    </w:rPr>
                    <w:t>西</w:t>
                  </w:r>
                </w:p>
              </w:tc>
              <w:tc>
                <w:tcPr>
                  <w:tcW w:w="1078" w:type="dxa"/>
                  <w:tcBorders>
                    <w:tl2br w:val="nil"/>
                    <w:tr2bl w:val="nil"/>
                  </w:tcBorders>
                  <w:vAlign w:val="center"/>
                </w:tcPr>
                <w:p>
                  <w:pPr>
                    <w:jc w:val="center"/>
                    <w:rPr>
                      <w:rFonts w:hint="eastAsia"/>
                      <w:lang w:val="en-US" w:eastAsia="zh-CN"/>
                    </w:rPr>
                  </w:pPr>
                  <w:r>
                    <w:rPr>
                      <w:rFonts w:hint="eastAsia"/>
                      <w:lang w:val="en-US" w:eastAsia="zh-CN"/>
                    </w:rPr>
                    <w:t>750m</w:t>
                  </w:r>
                </w:p>
              </w:tc>
              <w:tc>
                <w:tcPr>
                  <w:tcW w:w="1078" w:type="dxa"/>
                  <w:tcBorders>
                    <w:tl2br w:val="nil"/>
                    <w:tr2bl w:val="nil"/>
                  </w:tcBorders>
                  <w:vAlign w:val="center"/>
                </w:tcPr>
                <w:p>
                  <w:pPr>
                    <w:jc w:val="center"/>
                    <w:rPr>
                      <w:rFonts w:hint="eastAsia"/>
                      <w:lang w:val="en-US" w:eastAsia="zh-CN"/>
                    </w:rPr>
                  </w:pPr>
                  <w:r>
                    <w:rPr>
                      <w:rFonts w:hint="eastAsia"/>
                      <w:lang w:val="en-US" w:eastAsia="zh-CN"/>
                    </w:rPr>
                    <w:t>15</w:t>
                  </w:r>
                </w:p>
              </w:tc>
              <w:tc>
                <w:tcPr>
                  <w:tcW w:w="1081" w:type="dxa"/>
                  <w:tcBorders>
                    <w:tl2br w:val="nil"/>
                    <w:tr2bl w:val="nil"/>
                  </w:tcBorders>
                  <w:vAlign w:val="center"/>
                </w:tcPr>
                <w:p>
                  <w:pPr>
                    <w:jc w:val="center"/>
                    <w:rPr>
                      <w:rFonts w:hint="eastAsia"/>
                      <w:lang w:val="en-US" w:eastAsia="zh-CN"/>
                    </w:rPr>
                  </w:pPr>
                  <w:r>
                    <w:rPr>
                      <w:rFonts w:hint="eastAsia"/>
                      <w:lang w:val="en-US" w:eastAsia="zh-CN"/>
                    </w:rPr>
                    <w:t>65</w:t>
                  </w:r>
                </w:p>
              </w:tc>
              <w:tc>
                <w:tcPr>
                  <w:tcW w:w="2335" w:type="dxa"/>
                  <w:vMerge w:val="continue"/>
                  <w:tcBorders>
                    <w:tl2br w:val="nil"/>
                    <w:tr2bl w:val="nil"/>
                  </w:tcBorders>
                  <w:vAlign w:val="center"/>
                </w:tcPr>
                <w:p>
                  <w:pPr>
                    <w:adjustRightInd w:val="0"/>
                    <w:snapToGrid w:val="0"/>
                    <w:ind w:firstLine="210"/>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1386" w:type="dxa"/>
                  <w:tcBorders>
                    <w:tl2br w:val="nil"/>
                    <w:tr2bl w:val="nil"/>
                  </w:tcBorders>
                  <w:vAlign w:val="center"/>
                </w:tcPr>
                <w:p>
                  <w:pPr>
                    <w:ind w:firstLine="210"/>
                    <w:jc w:val="center"/>
                    <w:rPr>
                      <w:rFonts w:hint="eastAsia" w:eastAsia="宋体"/>
                      <w:lang w:eastAsia="zh-CN"/>
                    </w:rPr>
                  </w:pPr>
                  <w:r>
                    <w:rPr>
                      <w:rFonts w:hint="eastAsia"/>
                      <w:lang w:eastAsia="zh-CN"/>
                    </w:rPr>
                    <w:t>地表水环境</w:t>
                  </w:r>
                </w:p>
              </w:tc>
              <w:tc>
                <w:tcPr>
                  <w:tcW w:w="1249" w:type="dxa"/>
                  <w:tcBorders>
                    <w:tl2br w:val="nil"/>
                    <w:tr2bl w:val="nil"/>
                  </w:tcBorders>
                  <w:vAlign w:val="center"/>
                </w:tcPr>
                <w:p>
                  <w:pPr>
                    <w:jc w:val="center"/>
                    <w:rPr>
                      <w:rFonts w:hint="eastAsia"/>
                      <w:lang w:eastAsia="zh-CN"/>
                    </w:rPr>
                  </w:pPr>
                  <w:r>
                    <w:rPr>
                      <w:rFonts w:hint="eastAsia"/>
                      <w:lang w:eastAsia="zh-CN"/>
                    </w:rPr>
                    <w:t>玉华河</w:t>
                  </w:r>
                </w:p>
              </w:tc>
              <w:tc>
                <w:tcPr>
                  <w:tcW w:w="1078" w:type="dxa"/>
                  <w:tcBorders>
                    <w:tl2br w:val="nil"/>
                    <w:tr2bl w:val="nil"/>
                  </w:tcBorders>
                  <w:vAlign w:val="center"/>
                </w:tcPr>
                <w:p>
                  <w:pPr>
                    <w:jc w:val="center"/>
                    <w:rPr>
                      <w:rFonts w:hint="eastAsia"/>
                      <w:lang w:eastAsia="zh-CN"/>
                    </w:rPr>
                  </w:pPr>
                  <w:r>
                    <w:rPr>
                      <w:rFonts w:hint="eastAsia"/>
                      <w:lang w:eastAsia="zh-CN"/>
                    </w:rPr>
                    <w:t>西</w:t>
                  </w:r>
                </w:p>
              </w:tc>
              <w:tc>
                <w:tcPr>
                  <w:tcW w:w="1078" w:type="dxa"/>
                  <w:tcBorders>
                    <w:tl2br w:val="nil"/>
                    <w:tr2bl w:val="nil"/>
                  </w:tcBorders>
                  <w:vAlign w:val="center"/>
                </w:tcPr>
                <w:p>
                  <w:pPr>
                    <w:jc w:val="center"/>
                    <w:rPr>
                      <w:rFonts w:hint="eastAsia"/>
                      <w:lang w:val="en-US" w:eastAsia="zh-CN"/>
                    </w:rPr>
                  </w:pPr>
                  <w:r>
                    <w:rPr>
                      <w:rFonts w:hint="eastAsia"/>
                      <w:lang w:val="en-US" w:eastAsia="zh-CN"/>
                    </w:rPr>
                    <w:t>260m</w:t>
                  </w:r>
                </w:p>
              </w:tc>
              <w:tc>
                <w:tcPr>
                  <w:tcW w:w="1078" w:type="dxa"/>
                  <w:tcBorders>
                    <w:tl2br w:val="nil"/>
                    <w:tr2bl w:val="nil"/>
                  </w:tcBorders>
                  <w:vAlign w:val="center"/>
                </w:tcPr>
                <w:p>
                  <w:pPr>
                    <w:jc w:val="center"/>
                    <w:rPr>
                      <w:rFonts w:hint="eastAsia"/>
                      <w:lang w:val="en-US" w:eastAsia="zh-CN"/>
                    </w:rPr>
                  </w:pPr>
                  <w:r>
                    <w:rPr>
                      <w:rFonts w:hint="eastAsia"/>
                      <w:lang w:val="en-US" w:eastAsia="zh-CN"/>
                    </w:rPr>
                    <w:t>/</w:t>
                  </w:r>
                </w:p>
              </w:tc>
              <w:tc>
                <w:tcPr>
                  <w:tcW w:w="1081" w:type="dxa"/>
                  <w:tcBorders>
                    <w:tl2br w:val="nil"/>
                    <w:tr2bl w:val="nil"/>
                  </w:tcBorders>
                  <w:vAlign w:val="center"/>
                </w:tcPr>
                <w:p>
                  <w:pPr>
                    <w:jc w:val="center"/>
                    <w:rPr>
                      <w:rFonts w:hint="eastAsia"/>
                      <w:lang w:val="en-US" w:eastAsia="zh-CN"/>
                    </w:rPr>
                  </w:pPr>
                  <w:r>
                    <w:rPr>
                      <w:rFonts w:hint="eastAsia"/>
                      <w:lang w:val="en-US" w:eastAsia="zh-CN"/>
                    </w:rPr>
                    <w:t>/</w:t>
                  </w:r>
                </w:p>
              </w:tc>
              <w:tc>
                <w:tcPr>
                  <w:tcW w:w="2335" w:type="dxa"/>
                  <w:tcBorders>
                    <w:tl2br w:val="nil"/>
                    <w:tr2bl w:val="nil"/>
                  </w:tcBorders>
                  <w:vAlign w:val="center"/>
                </w:tcPr>
                <w:p>
                  <w:pPr>
                    <w:adjustRightInd w:val="0"/>
                    <w:snapToGrid w:val="0"/>
                    <w:ind w:firstLine="210"/>
                  </w:pPr>
                  <w:r>
                    <w:rPr>
                      <w:rFonts w:hint="eastAsia"/>
                      <w:color w:val="auto"/>
                      <w:sz w:val="21"/>
                      <w:szCs w:val="21"/>
                      <w:lang w:eastAsia="zh-CN"/>
                    </w:rPr>
                    <w:t>地表水环境质量执行《地表水环境质量标准》（</w:t>
                  </w:r>
                  <w:r>
                    <w:rPr>
                      <w:rFonts w:hint="eastAsia"/>
                      <w:color w:val="auto"/>
                      <w:sz w:val="21"/>
                      <w:szCs w:val="21"/>
                      <w:lang w:val="en-US" w:eastAsia="zh-CN"/>
                    </w:rPr>
                    <w:t>GB3838-2002</w:t>
                  </w:r>
                  <w:r>
                    <w:rPr>
                      <w:rFonts w:hint="eastAsia"/>
                      <w:color w:val="auto"/>
                      <w:sz w:val="21"/>
                      <w:szCs w:val="21"/>
                      <w:lang w:eastAsia="zh-CN"/>
                    </w:rPr>
                    <w:t>）中的</w:t>
                  </w:r>
                  <w:r>
                    <w:rPr>
                      <w:rFonts w:hint="eastAsia"/>
                      <w:color w:val="auto"/>
                      <w:sz w:val="21"/>
                      <w:szCs w:val="21"/>
                      <w:lang w:val="en-US" w:eastAsia="zh-CN"/>
                    </w:rPr>
                    <w:t>III类标准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2635" w:type="dxa"/>
                  <w:gridSpan w:val="2"/>
                  <w:tcBorders>
                    <w:tl2br w:val="nil"/>
                    <w:tr2bl w:val="nil"/>
                  </w:tcBorders>
                  <w:vAlign w:val="center"/>
                </w:tcPr>
                <w:p>
                  <w:pPr>
                    <w:jc w:val="center"/>
                    <w:rPr>
                      <w:rFonts w:hint="eastAsia"/>
                      <w:lang w:eastAsia="zh-CN"/>
                    </w:rPr>
                  </w:pPr>
                  <w:r>
                    <w:rPr>
                      <w:rFonts w:hint="eastAsia"/>
                      <w:lang w:eastAsia="zh-CN"/>
                    </w:rPr>
                    <w:t>陕西太安自然保护区</w:t>
                  </w:r>
                </w:p>
              </w:tc>
              <w:tc>
                <w:tcPr>
                  <w:tcW w:w="1078" w:type="dxa"/>
                  <w:tcBorders>
                    <w:tl2br w:val="nil"/>
                    <w:tr2bl w:val="nil"/>
                  </w:tcBorders>
                  <w:vAlign w:val="center"/>
                </w:tcPr>
                <w:p>
                  <w:pPr>
                    <w:jc w:val="center"/>
                    <w:rPr>
                      <w:rFonts w:hint="eastAsia"/>
                      <w:lang w:eastAsia="zh-CN"/>
                    </w:rPr>
                  </w:pPr>
                  <w:r>
                    <w:rPr>
                      <w:rFonts w:hint="eastAsia"/>
                      <w:lang w:eastAsia="zh-CN"/>
                    </w:rPr>
                    <w:t>北</w:t>
                  </w:r>
                </w:p>
              </w:tc>
              <w:tc>
                <w:tcPr>
                  <w:tcW w:w="1078" w:type="dxa"/>
                  <w:tcBorders>
                    <w:tl2br w:val="nil"/>
                    <w:tr2bl w:val="nil"/>
                  </w:tcBorders>
                  <w:vAlign w:val="center"/>
                </w:tcPr>
                <w:p>
                  <w:pPr>
                    <w:jc w:val="center"/>
                    <w:rPr>
                      <w:rFonts w:hint="eastAsia"/>
                      <w:lang w:val="en-US" w:eastAsia="zh-CN"/>
                    </w:rPr>
                  </w:pPr>
                  <w:r>
                    <w:rPr>
                      <w:rFonts w:hint="eastAsia"/>
                      <w:lang w:val="en-US" w:eastAsia="zh-CN"/>
                    </w:rPr>
                    <w:t>3200m</w:t>
                  </w:r>
                </w:p>
              </w:tc>
              <w:tc>
                <w:tcPr>
                  <w:tcW w:w="4494" w:type="dxa"/>
                  <w:gridSpan w:val="3"/>
                  <w:tcBorders>
                    <w:tl2br w:val="nil"/>
                    <w:tr2bl w:val="nil"/>
                  </w:tcBorders>
                  <w:vAlign w:val="center"/>
                </w:tcPr>
                <w:p>
                  <w:pPr>
                    <w:adjustRightInd w:val="0"/>
                    <w:snapToGrid w:val="0"/>
                    <w:ind w:firstLine="210"/>
                    <w:jc w:val="center"/>
                    <w:rPr>
                      <w:rFonts w:hint="eastAsia"/>
                      <w:lang w:val="en-US" w:eastAsia="zh-CN"/>
                    </w:rPr>
                  </w:pPr>
                  <w:r>
                    <w:rPr>
                      <w:rFonts w:hint="eastAsia"/>
                      <w:lang w:val="en-US" w:eastAsia="zh-CN"/>
                    </w:rPr>
                    <w:t>省级自然保护区</w:t>
                  </w:r>
                </w:p>
              </w:tc>
            </w:tr>
          </w:tbl>
          <w:p>
            <w:pPr>
              <w:adjustRightInd w:val="0"/>
              <w:snapToGrid w:val="0"/>
              <w:ind w:firstLine="241"/>
            </w:pPr>
          </w:p>
          <w:p>
            <w:pPr>
              <w:pStyle w:val="2"/>
            </w:pPr>
          </w:p>
          <w:p/>
          <w:p>
            <w:pPr>
              <w:pStyle w:val="2"/>
            </w:pPr>
          </w:p>
          <w:p/>
          <w:p>
            <w:pPr>
              <w:pStyle w:val="2"/>
            </w:pPr>
          </w:p>
          <w:p/>
          <w:p>
            <w:pPr>
              <w:pStyle w:val="2"/>
            </w:pPr>
          </w:p>
          <w:p/>
          <w:p>
            <w:pPr>
              <w:pStyle w:val="2"/>
            </w:pPr>
          </w:p>
          <w:p/>
          <w:p>
            <w:pPr>
              <w:pStyle w:val="2"/>
            </w:pPr>
          </w:p>
          <w:p/>
          <w:p>
            <w:pPr>
              <w:pStyle w:val="2"/>
            </w:pPr>
          </w:p>
        </w:tc>
      </w:tr>
    </w:tbl>
    <w:p>
      <w:pPr>
        <w:pStyle w:val="3"/>
        <w:ind w:firstLine="321"/>
        <w:jc w:val="left"/>
        <w:rPr>
          <w:rFonts w:ascii="Times New Roman" w:eastAsia="宋体"/>
          <w:b/>
          <w:sz w:val="32"/>
          <w:szCs w:val="32"/>
        </w:rPr>
      </w:pPr>
      <w:bookmarkStart w:id="7" w:name="_Toc325470781"/>
      <w:r>
        <w:rPr>
          <w:rFonts w:ascii="Times New Roman" w:eastAsia="宋体"/>
          <w:b/>
          <w:sz w:val="32"/>
          <w:szCs w:val="32"/>
        </w:rPr>
        <w:t>评价适用标准</w:t>
      </w:r>
      <w:bookmarkEnd w:id="7"/>
    </w:p>
    <w:tbl>
      <w:tblPr>
        <w:tblStyle w:val="34"/>
        <w:tblW w:w="9288"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2"/>
        <w:gridCol w:w="83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43" w:hRule="atLeast"/>
          <w:jc w:val="center"/>
        </w:trPr>
        <w:tc>
          <w:tcPr>
            <w:tcW w:w="892" w:type="dxa"/>
            <w:vAlign w:val="center"/>
          </w:tcPr>
          <w:p>
            <w:pPr>
              <w:spacing w:line="560" w:lineRule="exact"/>
              <w:jc w:val="center"/>
              <w:rPr>
                <w:b/>
                <w:color w:val="auto"/>
                <w:sz w:val="28"/>
                <w:szCs w:val="28"/>
              </w:rPr>
            </w:pPr>
            <w:r>
              <w:rPr>
                <w:b/>
                <w:color w:val="auto"/>
                <w:sz w:val="28"/>
                <w:szCs w:val="28"/>
              </w:rPr>
              <w:t>环境质量标准</w:t>
            </w:r>
          </w:p>
        </w:tc>
        <w:tc>
          <w:tcPr>
            <w:tcW w:w="8396" w:type="dxa"/>
            <w:vAlign w:val="center"/>
          </w:tcPr>
          <w:p>
            <w:pPr>
              <w:spacing w:line="360" w:lineRule="auto"/>
              <w:rPr>
                <w:color w:val="auto"/>
                <w:sz w:val="24"/>
                <w:szCs w:val="24"/>
              </w:rPr>
            </w:pPr>
          </w:p>
          <w:p>
            <w:pPr>
              <w:spacing w:line="360" w:lineRule="auto"/>
              <w:ind w:firstLine="480" w:firstLineChars="200"/>
              <w:rPr>
                <w:color w:val="auto"/>
                <w:sz w:val="24"/>
                <w:szCs w:val="24"/>
              </w:rPr>
            </w:pPr>
            <w:r>
              <w:rPr>
                <w:color w:val="auto"/>
                <w:sz w:val="24"/>
                <w:szCs w:val="24"/>
              </w:rPr>
              <w:t>（1）环境空气质量执行《环境空气质量标准》</w:t>
            </w:r>
            <w:r>
              <w:rPr>
                <w:rFonts w:hint="eastAsia"/>
                <w:color w:val="auto"/>
                <w:sz w:val="24"/>
                <w:szCs w:val="24"/>
              </w:rPr>
              <w:t>（</w:t>
            </w:r>
            <w:r>
              <w:rPr>
                <w:color w:val="auto"/>
                <w:sz w:val="24"/>
                <w:szCs w:val="24"/>
              </w:rPr>
              <w:t>GB3095-2012</w:t>
            </w:r>
            <w:r>
              <w:rPr>
                <w:rFonts w:hint="eastAsia"/>
                <w:color w:val="auto"/>
                <w:sz w:val="24"/>
                <w:szCs w:val="24"/>
              </w:rPr>
              <w:t>）</w:t>
            </w:r>
            <w:r>
              <w:rPr>
                <w:color w:val="auto"/>
                <w:sz w:val="24"/>
                <w:szCs w:val="24"/>
              </w:rPr>
              <w:t>中的二级标准；</w:t>
            </w:r>
          </w:p>
          <w:p>
            <w:pPr>
              <w:spacing w:line="360" w:lineRule="auto"/>
              <w:ind w:firstLine="480" w:firstLineChars="200"/>
              <w:rPr>
                <w:color w:val="auto"/>
                <w:sz w:val="24"/>
                <w:szCs w:val="24"/>
              </w:rPr>
            </w:pPr>
            <w:r>
              <w:rPr>
                <w:color w:val="auto"/>
                <w:sz w:val="24"/>
                <w:szCs w:val="24"/>
              </w:rPr>
              <w:t>（2）声环境执行《声环境质量标准》</w:t>
            </w:r>
            <w:r>
              <w:rPr>
                <w:rFonts w:hint="eastAsia"/>
                <w:color w:val="auto"/>
                <w:sz w:val="24"/>
                <w:szCs w:val="24"/>
              </w:rPr>
              <w:t>（</w:t>
            </w:r>
            <w:r>
              <w:rPr>
                <w:color w:val="auto"/>
                <w:sz w:val="24"/>
                <w:szCs w:val="24"/>
              </w:rPr>
              <w:t>GB3096-2008</w:t>
            </w:r>
            <w:r>
              <w:rPr>
                <w:rFonts w:hint="eastAsia"/>
                <w:color w:val="auto"/>
                <w:sz w:val="24"/>
                <w:szCs w:val="24"/>
              </w:rPr>
              <w:t>）</w:t>
            </w:r>
            <w:r>
              <w:rPr>
                <w:rFonts w:hint="eastAsia"/>
                <w:color w:val="auto"/>
                <w:sz w:val="24"/>
                <w:szCs w:val="24"/>
                <w:lang w:eastAsia="zh-CN"/>
              </w:rPr>
              <w:t>：道路边界线外</w:t>
            </w:r>
            <w:r>
              <w:rPr>
                <w:rFonts w:hint="eastAsia"/>
                <w:color w:val="auto"/>
                <w:sz w:val="24"/>
                <w:szCs w:val="24"/>
                <w:lang w:val="en-US" w:eastAsia="zh-CN"/>
              </w:rPr>
              <w:t>35m区域执行4a类，其他区域执行3类</w:t>
            </w:r>
            <w:r>
              <w:rPr>
                <w:color w:val="auto"/>
                <w:sz w:val="24"/>
                <w:szCs w:val="24"/>
              </w:rPr>
              <w:t>标准</w:t>
            </w:r>
            <w:r>
              <w:rPr>
                <w:rFonts w:hint="eastAsia"/>
                <w:color w:val="auto"/>
                <w:sz w:val="24"/>
                <w:szCs w:val="24"/>
                <w:lang w:eastAsia="zh-CN"/>
              </w:rPr>
              <w:t>；</w:t>
            </w:r>
          </w:p>
          <w:p>
            <w:pPr>
              <w:spacing w:line="360" w:lineRule="auto"/>
              <w:ind w:firstLine="480" w:firstLineChars="200"/>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）地表水环境质量执行《地表水环境质量标准》（</w:t>
            </w:r>
            <w:r>
              <w:rPr>
                <w:rFonts w:hint="eastAsia"/>
                <w:color w:val="auto"/>
                <w:sz w:val="24"/>
                <w:szCs w:val="24"/>
                <w:lang w:val="en-US" w:eastAsia="zh-CN"/>
              </w:rPr>
              <w:t>GB3838-2002</w:t>
            </w:r>
            <w:r>
              <w:rPr>
                <w:rFonts w:hint="eastAsia"/>
                <w:color w:val="auto"/>
                <w:sz w:val="24"/>
                <w:szCs w:val="24"/>
                <w:lang w:eastAsia="zh-CN"/>
              </w:rPr>
              <w:t>）中的</w:t>
            </w:r>
            <w:r>
              <w:rPr>
                <w:rFonts w:hint="eastAsia"/>
                <w:color w:val="auto"/>
                <w:sz w:val="24"/>
                <w:szCs w:val="24"/>
                <w:lang w:val="en-US" w:eastAsia="zh-CN"/>
              </w:rPr>
              <w:t>III类标准；</w:t>
            </w:r>
          </w:p>
          <w:p>
            <w:pPr>
              <w:spacing w:line="360" w:lineRule="auto"/>
              <w:ind w:firstLine="480" w:firstLineChars="200"/>
              <w:rPr>
                <w:color w:val="auto"/>
                <w:sz w:val="24"/>
                <w:szCs w:val="24"/>
              </w:rPr>
            </w:pPr>
            <w:r>
              <w:rPr>
                <w:rFonts w:hint="eastAsia"/>
                <w:color w:val="auto"/>
                <w:sz w:val="24"/>
                <w:szCs w:val="24"/>
                <w:lang w:val="en-US" w:eastAsia="zh-CN"/>
              </w:rPr>
              <w:t>（4）地下水质量执行《地下水质量标准》（GB/T14848-93）中的III类标准</w:t>
            </w:r>
            <w:r>
              <w:rPr>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91" w:hRule="atLeast"/>
          <w:jc w:val="center"/>
        </w:trPr>
        <w:tc>
          <w:tcPr>
            <w:tcW w:w="892" w:type="dxa"/>
            <w:vAlign w:val="center"/>
          </w:tcPr>
          <w:p>
            <w:pPr>
              <w:spacing w:line="560" w:lineRule="exact"/>
              <w:rPr>
                <w:b/>
                <w:color w:val="auto"/>
                <w:sz w:val="28"/>
                <w:szCs w:val="28"/>
              </w:rPr>
            </w:pPr>
            <w:r>
              <w:rPr>
                <w:b/>
                <w:color w:val="auto"/>
                <w:sz w:val="28"/>
                <w:szCs w:val="28"/>
              </w:rPr>
              <w:t>污染物排放标准</w:t>
            </w:r>
          </w:p>
        </w:tc>
        <w:tc>
          <w:tcPr>
            <w:tcW w:w="8396" w:type="dxa"/>
            <w:vAlign w:val="center"/>
          </w:tcPr>
          <w:p>
            <w:pPr>
              <w:numPr>
                <w:ilvl w:val="0"/>
                <w:numId w:val="2"/>
              </w:numPr>
              <w:spacing w:line="360" w:lineRule="auto"/>
              <w:ind w:firstLine="480" w:firstLineChars="200"/>
              <w:jc w:val="left"/>
              <w:rPr>
                <w:rFonts w:hint="eastAsia"/>
              </w:rPr>
            </w:pPr>
            <w:r>
              <w:rPr>
                <w:rFonts w:hint="eastAsia"/>
                <w:color w:val="auto"/>
                <w:kern w:val="24"/>
                <w:sz w:val="24"/>
                <w:lang w:eastAsia="zh-CN"/>
              </w:rPr>
              <w:t>施工期扬尘执行《施工扬尘排放限值》（</w:t>
            </w:r>
            <w:r>
              <w:rPr>
                <w:rFonts w:hint="eastAsia"/>
                <w:color w:val="auto"/>
                <w:kern w:val="24"/>
                <w:sz w:val="24"/>
                <w:lang w:val="en-US" w:eastAsia="zh-CN"/>
              </w:rPr>
              <w:t>DB61/1078-2017</w:t>
            </w:r>
            <w:r>
              <w:rPr>
                <w:rFonts w:hint="eastAsia"/>
                <w:color w:val="auto"/>
                <w:kern w:val="24"/>
                <w:sz w:val="24"/>
                <w:lang w:eastAsia="zh-CN"/>
              </w:rPr>
              <w:t>）表</w:t>
            </w:r>
            <w:r>
              <w:rPr>
                <w:rFonts w:hint="eastAsia"/>
                <w:color w:val="auto"/>
                <w:kern w:val="24"/>
                <w:sz w:val="24"/>
                <w:lang w:val="en-US" w:eastAsia="zh-CN"/>
              </w:rPr>
              <w:t>1中浓度限值；</w:t>
            </w:r>
            <w:r>
              <w:rPr>
                <w:rFonts w:hint="eastAsia"/>
                <w:color w:val="auto"/>
                <w:kern w:val="24"/>
                <w:sz w:val="24"/>
              </w:rPr>
              <w:t>洗煤工段废气排放执行GB20426-2006《煤炭工业污染物排放标准》中表4、表5的规定；</w:t>
            </w:r>
            <w:r>
              <w:rPr>
                <w:rFonts w:hint="eastAsia"/>
                <w:color w:val="auto"/>
                <w:kern w:val="24"/>
                <w:sz w:val="24"/>
                <w:lang w:eastAsia="zh-CN"/>
              </w:rPr>
              <w:t>制砖工段储罐废气执行</w:t>
            </w:r>
            <w:r>
              <w:rPr>
                <w:color w:val="auto"/>
                <w:kern w:val="24"/>
                <w:sz w:val="24"/>
              </w:rPr>
              <w:t>粉尘排放执行《</w:t>
            </w:r>
            <w:r>
              <w:rPr>
                <w:rFonts w:hint="eastAsia"/>
                <w:color w:val="auto"/>
                <w:kern w:val="24"/>
                <w:sz w:val="24"/>
                <w:lang w:eastAsia="zh-CN"/>
              </w:rPr>
              <w:t>关中地区重点行业大气污染物排放限值</w:t>
            </w:r>
            <w:r>
              <w:rPr>
                <w:color w:val="auto"/>
                <w:kern w:val="24"/>
                <w:sz w:val="24"/>
              </w:rPr>
              <w:t>》（</w:t>
            </w:r>
            <w:r>
              <w:rPr>
                <w:rFonts w:hint="eastAsia"/>
                <w:color w:val="auto"/>
                <w:kern w:val="24"/>
                <w:sz w:val="24"/>
                <w:lang w:val="en-US" w:eastAsia="zh-CN"/>
              </w:rPr>
              <w:t>DB61/941-2014</w:t>
            </w:r>
            <w:r>
              <w:rPr>
                <w:color w:val="auto"/>
                <w:kern w:val="24"/>
                <w:sz w:val="24"/>
              </w:rPr>
              <w:t>）</w:t>
            </w:r>
            <w:r>
              <w:rPr>
                <w:rFonts w:hint="eastAsia"/>
                <w:color w:val="auto"/>
                <w:kern w:val="24"/>
                <w:sz w:val="24"/>
                <w:lang w:eastAsia="zh-CN"/>
              </w:rPr>
              <w:t>中表</w:t>
            </w:r>
            <w:r>
              <w:rPr>
                <w:rFonts w:hint="eastAsia"/>
                <w:color w:val="auto"/>
                <w:kern w:val="24"/>
                <w:sz w:val="24"/>
                <w:lang w:val="en-US" w:eastAsia="zh-CN"/>
              </w:rPr>
              <w:t>2水泥行业排放浓度限值</w:t>
            </w:r>
            <w:r>
              <w:rPr>
                <w:color w:val="auto"/>
                <w:kern w:val="24"/>
                <w:sz w:val="24"/>
              </w:rPr>
              <w:t>；</w:t>
            </w:r>
            <w:r>
              <w:rPr>
                <w:rFonts w:hint="eastAsia"/>
                <w:sz w:val="24"/>
              </w:rPr>
              <w:t>油烟排放执行《饮食业油烟排放标准》（GB18483-2001）</w:t>
            </w:r>
            <w:r>
              <w:rPr>
                <w:rFonts w:hint="eastAsia"/>
                <w:sz w:val="24"/>
                <w:lang w:eastAsia="zh-CN"/>
              </w:rPr>
              <w:t>；</w:t>
            </w:r>
            <w:r>
              <w:rPr>
                <w:rFonts w:hint="eastAsia"/>
                <w:color w:val="auto"/>
                <w:kern w:val="24"/>
                <w:sz w:val="24"/>
              </w:rPr>
              <w:t>其余大气污染物排放执行GB16297-1996《大气污染物综合排放标准》表2中的二级标准规定；</w:t>
            </w:r>
          </w:p>
          <w:p>
            <w:pPr>
              <w:spacing w:line="360" w:lineRule="auto"/>
              <w:ind w:firstLine="480" w:firstLineChars="200"/>
              <w:jc w:val="left"/>
              <w:rPr>
                <w:color w:val="auto"/>
                <w:sz w:val="24"/>
                <w:szCs w:val="24"/>
              </w:rPr>
            </w:pPr>
            <w:r>
              <w:rPr>
                <w:color w:val="auto"/>
                <w:kern w:val="24"/>
                <w:sz w:val="24"/>
                <w:szCs w:val="24"/>
              </w:rPr>
              <w:t>（2）</w:t>
            </w:r>
            <w:r>
              <w:rPr>
                <w:rFonts w:hint="eastAsia"/>
                <w:color w:val="auto"/>
                <w:sz w:val="24"/>
                <w:szCs w:val="24"/>
              </w:rPr>
              <w:t>营运期</w:t>
            </w:r>
            <w:r>
              <w:rPr>
                <w:color w:val="auto"/>
                <w:sz w:val="24"/>
                <w:szCs w:val="24"/>
              </w:rPr>
              <w:t>厂界噪声执行《工业企业厂界环境噪声排放标准》</w:t>
            </w:r>
            <w:r>
              <w:rPr>
                <w:rFonts w:hint="eastAsia"/>
                <w:color w:val="auto"/>
                <w:sz w:val="24"/>
                <w:szCs w:val="24"/>
              </w:rPr>
              <w:t>（</w:t>
            </w:r>
            <w:r>
              <w:rPr>
                <w:color w:val="auto"/>
                <w:sz w:val="24"/>
                <w:szCs w:val="24"/>
              </w:rPr>
              <w:t>GB12348-2008</w:t>
            </w:r>
            <w:r>
              <w:rPr>
                <w:rFonts w:hint="eastAsia"/>
                <w:color w:val="auto"/>
                <w:sz w:val="24"/>
                <w:szCs w:val="24"/>
              </w:rPr>
              <w:t>）</w:t>
            </w:r>
            <w:r>
              <w:rPr>
                <w:color w:val="auto"/>
                <w:sz w:val="24"/>
                <w:szCs w:val="24"/>
              </w:rPr>
              <w:t>2类</w:t>
            </w:r>
            <w:r>
              <w:rPr>
                <w:rFonts w:hint="eastAsia"/>
                <w:color w:val="auto"/>
                <w:sz w:val="24"/>
                <w:szCs w:val="24"/>
              </w:rPr>
              <w:t>，建筑施工噪声执行</w:t>
            </w:r>
            <w:r>
              <w:rPr>
                <w:color w:val="auto"/>
                <w:sz w:val="24"/>
                <w:szCs w:val="24"/>
              </w:rPr>
              <w:t>《建筑施工场界环境噪声排放标准》</w:t>
            </w:r>
            <w:r>
              <w:rPr>
                <w:rFonts w:hint="eastAsia"/>
                <w:color w:val="auto"/>
                <w:sz w:val="24"/>
                <w:szCs w:val="24"/>
              </w:rPr>
              <w:t>（</w:t>
            </w:r>
            <w:r>
              <w:rPr>
                <w:color w:val="auto"/>
                <w:sz w:val="24"/>
                <w:szCs w:val="24"/>
              </w:rPr>
              <w:t>GB12523-2011</w:t>
            </w:r>
            <w:r>
              <w:rPr>
                <w:rFonts w:hint="eastAsia"/>
                <w:color w:val="auto"/>
                <w:sz w:val="24"/>
                <w:szCs w:val="24"/>
              </w:rPr>
              <w:t>）</w:t>
            </w:r>
            <w:r>
              <w:rPr>
                <w:color w:val="auto"/>
                <w:sz w:val="24"/>
                <w:szCs w:val="24"/>
              </w:rPr>
              <w:t>；</w:t>
            </w:r>
          </w:p>
          <w:p>
            <w:pPr>
              <w:spacing w:line="360" w:lineRule="auto"/>
              <w:ind w:firstLine="480" w:firstLineChars="200"/>
              <w:jc w:val="left"/>
              <w:rPr>
                <w:rFonts w:hint="eastAsia"/>
                <w:color w:val="auto"/>
                <w:sz w:val="24"/>
                <w:szCs w:val="24"/>
                <w:lang w:eastAsia="zh-CN"/>
              </w:rPr>
            </w:pPr>
            <w:r>
              <w:rPr>
                <w:color w:val="auto"/>
                <w:sz w:val="24"/>
                <w:szCs w:val="24"/>
              </w:rPr>
              <w:t>（</w:t>
            </w:r>
            <w:r>
              <w:rPr>
                <w:rFonts w:hint="eastAsia"/>
                <w:color w:val="auto"/>
                <w:sz w:val="24"/>
                <w:szCs w:val="24"/>
                <w:lang w:val="en-US" w:eastAsia="zh-CN"/>
              </w:rPr>
              <w:t>3</w:t>
            </w:r>
            <w:r>
              <w:rPr>
                <w:color w:val="auto"/>
                <w:sz w:val="24"/>
                <w:szCs w:val="24"/>
              </w:rPr>
              <w:t>）</w:t>
            </w:r>
            <w:r>
              <w:rPr>
                <w:rFonts w:hint="eastAsia"/>
                <w:color w:val="auto"/>
                <w:sz w:val="24"/>
                <w:szCs w:val="24"/>
              </w:rPr>
              <w:t>固体废物执行GB20426-2006《煤炭工业污染物排放标准》及《一般工业固体废物贮存、处置场污染控制标准》（GB18599-2001）及修改单规定</w:t>
            </w:r>
            <w:r>
              <w:rPr>
                <w:rFonts w:hint="eastAsia"/>
                <w:color w:val="auto"/>
                <w:sz w:val="24"/>
                <w:szCs w:val="24"/>
                <w:lang w:eastAsia="zh-CN"/>
              </w:rPr>
              <w:t>；</w:t>
            </w:r>
          </w:p>
          <w:p>
            <w:pPr>
              <w:spacing w:line="360" w:lineRule="auto"/>
              <w:ind w:firstLine="480" w:firstLineChars="200"/>
              <w:jc w:val="left"/>
              <w:rPr>
                <w:rFonts w:ascii="宋体" w:hAnsi="宋体" w:cs="宋体"/>
                <w:color w:val="auto"/>
                <w:sz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）污废水综合利用不外排</w:t>
            </w:r>
            <w:r>
              <w:rPr>
                <w:rFonts w:hint="eastAsia"/>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37" w:hRule="atLeast"/>
          <w:jc w:val="center"/>
        </w:trPr>
        <w:tc>
          <w:tcPr>
            <w:tcW w:w="892" w:type="dxa"/>
            <w:vAlign w:val="center"/>
          </w:tcPr>
          <w:p>
            <w:pPr>
              <w:spacing w:line="560" w:lineRule="exact"/>
              <w:jc w:val="center"/>
              <w:rPr>
                <w:b/>
                <w:color w:val="auto"/>
                <w:sz w:val="28"/>
                <w:szCs w:val="28"/>
              </w:rPr>
            </w:pPr>
            <w:r>
              <w:rPr>
                <w:b/>
                <w:color w:val="auto"/>
                <w:sz w:val="28"/>
                <w:szCs w:val="28"/>
              </w:rPr>
              <w:t>总量控制指标</w:t>
            </w:r>
          </w:p>
        </w:tc>
        <w:tc>
          <w:tcPr>
            <w:tcW w:w="8396" w:type="dxa"/>
            <w:vAlign w:val="center"/>
          </w:tcPr>
          <w:p>
            <w:pPr>
              <w:spacing w:line="500" w:lineRule="exact"/>
              <w:ind w:firstLine="480" w:firstLineChars="200"/>
              <w:rPr>
                <w:rFonts w:hint="eastAsia" w:eastAsia="黑体" w:cs="Times New Roman"/>
                <w:b w:val="0"/>
                <w:bCs w:val="0"/>
                <w:color w:val="FF0000"/>
                <w:sz w:val="24"/>
                <w:szCs w:val="24"/>
                <w:highlight w:val="none"/>
                <w:lang w:eastAsia="zh-CN"/>
              </w:rPr>
            </w:pPr>
            <w:r>
              <w:rPr>
                <w:rFonts w:hint="eastAsia"/>
                <w:color w:val="auto"/>
                <w:sz w:val="24"/>
                <w:lang w:eastAsia="zh-CN"/>
              </w:rPr>
              <w:t>本项目污水不外排，洗煤工段产生的废水回用于生产，餐饮废水经隔油池处理后与生活污水一同排入化粪池，经过处理的污水定期外运肥田，因此本项目不设置总量控制指标。</w:t>
            </w:r>
          </w:p>
        </w:tc>
      </w:tr>
    </w:tbl>
    <w:p>
      <w:pPr>
        <w:pStyle w:val="3"/>
        <w:ind w:firstLine="161" w:firstLineChars="50"/>
        <w:jc w:val="left"/>
        <w:rPr>
          <w:rFonts w:ascii="Times New Roman" w:eastAsia="宋体"/>
          <w:b/>
          <w:sz w:val="32"/>
          <w:szCs w:val="32"/>
        </w:rPr>
      </w:pPr>
      <w:bookmarkStart w:id="8" w:name="_Toc325470782"/>
      <w:r>
        <w:rPr>
          <w:rFonts w:ascii="Times New Roman" w:eastAsia="宋体"/>
          <w:b/>
          <w:sz w:val="32"/>
          <w:szCs w:val="32"/>
        </w:rPr>
        <w:t>建设项目工程分析</w:t>
      </w:r>
      <w:bookmarkEnd w:id="8"/>
    </w:p>
    <w:tbl>
      <w:tblPr>
        <w:tblStyle w:val="34"/>
        <w:tblW w:w="9060" w:type="dxa"/>
        <w:jc w:val="center"/>
        <w:tblInd w:w="2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319" w:hRule="atLeast"/>
          <w:jc w:val="center"/>
        </w:trPr>
        <w:tc>
          <w:tcPr>
            <w:tcW w:w="9060" w:type="dxa"/>
          </w:tcPr>
          <w:p>
            <w:pPr>
              <w:spacing w:line="360" w:lineRule="auto"/>
              <w:ind w:firstLine="301"/>
              <w:rPr>
                <w:b/>
                <w:sz w:val="30"/>
              </w:rPr>
            </w:pPr>
            <w:r>
              <w:rPr>
                <w:b/>
                <w:sz w:val="30"/>
              </w:rPr>
              <w:t>工艺流程简述（图示）</w:t>
            </w:r>
          </w:p>
          <w:p>
            <w:pPr>
              <w:numPr>
                <w:ilvl w:val="0"/>
                <w:numId w:val="3"/>
              </w:numPr>
              <w:adjustRightInd w:val="0"/>
              <w:snapToGrid w:val="0"/>
              <w:spacing w:line="360" w:lineRule="auto"/>
              <w:ind w:firstLine="482"/>
              <w:rPr>
                <w:rFonts w:hint="default" w:ascii="Times New Roman" w:hAnsi="Times New Roman" w:cs="Times New Roman"/>
                <w:b/>
                <w:sz w:val="24"/>
              </w:rPr>
            </w:pPr>
            <w:r>
              <w:rPr>
                <w:rFonts w:hint="eastAsia" w:cs="Times New Roman"/>
                <w:b/>
                <w:sz w:val="24"/>
                <w:lang w:eastAsia="zh-CN"/>
              </w:rPr>
              <w:t>施工期</w:t>
            </w:r>
            <w:r>
              <w:rPr>
                <w:rFonts w:hint="default" w:ascii="Times New Roman" w:hAnsi="Times New Roman" w:cs="Times New Roman"/>
                <w:b/>
                <w:sz w:val="24"/>
              </w:rPr>
              <w:t>工艺流程及产污环节</w:t>
            </w:r>
          </w:p>
          <w:p>
            <w:pPr>
              <w:pStyle w:val="7"/>
              <w:autoSpaceDN w:val="0"/>
              <w:spacing w:line="360" w:lineRule="auto"/>
              <w:ind w:firstLine="420" w:firstLineChars="200"/>
              <w:jc w:val="both"/>
              <w:rPr>
                <w:sz w:val="24"/>
                <w:szCs w:val="24"/>
              </w:rPr>
            </w:pPr>
            <w:r>
              <w:rPr>
                <w:rFonts w:hint="eastAsia" w:eastAsia="宋体"/>
                <w:lang w:eastAsia="zh-CN"/>
              </w:rPr>
              <w:drawing>
                <wp:anchor distT="0" distB="0" distL="114300" distR="114300" simplePos="0" relativeHeight="755020800" behindDoc="1" locked="0" layoutInCell="1" allowOverlap="1">
                  <wp:simplePos x="0" y="0"/>
                  <wp:positionH relativeFrom="column">
                    <wp:posOffset>40640</wp:posOffset>
                  </wp:positionH>
                  <wp:positionV relativeFrom="paragraph">
                    <wp:posOffset>842010</wp:posOffset>
                  </wp:positionV>
                  <wp:extent cx="5611495" cy="3676650"/>
                  <wp:effectExtent l="0" t="0" r="8255" b="0"/>
                  <wp:wrapNone/>
                  <wp:docPr id="35" name="图片 35" descr="]N0)MRE]K7_2O)4EJD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N0)MRE]K7_2O)4EJDL@]YS"/>
                          <pic:cNvPicPr>
                            <a:picLocks noChangeAspect="1"/>
                          </pic:cNvPicPr>
                        </pic:nvPicPr>
                        <pic:blipFill>
                          <a:blip r:embed="rId14"/>
                          <a:stretch>
                            <a:fillRect/>
                          </a:stretch>
                        </pic:blipFill>
                        <pic:spPr>
                          <a:xfrm>
                            <a:off x="0" y="0"/>
                            <a:ext cx="5611495" cy="3676650"/>
                          </a:xfrm>
                          <a:prstGeom prst="rect">
                            <a:avLst/>
                          </a:prstGeom>
                        </pic:spPr>
                      </pic:pic>
                    </a:graphicData>
                  </a:graphic>
                </wp:anchor>
              </w:drawing>
            </w:r>
            <w:r>
              <w:rPr>
                <w:rFonts w:hint="eastAsia"/>
                <w:sz w:val="24"/>
                <w:szCs w:val="24"/>
              </w:rPr>
              <w:t>本项目</w:t>
            </w:r>
            <w:r>
              <w:rPr>
                <w:sz w:val="24"/>
                <w:szCs w:val="24"/>
              </w:rPr>
              <w:t>施工期间的基础工程、主体工程、装饰工程、设备安装等建设工序</w:t>
            </w:r>
            <w:r>
              <w:rPr>
                <w:rFonts w:hint="eastAsia"/>
                <w:sz w:val="24"/>
                <w:szCs w:val="24"/>
              </w:rPr>
              <w:t>，</w:t>
            </w:r>
            <w:r>
              <w:rPr>
                <w:sz w:val="24"/>
                <w:szCs w:val="24"/>
              </w:rPr>
              <w:t>主要产生噪声、扬尘、固体废弃物、少量污水和废气等污染物；营运期间产生的污染物主要有生活污水、生活</w:t>
            </w:r>
            <w:r>
              <w:rPr>
                <w:rFonts w:hint="eastAsia"/>
                <w:sz w:val="24"/>
                <w:szCs w:val="24"/>
              </w:rPr>
              <w:t>垃圾</w:t>
            </w:r>
            <w:r>
              <w:rPr>
                <w:sz w:val="24"/>
                <w:szCs w:val="24"/>
              </w:rPr>
              <w:t>、噪声</w:t>
            </w:r>
            <w:r>
              <w:rPr>
                <w:rFonts w:hint="eastAsia"/>
                <w:sz w:val="24"/>
                <w:szCs w:val="24"/>
                <w:lang w:eastAsia="zh-CN"/>
              </w:rPr>
              <w:t>、粉尘</w:t>
            </w:r>
            <w:r>
              <w:rPr>
                <w:sz w:val="24"/>
                <w:szCs w:val="24"/>
              </w:rPr>
              <w:t>等。其基本工序及产污分析，如下图所示：</w:t>
            </w:r>
          </w:p>
          <w:p>
            <w:pPr>
              <w:pStyle w:val="7"/>
              <w:autoSpaceDN w:val="0"/>
              <w:spacing w:line="360" w:lineRule="auto"/>
              <w:ind w:firstLine="420" w:firstLineChars="200"/>
              <w:jc w:val="both"/>
              <w:rPr>
                <w:rFonts w:hint="default"/>
              </w:rPr>
            </w:pPr>
          </w:p>
          <w:p>
            <w:pPr>
              <w:pStyle w:val="21"/>
              <w:rPr>
                <w:rFonts w:hint="eastAsia" w:eastAsia="宋体"/>
                <w:lang w:eastAsia="zh-CN"/>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djustRightInd w:val="0"/>
              <w:spacing w:line="360" w:lineRule="auto"/>
              <w:ind w:firstLine="480" w:firstLineChars="200"/>
              <w:rPr>
                <w:rFonts w:hint="default" w:ascii="Times New Roman" w:hAnsi="Times New Roman" w:eastAsia="宋体" w:cs="Times New Roman"/>
                <w:sz w:val="24"/>
                <w:szCs w:val="22"/>
              </w:rPr>
            </w:pPr>
          </w:p>
          <w:p>
            <w:pPr>
              <w:autoSpaceDN w:val="0"/>
              <w:spacing w:beforeLines="50"/>
              <w:jc w:val="center"/>
              <w:rPr>
                <w:rFonts w:hint="default"/>
              </w:rPr>
            </w:pPr>
            <w:r>
              <w:rPr>
                <w:b/>
                <w:bCs/>
                <w:sz w:val="24"/>
              </w:rPr>
              <w:t>图</w:t>
            </w:r>
            <w:r>
              <w:rPr>
                <w:rFonts w:hint="eastAsia"/>
                <w:b/>
                <w:bCs/>
                <w:sz w:val="24"/>
              </w:rPr>
              <w:t>1</w:t>
            </w:r>
            <w:r>
              <w:rPr>
                <w:b/>
                <w:bCs/>
                <w:sz w:val="24"/>
              </w:rPr>
              <w:t xml:space="preserve">  施工期污染物环节图</w:t>
            </w:r>
          </w:p>
          <w:p>
            <w:pPr>
              <w:numPr>
                <w:ilvl w:val="0"/>
                <w:numId w:val="3"/>
              </w:numPr>
              <w:adjustRightInd w:val="0"/>
              <w:snapToGrid w:val="0"/>
              <w:spacing w:line="360" w:lineRule="auto"/>
              <w:ind w:firstLine="482"/>
              <w:rPr>
                <w:rFonts w:hint="default" w:ascii="Times New Roman" w:hAnsi="Times New Roman" w:cs="Times New Roman"/>
                <w:b/>
                <w:sz w:val="24"/>
              </w:rPr>
            </w:pPr>
            <w:r>
              <w:rPr>
                <w:rFonts w:hint="default" w:ascii="Times New Roman" w:hAnsi="Times New Roman" w:cs="Times New Roman"/>
                <w:b/>
                <w:sz w:val="24"/>
              </w:rPr>
              <w:t>营运期工艺流程及产污环节</w:t>
            </w:r>
          </w:p>
          <w:p>
            <w:pPr>
              <w:adjustRightInd w:val="0"/>
              <w:spacing w:line="360" w:lineRule="auto"/>
              <w:ind w:firstLine="480" w:firstLineChars="200"/>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项目营运期洗煤过程主要包括备煤、</w:t>
            </w:r>
            <w:r>
              <w:rPr>
                <w:rFonts w:hint="eastAsia" w:ascii="Times New Roman" w:hAnsi="Times New Roman" w:cs="Times New Roman"/>
                <w:sz w:val="24"/>
                <w:szCs w:val="32"/>
                <w:lang w:eastAsia="zh-CN"/>
              </w:rPr>
              <w:t>跳汰</w:t>
            </w:r>
            <w:r>
              <w:rPr>
                <w:rFonts w:hint="default" w:ascii="Times New Roman" w:hAnsi="Times New Roman" w:eastAsia="宋体" w:cs="Times New Roman"/>
                <w:sz w:val="24"/>
                <w:szCs w:val="32"/>
              </w:rPr>
              <w:t>洗选、</w:t>
            </w:r>
            <w:r>
              <w:rPr>
                <w:rFonts w:hint="eastAsia" w:cs="Times New Roman"/>
                <w:sz w:val="24"/>
                <w:szCs w:val="32"/>
                <w:lang w:eastAsia="zh-CN"/>
              </w:rPr>
              <w:t>浓缩压滤</w:t>
            </w:r>
            <w:r>
              <w:rPr>
                <w:rFonts w:hint="default" w:ascii="Times New Roman" w:hAnsi="Times New Roman" w:eastAsia="宋体" w:cs="Times New Roman"/>
                <w:sz w:val="24"/>
                <w:szCs w:val="32"/>
              </w:rPr>
              <w:t>、产品贮运</w:t>
            </w:r>
            <w:r>
              <w:rPr>
                <w:rFonts w:hint="eastAsia" w:cs="Times New Roman"/>
                <w:sz w:val="24"/>
                <w:szCs w:val="32"/>
                <w:lang w:eastAsia="zh-CN"/>
              </w:rPr>
              <w:t>四</w:t>
            </w:r>
            <w:r>
              <w:rPr>
                <w:rFonts w:hint="default" w:ascii="Times New Roman" w:hAnsi="Times New Roman" w:eastAsia="宋体" w:cs="Times New Roman"/>
                <w:sz w:val="24"/>
                <w:szCs w:val="32"/>
              </w:rPr>
              <w:t>个工序。</w:t>
            </w:r>
            <w:r>
              <w:rPr>
                <w:rFonts w:hint="eastAsia" w:cs="Times New Roman"/>
                <w:sz w:val="24"/>
                <w:szCs w:val="32"/>
                <w:lang w:eastAsia="zh-CN"/>
              </w:rPr>
              <w:t>本工程洗煤过程不设置煤泥浮选工段，不使用浮选剂及煤油。</w:t>
            </w:r>
          </w:p>
          <w:p>
            <w:pPr>
              <w:adjustRightInd w:val="0"/>
              <w:spacing w:line="360" w:lineRule="auto"/>
              <w:ind w:firstLine="480" w:firstLineChars="200"/>
              <w:rPr>
                <w:rFonts w:hint="default" w:ascii="Times New Roman" w:hAnsi="Times New Roman" w:eastAsia="宋体" w:cs="Times New Roman"/>
                <w:sz w:val="24"/>
                <w:szCs w:val="32"/>
              </w:rPr>
            </w:pPr>
            <w:r>
              <w:rPr>
                <w:rFonts w:hint="eastAsia" w:ascii="Times New Roman" w:hAnsi="Times New Roman" w:cs="Times New Roman"/>
                <w:sz w:val="24"/>
                <w:szCs w:val="32"/>
                <w:lang w:eastAsia="zh-CN"/>
              </w:rPr>
              <w:t>（</w:t>
            </w:r>
            <w:r>
              <w:rPr>
                <w:rFonts w:hint="eastAsia" w:ascii="Times New Roman" w:hAnsi="Times New Roman" w:cs="Times New Roman"/>
                <w:sz w:val="24"/>
                <w:szCs w:val="32"/>
                <w:lang w:val="en-US" w:eastAsia="zh-CN"/>
              </w:rPr>
              <w:t>1</w:t>
            </w:r>
            <w:r>
              <w:rPr>
                <w:rFonts w:hint="eastAsia" w:ascii="Times New Roman" w:hAnsi="Times New Roman" w:cs="Times New Roman"/>
                <w:sz w:val="24"/>
                <w:szCs w:val="32"/>
                <w:lang w:eastAsia="zh-CN"/>
              </w:rPr>
              <w:t>）</w:t>
            </w:r>
            <w:r>
              <w:rPr>
                <w:rFonts w:hint="default" w:ascii="Times New Roman" w:hAnsi="Times New Roman" w:eastAsia="宋体" w:cs="Times New Roman"/>
                <w:sz w:val="24"/>
                <w:szCs w:val="32"/>
              </w:rPr>
              <w:t>备煤工序：原煤由输送带输送至</w:t>
            </w:r>
            <w:r>
              <w:rPr>
                <w:rFonts w:hint="eastAsia" w:cs="Times New Roman"/>
                <w:sz w:val="24"/>
                <w:szCs w:val="32"/>
                <w:lang w:eastAsia="zh-CN"/>
              </w:rPr>
              <w:t>车间</w:t>
            </w:r>
            <w:r>
              <w:rPr>
                <w:rFonts w:hint="default" w:ascii="Times New Roman" w:hAnsi="Times New Roman" w:eastAsia="宋体" w:cs="Times New Roman"/>
                <w:sz w:val="24"/>
                <w:szCs w:val="32"/>
              </w:rPr>
              <w:t>内，设一台往复式给煤机将原煤送至</w:t>
            </w:r>
            <w:r>
              <w:rPr>
                <w:rFonts w:hint="eastAsia" w:cs="Times New Roman"/>
                <w:sz w:val="24"/>
                <w:szCs w:val="32"/>
                <w:lang w:eastAsia="zh-CN"/>
              </w:rPr>
              <w:t>受煤坑</w:t>
            </w:r>
            <w:r>
              <w:rPr>
                <w:rFonts w:hint="default" w:ascii="Times New Roman" w:hAnsi="Times New Roman" w:eastAsia="宋体" w:cs="Times New Roman"/>
                <w:sz w:val="24"/>
                <w:szCs w:val="32"/>
              </w:rPr>
              <w:t>，输送机机头设有除铁器，拣除原煤中铁器，原煤进入筛分机，将粒径大于</w:t>
            </w:r>
            <w:r>
              <w:rPr>
                <w:rFonts w:hint="eastAsia" w:cs="Times New Roman"/>
                <w:sz w:val="24"/>
                <w:szCs w:val="32"/>
                <w:lang w:val="en-US" w:eastAsia="zh-CN"/>
              </w:rPr>
              <w:t>50</w:t>
            </w:r>
            <w:r>
              <w:rPr>
                <w:rFonts w:hint="default" w:ascii="Times New Roman" w:hAnsi="Times New Roman" w:eastAsia="宋体" w:cs="Times New Roman"/>
                <w:sz w:val="24"/>
                <w:szCs w:val="32"/>
              </w:rPr>
              <w:t>mm和小于</w:t>
            </w:r>
            <w:r>
              <w:rPr>
                <w:rFonts w:hint="eastAsia" w:cs="Times New Roman"/>
                <w:sz w:val="24"/>
                <w:szCs w:val="32"/>
                <w:lang w:val="en-US" w:eastAsia="zh-CN"/>
              </w:rPr>
              <w:t>50</w:t>
            </w:r>
            <w:r>
              <w:rPr>
                <w:rFonts w:hint="default" w:ascii="Times New Roman" w:hAnsi="Times New Roman" w:eastAsia="宋体" w:cs="Times New Roman"/>
                <w:sz w:val="24"/>
                <w:szCs w:val="32"/>
              </w:rPr>
              <w:t>mm原料分级，筛上大于</w:t>
            </w:r>
            <w:r>
              <w:rPr>
                <w:rFonts w:hint="eastAsia" w:cs="Times New Roman"/>
                <w:sz w:val="24"/>
                <w:szCs w:val="32"/>
                <w:lang w:val="en-US" w:eastAsia="zh-CN"/>
              </w:rPr>
              <w:t>50</w:t>
            </w:r>
            <w:r>
              <w:rPr>
                <w:rFonts w:hint="default" w:ascii="Times New Roman" w:hAnsi="Times New Roman" w:eastAsia="宋体" w:cs="Times New Roman"/>
                <w:sz w:val="24"/>
                <w:szCs w:val="32"/>
              </w:rPr>
              <w:t>mm块煤进入手选带，拣除木器与杂物，除杂后的块煤进入破碎机，破碎煤块与预选分级筛筛下物混合后，由密闭输送机运至洗煤车间进行跳汰分选。</w:t>
            </w:r>
          </w:p>
          <w:p>
            <w:pPr>
              <w:adjustRightInd w:val="0"/>
              <w:snapToGrid w:val="0"/>
              <w:spacing w:line="360" w:lineRule="auto"/>
              <w:ind w:firstLine="480" w:firstLineChars="200"/>
              <w:rPr>
                <w:rFonts w:hint="default" w:ascii="Times New Roman" w:hAnsi="Times New Roman" w:eastAsia="宋体" w:cs="Times New Roman"/>
                <w:sz w:val="24"/>
                <w:szCs w:val="22"/>
              </w:rPr>
            </w:pPr>
            <w:r>
              <w:rPr>
                <w:rFonts w:hint="eastAsia" w:ascii="Times New Roman" w:hAnsi="Times New Roman" w:cs="Times New Roman"/>
                <w:sz w:val="24"/>
                <w:szCs w:val="32"/>
                <w:lang w:eastAsia="zh-CN"/>
              </w:rPr>
              <w:t>（</w:t>
            </w:r>
            <w:r>
              <w:rPr>
                <w:rFonts w:hint="eastAsia" w:ascii="Times New Roman" w:hAnsi="Times New Roman" w:cs="Times New Roman"/>
                <w:sz w:val="24"/>
                <w:szCs w:val="32"/>
                <w:lang w:val="en-US" w:eastAsia="zh-CN"/>
              </w:rPr>
              <w:t>2</w:t>
            </w:r>
            <w:r>
              <w:rPr>
                <w:rFonts w:hint="eastAsia" w:ascii="Times New Roman" w:hAnsi="Times New Roman" w:cs="Times New Roman"/>
                <w:sz w:val="24"/>
                <w:szCs w:val="32"/>
                <w:lang w:eastAsia="zh-CN"/>
              </w:rPr>
              <w:t>）</w:t>
            </w:r>
            <w:r>
              <w:rPr>
                <w:rFonts w:hint="default" w:ascii="Times New Roman" w:hAnsi="Times New Roman" w:eastAsia="宋体" w:cs="Times New Roman"/>
                <w:sz w:val="24"/>
                <w:szCs w:val="32"/>
              </w:rPr>
              <w:t>洗选工序：</w:t>
            </w:r>
            <w:r>
              <w:rPr>
                <w:rFonts w:hint="default" w:ascii="Times New Roman" w:hAnsi="Times New Roman" w:eastAsia="宋体" w:cs="Times New Roman"/>
                <w:sz w:val="24"/>
                <w:szCs w:val="22"/>
              </w:rPr>
              <w:t>将经过筛分、破碎准备后的﹤50mm原煤送跳汰机分选，选出精煤、中煤、矸石三种产品。</w:t>
            </w:r>
          </w:p>
          <w:p>
            <w:pPr>
              <w:adjustRightInd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由皮带运至主厂房的原煤进入跳汰机进行分选。原煤在跳汰机中随水流的垂直脉动运动，实现轻重物料分离。经原煤准备合格粒径的原煤由入料端送入跳汰机第一段（矸石段），在脉动水流的作用下按密度在筛板上分层。密度大的矸石逐渐下沉，分布在底层，密度较小的中煤分布在中间层，而密度小的精煤分布在上层，物料在脉动中向前运动，矸石在矸石段的末端经闸门排至下机体，与透筛物料一起由矸石斗提机运走。中煤和精煤随脉动水流进入第二段（精煤、中煤段）后经过筛分机再次筛分成中煤、精煤。最终，将原煤分选成矸石、中煤和精煤三种产品</w:t>
            </w:r>
            <w:r>
              <w:rPr>
                <w:rFonts w:hint="eastAsia" w:ascii="Times New Roman" w:hAnsi="Times New Roman" w:cs="Times New Roman"/>
                <w:sz w:val="24"/>
                <w:szCs w:val="22"/>
                <w:lang w:eastAsia="zh-CN"/>
              </w:rPr>
              <w:t>，三种产品通过密闭式廊道输送到成品</w:t>
            </w:r>
            <w:r>
              <w:rPr>
                <w:rFonts w:hint="eastAsia" w:cs="Times New Roman"/>
                <w:sz w:val="24"/>
                <w:szCs w:val="22"/>
                <w:lang w:eastAsia="zh-CN"/>
              </w:rPr>
              <w:t>堆场</w:t>
            </w:r>
            <w:r>
              <w:rPr>
                <w:rFonts w:hint="eastAsia" w:ascii="Times New Roman" w:hAnsi="Times New Roman" w:cs="Times New Roman"/>
                <w:sz w:val="24"/>
                <w:szCs w:val="22"/>
                <w:lang w:eastAsia="zh-CN"/>
              </w:rPr>
              <w:t>中</w:t>
            </w:r>
            <w:r>
              <w:rPr>
                <w:rFonts w:hint="default" w:ascii="Times New Roman" w:hAnsi="Times New Roman" w:eastAsia="宋体" w:cs="Times New Roman"/>
                <w:sz w:val="24"/>
                <w:szCs w:val="22"/>
              </w:rPr>
              <w:t>。</w:t>
            </w:r>
          </w:p>
          <w:p>
            <w:pPr>
              <w:adjustRightInd w:val="0"/>
              <w:snapToGrid w:val="0"/>
              <w:spacing w:line="360" w:lineRule="auto"/>
              <w:ind w:firstLine="480" w:firstLineChars="200"/>
              <w:rPr>
                <w:rFonts w:hint="default" w:ascii="Times New Roman" w:hAnsi="Times New Roman" w:eastAsia="宋体" w:cs="Times New Roman"/>
                <w:sz w:val="24"/>
                <w:szCs w:val="32"/>
              </w:rPr>
            </w:pPr>
            <w:r>
              <w:rPr>
                <w:rFonts w:hint="eastAsia" w:ascii="Times New Roman" w:hAnsi="Times New Roman" w:cs="Times New Roman"/>
                <w:sz w:val="24"/>
                <w:szCs w:val="22"/>
                <w:lang w:eastAsia="zh-CN"/>
              </w:rPr>
              <w:t>（</w:t>
            </w:r>
            <w:r>
              <w:rPr>
                <w:rFonts w:hint="eastAsia" w:ascii="Times New Roman" w:hAnsi="Times New Roman" w:cs="Times New Roman"/>
                <w:sz w:val="24"/>
                <w:szCs w:val="22"/>
                <w:lang w:val="en-US" w:eastAsia="zh-CN"/>
              </w:rPr>
              <w:t>3</w:t>
            </w:r>
            <w:r>
              <w:rPr>
                <w:rFonts w:hint="eastAsia" w:ascii="Times New Roman" w:hAnsi="Times New Roman" w:cs="Times New Roman"/>
                <w:sz w:val="24"/>
                <w:szCs w:val="22"/>
                <w:lang w:eastAsia="zh-CN"/>
              </w:rPr>
              <w:t>）</w:t>
            </w:r>
            <w:r>
              <w:rPr>
                <w:rFonts w:hint="eastAsia" w:cs="Times New Roman"/>
                <w:sz w:val="24"/>
                <w:szCs w:val="32"/>
                <w:lang w:eastAsia="zh-CN"/>
              </w:rPr>
              <w:t>浓缩压滤</w:t>
            </w:r>
            <w:r>
              <w:rPr>
                <w:rFonts w:hint="default" w:ascii="Times New Roman" w:hAnsi="Times New Roman" w:eastAsia="宋体" w:cs="Times New Roman"/>
                <w:sz w:val="24"/>
                <w:szCs w:val="32"/>
              </w:rPr>
              <w:t>工序：</w:t>
            </w:r>
            <w:bookmarkStart w:id="9" w:name="OLE_LINK8"/>
            <w:r>
              <w:rPr>
                <w:rFonts w:hint="eastAsia" w:cs="Times New Roman"/>
                <w:sz w:val="24"/>
                <w:szCs w:val="32"/>
                <w:lang w:eastAsia="zh-CN"/>
              </w:rPr>
              <w:t>洗选产生的废水</w:t>
            </w:r>
            <w:r>
              <w:rPr>
                <w:rFonts w:hint="default" w:ascii="Times New Roman" w:hAnsi="Times New Roman" w:eastAsia="宋体" w:cs="Times New Roman"/>
                <w:sz w:val="24"/>
                <w:szCs w:val="32"/>
              </w:rPr>
              <w:t>排入</w:t>
            </w:r>
            <w:r>
              <w:rPr>
                <w:rFonts w:hint="eastAsia" w:cs="Times New Roman"/>
                <w:sz w:val="24"/>
                <w:szCs w:val="32"/>
                <w:lang w:eastAsia="zh-CN"/>
              </w:rPr>
              <w:t>高效深锥浓缩机，通过自动加药机添加絮凝剂（</w:t>
            </w:r>
            <w:r>
              <w:rPr>
                <w:rFonts w:hint="eastAsia" w:cs="Times New Roman"/>
                <w:sz w:val="24"/>
                <w:szCs w:val="32"/>
                <w:lang w:val="en-US" w:eastAsia="zh-CN"/>
              </w:rPr>
              <w:t>PAM</w:t>
            </w:r>
            <w:r>
              <w:rPr>
                <w:rFonts w:hint="eastAsia" w:cs="Times New Roman"/>
                <w:sz w:val="24"/>
                <w:szCs w:val="32"/>
                <w:lang w:eastAsia="zh-CN"/>
              </w:rPr>
              <w:t>）</w:t>
            </w:r>
            <w:r>
              <w:rPr>
                <w:rFonts w:hint="default" w:ascii="Times New Roman" w:hAnsi="Times New Roman" w:eastAsia="宋体" w:cs="Times New Roman"/>
                <w:sz w:val="24"/>
                <w:szCs w:val="32"/>
              </w:rPr>
              <w:t>。</w:t>
            </w:r>
            <w:r>
              <w:rPr>
                <w:rFonts w:hint="eastAsia" w:cs="Times New Roman"/>
                <w:sz w:val="24"/>
                <w:szCs w:val="32"/>
                <w:lang w:eastAsia="zh-CN"/>
              </w:rPr>
              <w:t>上清液</w:t>
            </w:r>
            <w:r>
              <w:rPr>
                <w:rFonts w:hint="default" w:ascii="Times New Roman" w:hAnsi="Times New Roman" w:eastAsia="宋体" w:cs="Times New Roman"/>
                <w:sz w:val="24"/>
                <w:szCs w:val="32"/>
              </w:rPr>
              <w:t>流作为洗煤补水循环使用</w:t>
            </w:r>
            <w:r>
              <w:rPr>
                <w:rFonts w:hint="eastAsia" w:cs="Times New Roman"/>
                <w:sz w:val="24"/>
                <w:szCs w:val="32"/>
                <w:lang w:eastAsia="zh-CN"/>
              </w:rPr>
              <w:t>，池底煤泥经压滤机压滤处理，压滤机液</w:t>
            </w:r>
            <w:r>
              <w:rPr>
                <w:rFonts w:hint="default" w:ascii="Times New Roman" w:hAnsi="Times New Roman" w:eastAsia="宋体" w:cs="Times New Roman"/>
                <w:sz w:val="24"/>
                <w:szCs w:val="32"/>
              </w:rPr>
              <w:t>池作为洗煤补水循环使用</w:t>
            </w:r>
            <w:r>
              <w:rPr>
                <w:rFonts w:hint="eastAsia" w:cs="Times New Roman"/>
                <w:sz w:val="24"/>
                <w:szCs w:val="32"/>
                <w:lang w:eastAsia="zh-CN"/>
              </w:rPr>
              <w:t>，产生的煤泥输送至煤泥堆放区中。</w:t>
            </w:r>
            <w:bookmarkEnd w:id="9"/>
          </w:p>
          <w:p>
            <w:pPr>
              <w:numPr>
                <w:ilvl w:val="0"/>
                <w:numId w:val="4"/>
              </w:numPr>
              <w:adjustRightInd w:val="0"/>
              <w:spacing w:line="360" w:lineRule="auto"/>
              <w:ind w:firstLine="480" w:firstLineChars="200"/>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产品储运工序：项目产出的产品输送至</w:t>
            </w:r>
            <w:r>
              <w:rPr>
                <w:rFonts w:hint="eastAsia" w:cs="Times New Roman"/>
                <w:sz w:val="24"/>
                <w:szCs w:val="32"/>
                <w:lang w:eastAsia="zh-CN"/>
              </w:rPr>
              <w:t>成品堆场</w:t>
            </w:r>
            <w:r>
              <w:rPr>
                <w:rFonts w:hint="default" w:ascii="Times New Roman" w:hAnsi="Times New Roman" w:eastAsia="宋体" w:cs="Times New Roman"/>
                <w:sz w:val="24"/>
                <w:szCs w:val="32"/>
              </w:rPr>
              <w:t>分区储存，煤矸石及煤泥暂存至矸石</w:t>
            </w:r>
            <w:r>
              <w:rPr>
                <w:rFonts w:hint="eastAsia" w:cs="Times New Roman"/>
                <w:sz w:val="24"/>
                <w:szCs w:val="32"/>
                <w:lang w:eastAsia="zh-CN"/>
              </w:rPr>
              <w:t>堆场</w:t>
            </w:r>
            <w:r>
              <w:rPr>
                <w:rFonts w:hint="default" w:ascii="Times New Roman" w:hAnsi="Times New Roman" w:eastAsia="宋体" w:cs="Times New Roman"/>
                <w:sz w:val="24"/>
                <w:szCs w:val="32"/>
              </w:rPr>
              <w:t>及煤泥</w:t>
            </w:r>
            <w:r>
              <w:rPr>
                <w:rFonts w:hint="eastAsia" w:cs="Times New Roman"/>
                <w:sz w:val="24"/>
                <w:szCs w:val="32"/>
                <w:lang w:eastAsia="zh-CN"/>
              </w:rPr>
              <w:t>仓</w:t>
            </w:r>
            <w:r>
              <w:rPr>
                <w:rFonts w:hint="default" w:ascii="Times New Roman" w:hAnsi="Times New Roman" w:eastAsia="宋体" w:cs="Times New Roman"/>
                <w:sz w:val="24"/>
                <w:szCs w:val="32"/>
              </w:rPr>
              <w:t>储存，</w:t>
            </w:r>
            <w:r>
              <w:rPr>
                <w:rFonts w:hint="eastAsia" w:cs="Times New Roman"/>
                <w:sz w:val="24"/>
                <w:szCs w:val="32"/>
                <w:lang w:eastAsia="zh-CN"/>
              </w:rPr>
              <w:t>煤泥与除尘器收集的煤粉混合后</w:t>
            </w:r>
            <w:r>
              <w:rPr>
                <w:rFonts w:hint="default" w:ascii="Times New Roman" w:hAnsi="Times New Roman" w:eastAsia="宋体" w:cs="Times New Roman"/>
                <w:sz w:val="24"/>
                <w:szCs w:val="32"/>
              </w:rPr>
              <w:t>外售</w:t>
            </w:r>
            <w:r>
              <w:rPr>
                <w:rFonts w:hint="eastAsia" w:cs="Times New Roman"/>
                <w:sz w:val="24"/>
                <w:szCs w:val="32"/>
                <w:lang w:eastAsia="zh-CN"/>
              </w:rPr>
              <w:t>，煤矸石</w:t>
            </w:r>
            <w:r>
              <w:rPr>
                <w:rFonts w:hint="default" w:ascii="Times New Roman" w:hAnsi="Times New Roman" w:eastAsia="宋体" w:cs="Times New Roman"/>
                <w:sz w:val="24"/>
                <w:szCs w:val="32"/>
              </w:rPr>
              <w:t>综合利用。</w:t>
            </w:r>
          </w:p>
          <w:p>
            <w:pPr>
              <w:pStyle w:val="21"/>
              <w:rPr>
                <w:rFonts w:hint="default"/>
              </w:rPr>
            </w:pPr>
            <w:r>
              <w:drawing>
                <wp:anchor distT="0" distB="0" distL="114300" distR="114300" simplePos="0" relativeHeight="755014656" behindDoc="1" locked="0" layoutInCell="1" allowOverlap="1">
                  <wp:simplePos x="0" y="0"/>
                  <wp:positionH relativeFrom="column">
                    <wp:posOffset>5080</wp:posOffset>
                  </wp:positionH>
                  <wp:positionV relativeFrom="paragraph">
                    <wp:posOffset>8890</wp:posOffset>
                  </wp:positionV>
                  <wp:extent cx="5609590" cy="2878455"/>
                  <wp:effectExtent l="0" t="0" r="10160" b="17145"/>
                  <wp:wrapNone/>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5"/>
                          <a:stretch>
                            <a:fillRect/>
                          </a:stretch>
                        </pic:blipFill>
                        <pic:spPr>
                          <a:xfrm>
                            <a:off x="0" y="0"/>
                            <a:ext cx="5609590" cy="2878455"/>
                          </a:xfrm>
                          <a:prstGeom prst="rect">
                            <a:avLst/>
                          </a:prstGeom>
                          <a:noFill/>
                          <a:ln w="9525">
                            <a:noFill/>
                          </a:ln>
                        </pic:spPr>
                      </pic:pic>
                    </a:graphicData>
                  </a:graphic>
                </wp:anchor>
              </w:drawing>
            </w:r>
          </w:p>
          <w:p>
            <w:pPr>
              <w:pStyle w:val="134"/>
              <w:adjustRightInd w:val="0"/>
              <w:snapToGrid w:val="0"/>
              <w:spacing w:before="156" w:beforeLines="50" w:line="520" w:lineRule="exact"/>
              <w:rPr>
                <w:b/>
                <w:sz w:val="32"/>
                <w:szCs w:val="44"/>
              </w:rPr>
            </w:pPr>
          </w:p>
          <w:p>
            <w:pPr>
              <w:pStyle w:val="134"/>
              <w:adjustRightInd w:val="0"/>
              <w:snapToGrid w:val="0"/>
              <w:spacing w:before="156" w:beforeLines="50" w:line="520" w:lineRule="exact"/>
              <w:rPr>
                <w:b/>
                <w:sz w:val="32"/>
                <w:szCs w:val="44"/>
              </w:rPr>
            </w:pPr>
          </w:p>
          <w:p>
            <w:pPr>
              <w:pStyle w:val="134"/>
              <w:adjustRightInd w:val="0"/>
              <w:snapToGrid w:val="0"/>
              <w:spacing w:before="156" w:beforeLines="50" w:line="520" w:lineRule="exact"/>
              <w:rPr>
                <w:b/>
                <w:sz w:val="32"/>
                <w:szCs w:val="44"/>
              </w:rPr>
            </w:pPr>
          </w:p>
          <w:p>
            <w:pPr>
              <w:pStyle w:val="134"/>
              <w:adjustRightInd w:val="0"/>
              <w:snapToGrid w:val="0"/>
              <w:spacing w:before="156" w:beforeLines="50" w:line="520" w:lineRule="exact"/>
              <w:rPr>
                <w:b/>
                <w:sz w:val="32"/>
                <w:szCs w:val="44"/>
              </w:rPr>
            </w:pPr>
          </w:p>
          <w:p>
            <w:pPr>
              <w:pStyle w:val="134"/>
              <w:adjustRightInd w:val="0"/>
              <w:snapToGrid w:val="0"/>
              <w:spacing w:before="156" w:beforeLines="50" w:line="520" w:lineRule="exact"/>
              <w:rPr>
                <w:b/>
                <w:sz w:val="32"/>
                <w:szCs w:val="44"/>
              </w:rPr>
            </w:pPr>
          </w:p>
          <w:p>
            <w:pPr>
              <w:pStyle w:val="134"/>
              <w:adjustRightInd w:val="0"/>
              <w:snapToGrid w:val="0"/>
              <w:spacing w:before="156" w:beforeLines="50" w:line="520" w:lineRule="exact"/>
              <w:rPr>
                <w:b/>
                <w:sz w:val="32"/>
                <w:szCs w:val="44"/>
              </w:rPr>
            </w:pPr>
          </w:p>
          <w:p>
            <w:pPr>
              <w:autoSpaceDN w:val="0"/>
              <w:spacing w:beforeLines="50"/>
              <w:jc w:val="center"/>
              <w:rPr>
                <w:b/>
                <w:bCs/>
                <w:sz w:val="24"/>
              </w:rPr>
            </w:pPr>
          </w:p>
          <w:p>
            <w:pPr>
              <w:autoSpaceDN w:val="0"/>
              <w:spacing w:beforeLines="50"/>
              <w:jc w:val="center"/>
              <w:rPr>
                <w:rFonts w:hint="default"/>
              </w:rPr>
            </w:pPr>
            <w:r>
              <w:rPr>
                <w:b/>
                <w:bCs/>
                <w:sz w:val="24"/>
              </w:rPr>
              <w:t>图</w:t>
            </w:r>
            <w:r>
              <w:rPr>
                <w:rFonts w:hint="eastAsia"/>
                <w:b/>
                <w:bCs/>
                <w:sz w:val="24"/>
                <w:lang w:val="en-US" w:eastAsia="zh-CN"/>
              </w:rPr>
              <w:t>2</w:t>
            </w:r>
            <w:r>
              <w:rPr>
                <w:b/>
                <w:bCs/>
                <w:sz w:val="24"/>
              </w:rPr>
              <w:t xml:space="preserve">  </w:t>
            </w:r>
            <w:r>
              <w:rPr>
                <w:rFonts w:hint="eastAsia"/>
                <w:b/>
                <w:bCs/>
                <w:sz w:val="24"/>
                <w:lang w:eastAsia="zh-CN"/>
              </w:rPr>
              <w:t>运营期洗煤工艺产污</w:t>
            </w:r>
            <w:r>
              <w:rPr>
                <w:b/>
                <w:bCs/>
                <w:sz w:val="24"/>
              </w:rPr>
              <w:t>环节图</w:t>
            </w:r>
          </w:p>
          <w:p>
            <w:pPr>
              <w:pStyle w:val="134"/>
              <w:adjustRightInd w:val="0"/>
              <w:snapToGrid w:val="0"/>
              <w:spacing w:before="156" w:beforeLines="50" w:line="520" w:lineRule="exact"/>
              <w:ind w:firstLine="480"/>
              <w:rPr>
                <w:rFonts w:hint="eastAsia" w:ascii="Times New Roman" w:hAnsi="Times New Roman" w:cs="Times New Roman"/>
                <w:b w:val="0"/>
                <w:bCs/>
                <w:sz w:val="24"/>
                <w:szCs w:val="36"/>
                <w:lang w:val="en-US" w:eastAsia="zh-CN"/>
              </w:rPr>
            </w:pPr>
            <w:r>
              <w:rPr>
                <w:rFonts w:hint="default" w:ascii="Times New Roman" w:hAnsi="Times New Roman" w:eastAsia="宋体" w:cs="Times New Roman"/>
                <w:b w:val="0"/>
                <w:bCs/>
                <w:sz w:val="24"/>
                <w:szCs w:val="36"/>
                <w:lang w:val="en-US" w:eastAsia="zh-CN"/>
              </w:rPr>
              <w:t>运营期项目制砖过程</w:t>
            </w:r>
            <w:r>
              <w:rPr>
                <w:rFonts w:hint="eastAsia" w:cs="Times New Roman"/>
                <w:b w:val="0"/>
                <w:bCs/>
                <w:sz w:val="24"/>
                <w:szCs w:val="36"/>
                <w:lang w:val="en-US" w:eastAsia="zh-CN"/>
              </w:rPr>
              <w:t>主要</w:t>
            </w:r>
            <w:r>
              <w:rPr>
                <w:rFonts w:hint="default" w:ascii="Times New Roman" w:hAnsi="Times New Roman" w:eastAsia="宋体" w:cs="Times New Roman"/>
                <w:b w:val="0"/>
                <w:bCs/>
                <w:sz w:val="24"/>
                <w:szCs w:val="36"/>
                <w:lang w:val="en-US" w:eastAsia="zh-CN"/>
              </w:rPr>
              <w:t>包括煤矸石磨细、原料搅拌、砖机制砖、成品晾干四个工序</w:t>
            </w:r>
            <w:r>
              <w:rPr>
                <w:rFonts w:hint="eastAsia" w:ascii="Times New Roman" w:hAnsi="Times New Roman" w:cs="Times New Roman"/>
                <w:b w:val="0"/>
                <w:bCs/>
                <w:sz w:val="24"/>
                <w:szCs w:val="36"/>
                <w:lang w:val="en-US" w:eastAsia="zh-CN"/>
              </w:rPr>
              <w:t>。</w:t>
            </w:r>
          </w:p>
          <w:p>
            <w:pPr>
              <w:pStyle w:val="134"/>
              <w:adjustRightInd w:val="0"/>
              <w:snapToGrid w:val="0"/>
              <w:spacing w:before="156" w:beforeLines="50" w:line="520" w:lineRule="exact"/>
              <w:ind w:firstLine="480"/>
              <w:rPr>
                <w:rFonts w:hint="eastAsia" w:ascii="Times New Roman" w:hAnsi="Times New Roman" w:cs="Times New Roman"/>
                <w:b w:val="0"/>
                <w:bCs/>
                <w:sz w:val="24"/>
                <w:szCs w:val="36"/>
                <w:lang w:val="en-US" w:eastAsia="zh-CN"/>
              </w:rPr>
            </w:pPr>
            <w:r>
              <w:rPr>
                <w:rFonts w:hint="eastAsia" w:ascii="Times New Roman" w:hAnsi="Times New Roman" w:cs="Times New Roman"/>
                <w:b w:val="0"/>
                <w:bCs/>
                <w:sz w:val="24"/>
                <w:szCs w:val="36"/>
                <w:lang w:val="en-US" w:eastAsia="zh-CN"/>
              </w:rPr>
              <w:t>煤矸石进入</w:t>
            </w:r>
            <w:r>
              <w:rPr>
                <w:rFonts w:hint="eastAsia" w:cs="Times New Roman"/>
                <w:b w:val="0"/>
                <w:bCs/>
                <w:sz w:val="24"/>
                <w:szCs w:val="36"/>
                <w:lang w:val="en-US" w:eastAsia="zh-CN"/>
              </w:rPr>
              <w:t>圆锥破碎机破碎</w:t>
            </w:r>
            <w:r>
              <w:rPr>
                <w:rFonts w:hint="eastAsia" w:ascii="Times New Roman" w:hAnsi="Times New Roman" w:cs="Times New Roman"/>
                <w:b w:val="0"/>
                <w:bCs/>
                <w:sz w:val="24"/>
                <w:szCs w:val="36"/>
                <w:lang w:val="en-US" w:eastAsia="zh-CN"/>
              </w:rPr>
              <w:t>，通过密闭式斗式提升机进入原料中间储罐，进入中间原料罐的煤矸石粉与水泥、沙子通过计量后，进入制浆搅拌机中加水搅拌。搅拌均匀的物料通过管道进入制砖机，经过砖机震压成型整齐码放在转运台上。此时混凝土铺地砖已成型。通过叉车将转运台整齐码放在晾干区域自然晾干成为成品。</w:t>
            </w:r>
          </w:p>
          <w:p>
            <w:pPr>
              <w:pStyle w:val="134"/>
              <w:adjustRightInd w:val="0"/>
              <w:snapToGrid w:val="0"/>
              <w:spacing w:before="156" w:beforeLines="50" w:line="520" w:lineRule="exact"/>
              <w:ind w:firstLine="480"/>
              <w:rPr>
                <w:rFonts w:hint="default" w:ascii="Times New Roman" w:hAnsi="Times New Roman" w:cs="Times New Roman"/>
                <w:b w:val="0"/>
                <w:bCs/>
                <w:sz w:val="24"/>
                <w:szCs w:val="36"/>
                <w:lang w:val="en-US" w:eastAsia="zh-CN"/>
              </w:rPr>
            </w:pPr>
            <w:r>
              <w:drawing>
                <wp:anchor distT="0" distB="0" distL="114300" distR="114300" simplePos="0" relativeHeight="755021824" behindDoc="1" locked="0" layoutInCell="1" allowOverlap="1">
                  <wp:simplePos x="0" y="0"/>
                  <wp:positionH relativeFrom="column">
                    <wp:posOffset>-43815</wp:posOffset>
                  </wp:positionH>
                  <wp:positionV relativeFrom="paragraph">
                    <wp:posOffset>158750</wp:posOffset>
                  </wp:positionV>
                  <wp:extent cx="5614670" cy="2651125"/>
                  <wp:effectExtent l="0" t="0" r="5080" b="15875"/>
                  <wp:wrapNone/>
                  <wp:docPr id="3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8"/>
                          <pic:cNvPicPr>
                            <a:picLocks noChangeAspect="1"/>
                          </pic:cNvPicPr>
                        </pic:nvPicPr>
                        <pic:blipFill>
                          <a:blip r:embed="rId16"/>
                          <a:stretch>
                            <a:fillRect/>
                          </a:stretch>
                        </pic:blipFill>
                        <pic:spPr>
                          <a:xfrm>
                            <a:off x="0" y="0"/>
                            <a:ext cx="5614670" cy="2651125"/>
                          </a:xfrm>
                          <a:prstGeom prst="rect">
                            <a:avLst/>
                          </a:prstGeom>
                          <a:noFill/>
                          <a:ln w="9525">
                            <a:noFill/>
                          </a:ln>
                        </pic:spPr>
                      </pic:pic>
                    </a:graphicData>
                  </a:graphic>
                </wp:anchor>
              </w:drawing>
            </w:r>
          </w:p>
          <w:p>
            <w:pPr>
              <w:pStyle w:val="134"/>
              <w:adjustRightInd w:val="0"/>
              <w:snapToGrid w:val="0"/>
              <w:spacing w:before="156" w:beforeLines="50" w:line="520" w:lineRule="exact"/>
              <w:rPr>
                <w:b/>
                <w:sz w:val="32"/>
                <w:szCs w:val="44"/>
              </w:rPr>
            </w:pPr>
          </w:p>
          <w:p>
            <w:pPr>
              <w:pStyle w:val="134"/>
              <w:adjustRightInd w:val="0"/>
              <w:snapToGrid w:val="0"/>
              <w:spacing w:before="156" w:beforeLines="50" w:line="520" w:lineRule="exact"/>
              <w:rPr>
                <w:b/>
                <w:sz w:val="32"/>
                <w:szCs w:val="44"/>
              </w:rPr>
            </w:pPr>
          </w:p>
          <w:p>
            <w:pPr>
              <w:pStyle w:val="134"/>
              <w:adjustRightInd w:val="0"/>
              <w:snapToGrid w:val="0"/>
              <w:spacing w:before="156" w:beforeLines="50" w:line="520" w:lineRule="exact"/>
              <w:rPr>
                <w:b/>
                <w:sz w:val="32"/>
                <w:szCs w:val="44"/>
              </w:rPr>
            </w:pPr>
          </w:p>
          <w:p>
            <w:pPr>
              <w:pStyle w:val="134"/>
              <w:adjustRightInd w:val="0"/>
              <w:snapToGrid w:val="0"/>
              <w:spacing w:before="156" w:beforeLines="50" w:line="520" w:lineRule="exact"/>
              <w:rPr>
                <w:b/>
                <w:sz w:val="32"/>
                <w:szCs w:val="44"/>
              </w:rPr>
            </w:pPr>
          </w:p>
          <w:p>
            <w:pPr>
              <w:pStyle w:val="134"/>
              <w:adjustRightInd w:val="0"/>
              <w:snapToGrid w:val="0"/>
              <w:spacing w:before="156" w:beforeLines="50" w:line="520" w:lineRule="exact"/>
              <w:rPr>
                <w:b/>
                <w:sz w:val="32"/>
                <w:szCs w:val="44"/>
              </w:rPr>
            </w:pPr>
          </w:p>
          <w:p>
            <w:pPr>
              <w:autoSpaceDN w:val="0"/>
              <w:spacing w:beforeLines="50"/>
              <w:jc w:val="center"/>
              <w:rPr>
                <w:b/>
                <w:bCs/>
                <w:sz w:val="24"/>
              </w:rPr>
            </w:pPr>
          </w:p>
          <w:p>
            <w:pPr>
              <w:autoSpaceDN w:val="0"/>
              <w:spacing w:beforeLines="50"/>
              <w:jc w:val="center"/>
              <w:rPr>
                <w:rFonts w:hint="default"/>
              </w:rPr>
            </w:pPr>
            <w:r>
              <w:rPr>
                <w:b/>
                <w:bCs/>
                <w:sz w:val="24"/>
              </w:rPr>
              <w:t>图</w:t>
            </w:r>
            <w:r>
              <w:rPr>
                <w:rFonts w:hint="eastAsia"/>
                <w:b/>
                <w:bCs/>
                <w:sz w:val="24"/>
                <w:lang w:val="en-US" w:eastAsia="zh-CN"/>
              </w:rPr>
              <w:t>3</w:t>
            </w:r>
            <w:r>
              <w:rPr>
                <w:b/>
                <w:bCs/>
                <w:sz w:val="24"/>
              </w:rPr>
              <w:t xml:space="preserve">  </w:t>
            </w:r>
            <w:r>
              <w:rPr>
                <w:rFonts w:hint="eastAsia"/>
                <w:b/>
                <w:bCs/>
                <w:sz w:val="24"/>
                <w:lang w:eastAsia="zh-CN"/>
              </w:rPr>
              <w:t>运营期制砖工艺产污</w:t>
            </w:r>
            <w:r>
              <w:rPr>
                <w:b/>
                <w:bCs/>
                <w:sz w:val="24"/>
              </w:rPr>
              <w:t>环节图</w:t>
            </w:r>
          </w:p>
          <w:p>
            <w:pPr>
              <w:pStyle w:val="134"/>
              <w:adjustRightInd w:val="0"/>
              <w:snapToGrid w:val="0"/>
              <w:spacing w:before="156" w:beforeLines="50" w:line="360" w:lineRule="auto"/>
              <w:rPr>
                <w:b/>
                <w:sz w:val="32"/>
                <w:szCs w:val="44"/>
              </w:rPr>
            </w:pPr>
            <w:r>
              <w:rPr>
                <w:b/>
                <w:sz w:val="32"/>
                <w:szCs w:val="44"/>
              </w:rPr>
              <w:t>主要污染工序</w:t>
            </w:r>
          </w:p>
          <w:p>
            <w:pPr>
              <w:spacing w:line="360" w:lineRule="auto"/>
              <w:ind w:firstLine="560" w:firstLineChars="200"/>
              <w:rPr>
                <w:rFonts w:ascii="黑体" w:eastAsia="黑体"/>
                <w:sz w:val="28"/>
                <w:szCs w:val="28"/>
              </w:rPr>
            </w:pPr>
            <w:r>
              <w:rPr>
                <w:rFonts w:hint="eastAsia" w:ascii="黑体" w:eastAsia="黑体"/>
                <w:sz w:val="28"/>
                <w:szCs w:val="28"/>
              </w:rPr>
              <w:t>一、施工期</w:t>
            </w:r>
          </w:p>
          <w:p>
            <w:pPr>
              <w:spacing w:line="360" w:lineRule="auto"/>
              <w:ind w:firstLine="576" w:firstLineChars="200"/>
              <w:rPr>
                <w:rFonts w:ascii="黑体" w:eastAsia="黑体"/>
                <w:bCs/>
                <w:spacing w:val="4"/>
                <w:sz w:val="28"/>
                <w:szCs w:val="21"/>
              </w:rPr>
            </w:pPr>
            <w:r>
              <w:rPr>
                <w:rFonts w:hint="eastAsia" w:ascii="黑体" w:eastAsia="黑体"/>
                <w:bCs/>
                <w:spacing w:val="4"/>
                <w:sz w:val="28"/>
                <w:szCs w:val="21"/>
              </w:rPr>
              <w:t>1、施工期废气污染源分析</w:t>
            </w:r>
          </w:p>
          <w:p>
            <w:pPr>
              <w:autoSpaceDN w:val="0"/>
              <w:spacing w:line="360" w:lineRule="auto"/>
              <w:ind w:firstLine="480" w:firstLineChars="200"/>
              <w:rPr>
                <w:sz w:val="24"/>
              </w:rPr>
            </w:pPr>
            <w:r>
              <w:rPr>
                <w:sz w:val="24"/>
              </w:rPr>
              <w:t>施工期废气污染源主要有施工扬尘、施工机械及车辆废气、建筑装修废气。</w:t>
            </w:r>
          </w:p>
          <w:p>
            <w:pPr>
              <w:pStyle w:val="17"/>
              <w:autoSpaceDN w:val="0"/>
              <w:spacing w:line="360" w:lineRule="auto"/>
              <w:ind w:firstLine="480" w:firstLineChars="200"/>
              <w:rPr>
                <w:rFonts w:ascii="Times New Roman"/>
                <w:sz w:val="24"/>
                <w:szCs w:val="24"/>
              </w:rPr>
            </w:pPr>
            <w:r>
              <w:rPr>
                <w:rFonts w:ascii="Times New Roman"/>
                <w:sz w:val="24"/>
                <w:szCs w:val="24"/>
              </w:rPr>
              <w:t>（1）施工扬尘</w:t>
            </w:r>
          </w:p>
          <w:p>
            <w:pPr>
              <w:pStyle w:val="17"/>
              <w:autoSpaceDN w:val="0"/>
              <w:spacing w:line="360" w:lineRule="auto"/>
              <w:ind w:firstLine="480" w:firstLineChars="200"/>
              <w:rPr>
                <w:rFonts w:ascii="Times New Roman"/>
                <w:sz w:val="24"/>
                <w:szCs w:val="24"/>
              </w:rPr>
            </w:pPr>
            <w:r>
              <w:rPr>
                <w:rFonts w:ascii="Times New Roman"/>
                <w:sz w:val="24"/>
                <w:szCs w:val="24"/>
              </w:rPr>
              <w:t>主要来自土方开挖及建筑材料（白灰、水泥、沙子、石子等）现场搬运及堆放扬尘，施工垃圾的清理及堆放扬尘，以及运输车辆造成的道路扬尘，属于无组织排放。在不利气象条件下，如风速≥3.0m/s时，上述颗粒物就会扬起进入大气环境中，对周围环境空气质量造成影响。</w:t>
            </w:r>
          </w:p>
          <w:p>
            <w:pPr>
              <w:autoSpaceDN w:val="0"/>
              <w:spacing w:line="360" w:lineRule="auto"/>
              <w:ind w:firstLine="464" w:firstLineChars="200"/>
              <w:rPr>
                <w:spacing w:val="-4"/>
                <w:sz w:val="24"/>
              </w:rPr>
            </w:pPr>
            <w:r>
              <w:rPr>
                <w:spacing w:val="-4"/>
                <w:sz w:val="24"/>
              </w:rPr>
              <w:t>（2）施工机械及车辆废气</w:t>
            </w:r>
          </w:p>
          <w:p>
            <w:pPr>
              <w:autoSpaceDN w:val="0"/>
              <w:spacing w:line="360" w:lineRule="auto"/>
              <w:ind w:firstLine="464" w:firstLineChars="200"/>
              <w:rPr>
                <w:spacing w:val="-4"/>
                <w:sz w:val="24"/>
              </w:rPr>
            </w:pPr>
            <w:r>
              <w:rPr>
                <w:spacing w:val="-4"/>
                <w:sz w:val="24"/>
              </w:rPr>
              <w:t>主要包括施工机械废气和各种运输车辆排放的汽车尾气，主要污染物为NO</w:t>
            </w:r>
            <w:r>
              <w:rPr>
                <w:spacing w:val="-4"/>
                <w:sz w:val="24"/>
                <w:vertAlign w:val="subscript"/>
              </w:rPr>
              <w:t>x</w:t>
            </w:r>
            <w:r>
              <w:rPr>
                <w:spacing w:val="-4"/>
                <w:sz w:val="24"/>
              </w:rPr>
              <w:t>、CO及THC等。</w:t>
            </w:r>
          </w:p>
          <w:p>
            <w:pPr>
              <w:autoSpaceDN w:val="0"/>
              <w:spacing w:line="360" w:lineRule="auto"/>
              <w:ind w:firstLine="464" w:firstLineChars="200"/>
              <w:rPr>
                <w:spacing w:val="-4"/>
                <w:sz w:val="24"/>
              </w:rPr>
            </w:pPr>
            <w:r>
              <w:rPr>
                <w:spacing w:val="-4"/>
                <w:sz w:val="24"/>
              </w:rPr>
              <w:t>（3）装修废气</w:t>
            </w:r>
          </w:p>
          <w:p>
            <w:pPr>
              <w:autoSpaceDN w:val="0"/>
              <w:spacing w:line="360" w:lineRule="auto"/>
              <w:ind w:firstLine="480" w:firstLineChars="200"/>
              <w:rPr>
                <w:rFonts w:hint="eastAsia" w:ascii="黑体" w:eastAsia="黑体"/>
                <w:bCs/>
                <w:spacing w:val="4"/>
                <w:sz w:val="24"/>
              </w:rPr>
            </w:pPr>
            <w:r>
              <w:rPr>
                <w:sz w:val="24"/>
              </w:rPr>
              <w:t>主要来自装修产生的油漆废气，属无组织排放，主要污染物为</w:t>
            </w:r>
            <w:r>
              <w:rPr>
                <w:rFonts w:hint="eastAsia"/>
                <w:sz w:val="24"/>
              </w:rPr>
              <w:t>甲苯和二甲苯，</w:t>
            </w:r>
            <w:r>
              <w:rPr>
                <w:sz w:val="24"/>
              </w:rPr>
              <w:t>此外还有极少量的汽油、丁醇和丙醇等。</w:t>
            </w:r>
          </w:p>
          <w:p>
            <w:pPr>
              <w:spacing w:line="360" w:lineRule="auto"/>
              <w:ind w:firstLine="576" w:firstLineChars="200"/>
              <w:rPr>
                <w:rFonts w:ascii="黑体" w:eastAsia="黑体"/>
                <w:bCs/>
                <w:spacing w:val="4"/>
                <w:sz w:val="28"/>
                <w:szCs w:val="21"/>
              </w:rPr>
            </w:pPr>
            <w:r>
              <w:rPr>
                <w:rFonts w:hint="eastAsia" w:ascii="黑体" w:eastAsia="黑体"/>
                <w:bCs/>
                <w:spacing w:val="4"/>
                <w:sz w:val="28"/>
                <w:szCs w:val="21"/>
              </w:rPr>
              <w:t>2、施工期水环境污染源分析</w:t>
            </w:r>
          </w:p>
          <w:p>
            <w:pPr>
              <w:autoSpaceDN w:val="0"/>
              <w:spacing w:line="360" w:lineRule="auto"/>
              <w:ind w:firstLine="480" w:firstLineChars="200"/>
              <w:rPr>
                <w:sz w:val="24"/>
              </w:rPr>
            </w:pPr>
            <w:r>
              <w:rPr>
                <w:sz w:val="24"/>
              </w:rPr>
              <w:t>施工期的废水主要为生产废水和生活污水。</w:t>
            </w:r>
          </w:p>
          <w:p>
            <w:pPr>
              <w:autoSpaceDN w:val="0"/>
              <w:spacing w:line="360" w:lineRule="auto"/>
              <w:ind w:firstLine="480" w:firstLineChars="200"/>
              <w:rPr>
                <w:sz w:val="24"/>
              </w:rPr>
            </w:pPr>
            <w:r>
              <w:rPr>
                <w:sz w:val="24"/>
              </w:rPr>
              <w:t>（1）生产废水</w:t>
            </w:r>
          </w:p>
          <w:p>
            <w:pPr>
              <w:pStyle w:val="17"/>
              <w:autoSpaceDN w:val="0"/>
              <w:spacing w:line="360" w:lineRule="auto"/>
              <w:ind w:firstLine="480" w:firstLineChars="200"/>
              <w:rPr>
                <w:rFonts w:ascii="Times New Roman"/>
                <w:sz w:val="24"/>
                <w:szCs w:val="24"/>
              </w:rPr>
            </w:pPr>
            <w:r>
              <w:rPr>
                <w:rFonts w:ascii="Times New Roman"/>
                <w:sz w:val="24"/>
                <w:szCs w:val="24"/>
              </w:rPr>
              <w:t>主要包括土石方阶段排水，结构阶段混凝土养护排水及各种车辆冲洗废水。生产废水产生量较小，主要污染物为COD、SS、氨氮、石油类等。</w:t>
            </w:r>
          </w:p>
          <w:p>
            <w:pPr>
              <w:pStyle w:val="17"/>
              <w:autoSpaceDN w:val="0"/>
              <w:spacing w:line="360" w:lineRule="auto"/>
              <w:ind w:firstLine="480" w:firstLineChars="200"/>
              <w:rPr>
                <w:rFonts w:ascii="Times New Roman"/>
                <w:sz w:val="24"/>
                <w:szCs w:val="24"/>
              </w:rPr>
            </w:pPr>
            <w:r>
              <w:rPr>
                <w:rFonts w:ascii="Times New Roman"/>
                <w:sz w:val="24"/>
                <w:szCs w:val="24"/>
              </w:rPr>
              <w:t>（2）生活污水</w:t>
            </w:r>
          </w:p>
          <w:p>
            <w:pPr>
              <w:autoSpaceDN w:val="0"/>
              <w:spacing w:line="360" w:lineRule="auto"/>
              <w:ind w:firstLine="480" w:firstLineChars="200"/>
              <w:rPr>
                <w:sz w:val="24"/>
              </w:rPr>
            </w:pPr>
            <w:r>
              <w:rPr>
                <w:sz w:val="24"/>
              </w:rPr>
              <w:t>施工人员生活用水量按40L/人·d，污水产出系数0.</w:t>
            </w:r>
            <w:r>
              <w:rPr>
                <w:rFonts w:hint="eastAsia"/>
                <w:sz w:val="24"/>
              </w:rPr>
              <w:t>8</w:t>
            </w:r>
            <w:r>
              <w:rPr>
                <w:sz w:val="24"/>
              </w:rPr>
              <w:t>，施工高峰人员</w:t>
            </w:r>
            <w:r>
              <w:rPr>
                <w:rFonts w:hint="eastAsia"/>
                <w:sz w:val="24"/>
                <w:lang w:val="en-US" w:eastAsia="zh-CN"/>
              </w:rPr>
              <w:t>30</w:t>
            </w:r>
            <w:r>
              <w:rPr>
                <w:sz w:val="24"/>
              </w:rPr>
              <w:t>人/ d计，则生活污水排放量约</w:t>
            </w:r>
            <w:r>
              <w:rPr>
                <w:rFonts w:hint="eastAsia"/>
                <w:sz w:val="24"/>
                <w:lang w:val="en-US" w:eastAsia="zh-CN"/>
              </w:rPr>
              <w:t>0.96</w:t>
            </w:r>
            <w:r>
              <w:rPr>
                <w:sz w:val="24"/>
              </w:rPr>
              <w:t>m</w:t>
            </w:r>
            <w:r>
              <w:rPr>
                <w:sz w:val="24"/>
                <w:vertAlign w:val="superscript"/>
              </w:rPr>
              <w:t>3</w:t>
            </w:r>
            <w:r>
              <w:rPr>
                <w:sz w:val="24"/>
              </w:rPr>
              <w:t>/d，主要污染物有COD、SS、氨氮、动植物油等。</w:t>
            </w:r>
          </w:p>
          <w:p>
            <w:pPr>
              <w:spacing w:line="360" w:lineRule="auto"/>
              <w:ind w:firstLine="576" w:firstLineChars="200"/>
              <w:rPr>
                <w:rFonts w:ascii="黑体" w:eastAsia="黑体"/>
                <w:bCs/>
                <w:spacing w:val="4"/>
                <w:sz w:val="28"/>
                <w:szCs w:val="21"/>
              </w:rPr>
            </w:pPr>
            <w:r>
              <w:rPr>
                <w:rFonts w:hint="eastAsia" w:ascii="黑体" w:eastAsia="黑体"/>
                <w:bCs/>
                <w:spacing w:val="4"/>
                <w:sz w:val="28"/>
                <w:szCs w:val="21"/>
              </w:rPr>
              <w:t>3、施工期噪声污染源分析</w:t>
            </w:r>
          </w:p>
          <w:p>
            <w:pPr>
              <w:tabs>
                <w:tab w:val="left" w:pos="4480"/>
              </w:tabs>
              <w:autoSpaceDN w:val="0"/>
              <w:spacing w:line="360" w:lineRule="auto"/>
              <w:ind w:firstLine="480" w:firstLineChars="200"/>
              <w:rPr>
                <w:rFonts w:hint="eastAsia" w:ascii="黑体" w:eastAsia="黑体"/>
                <w:bCs/>
                <w:spacing w:val="4"/>
                <w:sz w:val="24"/>
              </w:rPr>
            </w:pPr>
            <w:r>
              <w:rPr>
                <w:sz w:val="24"/>
                <w:szCs w:val="20"/>
              </w:rPr>
              <w:t>施工期噪声源主要是挖土机、堆土机、装载机和</w:t>
            </w:r>
            <w:r>
              <w:rPr>
                <w:rFonts w:hint="eastAsia"/>
                <w:sz w:val="24"/>
                <w:szCs w:val="20"/>
              </w:rPr>
              <w:t>打桩机</w:t>
            </w:r>
            <w:r>
              <w:rPr>
                <w:sz w:val="24"/>
                <w:szCs w:val="20"/>
              </w:rPr>
              <w:t>等，声级一般在</w:t>
            </w:r>
            <w:r>
              <w:rPr>
                <w:rFonts w:hint="eastAsia"/>
                <w:sz w:val="24"/>
                <w:szCs w:val="20"/>
              </w:rPr>
              <w:t>8</w:t>
            </w:r>
            <w:r>
              <w:rPr>
                <w:sz w:val="24"/>
                <w:szCs w:val="20"/>
              </w:rPr>
              <w:t>0</w:t>
            </w:r>
            <w:r>
              <w:rPr>
                <w:rFonts w:hint="eastAsia"/>
                <w:sz w:val="24"/>
                <w:szCs w:val="20"/>
              </w:rPr>
              <w:t>~</w:t>
            </w:r>
            <w:r>
              <w:rPr>
                <w:sz w:val="24"/>
                <w:szCs w:val="20"/>
              </w:rPr>
              <w:t>1</w:t>
            </w:r>
            <w:r>
              <w:rPr>
                <w:rFonts w:hint="eastAsia"/>
                <w:sz w:val="24"/>
                <w:szCs w:val="20"/>
              </w:rPr>
              <w:t>10</w:t>
            </w:r>
            <w:r>
              <w:rPr>
                <w:sz w:val="24"/>
                <w:szCs w:val="20"/>
              </w:rPr>
              <w:t>dB</w:t>
            </w:r>
            <w:r>
              <w:rPr>
                <w:rFonts w:hint="eastAsia"/>
                <w:sz w:val="24"/>
                <w:szCs w:val="20"/>
              </w:rPr>
              <w:t>（</w:t>
            </w:r>
            <w:r>
              <w:rPr>
                <w:sz w:val="24"/>
                <w:szCs w:val="20"/>
              </w:rPr>
              <w:t>A</w:t>
            </w:r>
            <w:r>
              <w:rPr>
                <w:rFonts w:hint="eastAsia"/>
                <w:sz w:val="24"/>
                <w:szCs w:val="20"/>
              </w:rPr>
              <w:t>）</w:t>
            </w:r>
            <w:r>
              <w:rPr>
                <w:sz w:val="24"/>
                <w:szCs w:val="20"/>
              </w:rPr>
              <w:t>，对周围声环境有一定的影响。</w:t>
            </w:r>
          </w:p>
          <w:p>
            <w:pPr>
              <w:spacing w:line="360" w:lineRule="auto"/>
              <w:ind w:firstLine="576" w:firstLineChars="200"/>
              <w:rPr>
                <w:rFonts w:ascii="黑体" w:eastAsia="黑体"/>
                <w:bCs/>
                <w:spacing w:val="4"/>
                <w:sz w:val="28"/>
                <w:szCs w:val="21"/>
              </w:rPr>
            </w:pPr>
            <w:r>
              <w:rPr>
                <w:rFonts w:hint="eastAsia" w:ascii="黑体" w:eastAsia="黑体"/>
                <w:bCs/>
                <w:spacing w:val="4"/>
                <w:sz w:val="28"/>
                <w:szCs w:val="21"/>
              </w:rPr>
              <w:t>4、</w:t>
            </w:r>
            <w:r>
              <w:rPr>
                <w:rFonts w:hint="eastAsia" w:ascii="黑体" w:hAnsi="黑体" w:eastAsia="黑体" w:cs="黑体"/>
                <w:bCs/>
                <w:spacing w:val="4"/>
                <w:sz w:val="28"/>
                <w:szCs w:val="21"/>
              </w:rPr>
              <w:t>施工期固体废物分析</w:t>
            </w:r>
          </w:p>
          <w:p>
            <w:pPr>
              <w:autoSpaceDN w:val="0"/>
              <w:spacing w:line="360" w:lineRule="auto"/>
              <w:ind w:firstLine="480" w:firstLineChars="200"/>
              <w:rPr>
                <w:sz w:val="24"/>
              </w:rPr>
            </w:pPr>
            <w:r>
              <w:rPr>
                <w:sz w:val="24"/>
              </w:rPr>
              <w:t>施工期固体废物主要包括施工渣土、施工人员的生活垃圾以及危险废物（含废油漆桶等）。</w:t>
            </w:r>
          </w:p>
          <w:p>
            <w:pPr>
              <w:autoSpaceDN w:val="0"/>
              <w:spacing w:line="360" w:lineRule="auto"/>
              <w:ind w:firstLine="480" w:firstLineChars="200"/>
              <w:rPr>
                <w:sz w:val="24"/>
              </w:rPr>
            </w:pPr>
            <w:r>
              <w:rPr>
                <w:sz w:val="24"/>
              </w:rPr>
              <w:t>（1）施工渣土</w:t>
            </w:r>
          </w:p>
          <w:p>
            <w:pPr>
              <w:autoSpaceDN w:val="0"/>
              <w:spacing w:line="360" w:lineRule="auto"/>
              <w:ind w:firstLine="480" w:firstLineChars="200"/>
            </w:pPr>
            <w:r>
              <w:rPr>
                <w:sz w:val="24"/>
              </w:rPr>
              <w:t>施工渣土主要包括建筑垃圾和施工弃土</w:t>
            </w:r>
            <w:r>
              <w:rPr>
                <w:rFonts w:hint="eastAsia"/>
                <w:sz w:val="24"/>
              </w:rPr>
              <w:t>三</w:t>
            </w:r>
            <w:r>
              <w:rPr>
                <w:sz w:val="24"/>
              </w:rPr>
              <w:t>部分。根据新建建筑的建筑垃圾产生量计算方法，</w:t>
            </w:r>
            <w:r>
              <w:rPr>
                <w:rFonts w:hint="eastAsia"/>
                <w:sz w:val="24"/>
              </w:rPr>
              <w:t>即</w:t>
            </w:r>
            <w:r>
              <w:rPr>
                <w:rFonts w:hint="eastAsia"/>
                <w:sz w:val="24"/>
                <w:lang w:val="en-US" w:eastAsia="zh-CN"/>
              </w:rPr>
              <w:t>3</w:t>
            </w:r>
            <w:r>
              <w:rPr>
                <w:sz w:val="24"/>
              </w:rPr>
              <w:t>0kg/m</w:t>
            </w:r>
            <w:r>
              <w:rPr>
                <w:sz w:val="24"/>
                <w:vertAlign w:val="superscript"/>
              </w:rPr>
              <w:t>2</w:t>
            </w:r>
            <w:r>
              <w:rPr>
                <w:rFonts w:hint="eastAsia"/>
                <w:sz w:val="24"/>
              </w:rPr>
              <w:t>，</w:t>
            </w:r>
            <w:r>
              <w:rPr>
                <w:sz w:val="24"/>
              </w:rPr>
              <w:t>项目</w:t>
            </w:r>
            <w:r>
              <w:rPr>
                <w:rFonts w:hint="eastAsia"/>
                <w:sz w:val="24"/>
                <w:lang w:eastAsia="zh-CN"/>
              </w:rPr>
              <w:t>钢筋混凝土建筑的</w:t>
            </w:r>
            <w:r>
              <w:rPr>
                <w:sz w:val="24"/>
              </w:rPr>
              <w:t>建筑面积</w:t>
            </w:r>
            <w:r>
              <w:rPr>
                <w:rFonts w:hint="eastAsia"/>
                <w:sz w:val="24"/>
                <w:lang w:eastAsia="zh-CN"/>
              </w:rPr>
              <w:t>为</w:t>
            </w:r>
            <w:r>
              <w:rPr>
                <w:rFonts w:hint="eastAsia"/>
                <w:sz w:val="24"/>
                <w:lang w:val="en-US" w:eastAsia="zh-CN"/>
              </w:rPr>
              <w:t>3600</w:t>
            </w:r>
            <w:r>
              <w:rPr>
                <w:sz w:val="24"/>
              </w:rPr>
              <w:t>m</w:t>
            </w:r>
            <w:r>
              <w:rPr>
                <w:sz w:val="24"/>
                <w:vertAlign w:val="superscript"/>
              </w:rPr>
              <w:t>2</w:t>
            </w:r>
            <w:r>
              <w:rPr>
                <w:sz w:val="24"/>
              </w:rPr>
              <w:t>，建筑垃圾产生量约</w:t>
            </w:r>
            <w:r>
              <w:rPr>
                <w:rFonts w:hint="eastAsia"/>
                <w:sz w:val="24"/>
                <w:lang w:val="en-US" w:eastAsia="zh-CN"/>
              </w:rPr>
              <w:t>108</w:t>
            </w:r>
            <w:r>
              <w:rPr>
                <w:sz w:val="24"/>
              </w:rPr>
              <w:t>t</w:t>
            </w:r>
            <w:r>
              <w:rPr>
                <w:rFonts w:hint="eastAsia"/>
                <w:sz w:val="24"/>
              </w:rPr>
              <w:t>；</w:t>
            </w:r>
            <w:r>
              <w:rPr>
                <w:sz w:val="24"/>
              </w:rPr>
              <w:t>统一收集后运至当地建筑垃圾填埋场处置。</w:t>
            </w:r>
            <w:r>
              <w:rPr>
                <w:rFonts w:hint="eastAsia"/>
                <w:sz w:val="24"/>
              </w:rPr>
              <w:t>施工过程产生的所有挖方均回填于项目低矮处，挖填方达到平衡状态，无剩余挖方</w:t>
            </w:r>
            <w:r>
              <w:rPr>
                <w:sz w:val="24"/>
              </w:rPr>
              <w:t>。</w:t>
            </w:r>
          </w:p>
          <w:p>
            <w:pPr>
              <w:autoSpaceDN w:val="0"/>
              <w:spacing w:line="360" w:lineRule="auto"/>
              <w:ind w:firstLine="480" w:firstLineChars="200"/>
              <w:rPr>
                <w:sz w:val="24"/>
              </w:rPr>
            </w:pPr>
            <w:r>
              <w:rPr>
                <w:sz w:val="24"/>
              </w:rPr>
              <w:t>（2）生活垃圾</w:t>
            </w:r>
          </w:p>
          <w:p>
            <w:pPr>
              <w:autoSpaceDN w:val="0"/>
              <w:spacing w:line="360" w:lineRule="auto"/>
              <w:ind w:firstLine="480" w:firstLineChars="200"/>
              <w:rPr>
                <w:sz w:val="24"/>
              </w:rPr>
            </w:pPr>
            <w:r>
              <w:rPr>
                <w:sz w:val="24"/>
              </w:rPr>
              <w:t>施工人员排放生活垃圾按0.5kg/人·d估算，施工高峰期人数按</w:t>
            </w:r>
            <w:r>
              <w:rPr>
                <w:rFonts w:hint="eastAsia"/>
                <w:sz w:val="24"/>
                <w:lang w:val="en-US" w:eastAsia="zh-CN"/>
              </w:rPr>
              <w:t>30</w:t>
            </w:r>
            <w:r>
              <w:rPr>
                <w:sz w:val="24"/>
              </w:rPr>
              <w:t>人计，则施工期生活垃圾产生量约为</w:t>
            </w:r>
            <w:r>
              <w:rPr>
                <w:rFonts w:hint="eastAsia"/>
                <w:sz w:val="24"/>
                <w:lang w:val="en-US" w:eastAsia="zh-CN"/>
              </w:rPr>
              <w:t>15</w:t>
            </w:r>
            <w:r>
              <w:rPr>
                <w:sz w:val="24"/>
              </w:rPr>
              <w:t>kg/d。</w:t>
            </w:r>
          </w:p>
          <w:p>
            <w:pPr>
              <w:spacing w:line="360" w:lineRule="auto"/>
              <w:ind w:firstLine="482" w:firstLineChars="200"/>
              <w:rPr>
                <w:b/>
                <w:sz w:val="24"/>
              </w:rPr>
            </w:pPr>
            <w:r>
              <w:rPr>
                <w:b/>
                <w:sz w:val="24"/>
              </w:rPr>
              <w:t>二、营运期污染因素分析</w:t>
            </w:r>
          </w:p>
          <w:p>
            <w:pPr>
              <w:adjustRightInd w:val="0"/>
              <w:snapToGrid w:val="0"/>
              <w:spacing w:line="360" w:lineRule="auto"/>
              <w:ind w:firstLine="480" w:firstLineChars="200"/>
              <w:rPr>
                <w:sz w:val="24"/>
              </w:rPr>
            </w:pPr>
            <w:r>
              <w:rPr>
                <w:rFonts w:hint="eastAsia"/>
                <w:sz w:val="24"/>
              </w:rPr>
              <w:t>1</w:t>
            </w:r>
            <w:r>
              <w:rPr>
                <w:sz w:val="24"/>
              </w:rPr>
              <w:t>、废水</w:t>
            </w:r>
          </w:p>
          <w:p>
            <w:pPr>
              <w:spacing w:line="360" w:lineRule="auto"/>
              <w:ind w:firstLine="480" w:firstLineChars="200"/>
              <w:rPr>
                <w:rFonts w:hint="eastAsia"/>
                <w:sz w:val="24"/>
                <w:szCs w:val="24"/>
                <w:lang w:eastAsia="zh-CN"/>
              </w:rPr>
            </w:pPr>
            <w:r>
              <w:rPr>
                <w:rFonts w:hint="eastAsia"/>
                <w:sz w:val="24"/>
                <w:szCs w:val="24"/>
                <w:lang w:eastAsia="zh-CN"/>
              </w:rPr>
              <w:t>本项目运营期</w:t>
            </w:r>
            <w:r>
              <w:rPr>
                <w:rFonts w:hint="eastAsia" w:cs="Times New Roman"/>
                <w:sz w:val="24"/>
                <w:szCs w:val="32"/>
                <w:lang w:eastAsia="zh-CN"/>
              </w:rPr>
              <w:t>洗选产生的废水</w:t>
            </w:r>
            <w:r>
              <w:rPr>
                <w:rFonts w:hint="default" w:ascii="Times New Roman" w:hAnsi="Times New Roman" w:eastAsia="宋体" w:cs="Times New Roman"/>
                <w:sz w:val="24"/>
                <w:szCs w:val="32"/>
              </w:rPr>
              <w:t>排入</w:t>
            </w:r>
            <w:r>
              <w:rPr>
                <w:rFonts w:hint="eastAsia" w:cs="Times New Roman"/>
                <w:sz w:val="24"/>
                <w:szCs w:val="32"/>
                <w:lang w:eastAsia="zh-CN"/>
              </w:rPr>
              <w:t>高效深锥浓缩机，通过自动加药机添加絮凝剂（</w:t>
            </w:r>
            <w:r>
              <w:rPr>
                <w:rFonts w:hint="eastAsia" w:cs="Times New Roman"/>
                <w:sz w:val="24"/>
                <w:szCs w:val="32"/>
                <w:lang w:val="en-US" w:eastAsia="zh-CN"/>
              </w:rPr>
              <w:t>PAM</w:t>
            </w:r>
            <w:r>
              <w:rPr>
                <w:rFonts w:hint="eastAsia" w:cs="Times New Roman"/>
                <w:sz w:val="24"/>
                <w:szCs w:val="32"/>
                <w:lang w:eastAsia="zh-CN"/>
              </w:rPr>
              <w:t>）</w:t>
            </w:r>
            <w:r>
              <w:rPr>
                <w:rFonts w:hint="default" w:ascii="Times New Roman" w:hAnsi="Times New Roman" w:eastAsia="宋体" w:cs="Times New Roman"/>
                <w:sz w:val="24"/>
                <w:szCs w:val="32"/>
              </w:rPr>
              <w:t>。</w:t>
            </w:r>
            <w:r>
              <w:rPr>
                <w:rFonts w:hint="eastAsia" w:cs="Times New Roman"/>
                <w:sz w:val="24"/>
                <w:szCs w:val="32"/>
                <w:lang w:eastAsia="zh-CN"/>
              </w:rPr>
              <w:t>上清液</w:t>
            </w:r>
            <w:r>
              <w:rPr>
                <w:rFonts w:hint="default" w:ascii="Times New Roman" w:hAnsi="Times New Roman" w:eastAsia="宋体" w:cs="Times New Roman"/>
                <w:sz w:val="24"/>
                <w:szCs w:val="32"/>
              </w:rPr>
              <w:t>流作为洗煤补水循环使用</w:t>
            </w:r>
            <w:r>
              <w:rPr>
                <w:rFonts w:hint="eastAsia" w:cs="Times New Roman"/>
                <w:sz w:val="24"/>
                <w:szCs w:val="32"/>
                <w:lang w:eastAsia="zh-CN"/>
              </w:rPr>
              <w:t>，池底煤泥经压滤机压滤处理，压滤机液</w:t>
            </w:r>
            <w:r>
              <w:rPr>
                <w:rFonts w:hint="default" w:ascii="Times New Roman" w:hAnsi="Times New Roman" w:eastAsia="宋体" w:cs="Times New Roman"/>
                <w:sz w:val="24"/>
                <w:szCs w:val="32"/>
              </w:rPr>
              <w:t>池作为洗煤补水循环使用</w:t>
            </w:r>
            <w:r>
              <w:rPr>
                <w:rFonts w:hint="eastAsia" w:cs="Times New Roman"/>
                <w:sz w:val="24"/>
                <w:szCs w:val="32"/>
                <w:lang w:eastAsia="zh-CN"/>
              </w:rPr>
              <w:t>，产生的煤泥输送至煤泥堆放区中。</w:t>
            </w:r>
            <w:r>
              <w:rPr>
                <w:rFonts w:hint="eastAsia"/>
                <w:sz w:val="24"/>
                <w:szCs w:val="24"/>
                <w:lang w:eastAsia="zh-CN"/>
              </w:rPr>
              <w:t>项目洗煤工艺生产废水不外排项目，跳汰机洗煤产生的工艺废水产生量为12067.44m</w:t>
            </w:r>
            <w:r>
              <w:rPr>
                <w:rFonts w:hint="eastAsia"/>
                <w:sz w:val="24"/>
                <w:szCs w:val="24"/>
                <w:vertAlign w:val="superscript"/>
                <w:lang w:eastAsia="zh-CN"/>
              </w:rPr>
              <w:t>3</w:t>
            </w:r>
            <w:r>
              <w:rPr>
                <w:rFonts w:hint="eastAsia"/>
                <w:sz w:val="24"/>
                <w:szCs w:val="24"/>
                <w:lang w:eastAsia="zh-CN"/>
              </w:rPr>
              <w:t>/d，经浓缩池浓缩压滤机处理后，143.54m</w:t>
            </w:r>
            <w:r>
              <w:rPr>
                <w:rFonts w:hint="eastAsia"/>
                <w:sz w:val="24"/>
                <w:szCs w:val="24"/>
                <w:vertAlign w:val="superscript"/>
                <w:lang w:eastAsia="zh-CN"/>
              </w:rPr>
              <w:t>3</w:t>
            </w:r>
            <w:r>
              <w:rPr>
                <w:rFonts w:hint="eastAsia"/>
                <w:sz w:val="24"/>
                <w:szCs w:val="24"/>
                <w:lang w:eastAsia="zh-CN"/>
              </w:rPr>
              <w:t>/d由煤泥带走，11509m</w:t>
            </w:r>
            <w:r>
              <w:rPr>
                <w:rFonts w:hint="eastAsia"/>
                <w:sz w:val="24"/>
                <w:szCs w:val="24"/>
                <w:vertAlign w:val="superscript"/>
                <w:lang w:eastAsia="zh-CN"/>
              </w:rPr>
              <w:t>3</w:t>
            </w:r>
            <w:r>
              <w:rPr>
                <w:rFonts w:hint="eastAsia"/>
                <w:sz w:val="24"/>
                <w:szCs w:val="24"/>
                <w:lang w:eastAsia="zh-CN"/>
              </w:rPr>
              <w:t>/d全部回用于洗煤工序，无工艺废水排放。</w:t>
            </w:r>
          </w:p>
          <w:p>
            <w:pPr>
              <w:adjustRightInd w:val="0"/>
              <w:snapToGrid w:val="0"/>
              <w:spacing w:before="62" w:beforeLines="20" w:after="31" w:afterLines="10"/>
              <w:jc w:val="center"/>
              <w:rPr>
                <w:rFonts w:hint="eastAsia" w:hAnsi="宋体"/>
                <w:b/>
                <w:sz w:val="24"/>
                <w:lang w:eastAsia="zh-CN"/>
              </w:rPr>
            </w:pPr>
          </w:p>
          <w:p>
            <w:pPr>
              <w:adjustRightInd w:val="0"/>
              <w:snapToGrid w:val="0"/>
              <w:spacing w:before="62" w:beforeLines="20" w:after="31" w:afterLines="10"/>
              <w:jc w:val="center"/>
              <w:rPr>
                <w:rFonts w:hint="eastAsia" w:hAnsi="宋体"/>
                <w:b/>
                <w:sz w:val="24"/>
                <w:lang w:eastAsia="zh-CN"/>
              </w:rPr>
            </w:pPr>
            <w:r>
              <w:rPr>
                <w:rFonts w:hint="eastAsia" w:hAnsi="宋体"/>
                <w:b/>
                <w:sz w:val="24"/>
                <w:lang w:eastAsia="zh-CN"/>
              </w:rPr>
              <w:t>表</w:t>
            </w:r>
            <w:r>
              <w:rPr>
                <w:rFonts w:hint="eastAsia" w:hAnsi="宋体"/>
                <w:b/>
                <w:sz w:val="24"/>
                <w:lang w:val="en-US" w:eastAsia="zh-CN"/>
              </w:rPr>
              <w:t>10</w:t>
            </w:r>
            <w:r>
              <w:rPr>
                <w:rFonts w:hint="eastAsia" w:hAnsi="宋体"/>
                <w:b/>
                <w:sz w:val="24"/>
                <w:lang w:eastAsia="zh-CN"/>
              </w:rPr>
              <w:t xml:space="preserve">  洗煤生产线水量平衡表</w:t>
            </w:r>
          </w:p>
          <w:tbl>
            <w:tblPr>
              <w:tblStyle w:val="34"/>
              <w:tblW w:w="8834"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102"/>
              <w:gridCol w:w="741"/>
              <w:gridCol w:w="1939"/>
              <w:gridCol w:w="17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55" w:type="dxa"/>
                  <w:gridSpan w:val="2"/>
                  <w:tcBorders>
                    <w:tl2br w:val="nil"/>
                    <w:tr2bl w:val="nil"/>
                  </w:tcBorders>
                  <w:vAlign w:val="center"/>
                </w:tcPr>
                <w:p>
                  <w:pPr>
                    <w:adjustRightInd w:val="0"/>
                    <w:jc w:val="center"/>
                    <w:rPr>
                      <w:rFonts w:ascii="Times New Roman" w:hAnsi="Times New Roman"/>
                      <w:b/>
                      <w:bCs/>
                      <w:spacing w:val="4"/>
                      <w:sz w:val="21"/>
                      <w:szCs w:val="21"/>
                    </w:rPr>
                  </w:pPr>
                  <w:r>
                    <w:rPr>
                      <w:rFonts w:ascii="Times New Roman" w:hAnsi="Times New Roman"/>
                      <w:b/>
                      <w:bCs/>
                      <w:spacing w:val="4"/>
                      <w:sz w:val="21"/>
                      <w:szCs w:val="21"/>
                    </w:rPr>
                    <w:t>进入系统的水量（m</w:t>
                  </w:r>
                  <w:r>
                    <w:rPr>
                      <w:rFonts w:ascii="Times New Roman" w:hAnsi="Times New Roman"/>
                      <w:b/>
                      <w:bCs/>
                      <w:spacing w:val="4"/>
                      <w:sz w:val="21"/>
                      <w:szCs w:val="21"/>
                      <w:vertAlign w:val="superscript"/>
                    </w:rPr>
                    <w:t>3</w:t>
                  </w:r>
                  <w:r>
                    <w:rPr>
                      <w:rFonts w:ascii="Times New Roman" w:hAnsi="Times New Roman"/>
                      <w:b/>
                      <w:bCs/>
                      <w:spacing w:val="4"/>
                      <w:sz w:val="21"/>
                      <w:szCs w:val="21"/>
                    </w:rPr>
                    <w:t>/d）</w:t>
                  </w:r>
                </w:p>
              </w:tc>
              <w:tc>
                <w:tcPr>
                  <w:tcW w:w="4479" w:type="dxa"/>
                  <w:gridSpan w:val="3"/>
                  <w:tcBorders>
                    <w:tl2br w:val="nil"/>
                    <w:tr2bl w:val="nil"/>
                  </w:tcBorders>
                  <w:vAlign w:val="center"/>
                </w:tcPr>
                <w:p>
                  <w:pPr>
                    <w:adjustRightInd w:val="0"/>
                    <w:jc w:val="center"/>
                    <w:rPr>
                      <w:rFonts w:ascii="Times New Roman" w:hAnsi="Times New Roman"/>
                      <w:b/>
                      <w:bCs/>
                      <w:spacing w:val="4"/>
                      <w:sz w:val="21"/>
                      <w:szCs w:val="21"/>
                    </w:rPr>
                  </w:pPr>
                  <w:r>
                    <w:rPr>
                      <w:rFonts w:ascii="Times New Roman" w:hAnsi="Times New Roman"/>
                      <w:b/>
                      <w:bCs/>
                      <w:spacing w:val="4"/>
                      <w:sz w:val="21"/>
                      <w:szCs w:val="21"/>
                    </w:rPr>
                    <w:t>产品损失或带出系统的水量（m</w:t>
                  </w:r>
                  <w:r>
                    <w:rPr>
                      <w:rFonts w:ascii="Times New Roman" w:hAnsi="Times New Roman"/>
                      <w:b/>
                      <w:bCs/>
                      <w:spacing w:val="4"/>
                      <w:sz w:val="21"/>
                      <w:szCs w:val="21"/>
                      <w:vertAlign w:val="superscript"/>
                    </w:rPr>
                    <w:t>3</w:t>
                  </w:r>
                  <w:r>
                    <w:rPr>
                      <w:rFonts w:ascii="Times New Roman" w:hAnsi="Times New Roman"/>
                      <w:b/>
                      <w:bCs/>
                      <w:spacing w:val="4"/>
                      <w:sz w:val="2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3" w:type="dxa"/>
                  <w:vMerge w:val="restart"/>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原煤带入</w:t>
                  </w:r>
                </w:p>
              </w:tc>
              <w:tc>
                <w:tcPr>
                  <w:tcW w:w="2102" w:type="dxa"/>
                  <w:vMerge w:val="restart"/>
                  <w:tcBorders>
                    <w:tl2br w:val="nil"/>
                    <w:tr2bl w:val="nil"/>
                  </w:tcBorders>
                  <w:vAlign w:val="center"/>
                </w:tcPr>
                <w:p>
                  <w:pPr>
                    <w:adjustRightInd w:val="0"/>
                    <w:jc w:val="center"/>
                    <w:rPr>
                      <w:rFonts w:hint="eastAsia" w:ascii="Times New Roman" w:hAnsi="Times New Roman"/>
                      <w:spacing w:val="4"/>
                      <w:sz w:val="21"/>
                      <w:szCs w:val="21"/>
                    </w:rPr>
                  </w:pPr>
                  <w:r>
                    <w:rPr>
                      <w:rFonts w:hint="eastAsia"/>
                      <w:sz w:val="21"/>
                      <w:szCs w:val="21"/>
                      <w:lang w:val="en-US" w:eastAsia="zh-CN"/>
                    </w:rPr>
                    <w:t>524</w:t>
                  </w:r>
                  <w:r>
                    <w:rPr>
                      <w:rFonts w:hint="eastAsia" w:ascii="Times New Roman" w:hAnsi="Times New Roman"/>
                      <w:sz w:val="21"/>
                      <w:szCs w:val="21"/>
                    </w:rPr>
                    <w:t>.91</w:t>
                  </w:r>
                </w:p>
              </w:tc>
              <w:tc>
                <w:tcPr>
                  <w:tcW w:w="741" w:type="dxa"/>
                  <w:vMerge w:val="restart"/>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产品带走</w:t>
                  </w:r>
                </w:p>
              </w:tc>
              <w:tc>
                <w:tcPr>
                  <w:tcW w:w="1939" w:type="dxa"/>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精煤带走</w:t>
                  </w:r>
                </w:p>
              </w:tc>
              <w:tc>
                <w:tcPr>
                  <w:tcW w:w="1799" w:type="dxa"/>
                  <w:tcBorders>
                    <w:tl2br w:val="nil"/>
                    <w:tr2bl w:val="nil"/>
                  </w:tcBorders>
                  <w:vAlign w:val="bottom"/>
                </w:tcPr>
                <w:p>
                  <w:pPr>
                    <w:adjustRightInd w:val="0"/>
                    <w:jc w:val="center"/>
                    <w:rPr>
                      <w:rFonts w:hint="eastAsia" w:ascii="Times New Roman" w:hAnsi="Times New Roman"/>
                      <w:sz w:val="21"/>
                      <w:szCs w:val="21"/>
                    </w:rPr>
                  </w:pPr>
                  <w:r>
                    <w:rPr>
                      <w:rFonts w:hint="eastAsia" w:ascii="Times New Roman" w:hAnsi="Times New Roman"/>
                      <w:sz w:val="21"/>
                      <w:szCs w:val="21"/>
                    </w:rPr>
                    <w:t>320.306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3" w:type="dxa"/>
                  <w:vMerge w:val="continue"/>
                  <w:tcBorders>
                    <w:tl2br w:val="nil"/>
                    <w:tr2bl w:val="nil"/>
                  </w:tcBorders>
                  <w:vAlign w:val="center"/>
                </w:tcPr>
                <w:p>
                  <w:pPr>
                    <w:adjustRightInd w:val="0"/>
                    <w:rPr>
                      <w:rFonts w:ascii="Times New Roman" w:hAnsi="Times New Roman" w:eastAsia="Times New Roman"/>
                      <w:sz w:val="21"/>
                      <w:szCs w:val="21"/>
                    </w:rPr>
                  </w:pPr>
                </w:p>
              </w:tc>
              <w:tc>
                <w:tcPr>
                  <w:tcW w:w="2102" w:type="dxa"/>
                  <w:vMerge w:val="continue"/>
                  <w:tcBorders>
                    <w:tl2br w:val="nil"/>
                    <w:tr2bl w:val="nil"/>
                  </w:tcBorders>
                  <w:vAlign w:val="center"/>
                </w:tcPr>
                <w:p>
                  <w:pPr>
                    <w:adjustRightInd w:val="0"/>
                    <w:rPr>
                      <w:rFonts w:ascii="Times New Roman" w:hAnsi="Times New Roman" w:eastAsia="Times New Roman"/>
                      <w:sz w:val="21"/>
                      <w:szCs w:val="21"/>
                    </w:rPr>
                  </w:pPr>
                </w:p>
              </w:tc>
              <w:tc>
                <w:tcPr>
                  <w:tcW w:w="741" w:type="dxa"/>
                  <w:vMerge w:val="continue"/>
                  <w:tcBorders>
                    <w:tl2br w:val="nil"/>
                    <w:tr2bl w:val="nil"/>
                  </w:tcBorders>
                  <w:vAlign w:val="center"/>
                </w:tcPr>
                <w:p>
                  <w:pPr>
                    <w:adjustRightInd w:val="0"/>
                    <w:rPr>
                      <w:rFonts w:ascii="Times New Roman" w:hAnsi="Times New Roman" w:eastAsia="Times New Roman"/>
                      <w:sz w:val="21"/>
                      <w:szCs w:val="21"/>
                    </w:rPr>
                  </w:pPr>
                </w:p>
              </w:tc>
              <w:tc>
                <w:tcPr>
                  <w:tcW w:w="1939" w:type="dxa"/>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中煤带走</w:t>
                  </w:r>
                </w:p>
              </w:tc>
              <w:tc>
                <w:tcPr>
                  <w:tcW w:w="1799" w:type="dxa"/>
                  <w:tcBorders>
                    <w:tl2br w:val="nil"/>
                    <w:tr2bl w:val="nil"/>
                  </w:tcBorders>
                  <w:vAlign w:val="bottom"/>
                </w:tcPr>
                <w:p>
                  <w:pPr>
                    <w:adjustRightInd w:val="0"/>
                    <w:jc w:val="center"/>
                    <w:rPr>
                      <w:rFonts w:ascii="Times New Roman" w:hAnsi="Times New Roman"/>
                      <w:sz w:val="21"/>
                      <w:szCs w:val="21"/>
                    </w:rPr>
                  </w:pPr>
                  <w:r>
                    <w:rPr>
                      <w:rFonts w:hint="eastAsia" w:ascii="Times New Roman" w:hAnsi="Times New Roman"/>
                      <w:sz w:val="21"/>
                      <w:szCs w:val="21"/>
                    </w:rPr>
                    <w:t>59.69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3" w:type="dxa"/>
                  <w:vMerge w:val="continue"/>
                  <w:tcBorders>
                    <w:tl2br w:val="nil"/>
                    <w:tr2bl w:val="nil"/>
                  </w:tcBorders>
                  <w:vAlign w:val="center"/>
                </w:tcPr>
                <w:p>
                  <w:pPr>
                    <w:adjustRightInd w:val="0"/>
                    <w:rPr>
                      <w:rFonts w:ascii="Times New Roman" w:hAnsi="Times New Roman" w:eastAsia="Times New Roman"/>
                      <w:sz w:val="21"/>
                      <w:szCs w:val="21"/>
                    </w:rPr>
                  </w:pPr>
                </w:p>
              </w:tc>
              <w:tc>
                <w:tcPr>
                  <w:tcW w:w="2102" w:type="dxa"/>
                  <w:vMerge w:val="continue"/>
                  <w:tcBorders>
                    <w:tl2br w:val="nil"/>
                    <w:tr2bl w:val="nil"/>
                  </w:tcBorders>
                  <w:vAlign w:val="center"/>
                </w:tcPr>
                <w:p>
                  <w:pPr>
                    <w:adjustRightInd w:val="0"/>
                    <w:rPr>
                      <w:rFonts w:ascii="Times New Roman" w:hAnsi="Times New Roman" w:eastAsia="Times New Roman"/>
                      <w:sz w:val="21"/>
                      <w:szCs w:val="21"/>
                    </w:rPr>
                  </w:pPr>
                </w:p>
              </w:tc>
              <w:tc>
                <w:tcPr>
                  <w:tcW w:w="741" w:type="dxa"/>
                  <w:vMerge w:val="continue"/>
                  <w:tcBorders>
                    <w:tl2br w:val="nil"/>
                    <w:tr2bl w:val="nil"/>
                  </w:tcBorders>
                  <w:vAlign w:val="center"/>
                </w:tcPr>
                <w:p>
                  <w:pPr>
                    <w:adjustRightInd w:val="0"/>
                    <w:rPr>
                      <w:rFonts w:ascii="Times New Roman" w:hAnsi="Times New Roman" w:eastAsia="Times New Roman"/>
                      <w:sz w:val="21"/>
                      <w:szCs w:val="21"/>
                    </w:rPr>
                  </w:pPr>
                </w:p>
              </w:tc>
              <w:tc>
                <w:tcPr>
                  <w:tcW w:w="1939" w:type="dxa"/>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矸石带走</w:t>
                  </w:r>
                </w:p>
              </w:tc>
              <w:tc>
                <w:tcPr>
                  <w:tcW w:w="1799" w:type="dxa"/>
                  <w:tcBorders>
                    <w:tl2br w:val="nil"/>
                    <w:tr2bl w:val="nil"/>
                  </w:tcBorders>
                  <w:vAlign w:val="bottom"/>
                </w:tcPr>
                <w:p>
                  <w:pPr>
                    <w:adjustRightInd w:val="0"/>
                    <w:jc w:val="center"/>
                    <w:rPr>
                      <w:rFonts w:ascii="Times New Roman" w:hAnsi="Times New Roman"/>
                      <w:sz w:val="21"/>
                      <w:szCs w:val="21"/>
                    </w:rPr>
                  </w:pPr>
                  <w:r>
                    <w:rPr>
                      <w:rFonts w:hint="eastAsia" w:ascii="Times New Roman" w:hAnsi="Times New Roman"/>
                      <w:sz w:val="21"/>
                      <w:szCs w:val="21"/>
                    </w:rPr>
                    <w:t>35.29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3" w:type="dxa"/>
                  <w:vMerge w:val="restart"/>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补充水量</w:t>
                  </w:r>
                </w:p>
              </w:tc>
              <w:tc>
                <w:tcPr>
                  <w:tcW w:w="2102" w:type="dxa"/>
                  <w:vMerge w:val="restart"/>
                  <w:tcBorders>
                    <w:tl2br w:val="nil"/>
                    <w:tr2bl w:val="nil"/>
                  </w:tcBorders>
                  <w:vAlign w:val="center"/>
                </w:tcPr>
                <w:p>
                  <w:pPr>
                    <w:adjustRightInd w:val="0"/>
                    <w:jc w:val="center"/>
                    <w:rPr>
                      <w:rFonts w:ascii="Times New Roman" w:hAnsi="Times New Roman"/>
                      <w:spacing w:val="4"/>
                      <w:sz w:val="21"/>
                      <w:szCs w:val="21"/>
                    </w:rPr>
                  </w:pPr>
                  <w:r>
                    <w:rPr>
                      <w:rFonts w:hint="eastAsia"/>
                      <w:spacing w:val="4"/>
                      <w:sz w:val="21"/>
                      <w:szCs w:val="21"/>
                      <w:lang w:val="en-US" w:eastAsia="zh-CN"/>
                    </w:rPr>
                    <w:t>33</w:t>
                  </w:r>
                  <w:r>
                    <w:rPr>
                      <w:rFonts w:hint="eastAsia" w:ascii="Times New Roman" w:hAnsi="Times New Roman"/>
                      <w:spacing w:val="4"/>
                      <w:sz w:val="21"/>
                      <w:szCs w:val="21"/>
                    </w:rPr>
                    <w:t>.53</w:t>
                  </w:r>
                </w:p>
              </w:tc>
              <w:tc>
                <w:tcPr>
                  <w:tcW w:w="741" w:type="dxa"/>
                  <w:vMerge w:val="continue"/>
                  <w:tcBorders>
                    <w:tl2br w:val="nil"/>
                    <w:tr2bl w:val="nil"/>
                  </w:tcBorders>
                  <w:vAlign w:val="center"/>
                </w:tcPr>
                <w:p>
                  <w:pPr>
                    <w:adjustRightInd w:val="0"/>
                    <w:rPr>
                      <w:rFonts w:ascii="Times New Roman" w:hAnsi="Times New Roman" w:eastAsia="Times New Roman"/>
                      <w:sz w:val="21"/>
                      <w:szCs w:val="21"/>
                    </w:rPr>
                  </w:pPr>
                </w:p>
              </w:tc>
              <w:tc>
                <w:tcPr>
                  <w:tcW w:w="1939" w:type="dxa"/>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煤泥带走</w:t>
                  </w:r>
                </w:p>
              </w:tc>
              <w:tc>
                <w:tcPr>
                  <w:tcW w:w="1799" w:type="dxa"/>
                  <w:tcBorders>
                    <w:tl2br w:val="nil"/>
                    <w:tr2bl w:val="nil"/>
                  </w:tcBorders>
                  <w:vAlign w:val="bottom"/>
                </w:tcPr>
                <w:p>
                  <w:pPr>
                    <w:adjustRightInd w:val="0"/>
                    <w:jc w:val="center"/>
                    <w:rPr>
                      <w:rFonts w:hint="eastAsia" w:ascii="Times New Roman" w:hAnsi="Times New Roman"/>
                      <w:sz w:val="21"/>
                      <w:szCs w:val="21"/>
                    </w:rPr>
                  </w:pPr>
                  <w:r>
                    <w:rPr>
                      <w:rFonts w:hint="eastAsia" w:ascii="Times New Roman" w:hAnsi="Times New Roman"/>
                      <w:sz w:val="21"/>
                      <w:szCs w:val="21"/>
                    </w:rPr>
                    <w:t>143.154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3" w:type="dxa"/>
                  <w:vMerge w:val="continue"/>
                  <w:tcBorders>
                    <w:tl2br w:val="nil"/>
                    <w:tr2bl w:val="nil"/>
                  </w:tcBorders>
                  <w:vAlign w:val="center"/>
                </w:tcPr>
                <w:p>
                  <w:pPr>
                    <w:adjustRightInd w:val="0"/>
                    <w:rPr>
                      <w:rFonts w:ascii="Times New Roman" w:hAnsi="Times New Roman" w:eastAsia="Times New Roman"/>
                      <w:sz w:val="21"/>
                      <w:szCs w:val="21"/>
                    </w:rPr>
                  </w:pPr>
                </w:p>
              </w:tc>
              <w:tc>
                <w:tcPr>
                  <w:tcW w:w="2102" w:type="dxa"/>
                  <w:vMerge w:val="continue"/>
                  <w:tcBorders>
                    <w:tl2br w:val="nil"/>
                    <w:tr2bl w:val="nil"/>
                  </w:tcBorders>
                  <w:vAlign w:val="center"/>
                </w:tcPr>
                <w:p>
                  <w:pPr>
                    <w:adjustRightInd w:val="0"/>
                    <w:rPr>
                      <w:rFonts w:ascii="Times New Roman" w:hAnsi="Times New Roman" w:eastAsia="Times New Roman"/>
                      <w:sz w:val="21"/>
                      <w:szCs w:val="21"/>
                    </w:rPr>
                  </w:pPr>
                </w:p>
              </w:tc>
              <w:tc>
                <w:tcPr>
                  <w:tcW w:w="741" w:type="dxa"/>
                  <w:vMerge w:val="continue"/>
                  <w:tcBorders>
                    <w:tl2br w:val="nil"/>
                    <w:tr2bl w:val="nil"/>
                  </w:tcBorders>
                  <w:vAlign w:val="center"/>
                </w:tcPr>
                <w:p>
                  <w:pPr>
                    <w:adjustRightInd w:val="0"/>
                    <w:rPr>
                      <w:rFonts w:ascii="Times New Roman" w:hAnsi="Times New Roman" w:eastAsia="Times New Roman"/>
                      <w:sz w:val="21"/>
                      <w:szCs w:val="21"/>
                    </w:rPr>
                  </w:pPr>
                </w:p>
              </w:tc>
              <w:tc>
                <w:tcPr>
                  <w:tcW w:w="1939" w:type="dxa"/>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小计</w:t>
                  </w:r>
                </w:p>
              </w:tc>
              <w:tc>
                <w:tcPr>
                  <w:tcW w:w="1799" w:type="dxa"/>
                  <w:tcBorders>
                    <w:tl2br w:val="nil"/>
                    <w:tr2bl w:val="nil"/>
                  </w:tcBorders>
                  <w:vAlign w:val="center"/>
                </w:tcPr>
                <w:p>
                  <w:pPr>
                    <w:adjustRightInd w:val="0"/>
                    <w:jc w:val="center"/>
                    <w:rPr>
                      <w:rFonts w:hint="eastAsia" w:ascii="Times New Roman" w:hAnsi="Times New Roman"/>
                      <w:spacing w:val="4"/>
                      <w:sz w:val="21"/>
                      <w:szCs w:val="21"/>
                    </w:rPr>
                  </w:pPr>
                  <w:r>
                    <w:rPr>
                      <w:rFonts w:hint="eastAsia" w:ascii="Times New Roman" w:hAnsi="Times New Roman"/>
                      <w:spacing w:val="4"/>
                      <w:sz w:val="21"/>
                      <w:szCs w:val="21"/>
                    </w:rPr>
                    <w:t>558.44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3" w:type="dxa"/>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系统循环水量</w:t>
                  </w:r>
                </w:p>
              </w:tc>
              <w:tc>
                <w:tcPr>
                  <w:tcW w:w="2102" w:type="dxa"/>
                  <w:tcBorders>
                    <w:tl2br w:val="nil"/>
                    <w:tr2bl w:val="nil"/>
                  </w:tcBorders>
                  <w:vAlign w:val="center"/>
                </w:tcPr>
                <w:p>
                  <w:pPr>
                    <w:adjustRightInd w:val="0"/>
                    <w:jc w:val="center"/>
                    <w:rPr>
                      <w:rFonts w:ascii="Times New Roman" w:hAnsi="Times New Roman"/>
                      <w:spacing w:val="4"/>
                      <w:sz w:val="21"/>
                      <w:szCs w:val="21"/>
                    </w:rPr>
                  </w:pPr>
                  <w:r>
                    <w:rPr>
                      <w:rFonts w:hint="eastAsia" w:ascii="Times New Roman" w:hAnsi="Times New Roman"/>
                      <w:spacing w:val="4"/>
                      <w:sz w:val="21"/>
                      <w:szCs w:val="21"/>
                    </w:rPr>
                    <w:t>11509</w:t>
                  </w:r>
                </w:p>
              </w:tc>
              <w:tc>
                <w:tcPr>
                  <w:tcW w:w="2680" w:type="dxa"/>
                  <w:gridSpan w:val="2"/>
                  <w:tcBorders>
                    <w:tl2br w:val="nil"/>
                    <w:tr2bl w:val="nil"/>
                  </w:tcBorders>
                  <w:vAlign w:val="center"/>
                </w:tcPr>
                <w:p>
                  <w:pPr>
                    <w:adjustRightInd w:val="0"/>
                    <w:jc w:val="center"/>
                    <w:rPr>
                      <w:rFonts w:hint="eastAsia" w:ascii="Times New Roman" w:hAnsi="Times New Roman" w:eastAsia="宋体"/>
                      <w:spacing w:val="4"/>
                      <w:sz w:val="21"/>
                      <w:szCs w:val="21"/>
                      <w:lang w:eastAsia="zh-CN"/>
                    </w:rPr>
                  </w:pPr>
                  <w:r>
                    <w:rPr>
                      <w:rFonts w:hint="eastAsia" w:ascii="Times New Roman" w:hAnsi="Times New Roman"/>
                      <w:spacing w:val="4"/>
                      <w:sz w:val="21"/>
                      <w:szCs w:val="21"/>
                      <w:lang w:eastAsia="zh-CN"/>
                    </w:rPr>
                    <w:t>浓缩、压滤回用</w:t>
                  </w:r>
                </w:p>
              </w:tc>
              <w:tc>
                <w:tcPr>
                  <w:tcW w:w="1799" w:type="dxa"/>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11509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3" w:type="dxa"/>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合计</w:t>
                  </w:r>
                </w:p>
              </w:tc>
              <w:tc>
                <w:tcPr>
                  <w:tcW w:w="2102" w:type="dxa"/>
                  <w:tcBorders>
                    <w:tl2br w:val="nil"/>
                    <w:tr2bl w:val="nil"/>
                  </w:tcBorders>
                  <w:vAlign w:val="center"/>
                </w:tcPr>
                <w:p>
                  <w:pPr>
                    <w:adjustRightInd w:val="0"/>
                    <w:jc w:val="center"/>
                    <w:rPr>
                      <w:rFonts w:ascii="Times New Roman" w:hAnsi="Times New Roman"/>
                      <w:sz w:val="21"/>
                      <w:szCs w:val="21"/>
                    </w:rPr>
                  </w:pPr>
                  <w:r>
                    <w:rPr>
                      <w:rFonts w:hint="eastAsia" w:ascii="Times New Roman" w:hAnsi="Times New Roman"/>
                      <w:sz w:val="21"/>
                      <w:szCs w:val="21"/>
                    </w:rPr>
                    <w:t>12067.44</w:t>
                  </w:r>
                </w:p>
              </w:tc>
              <w:tc>
                <w:tcPr>
                  <w:tcW w:w="2680" w:type="dxa"/>
                  <w:gridSpan w:val="2"/>
                  <w:tcBorders>
                    <w:tl2br w:val="nil"/>
                    <w:tr2bl w:val="nil"/>
                  </w:tcBorders>
                  <w:vAlign w:val="center"/>
                </w:tcPr>
                <w:p>
                  <w:pPr>
                    <w:adjustRightInd w:val="0"/>
                    <w:jc w:val="center"/>
                    <w:rPr>
                      <w:rFonts w:ascii="Times New Roman" w:hAnsi="Times New Roman"/>
                      <w:spacing w:val="4"/>
                      <w:sz w:val="21"/>
                      <w:szCs w:val="21"/>
                    </w:rPr>
                  </w:pPr>
                  <w:r>
                    <w:rPr>
                      <w:rFonts w:ascii="Times New Roman" w:hAnsi="Times New Roman"/>
                      <w:spacing w:val="4"/>
                      <w:sz w:val="21"/>
                      <w:szCs w:val="21"/>
                    </w:rPr>
                    <w:t>合计</w:t>
                  </w:r>
                </w:p>
              </w:tc>
              <w:tc>
                <w:tcPr>
                  <w:tcW w:w="1799" w:type="dxa"/>
                  <w:tcBorders>
                    <w:tl2br w:val="nil"/>
                    <w:tr2bl w:val="nil"/>
                  </w:tcBorders>
                  <w:vAlign w:val="center"/>
                </w:tcPr>
                <w:p>
                  <w:pPr>
                    <w:adjustRightInd w:val="0"/>
                    <w:jc w:val="center"/>
                    <w:rPr>
                      <w:rFonts w:ascii="Times New Roman" w:hAnsi="Times New Roman"/>
                      <w:spacing w:val="4"/>
                      <w:sz w:val="21"/>
                      <w:szCs w:val="21"/>
                    </w:rPr>
                  </w:pPr>
                  <w:r>
                    <w:rPr>
                      <w:rFonts w:hint="eastAsia" w:ascii="Times New Roman" w:hAnsi="Times New Roman"/>
                      <w:sz w:val="21"/>
                      <w:szCs w:val="21"/>
                    </w:rPr>
                    <w:t>12067.44</w:t>
                  </w:r>
                </w:p>
              </w:tc>
            </w:tr>
          </w:tbl>
          <w:p>
            <w:pPr>
              <w:spacing w:line="360" w:lineRule="auto"/>
              <w:ind w:firstLine="480" w:firstLineChars="200"/>
              <w:rPr>
                <w:rFonts w:hint="eastAsia"/>
                <w:lang w:eastAsia="zh-CN"/>
              </w:rPr>
            </w:pPr>
            <w:r>
              <w:rPr>
                <w:rFonts w:hint="eastAsia"/>
                <w:sz w:val="24"/>
                <w:szCs w:val="24"/>
                <w:lang w:eastAsia="zh-CN"/>
              </w:rPr>
              <w:t>本项目制砖工艺不产生生产废水，生产用水进入产品中，自然晾干蒸发。根据建设单位提供资料，项目制砖工艺中水与水泥的比例为</w:t>
            </w:r>
            <w:r>
              <w:rPr>
                <w:rFonts w:hint="eastAsia"/>
                <w:sz w:val="24"/>
                <w:szCs w:val="24"/>
                <w:lang w:val="en-US" w:eastAsia="zh-CN"/>
              </w:rPr>
              <w:t>0.5:1，则项目制砖用水量为12万t/a，400t/d。</w:t>
            </w:r>
          </w:p>
          <w:p>
            <w:pPr>
              <w:pStyle w:val="21"/>
              <w:spacing w:line="360" w:lineRule="auto"/>
              <w:ind w:left="0" w:leftChars="0" w:firstLine="480" w:firstLineChars="200"/>
              <w:rPr>
                <w:rFonts w:hint="eastAsia"/>
                <w:sz w:val="24"/>
                <w:szCs w:val="24"/>
                <w:vertAlign w:val="baseline"/>
                <w:lang w:val="en-US" w:eastAsia="zh-CN"/>
              </w:rPr>
            </w:pPr>
            <w:r>
              <w:rPr>
                <w:rFonts w:hint="eastAsia"/>
                <w:sz w:val="24"/>
                <w:szCs w:val="24"/>
                <w:lang w:eastAsia="zh-CN"/>
              </w:rPr>
              <w:t>项目产生的</w:t>
            </w:r>
            <w:r>
              <w:rPr>
                <w:rFonts w:hint="eastAsia"/>
                <w:sz w:val="24"/>
                <w:szCs w:val="24"/>
              </w:rPr>
              <w:t>生活污水主要来源于办公和员工生活等，主要污染物为COD、BOD</w:t>
            </w:r>
            <w:r>
              <w:rPr>
                <w:rFonts w:hint="eastAsia"/>
                <w:sz w:val="24"/>
                <w:szCs w:val="24"/>
                <w:vertAlign w:val="subscript"/>
              </w:rPr>
              <w:t>5</w:t>
            </w:r>
            <w:r>
              <w:rPr>
                <w:rFonts w:hint="eastAsia"/>
                <w:sz w:val="24"/>
                <w:szCs w:val="24"/>
              </w:rPr>
              <w:t>、SS、氨氮等。项目职工共计</w:t>
            </w:r>
            <w:r>
              <w:rPr>
                <w:rFonts w:hint="eastAsia"/>
                <w:sz w:val="24"/>
                <w:szCs w:val="24"/>
                <w:lang w:val="en-US" w:eastAsia="zh-CN"/>
              </w:rPr>
              <w:t>100</w:t>
            </w:r>
            <w:r>
              <w:rPr>
                <w:rFonts w:hint="eastAsia"/>
                <w:sz w:val="24"/>
                <w:szCs w:val="24"/>
              </w:rPr>
              <w:t>人，</w:t>
            </w:r>
            <w:r>
              <w:rPr>
                <w:rFonts w:hint="eastAsia"/>
                <w:sz w:val="24"/>
                <w:szCs w:val="24"/>
                <w:lang w:eastAsia="zh-CN"/>
              </w:rPr>
              <w:t>其中</w:t>
            </w:r>
            <w:r>
              <w:rPr>
                <w:rFonts w:hint="eastAsia"/>
                <w:sz w:val="24"/>
                <w:szCs w:val="24"/>
                <w:lang w:val="en-US" w:eastAsia="zh-CN"/>
              </w:rPr>
              <w:t>20人在厂区内全天值班，</w:t>
            </w:r>
            <w:r>
              <w:rPr>
                <w:rFonts w:hint="eastAsia"/>
                <w:sz w:val="24"/>
                <w:szCs w:val="24"/>
              </w:rPr>
              <w:t>平均用水量按</w:t>
            </w:r>
            <w:r>
              <w:rPr>
                <w:rFonts w:hint="eastAsia"/>
                <w:sz w:val="24"/>
                <w:szCs w:val="24"/>
                <w:lang w:val="en-US" w:eastAsia="zh-CN"/>
              </w:rPr>
              <w:t>70</w:t>
            </w:r>
            <w:r>
              <w:rPr>
                <w:sz w:val="24"/>
                <w:szCs w:val="24"/>
              </w:rPr>
              <w:t>L/人·d计算，用水量为</w:t>
            </w:r>
            <w:r>
              <w:rPr>
                <w:rFonts w:hint="eastAsia"/>
                <w:sz w:val="24"/>
                <w:szCs w:val="24"/>
                <w:lang w:val="en-US" w:eastAsia="zh-CN"/>
              </w:rPr>
              <w:t>7</w:t>
            </w:r>
            <w:r>
              <w:rPr>
                <w:rFonts w:hint="eastAsia"/>
                <w:sz w:val="24"/>
                <w:szCs w:val="24"/>
              </w:rPr>
              <w:t>m</w:t>
            </w:r>
            <w:r>
              <w:rPr>
                <w:rFonts w:hint="eastAsia"/>
                <w:sz w:val="24"/>
                <w:szCs w:val="24"/>
                <w:vertAlign w:val="superscript"/>
              </w:rPr>
              <w:t>3</w:t>
            </w:r>
            <w:r>
              <w:rPr>
                <w:sz w:val="24"/>
                <w:szCs w:val="24"/>
              </w:rPr>
              <w:t>/</w:t>
            </w:r>
            <w:r>
              <w:rPr>
                <w:rFonts w:hint="eastAsia"/>
                <w:sz w:val="24"/>
                <w:szCs w:val="24"/>
              </w:rPr>
              <w:t>d。</w:t>
            </w:r>
            <w:r>
              <w:rPr>
                <w:sz w:val="24"/>
                <w:szCs w:val="24"/>
              </w:rPr>
              <w:t>污水产生量按8</w:t>
            </w:r>
            <w:r>
              <w:rPr>
                <w:rFonts w:hint="eastAsia"/>
                <w:sz w:val="24"/>
                <w:szCs w:val="24"/>
              </w:rPr>
              <w:t>0</w:t>
            </w:r>
            <w:r>
              <w:rPr>
                <w:sz w:val="24"/>
                <w:szCs w:val="24"/>
              </w:rPr>
              <w:t>%计，产</w:t>
            </w:r>
            <w:r>
              <w:rPr>
                <w:rFonts w:hint="eastAsia"/>
                <w:sz w:val="24"/>
                <w:szCs w:val="24"/>
              </w:rPr>
              <w:t>生</w:t>
            </w:r>
            <w:r>
              <w:rPr>
                <w:sz w:val="24"/>
                <w:szCs w:val="24"/>
              </w:rPr>
              <w:t>量</w:t>
            </w:r>
            <w:r>
              <w:rPr>
                <w:rFonts w:hint="eastAsia"/>
                <w:sz w:val="24"/>
                <w:szCs w:val="24"/>
              </w:rPr>
              <w:t>为</w:t>
            </w:r>
            <w:r>
              <w:rPr>
                <w:rFonts w:hint="eastAsia"/>
                <w:sz w:val="24"/>
                <w:szCs w:val="24"/>
                <w:lang w:val="en-US" w:eastAsia="zh-CN"/>
              </w:rPr>
              <w:t>5.6</w:t>
            </w:r>
            <w:r>
              <w:rPr>
                <w:rFonts w:hint="eastAsia"/>
                <w:sz w:val="24"/>
                <w:szCs w:val="24"/>
              </w:rPr>
              <w:t>m</w:t>
            </w:r>
            <w:r>
              <w:rPr>
                <w:rFonts w:hint="eastAsia"/>
                <w:sz w:val="24"/>
                <w:szCs w:val="24"/>
                <w:vertAlign w:val="superscript"/>
              </w:rPr>
              <w:t>3</w:t>
            </w:r>
            <w:r>
              <w:rPr>
                <w:sz w:val="24"/>
                <w:szCs w:val="24"/>
              </w:rPr>
              <w:t>/</w:t>
            </w:r>
            <w:r>
              <w:rPr>
                <w:rFonts w:hint="eastAsia"/>
                <w:sz w:val="24"/>
                <w:szCs w:val="24"/>
              </w:rPr>
              <w:t>d，</w:t>
            </w:r>
            <w:r>
              <w:rPr>
                <w:rFonts w:hint="eastAsia"/>
                <w:sz w:val="24"/>
                <w:szCs w:val="24"/>
                <w:lang w:val="en-US" w:eastAsia="zh-CN"/>
              </w:rPr>
              <w:t>1680</w:t>
            </w:r>
            <w:r>
              <w:rPr>
                <w:rFonts w:hint="eastAsia"/>
                <w:sz w:val="24"/>
                <w:szCs w:val="24"/>
              </w:rPr>
              <w:t>m</w:t>
            </w:r>
            <w:r>
              <w:rPr>
                <w:rFonts w:hint="eastAsia"/>
                <w:sz w:val="24"/>
                <w:szCs w:val="24"/>
                <w:vertAlign w:val="superscript"/>
              </w:rPr>
              <w:t>3</w:t>
            </w:r>
            <w:r>
              <w:rPr>
                <w:sz w:val="24"/>
                <w:szCs w:val="24"/>
              </w:rPr>
              <w:t>/</w:t>
            </w:r>
            <w:r>
              <w:rPr>
                <w:rFonts w:hint="eastAsia"/>
                <w:sz w:val="24"/>
                <w:szCs w:val="24"/>
                <w:lang w:val="en-US" w:eastAsia="zh-CN"/>
              </w:rPr>
              <w:t>a</w:t>
            </w:r>
            <w:r>
              <w:rPr>
                <w:rFonts w:hint="eastAsia"/>
                <w:sz w:val="24"/>
                <w:szCs w:val="24"/>
              </w:rPr>
              <w:t>。</w:t>
            </w:r>
            <w:r>
              <w:rPr>
                <w:rFonts w:hint="eastAsia"/>
                <w:sz w:val="24"/>
                <w:szCs w:val="24"/>
                <w:lang w:eastAsia="zh-CN"/>
              </w:rPr>
              <w:t>项目绿化面积</w:t>
            </w:r>
            <w:r>
              <w:rPr>
                <w:rFonts w:hint="eastAsia"/>
                <w:sz w:val="24"/>
                <w:szCs w:val="24"/>
                <w:lang w:val="en-US" w:eastAsia="zh-CN"/>
              </w:rPr>
              <w:t>8000m</w:t>
            </w:r>
            <w:r>
              <w:rPr>
                <w:rFonts w:hint="eastAsia"/>
                <w:sz w:val="24"/>
                <w:szCs w:val="24"/>
                <w:vertAlign w:val="superscript"/>
                <w:lang w:val="en-US" w:eastAsia="zh-CN"/>
              </w:rPr>
              <w:t>2</w:t>
            </w:r>
            <w:r>
              <w:rPr>
                <w:rFonts w:hint="eastAsia"/>
                <w:sz w:val="24"/>
                <w:szCs w:val="24"/>
                <w:vertAlign w:val="baseline"/>
                <w:lang w:val="en-US" w:eastAsia="zh-CN"/>
              </w:rPr>
              <w:t>，绿化用水量按2L/（m</w:t>
            </w:r>
            <w:r>
              <w:rPr>
                <w:rFonts w:hint="eastAsia"/>
                <w:sz w:val="24"/>
                <w:szCs w:val="24"/>
                <w:vertAlign w:val="superscript"/>
                <w:lang w:val="en-US" w:eastAsia="zh-CN"/>
              </w:rPr>
              <w:t>2</w:t>
            </w:r>
            <w:r>
              <w:rPr>
                <w:rFonts w:hint="eastAsia"/>
                <w:sz w:val="24"/>
                <w:szCs w:val="24"/>
                <w:vertAlign w:val="baseline"/>
                <w:lang w:val="en-US" w:eastAsia="zh-CN"/>
              </w:rPr>
              <w:t>.d）计，全年绿化100次，约为5.33m</w:t>
            </w:r>
            <w:r>
              <w:rPr>
                <w:rFonts w:hint="eastAsia"/>
                <w:sz w:val="24"/>
                <w:szCs w:val="24"/>
                <w:vertAlign w:val="superscript"/>
                <w:lang w:val="en-US" w:eastAsia="zh-CN"/>
              </w:rPr>
              <w:t>3</w:t>
            </w:r>
            <w:r>
              <w:rPr>
                <w:rFonts w:hint="eastAsia"/>
                <w:sz w:val="24"/>
                <w:szCs w:val="24"/>
                <w:vertAlign w:val="baseline"/>
                <w:lang w:val="en-US" w:eastAsia="zh-CN"/>
              </w:rPr>
              <w:t>/d。绿化用水量全部通过自然蒸发损耗，不外排地表水体。项目洒水降尘用水量按2.5L/（m</w:t>
            </w:r>
            <w:r>
              <w:rPr>
                <w:rFonts w:hint="eastAsia"/>
                <w:sz w:val="24"/>
                <w:szCs w:val="24"/>
                <w:vertAlign w:val="superscript"/>
                <w:lang w:val="en-US" w:eastAsia="zh-CN"/>
              </w:rPr>
              <w:t>2</w:t>
            </w:r>
            <w:r>
              <w:rPr>
                <w:rFonts w:hint="eastAsia"/>
                <w:sz w:val="24"/>
                <w:szCs w:val="24"/>
                <w:vertAlign w:val="baseline"/>
                <w:lang w:val="en-US" w:eastAsia="zh-CN"/>
              </w:rPr>
              <w:t>.d）计，用水量87.5</w:t>
            </w:r>
            <w:r>
              <w:rPr>
                <w:rFonts w:hint="eastAsia"/>
                <w:sz w:val="24"/>
                <w:szCs w:val="24"/>
              </w:rPr>
              <w:t>m</w:t>
            </w:r>
            <w:r>
              <w:rPr>
                <w:rFonts w:hint="eastAsia"/>
                <w:sz w:val="24"/>
                <w:szCs w:val="24"/>
                <w:vertAlign w:val="superscript"/>
              </w:rPr>
              <w:t>3</w:t>
            </w:r>
            <w:r>
              <w:rPr>
                <w:sz w:val="24"/>
                <w:szCs w:val="24"/>
              </w:rPr>
              <w:t>/</w:t>
            </w:r>
            <w:r>
              <w:rPr>
                <w:rFonts w:hint="eastAsia"/>
                <w:sz w:val="24"/>
                <w:szCs w:val="24"/>
              </w:rPr>
              <w:t>d。</w:t>
            </w:r>
            <w:r>
              <w:rPr>
                <w:rFonts w:hint="eastAsia"/>
                <w:sz w:val="24"/>
                <w:szCs w:val="24"/>
                <w:vertAlign w:val="baseline"/>
                <w:lang w:val="en-US" w:eastAsia="zh-CN"/>
              </w:rPr>
              <w:t>为本项目水源主要为水车运输及雨水收集，水车主要从玉华煤矿、太安镇马坊村取水，水源较充足可满足本项目需求。</w:t>
            </w:r>
          </w:p>
          <w:p>
            <w:pPr>
              <w:spacing w:line="360" w:lineRule="auto"/>
              <w:ind w:firstLine="480" w:firstLineChars="200"/>
              <w:rPr>
                <w:rFonts w:hint="eastAsia"/>
                <w:sz w:val="24"/>
              </w:rPr>
            </w:pPr>
            <w:r>
              <w:rPr>
                <w:rFonts w:hint="eastAsia"/>
                <w:sz w:val="24"/>
              </w:rPr>
              <w:t>综上所述，各部分给、排水量平衡关系见表</w:t>
            </w:r>
            <w:r>
              <w:rPr>
                <w:rFonts w:hint="eastAsia"/>
                <w:sz w:val="24"/>
                <w:lang w:val="en-US" w:eastAsia="zh-CN"/>
              </w:rPr>
              <w:t>11</w:t>
            </w:r>
            <w:r>
              <w:rPr>
                <w:rFonts w:hint="eastAsia"/>
                <w:sz w:val="24"/>
              </w:rPr>
              <w:t>和图</w:t>
            </w:r>
            <w:r>
              <w:rPr>
                <w:rFonts w:hint="eastAsia"/>
                <w:sz w:val="24"/>
                <w:lang w:val="en-US" w:eastAsia="zh-CN"/>
              </w:rPr>
              <w:t>4</w:t>
            </w:r>
            <w:r>
              <w:rPr>
                <w:rFonts w:hint="eastAsia"/>
                <w:sz w:val="24"/>
              </w:rPr>
              <w:t>。</w:t>
            </w:r>
          </w:p>
          <w:p>
            <w:pPr>
              <w:adjustRightInd w:val="0"/>
              <w:snapToGrid w:val="0"/>
              <w:spacing w:before="62" w:beforeLines="20" w:after="31" w:afterLines="10"/>
              <w:jc w:val="center"/>
              <w:rPr>
                <w:rFonts w:hAnsi="宋体"/>
                <w:b/>
                <w:sz w:val="24"/>
              </w:rPr>
            </w:pPr>
            <w:r>
              <w:rPr>
                <w:rFonts w:hint="eastAsia" w:hAnsi="宋体"/>
                <w:b/>
                <w:sz w:val="24"/>
              </w:rPr>
              <w:t>表</w:t>
            </w:r>
            <w:r>
              <w:rPr>
                <w:rFonts w:hint="eastAsia" w:hAnsi="宋体"/>
                <w:b/>
                <w:sz w:val="24"/>
                <w:lang w:val="en-US" w:eastAsia="zh-CN"/>
              </w:rPr>
              <w:t xml:space="preserve">11 </w:t>
            </w:r>
            <w:r>
              <w:rPr>
                <w:rFonts w:hint="eastAsia" w:hAnsi="宋体"/>
                <w:b/>
                <w:sz w:val="24"/>
              </w:rPr>
              <w:t xml:space="preserve"> 项目给排水平衡</w:t>
            </w:r>
          </w:p>
          <w:tbl>
            <w:tblPr>
              <w:tblStyle w:val="34"/>
              <w:tblW w:w="88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3250"/>
              <w:gridCol w:w="2717"/>
              <w:gridCol w:w="1305"/>
              <w:gridCol w:w="10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08" w:type="dxa"/>
                  <w:tcBorders>
                    <w:tl2br w:val="nil"/>
                    <w:tr2bl w:val="nil"/>
                  </w:tcBorders>
                  <w:vAlign w:val="center"/>
                </w:tcPr>
                <w:p>
                  <w:pPr>
                    <w:spacing w:line="360" w:lineRule="exact"/>
                    <w:jc w:val="center"/>
                    <w:rPr>
                      <w:sz w:val="21"/>
                      <w:szCs w:val="21"/>
                    </w:rPr>
                  </w:pPr>
                  <w:r>
                    <w:rPr>
                      <w:rFonts w:hint="eastAsia"/>
                      <w:sz w:val="21"/>
                      <w:szCs w:val="21"/>
                    </w:rPr>
                    <w:t>序号</w:t>
                  </w:r>
                </w:p>
              </w:tc>
              <w:tc>
                <w:tcPr>
                  <w:tcW w:w="3250" w:type="dxa"/>
                  <w:tcBorders>
                    <w:tl2br w:val="nil"/>
                    <w:tr2bl w:val="nil"/>
                  </w:tcBorders>
                  <w:vAlign w:val="center"/>
                </w:tcPr>
                <w:p>
                  <w:pPr>
                    <w:spacing w:line="360" w:lineRule="exact"/>
                    <w:jc w:val="center"/>
                    <w:rPr>
                      <w:sz w:val="21"/>
                      <w:szCs w:val="21"/>
                    </w:rPr>
                  </w:pPr>
                  <w:r>
                    <w:rPr>
                      <w:rFonts w:hint="eastAsia"/>
                      <w:sz w:val="21"/>
                      <w:szCs w:val="21"/>
                    </w:rPr>
                    <w:t>用水工段</w:t>
                  </w:r>
                </w:p>
              </w:tc>
              <w:tc>
                <w:tcPr>
                  <w:tcW w:w="2717" w:type="dxa"/>
                  <w:tcBorders>
                    <w:tl2br w:val="nil"/>
                    <w:tr2bl w:val="nil"/>
                  </w:tcBorders>
                  <w:vAlign w:val="center"/>
                </w:tcPr>
                <w:p>
                  <w:pPr>
                    <w:spacing w:line="360" w:lineRule="exact"/>
                    <w:jc w:val="center"/>
                    <w:rPr>
                      <w:sz w:val="21"/>
                      <w:szCs w:val="21"/>
                    </w:rPr>
                  </w:pPr>
                  <w:r>
                    <w:rPr>
                      <w:rFonts w:hint="eastAsia"/>
                      <w:sz w:val="21"/>
                      <w:szCs w:val="21"/>
                    </w:rPr>
                    <w:t>用水量</w:t>
                  </w:r>
                </w:p>
              </w:tc>
              <w:tc>
                <w:tcPr>
                  <w:tcW w:w="1305" w:type="dxa"/>
                  <w:tcBorders>
                    <w:tl2br w:val="nil"/>
                    <w:tr2bl w:val="nil"/>
                  </w:tcBorders>
                  <w:vAlign w:val="center"/>
                </w:tcPr>
                <w:p>
                  <w:pPr>
                    <w:spacing w:line="360" w:lineRule="exact"/>
                    <w:jc w:val="center"/>
                    <w:rPr>
                      <w:sz w:val="21"/>
                      <w:szCs w:val="21"/>
                    </w:rPr>
                  </w:pPr>
                  <w:r>
                    <w:rPr>
                      <w:rFonts w:hint="eastAsia"/>
                      <w:sz w:val="21"/>
                      <w:szCs w:val="21"/>
                    </w:rPr>
                    <w:t>耗损</w:t>
                  </w:r>
                </w:p>
                <w:p>
                  <w:pPr>
                    <w:spacing w:line="360" w:lineRule="exact"/>
                    <w:jc w:val="center"/>
                    <w:rPr>
                      <w:sz w:val="21"/>
                      <w:szCs w:val="21"/>
                    </w:rPr>
                  </w:pPr>
                  <w:r>
                    <w:rPr>
                      <w:rFonts w:hint="eastAsia"/>
                      <w:sz w:val="21"/>
                      <w:szCs w:val="21"/>
                    </w:rPr>
                    <w:t>（m</w:t>
                  </w:r>
                  <w:r>
                    <w:rPr>
                      <w:rFonts w:hint="eastAsia"/>
                      <w:sz w:val="21"/>
                      <w:szCs w:val="21"/>
                      <w:vertAlign w:val="superscript"/>
                    </w:rPr>
                    <w:t>3</w:t>
                  </w:r>
                  <w:r>
                    <w:rPr>
                      <w:rFonts w:hint="eastAsia"/>
                      <w:sz w:val="21"/>
                      <w:szCs w:val="21"/>
                    </w:rPr>
                    <w:t>/d）</w:t>
                  </w:r>
                </w:p>
              </w:tc>
              <w:tc>
                <w:tcPr>
                  <w:tcW w:w="1091" w:type="dxa"/>
                  <w:tcBorders>
                    <w:tl2br w:val="nil"/>
                    <w:tr2bl w:val="nil"/>
                  </w:tcBorders>
                  <w:vAlign w:val="center"/>
                </w:tcPr>
                <w:p>
                  <w:pPr>
                    <w:spacing w:line="360" w:lineRule="exact"/>
                    <w:jc w:val="center"/>
                    <w:rPr>
                      <w:sz w:val="21"/>
                      <w:szCs w:val="21"/>
                    </w:rPr>
                  </w:pPr>
                  <w:r>
                    <w:rPr>
                      <w:rFonts w:hint="eastAsia"/>
                      <w:sz w:val="21"/>
                      <w:szCs w:val="21"/>
                    </w:rPr>
                    <w:t>排出量（m</w:t>
                  </w:r>
                  <w:r>
                    <w:rPr>
                      <w:rFonts w:hint="eastAsia"/>
                      <w:sz w:val="21"/>
                      <w:szCs w:val="21"/>
                      <w:vertAlign w:val="superscript"/>
                    </w:rPr>
                    <w:t>3</w:t>
                  </w:r>
                  <w:r>
                    <w:rPr>
                      <w:rFonts w:hint="eastAsia"/>
                      <w:sz w:val="2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val="en-US" w:eastAsia="zh-CN"/>
                    </w:rPr>
                    <w:t>1</w:t>
                  </w:r>
                </w:p>
              </w:tc>
              <w:tc>
                <w:tcPr>
                  <w:tcW w:w="3250"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eastAsia="zh-CN"/>
                    </w:rPr>
                    <w:t>跳汰洗煤（补充新鲜水量）</w:t>
                  </w:r>
                </w:p>
              </w:tc>
              <w:tc>
                <w:tcPr>
                  <w:tcW w:w="2717" w:type="dxa"/>
                  <w:tcBorders>
                    <w:tl2br w:val="nil"/>
                    <w:tr2bl w:val="nil"/>
                  </w:tcBorders>
                  <w:vAlign w:val="center"/>
                </w:tcPr>
                <w:p>
                  <w:pPr>
                    <w:spacing w:line="360" w:lineRule="exact"/>
                    <w:jc w:val="center"/>
                    <w:rPr>
                      <w:sz w:val="21"/>
                      <w:szCs w:val="21"/>
                    </w:rPr>
                  </w:pPr>
                  <w:r>
                    <w:rPr>
                      <w:rFonts w:hint="eastAsia"/>
                      <w:sz w:val="21"/>
                      <w:szCs w:val="21"/>
                      <w:lang w:val="en-US" w:eastAsia="zh-CN"/>
                    </w:rPr>
                    <w:t>33.53</w:t>
                  </w:r>
                </w:p>
              </w:tc>
              <w:tc>
                <w:tcPr>
                  <w:tcW w:w="1305"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val="en-US" w:eastAsia="zh-CN"/>
                    </w:rPr>
                    <w:t>33.53</w:t>
                  </w:r>
                </w:p>
              </w:tc>
              <w:tc>
                <w:tcPr>
                  <w:tcW w:w="1091" w:type="dxa"/>
                  <w:tcBorders>
                    <w:tl2br w:val="nil"/>
                    <w:tr2bl w:val="nil"/>
                  </w:tcBorders>
                  <w:vAlign w:val="center"/>
                </w:tcPr>
                <w:p>
                  <w:pPr>
                    <w:spacing w:line="360" w:lineRule="exact"/>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val="en-US" w:eastAsia="zh-CN"/>
                    </w:rPr>
                    <w:t>2</w:t>
                  </w:r>
                </w:p>
              </w:tc>
              <w:tc>
                <w:tcPr>
                  <w:tcW w:w="3250" w:type="dxa"/>
                  <w:tcBorders>
                    <w:tl2br w:val="nil"/>
                    <w:tr2bl w:val="nil"/>
                  </w:tcBorders>
                  <w:vAlign w:val="center"/>
                </w:tcPr>
                <w:p>
                  <w:pPr>
                    <w:spacing w:line="360" w:lineRule="exact"/>
                    <w:jc w:val="center"/>
                    <w:rPr>
                      <w:sz w:val="21"/>
                      <w:szCs w:val="21"/>
                    </w:rPr>
                  </w:pPr>
                  <w:r>
                    <w:rPr>
                      <w:rFonts w:hint="eastAsia"/>
                      <w:sz w:val="21"/>
                      <w:szCs w:val="21"/>
                      <w:lang w:eastAsia="zh-CN"/>
                    </w:rPr>
                    <w:t>制浆</w:t>
                  </w:r>
                  <w:r>
                    <w:rPr>
                      <w:rFonts w:hint="eastAsia"/>
                      <w:sz w:val="21"/>
                      <w:szCs w:val="21"/>
                    </w:rPr>
                    <w:t>用水</w:t>
                  </w:r>
                </w:p>
              </w:tc>
              <w:tc>
                <w:tcPr>
                  <w:tcW w:w="2717" w:type="dxa"/>
                  <w:tcBorders>
                    <w:tl2br w:val="nil"/>
                    <w:tr2bl w:val="nil"/>
                  </w:tcBorders>
                  <w:vAlign w:val="center"/>
                </w:tcPr>
                <w:p>
                  <w:pPr>
                    <w:spacing w:line="360" w:lineRule="exact"/>
                    <w:jc w:val="center"/>
                    <w:rPr>
                      <w:sz w:val="21"/>
                      <w:szCs w:val="21"/>
                    </w:rPr>
                  </w:pPr>
                  <w:r>
                    <w:rPr>
                      <w:rFonts w:hint="eastAsia"/>
                      <w:sz w:val="21"/>
                      <w:szCs w:val="21"/>
                      <w:lang w:val="en-US" w:eastAsia="zh-CN"/>
                    </w:rPr>
                    <w:t>400</w:t>
                  </w:r>
                </w:p>
              </w:tc>
              <w:tc>
                <w:tcPr>
                  <w:tcW w:w="1305"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val="en-US" w:eastAsia="zh-CN"/>
                    </w:rPr>
                    <w:t>400</w:t>
                  </w:r>
                </w:p>
              </w:tc>
              <w:tc>
                <w:tcPr>
                  <w:tcW w:w="1091" w:type="dxa"/>
                  <w:tcBorders>
                    <w:tl2br w:val="nil"/>
                    <w:tr2bl w:val="nil"/>
                  </w:tcBorders>
                  <w:vAlign w:val="center"/>
                </w:tcPr>
                <w:p>
                  <w:pPr>
                    <w:spacing w:line="360" w:lineRule="exact"/>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8"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val="en-US" w:eastAsia="zh-CN"/>
                    </w:rPr>
                    <w:t>3</w:t>
                  </w:r>
                </w:p>
              </w:tc>
              <w:tc>
                <w:tcPr>
                  <w:tcW w:w="3250"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eastAsia="zh-CN"/>
                    </w:rPr>
                    <w:t>生活用水</w:t>
                  </w:r>
                </w:p>
              </w:tc>
              <w:tc>
                <w:tcPr>
                  <w:tcW w:w="2717" w:type="dxa"/>
                  <w:tcBorders>
                    <w:tl2br w:val="nil"/>
                    <w:tr2bl w:val="nil"/>
                  </w:tcBorders>
                  <w:vAlign w:val="center"/>
                </w:tcPr>
                <w:p>
                  <w:pPr>
                    <w:spacing w:line="360" w:lineRule="exact"/>
                    <w:jc w:val="center"/>
                    <w:rPr>
                      <w:sz w:val="21"/>
                      <w:szCs w:val="21"/>
                    </w:rPr>
                  </w:pPr>
                  <w:r>
                    <w:rPr>
                      <w:rFonts w:hint="eastAsia"/>
                      <w:sz w:val="21"/>
                      <w:szCs w:val="21"/>
                      <w:lang w:val="en-US" w:eastAsia="zh-CN"/>
                    </w:rPr>
                    <w:t>7</w:t>
                  </w:r>
                </w:p>
              </w:tc>
              <w:tc>
                <w:tcPr>
                  <w:tcW w:w="1305"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val="en-US" w:eastAsia="zh-CN"/>
                    </w:rPr>
                    <w:t>1.4</w:t>
                  </w:r>
                </w:p>
              </w:tc>
              <w:tc>
                <w:tcPr>
                  <w:tcW w:w="1091"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val="en-US" w:eastAsia="zh-CN"/>
                    </w:rPr>
                    <w:t>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l2br w:val="nil"/>
                    <w:tr2bl w:val="nil"/>
                  </w:tcBorders>
                  <w:vAlign w:val="center"/>
                </w:tcPr>
                <w:p>
                  <w:pPr>
                    <w:spacing w:line="360" w:lineRule="exact"/>
                    <w:jc w:val="center"/>
                    <w:rPr>
                      <w:rFonts w:hint="eastAsia" w:eastAsia="宋体"/>
                      <w:sz w:val="21"/>
                      <w:szCs w:val="21"/>
                      <w:lang w:val="en-US" w:eastAsia="zh-CN"/>
                    </w:rPr>
                  </w:pPr>
                  <w:r>
                    <w:rPr>
                      <w:rFonts w:hint="eastAsia"/>
                      <w:sz w:val="21"/>
                      <w:szCs w:val="21"/>
                      <w:lang w:val="en-US" w:eastAsia="zh-CN"/>
                    </w:rPr>
                    <w:t>4</w:t>
                  </w:r>
                </w:p>
              </w:tc>
              <w:tc>
                <w:tcPr>
                  <w:tcW w:w="3250"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eastAsia="zh-CN"/>
                    </w:rPr>
                    <w:t>绿化用水</w:t>
                  </w:r>
                </w:p>
              </w:tc>
              <w:tc>
                <w:tcPr>
                  <w:tcW w:w="2717" w:type="dxa"/>
                  <w:tcBorders>
                    <w:tl2br w:val="nil"/>
                    <w:tr2bl w:val="nil"/>
                  </w:tcBorders>
                  <w:vAlign w:val="center"/>
                </w:tcPr>
                <w:p>
                  <w:pPr>
                    <w:spacing w:line="360" w:lineRule="exact"/>
                    <w:jc w:val="center"/>
                    <w:rPr>
                      <w:rFonts w:hint="eastAsia"/>
                      <w:sz w:val="21"/>
                      <w:szCs w:val="21"/>
                    </w:rPr>
                  </w:pPr>
                  <w:r>
                    <w:rPr>
                      <w:rFonts w:hint="eastAsia"/>
                      <w:sz w:val="21"/>
                      <w:szCs w:val="21"/>
                      <w:lang w:val="en-US" w:eastAsia="zh-CN"/>
                    </w:rPr>
                    <w:t>5.33</w:t>
                  </w:r>
                </w:p>
              </w:tc>
              <w:tc>
                <w:tcPr>
                  <w:tcW w:w="1305" w:type="dxa"/>
                  <w:tcBorders>
                    <w:tl2br w:val="nil"/>
                    <w:tr2bl w:val="nil"/>
                  </w:tcBorders>
                  <w:vAlign w:val="center"/>
                </w:tcPr>
                <w:p>
                  <w:pPr>
                    <w:spacing w:line="360" w:lineRule="exact"/>
                    <w:jc w:val="center"/>
                    <w:rPr>
                      <w:rFonts w:hint="eastAsia" w:eastAsia="宋体"/>
                      <w:sz w:val="21"/>
                      <w:szCs w:val="21"/>
                      <w:lang w:val="en-US" w:eastAsia="zh-CN"/>
                    </w:rPr>
                  </w:pPr>
                  <w:r>
                    <w:rPr>
                      <w:rFonts w:hint="eastAsia"/>
                      <w:sz w:val="21"/>
                      <w:szCs w:val="21"/>
                      <w:lang w:val="en-US" w:eastAsia="zh-CN"/>
                    </w:rPr>
                    <w:t>5.33</w:t>
                  </w:r>
                </w:p>
              </w:tc>
              <w:tc>
                <w:tcPr>
                  <w:tcW w:w="1091" w:type="dxa"/>
                  <w:tcBorders>
                    <w:tl2br w:val="nil"/>
                    <w:tr2bl w:val="nil"/>
                  </w:tcBorders>
                  <w:vAlign w:val="center"/>
                </w:tcPr>
                <w:p>
                  <w:pPr>
                    <w:spacing w:line="360" w:lineRule="exact"/>
                    <w:jc w:val="center"/>
                    <w:rPr>
                      <w:rFonts w:hint="eastAsia" w:eastAsia="宋体"/>
                      <w:sz w:val="21"/>
                      <w:szCs w:val="21"/>
                      <w:lang w:val="en-US" w:eastAsia="zh-CN"/>
                    </w:rPr>
                  </w:pPr>
                  <w:r>
                    <w:rPr>
                      <w:rFonts w:hint="eastAsia"/>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l2br w:val="nil"/>
                    <w:tr2bl w:val="nil"/>
                  </w:tcBorders>
                  <w:vAlign w:val="center"/>
                </w:tcPr>
                <w:p>
                  <w:pPr>
                    <w:spacing w:line="360" w:lineRule="exact"/>
                    <w:jc w:val="center"/>
                    <w:rPr>
                      <w:rFonts w:hint="eastAsia"/>
                      <w:sz w:val="21"/>
                      <w:szCs w:val="21"/>
                      <w:lang w:val="en-US" w:eastAsia="zh-CN"/>
                    </w:rPr>
                  </w:pPr>
                  <w:r>
                    <w:rPr>
                      <w:rFonts w:hint="eastAsia"/>
                      <w:sz w:val="21"/>
                      <w:szCs w:val="21"/>
                      <w:lang w:val="en-US" w:eastAsia="zh-CN"/>
                    </w:rPr>
                    <w:t>5</w:t>
                  </w:r>
                </w:p>
              </w:tc>
              <w:tc>
                <w:tcPr>
                  <w:tcW w:w="3250" w:type="dxa"/>
                  <w:tcBorders>
                    <w:tl2br w:val="nil"/>
                    <w:tr2bl w:val="nil"/>
                  </w:tcBorders>
                  <w:vAlign w:val="center"/>
                </w:tcPr>
                <w:p>
                  <w:pPr>
                    <w:spacing w:line="360" w:lineRule="exact"/>
                    <w:jc w:val="center"/>
                    <w:rPr>
                      <w:rFonts w:hint="eastAsia"/>
                      <w:sz w:val="21"/>
                      <w:szCs w:val="21"/>
                      <w:lang w:eastAsia="zh-CN"/>
                    </w:rPr>
                  </w:pPr>
                  <w:r>
                    <w:rPr>
                      <w:rFonts w:hint="eastAsia"/>
                      <w:sz w:val="21"/>
                      <w:szCs w:val="21"/>
                      <w:lang w:eastAsia="zh-CN"/>
                    </w:rPr>
                    <w:t>洒水降尘</w:t>
                  </w:r>
                </w:p>
              </w:tc>
              <w:tc>
                <w:tcPr>
                  <w:tcW w:w="2717" w:type="dxa"/>
                  <w:tcBorders>
                    <w:tl2br w:val="nil"/>
                    <w:tr2bl w:val="nil"/>
                  </w:tcBorders>
                  <w:vAlign w:val="center"/>
                </w:tcPr>
                <w:p>
                  <w:pPr>
                    <w:spacing w:line="360" w:lineRule="exact"/>
                    <w:jc w:val="center"/>
                    <w:rPr>
                      <w:rFonts w:hint="eastAsia"/>
                      <w:sz w:val="21"/>
                      <w:szCs w:val="21"/>
                      <w:lang w:val="en-US" w:eastAsia="zh-CN"/>
                    </w:rPr>
                  </w:pPr>
                  <w:r>
                    <w:rPr>
                      <w:rFonts w:hint="eastAsia"/>
                      <w:sz w:val="21"/>
                      <w:szCs w:val="21"/>
                      <w:lang w:val="en-US" w:eastAsia="zh-CN"/>
                    </w:rPr>
                    <w:t>87.5</w:t>
                  </w:r>
                </w:p>
              </w:tc>
              <w:tc>
                <w:tcPr>
                  <w:tcW w:w="1305" w:type="dxa"/>
                  <w:tcBorders>
                    <w:tl2br w:val="nil"/>
                    <w:tr2bl w:val="nil"/>
                  </w:tcBorders>
                  <w:vAlign w:val="center"/>
                </w:tcPr>
                <w:p>
                  <w:pPr>
                    <w:spacing w:line="360" w:lineRule="exact"/>
                    <w:jc w:val="center"/>
                    <w:rPr>
                      <w:rFonts w:hint="eastAsia"/>
                      <w:sz w:val="21"/>
                      <w:szCs w:val="21"/>
                      <w:lang w:val="en-US" w:eastAsia="zh-CN"/>
                    </w:rPr>
                  </w:pPr>
                  <w:r>
                    <w:rPr>
                      <w:rFonts w:hint="eastAsia"/>
                      <w:sz w:val="21"/>
                      <w:szCs w:val="21"/>
                      <w:lang w:val="en-US" w:eastAsia="zh-CN"/>
                    </w:rPr>
                    <w:t>87.5</w:t>
                  </w:r>
                </w:p>
              </w:tc>
              <w:tc>
                <w:tcPr>
                  <w:tcW w:w="1091" w:type="dxa"/>
                  <w:tcBorders>
                    <w:tl2br w:val="nil"/>
                    <w:tr2bl w:val="nil"/>
                  </w:tcBorders>
                  <w:vAlign w:val="center"/>
                </w:tcPr>
                <w:p>
                  <w:pPr>
                    <w:spacing w:line="360" w:lineRule="exact"/>
                    <w:jc w:val="center"/>
                    <w:rPr>
                      <w:rFonts w:hint="eastAsia"/>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758" w:type="dxa"/>
                  <w:gridSpan w:val="2"/>
                  <w:tcBorders>
                    <w:tl2br w:val="nil"/>
                    <w:tr2bl w:val="nil"/>
                  </w:tcBorders>
                  <w:vAlign w:val="center"/>
                </w:tcPr>
                <w:p>
                  <w:pPr>
                    <w:spacing w:line="360" w:lineRule="exact"/>
                    <w:jc w:val="center"/>
                    <w:rPr>
                      <w:sz w:val="21"/>
                      <w:szCs w:val="21"/>
                    </w:rPr>
                  </w:pPr>
                  <w:r>
                    <w:rPr>
                      <w:rFonts w:hint="eastAsia"/>
                      <w:sz w:val="21"/>
                      <w:szCs w:val="21"/>
                    </w:rPr>
                    <w:t>合计</w:t>
                  </w:r>
                </w:p>
              </w:tc>
              <w:tc>
                <w:tcPr>
                  <w:tcW w:w="2717" w:type="dxa"/>
                  <w:tcBorders>
                    <w:tl2br w:val="nil"/>
                    <w:tr2bl w:val="nil"/>
                  </w:tcBorders>
                  <w:vAlign w:val="center"/>
                </w:tcPr>
                <w:p>
                  <w:pPr>
                    <w:spacing w:line="360" w:lineRule="exact"/>
                    <w:jc w:val="center"/>
                    <w:rPr>
                      <w:rFonts w:hint="eastAsia" w:eastAsia="宋体"/>
                      <w:sz w:val="21"/>
                      <w:szCs w:val="21"/>
                      <w:lang w:val="en-US" w:eastAsia="zh-CN"/>
                    </w:rPr>
                  </w:pPr>
                  <w:r>
                    <w:rPr>
                      <w:rFonts w:hint="eastAsia"/>
                      <w:sz w:val="21"/>
                      <w:szCs w:val="21"/>
                      <w:lang w:val="en-US" w:eastAsia="zh-CN"/>
                    </w:rPr>
                    <w:t>771.36</w:t>
                  </w:r>
                </w:p>
              </w:tc>
              <w:tc>
                <w:tcPr>
                  <w:tcW w:w="1305"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val="en-US" w:eastAsia="zh-CN"/>
                    </w:rPr>
                    <w:t>765.76</w:t>
                  </w:r>
                </w:p>
              </w:tc>
              <w:tc>
                <w:tcPr>
                  <w:tcW w:w="1091"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val="en-US" w:eastAsia="zh-CN"/>
                    </w:rPr>
                    <w:t>5.6</w:t>
                  </w:r>
                </w:p>
              </w:tc>
            </w:tr>
          </w:tbl>
          <w:p>
            <w:pPr>
              <w:pStyle w:val="8"/>
              <w:ind w:left="0" w:leftChars="0" w:firstLine="0" w:firstLineChars="0"/>
              <w:rPr>
                <w:kern w:val="0"/>
                <w:sz w:val="24"/>
              </w:rPr>
            </w:pPr>
          </w:p>
          <w:p>
            <w:pPr>
              <w:pStyle w:val="8"/>
              <w:ind w:left="0" w:leftChars="0" w:firstLine="0" w:firstLineChars="0"/>
              <w:rPr>
                <w:kern w:val="0"/>
                <w:sz w:val="24"/>
              </w:rPr>
            </w:pPr>
          </w:p>
          <w:p>
            <w:pPr>
              <w:pStyle w:val="8"/>
              <w:ind w:left="0" w:leftChars="0" w:firstLine="0" w:firstLineChars="0"/>
              <w:rPr>
                <w:kern w:val="0"/>
                <w:sz w:val="24"/>
              </w:rPr>
            </w:pPr>
          </w:p>
          <w:p>
            <w:pPr>
              <w:pStyle w:val="8"/>
              <w:ind w:left="0" w:leftChars="0" w:firstLine="0" w:firstLineChars="0"/>
              <w:rPr>
                <w:kern w:val="0"/>
                <w:sz w:val="24"/>
              </w:rPr>
            </w:pPr>
          </w:p>
          <w:p>
            <w:pPr>
              <w:pStyle w:val="8"/>
              <w:ind w:left="0" w:leftChars="0" w:firstLine="0" w:firstLineChars="0"/>
              <w:rPr>
                <w:kern w:val="0"/>
                <w:sz w:val="24"/>
              </w:rPr>
            </w:pPr>
          </w:p>
          <w:p>
            <w:pPr>
              <w:pStyle w:val="8"/>
              <w:ind w:left="0" w:leftChars="0" w:firstLine="0" w:firstLineChars="0"/>
              <w:rPr>
                <w:kern w:val="0"/>
                <w:sz w:val="24"/>
              </w:rPr>
            </w:pPr>
          </w:p>
          <w:p>
            <w:pPr>
              <w:pStyle w:val="8"/>
              <w:ind w:left="0" w:leftChars="0" w:firstLine="0" w:firstLineChars="0"/>
              <w:rPr>
                <w:kern w:val="0"/>
                <w:sz w:val="24"/>
              </w:rPr>
            </w:pPr>
          </w:p>
          <w:p>
            <w:pPr>
              <w:pStyle w:val="8"/>
              <w:ind w:left="0" w:leftChars="0" w:firstLine="0" w:firstLineChars="0"/>
              <w:rPr>
                <w:kern w:val="0"/>
                <w:sz w:val="24"/>
              </w:rPr>
            </w:pPr>
            <w:r>
              <w:rPr>
                <w:sz w:val="30"/>
              </w:rPr>
              <mc:AlternateContent>
                <mc:Choice Requires="wpg">
                  <w:drawing>
                    <wp:anchor distT="0" distB="0" distL="114300" distR="114300" simplePos="0" relativeHeight="755022848" behindDoc="0" locked="0" layoutInCell="1" allowOverlap="1">
                      <wp:simplePos x="0" y="0"/>
                      <wp:positionH relativeFrom="column">
                        <wp:posOffset>292100</wp:posOffset>
                      </wp:positionH>
                      <wp:positionV relativeFrom="paragraph">
                        <wp:posOffset>90805</wp:posOffset>
                      </wp:positionV>
                      <wp:extent cx="4970780" cy="3740150"/>
                      <wp:effectExtent l="4445" t="4445" r="0" b="8255"/>
                      <wp:wrapNone/>
                      <wp:docPr id="21" name="组合 21"/>
                      <wp:cNvGraphicFramePr/>
                      <a:graphic xmlns:a="http://schemas.openxmlformats.org/drawingml/2006/main">
                        <a:graphicData uri="http://schemas.microsoft.com/office/word/2010/wordprocessingGroup">
                          <wpg:wgp>
                            <wpg:cNvGrpSpPr/>
                            <wpg:grpSpPr>
                              <a:xfrm>
                                <a:off x="0" y="0"/>
                                <a:ext cx="4970780" cy="3740150"/>
                                <a:chOff x="16134" y="174397"/>
                                <a:chExt cx="7828" cy="5890"/>
                              </a:xfrm>
                            </wpg:grpSpPr>
                            <wpg:grpSp>
                              <wpg:cNvPr id="32" name="组合 32"/>
                              <wpg:cNvGrpSpPr/>
                              <wpg:grpSpPr>
                                <a:xfrm rot="0">
                                  <a:off x="16134" y="174397"/>
                                  <a:ext cx="7828" cy="5890"/>
                                  <a:chOff x="2558" y="310088"/>
                                  <a:chExt cx="7828" cy="5890"/>
                                </a:xfrm>
                              </wpg:grpSpPr>
                              <wpg:grpSp>
                                <wpg:cNvPr id="31" name="组合 31"/>
                                <wpg:cNvGrpSpPr/>
                                <wpg:grpSpPr>
                                  <a:xfrm>
                                    <a:off x="5702" y="314535"/>
                                    <a:ext cx="3010" cy="1"/>
                                    <a:chOff x="5702" y="314535"/>
                                    <a:chExt cx="3010" cy="1"/>
                                  </a:xfrm>
                                </wpg:grpSpPr>
                                <wps:wsp>
                                  <wps:cNvPr id="338" name="直接箭头连接符 338"/>
                                  <wps:cNvCnPr/>
                                  <wps:spPr>
                                    <a:xfrm flipV="1">
                                      <a:off x="5702" y="314535"/>
                                      <a:ext cx="776" cy="1"/>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9" name="直接箭头连接符 339"/>
                                  <wps:cNvCnPr/>
                                  <wps:spPr>
                                    <a:xfrm flipV="1">
                                      <a:off x="7936" y="314536"/>
                                      <a:ext cx="776" cy="1"/>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30" name="组合 30"/>
                                <wpg:cNvGrpSpPr/>
                                <wpg:grpSpPr>
                                  <a:xfrm>
                                    <a:off x="2558" y="310088"/>
                                    <a:ext cx="7828" cy="5890"/>
                                    <a:chOff x="2566" y="310081"/>
                                    <a:chExt cx="7828" cy="5890"/>
                                  </a:xfrm>
                                </wpg:grpSpPr>
                                <wpg:grpSp>
                                  <wpg:cNvPr id="29" name="组合 29"/>
                                  <wpg:cNvGrpSpPr/>
                                  <wpg:grpSpPr>
                                    <a:xfrm>
                                      <a:off x="5675" y="311186"/>
                                      <a:ext cx="815" cy="202"/>
                                      <a:chOff x="5675" y="311186"/>
                                      <a:chExt cx="815" cy="202"/>
                                    </a:xfrm>
                                  </wpg:grpSpPr>
                                  <wps:wsp>
                                    <wps:cNvPr id="9" name="直接箭头连接符 9"/>
                                    <wps:cNvCnPr/>
                                    <wps:spPr>
                                      <a:xfrm flipV="1">
                                        <a:off x="5675" y="311186"/>
                                        <a:ext cx="776" cy="1"/>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flipH="1" flipV="1">
                                        <a:off x="5680" y="311382"/>
                                        <a:ext cx="811" cy="6"/>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28" name="组合 28"/>
                                  <wpg:cNvGrpSpPr/>
                                  <wpg:grpSpPr>
                                    <a:xfrm>
                                      <a:off x="2566" y="310081"/>
                                      <a:ext cx="7828" cy="5890"/>
                                      <a:chOff x="4724" y="310049"/>
                                      <a:chExt cx="7828" cy="5890"/>
                                    </a:xfrm>
                                  </wpg:grpSpPr>
                                  <wps:wsp>
                                    <wps:cNvPr id="322" name="文本框 322"/>
                                    <wps:cNvSpPr txBox="1"/>
                                    <wps:spPr>
                                      <a:xfrm>
                                        <a:off x="4724" y="313004"/>
                                        <a:ext cx="433" cy="120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0" name="文本框 370"/>
                                    <wps:cNvSpPr txBox="1"/>
                                    <wps:spPr>
                                      <a:xfrm>
                                        <a:off x="7846" y="312001"/>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400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9" name="文本框 359"/>
                                    <wps:cNvSpPr txBox="1"/>
                                    <wps:spPr>
                                      <a:xfrm>
                                        <a:off x="5804" y="311916"/>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400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6" name="文本框 356"/>
                                    <wps:cNvSpPr txBox="1"/>
                                    <wps:spPr>
                                      <a:xfrm>
                                        <a:off x="5550" y="310762"/>
                                        <a:ext cx="955"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33.53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5" name="文本框 375"/>
                                    <wps:cNvSpPr txBox="1"/>
                                    <wps:spPr>
                                      <a:xfrm>
                                        <a:off x="10874" y="314315"/>
                                        <a:ext cx="1678"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定期清运肥田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3" name="文本框 323"/>
                                    <wps:cNvSpPr txBox="1"/>
                                    <wps:spPr>
                                      <a:xfrm>
                                        <a:off x="6445" y="311048"/>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跳汰洗煤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0" name="直接箭头连接符 330"/>
                                    <wps:cNvCnPr/>
                                    <wps:spPr>
                                      <a:xfrm>
                                        <a:off x="5895" y="314530"/>
                                        <a:ext cx="548"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2" name="文本框 372"/>
                                    <wps:cNvSpPr txBox="1"/>
                                    <wps:spPr>
                                      <a:xfrm>
                                        <a:off x="7908" y="314038"/>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1" name="文本框 361"/>
                                    <wps:cNvSpPr txBox="1"/>
                                    <wps:spPr>
                                      <a:xfrm>
                                        <a:off x="5811" y="313941"/>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2" name="直接箭头连接符 332"/>
                                    <wps:cNvCnPr/>
                                    <wps:spPr>
                                      <a:xfrm>
                                        <a:off x="5907" y="312425"/>
                                        <a:ext cx="548"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3" name="直接箭头连接符 333"/>
                                    <wps:cNvCnPr/>
                                    <wps:spPr>
                                      <a:xfrm>
                                        <a:off x="5909" y="315753"/>
                                        <a:ext cx="548"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4" name="文本框 324"/>
                                    <wps:cNvSpPr txBox="1"/>
                                    <wps:spPr>
                                      <a:xfrm>
                                        <a:off x="6460" y="312207"/>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制浆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6" name="文本框 326"/>
                                    <wps:cNvSpPr txBox="1"/>
                                    <wps:spPr>
                                      <a:xfrm>
                                        <a:off x="6452" y="314321"/>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7" name="文本框 327"/>
                                    <wps:cNvSpPr txBox="1"/>
                                    <wps:spPr>
                                      <a:xfrm>
                                        <a:off x="6438" y="315474"/>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绿化用水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8" name="直接连接符 328"/>
                                    <wps:cNvCnPr/>
                                    <wps:spPr>
                                      <a:xfrm>
                                        <a:off x="5912" y="311272"/>
                                        <a:ext cx="18" cy="4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直接箭头连接符 329"/>
                                    <wps:cNvCnPr/>
                                    <wps:spPr>
                                      <a:xfrm>
                                        <a:off x="5920" y="311272"/>
                                        <a:ext cx="548"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6" name="直接箭头连接符 336"/>
                                    <wps:cNvCnPr/>
                                    <wps:spPr>
                                      <a:xfrm flipV="1">
                                        <a:off x="7893" y="312423"/>
                                        <a:ext cx="776" cy="1"/>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0" name="文本框 340"/>
                                    <wps:cNvSpPr txBox="1"/>
                                    <wps:spPr>
                                      <a:xfrm>
                                        <a:off x="8663" y="314318"/>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2" name="文本框 342"/>
                                    <wps:cNvSpPr txBox="1"/>
                                    <wps:spPr>
                                      <a:xfrm>
                                        <a:off x="8663" y="312218"/>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产品、晾干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2" name="文本框 362"/>
                                    <wps:cNvSpPr txBox="1"/>
                                    <wps:spPr>
                                      <a:xfrm>
                                        <a:off x="5849" y="315041"/>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5.33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2" name="直接连接符 352"/>
                                    <wps:cNvCnPr/>
                                    <wps:spPr>
                                      <a:xfrm flipV="1">
                                        <a:off x="5155" y="313466"/>
                                        <a:ext cx="745" cy="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4" name="组合 24"/>
                                    <wpg:cNvGrpSpPr/>
                                    <wpg:grpSpPr>
                                      <a:xfrm>
                                        <a:off x="7349" y="313753"/>
                                        <a:ext cx="910" cy="591"/>
                                        <a:chOff x="7349" y="313753"/>
                                        <a:chExt cx="910" cy="591"/>
                                      </a:xfrm>
                                    </wpg:grpSpPr>
                                    <wps:wsp>
                                      <wps:cNvPr id="346" name=" 134"/>
                                      <wps:cNvSpPr/>
                                      <wps:spPr>
                                        <a:xfrm>
                                          <a:off x="7642" y="314062"/>
                                          <a:ext cx="452" cy="282"/>
                                        </a:xfrm>
                                        <a:custGeom>
                                          <a:avLst/>
                                          <a:gdLst>
                                            <a:gd name="connsiteX0" fmla="*/ 1720704 w 1721074"/>
                                            <a:gd name="connsiteY0" fmla="*/ 0 h 1180530"/>
                                            <a:gd name="connsiteX1" fmla="*/ 1721074 w 1721074"/>
                                            <a:gd name="connsiteY1" fmla="*/ 328961 h 1180530"/>
                                            <a:gd name="connsiteX2" fmla="*/ 1609393 w 1721074"/>
                                            <a:gd name="connsiteY2" fmla="*/ 253106 h 1180530"/>
                                            <a:gd name="connsiteX3" fmla="*/ 1153934 w 1721074"/>
                                            <a:gd name="connsiteY3" fmla="*/ 933995 h 1180530"/>
                                            <a:gd name="connsiteX4" fmla="*/ 899597 w 1721074"/>
                                            <a:gd name="connsiteY4" fmla="*/ 519521 h 1180530"/>
                                            <a:gd name="connsiteX5" fmla="*/ 532223 w 1721074"/>
                                            <a:gd name="connsiteY5" fmla="*/ 1009354 h 1180530"/>
                                            <a:gd name="connsiteX6" fmla="*/ 292016 w 1721074"/>
                                            <a:gd name="connsiteY6" fmla="*/ 792697 h 1180530"/>
                                            <a:gd name="connsiteX7" fmla="*/ 0 w 1721074"/>
                                            <a:gd name="connsiteY7" fmla="*/ 1180530 h 1180530"/>
                                            <a:gd name="connsiteX8" fmla="*/ 0 w 1721074"/>
                                            <a:gd name="connsiteY8" fmla="*/ 996382 h 1180530"/>
                                            <a:gd name="connsiteX9" fmla="*/ 277886 w 1721074"/>
                                            <a:gd name="connsiteY9" fmla="*/ 613720 h 1180530"/>
                                            <a:gd name="connsiteX10" fmla="*/ 503963 w 1721074"/>
                                            <a:gd name="connsiteY10" fmla="*/ 839796 h 1180530"/>
                                            <a:gd name="connsiteX11" fmla="*/ 923147 w 1721074"/>
                                            <a:gd name="connsiteY11" fmla="*/ 316994 h 1180530"/>
                                            <a:gd name="connsiteX12" fmla="*/ 1158644 w 1721074"/>
                                            <a:gd name="connsiteY12" fmla="*/ 731468 h 1180530"/>
                                            <a:gd name="connsiteX13" fmla="*/ 1529274 w 1721074"/>
                                            <a:gd name="connsiteY13" fmla="*/ 198688 h 1180530"/>
                                            <a:gd name="connsiteX14" fmla="*/ 1414772 w 1721074"/>
                                            <a:gd name="connsiteY14" fmla="*/ 120917 h 118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21074" h="1180530">
                                              <a:moveTo>
                                                <a:pt x="1720704" y="0"/>
                                              </a:moveTo>
                                              <a:lnTo>
                                                <a:pt x="1721074" y="328961"/>
                                              </a:lnTo>
                                              <a:lnTo>
                                                <a:pt x="1609393" y="253106"/>
                                              </a:lnTo>
                                              <a:lnTo>
                                                <a:pt x="1153934" y="933995"/>
                                              </a:lnTo>
                                              <a:lnTo>
                                                <a:pt x="899597" y="519521"/>
                                              </a:lnTo>
                                              <a:lnTo>
                                                <a:pt x="532223" y="1009354"/>
                                              </a:lnTo>
                                              <a:lnTo>
                                                <a:pt x="292016" y="792697"/>
                                              </a:lnTo>
                                              <a:lnTo>
                                                <a:pt x="0" y="1180530"/>
                                              </a:lnTo>
                                              <a:lnTo>
                                                <a:pt x="0" y="996382"/>
                                              </a:lnTo>
                                              <a:lnTo>
                                                <a:pt x="277886" y="613720"/>
                                              </a:lnTo>
                                              <a:lnTo>
                                                <a:pt x="503963" y="839796"/>
                                              </a:lnTo>
                                              <a:lnTo>
                                                <a:pt x="923147" y="316994"/>
                                              </a:lnTo>
                                              <a:lnTo>
                                                <a:pt x="1158644" y="731468"/>
                                              </a:lnTo>
                                              <a:lnTo>
                                                <a:pt x="1529274" y="198688"/>
                                              </a:lnTo>
                                              <a:lnTo>
                                                <a:pt x="1414772" y="120917"/>
                                              </a:lnTo>
                                              <a:close/>
                                            </a:path>
                                          </a:pathLst>
                                        </a:custGeom>
                                        <a:solidFill>
                                          <a:schemeClr val="tx1"/>
                                        </a:solidFill>
                                        <a:ln w="3175">
                                          <a:noFill/>
                                        </a:ln>
                                      </wps:spPr>
                                      <wps:style>
                                        <a:lnRef idx="2">
                                          <a:schemeClr val="accent1">
                                            <a:shade val="50000"/>
                                          </a:schemeClr>
                                        </a:lnRef>
                                        <a:fillRef idx="1">
                                          <a:schemeClr val="accent1"/>
                                        </a:fillRef>
                                        <a:effectRef idx="0">
                                          <a:schemeClr val="accent1"/>
                                        </a:effectRef>
                                        <a:fontRef idx="minor">
                                          <a:schemeClr val="lt1"/>
                                        </a:fontRef>
                                      </wps:style>
                                      <wps:bodyPr lIns="68580" tIns="34290" rIns="68580" bIns="34290" anchor="ctr">
                                        <a:scene3d>
                                          <a:camera prst="orthographicFront"/>
                                          <a:lightRig rig="threePt" dir="t"/>
                                        </a:scene3d>
                                        <a:sp3d>
                                          <a:contourClr>
                                            <a:srgbClr val="FFFFFF"/>
                                          </a:contourClr>
                                        </a:sp3d>
                                      </wps:bodyPr>
                                    </wps:wsp>
                                    <wps:wsp>
                                      <wps:cNvPr id="367" name="文本框 367"/>
                                      <wps:cNvSpPr txBox="1"/>
                                      <wps:spPr>
                                        <a:xfrm>
                                          <a:off x="7349" y="313753"/>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6" name="文本框 6"/>
                                    <wps:cNvSpPr txBox="1"/>
                                    <wps:spPr>
                                      <a:xfrm>
                                        <a:off x="8638" y="311053"/>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浓缩、压滤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箭头连接符 14"/>
                                    <wps:cNvCnPr>
                                      <a:stCxn id="12" idx="2"/>
                                      <a:endCxn id="323" idx="0"/>
                                    </wps:cNvCnPr>
                                    <wps:spPr>
                                      <a:xfrm>
                                        <a:off x="7149" y="310514"/>
                                        <a:ext cx="1" cy="534"/>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10819" y="311044"/>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产品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7850" y="310738"/>
                                        <a:ext cx="955"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11509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6444" y="310049"/>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原煤带入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13"/>
                                    <wps:cNvCnPr/>
                                    <wps:spPr>
                                      <a:xfrm flipV="1">
                                        <a:off x="10051" y="311285"/>
                                        <a:ext cx="776" cy="1"/>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7066" y="310541"/>
                                        <a:ext cx="955"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524.91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7877" y="311295"/>
                                        <a:ext cx="955"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11509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9995" y="310752"/>
                                        <a:ext cx="955" cy="4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558.44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5099" y="313029"/>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771.36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0156" y="314046"/>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 134"/>
                                    <wps:cNvSpPr/>
                                    <wps:spPr>
                                      <a:xfrm>
                                        <a:off x="7529" y="315202"/>
                                        <a:ext cx="452" cy="282"/>
                                      </a:xfrm>
                                      <a:custGeom>
                                        <a:avLst/>
                                        <a:gdLst>
                                          <a:gd name="connsiteX0" fmla="*/ 1720704 w 1721074"/>
                                          <a:gd name="connsiteY0" fmla="*/ 0 h 1180530"/>
                                          <a:gd name="connsiteX1" fmla="*/ 1721074 w 1721074"/>
                                          <a:gd name="connsiteY1" fmla="*/ 328961 h 1180530"/>
                                          <a:gd name="connsiteX2" fmla="*/ 1609393 w 1721074"/>
                                          <a:gd name="connsiteY2" fmla="*/ 253106 h 1180530"/>
                                          <a:gd name="connsiteX3" fmla="*/ 1153934 w 1721074"/>
                                          <a:gd name="connsiteY3" fmla="*/ 933995 h 1180530"/>
                                          <a:gd name="connsiteX4" fmla="*/ 899597 w 1721074"/>
                                          <a:gd name="connsiteY4" fmla="*/ 519521 h 1180530"/>
                                          <a:gd name="connsiteX5" fmla="*/ 532223 w 1721074"/>
                                          <a:gd name="connsiteY5" fmla="*/ 1009354 h 1180530"/>
                                          <a:gd name="connsiteX6" fmla="*/ 292016 w 1721074"/>
                                          <a:gd name="connsiteY6" fmla="*/ 792697 h 1180530"/>
                                          <a:gd name="connsiteX7" fmla="*/ 0 w 1721074"/>
                                          <a:gd name="connsiteY7" fmla="*/ 1180530 h 1180530"/>
                                          <a:gd name="connsiteX8" fmla="*/ 0 w 1721074"/>
                                          <a:gd name="connsiteY8" fmla="*/ 996382 h 1180530"/>
                                          <a:gd name="connsiteX9" fmla="*/ 277886 w 1721074"/>
                                          <a:gd name="connsiteY9" fmla="*/ 613720 h 1180530"/>
                                          <a:gd name="connsiteX10" fmla="*/ 503963 w 1721074"/>
                                          <a:gd name="connsiteY10" fmla="*/ 839796 h 1180530"/>
                                          <a:gd name="connsiteX11" fmla="*/ 923147 w 1721074"/>
                                          <a:gd name="connsiteY11" fmla="*/ 316994 h 1180530"/>
                                          <a:gd name="connsiteX12" fmla="*/ 1158644 w 1721074"/>
                                          <a:gd name="connsiteY12" fmla="*/ 731468 h 1180530"/>
                                          <a:gd name="connsiteX13" fmla="*/ 1529274 w 1721074"/>
                                          <a:gd name="connsiteY13" fmla="*/ 198688 h 1180530"/>
                                          <a:gd name="connsiteX14" fmla="*/ 1414772 w 1721074"/>
                                          <a:gd name="connsiteY14" fmla="*/ 120917 h 118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21074" h="1180530">
                                            <a:moveTo>
                                              <a:pt x="1720704" y="0"/>
                                            </a:moveTo>
                                            <a:lnTo>
                                              <a:pt x="1721074" y="328961"/>
                                            </a:lnTo>
                                            <a:lnTo>
                                              <a:pt x="1609393" y="253106"/>
                                            </a:lnTo>
                                            <a:lnTo>
                                              <a:pt x="1153934" y="933995"/>
                                            </a:lnTo>
                                            <a:lnTo>
                                              <a:pt x="899597" y="519521"/>
                                            </a:lnTo>
                                            <a:lnTo>
                                              <a:pt x="532223" y="1009354"/>
                                            </a:lnTo>
                                            <a:lnTo>
                                              <a:pt x="292016" y="792697"/>
                                            </a:lnTo>
                                            <a:lnTo>
                                              <a:pt x="0" y="1180530"/>
                                            </a:lnTo>
                                            <a:lnTo>
                                              <a:pt x="0" y="996382"/>
                                            </a:lnTo>
                                            <a:lnTo>
                                              <a:pt x="277886" y="613720"/>
                                            </a:lnTo>
                                            <a:lnTo>
                                              <a:pt x="503963" y="839796"/>
                                            </a:lnTo>
                                            <a:lnTo>
                                              <a:pt x="923147" y="316994"/>
                                            </a:lnTo>
                                            <a:lnTo>
                                              <a:pt x="1158644" y="731468"/>
                                            </a:lnTo>
                                            <a:lnTo>
                                              <a:pt x="1529274" y="198688"/>
                                            </a:lnTo>
                                            <a:lnTo>
                                              <a:pt x="1414772" y="120917"/>
                                            </a:lnTo>
                                            <a:close/>
                                          </a:path>
                                        </a:pathLst>
                                      </a:custGeom>
                                      <a:solidFill>
                                        <a:schemeClr val="tx1"/>
                                      </a:solidFill>
                                      <a:ln w="3175">
                                        <a:noFill/>
                                      </a:ln>
                                    </wps:spPr>
                                    <wps:style>
                                      <a:lnRef idx="2">
                                        <a:schemeClr val="accent1">
                                          <a:shade val="50000"/>
                                        </a:schemeClr>
                                      </a:lnRef>
                                      <a:fillRef idx="1">
                                        <a:schemeClr val="accent1"/>
                                      </a:fillRef>
                                      <a:effectRef idx="0">
                                        <a:schemeClr val="accent1"/>
                                      </a:effectRef>
                                      <a:fontRef idx="minor">
                                        <a:schemeClr val="lt1"/>
                                      </a:fontRef>
                                    </wps:style>
                                    <wps:bodyPr lIns="68580" tIns="34290" rIns="68580" bIns="34290" anchor="ctr">
                                      <a:scene3d>
                                        <a:camera prst="orthographicFront"/>
                                        <a:lightRig rig="threePt" dir="t"/>
                                      </a:scene3d>
                                      <a:sp3d>
                                        <a:contourClr>
                                          <a:srgbClr val="FFFFFF"/>
                                        </a:contourClr>
                                      </a:sp3d>
                                    </wps:bodyPr>
                                  </wps:wsp>
                                  <wps:wsp>
                                    <wps:cNvPr id="27" name="文本框 367"/>
                                    <wps:cNvSpPr txBox="1"/>
                                    <wps:spPr>
                                      <a:xfrm>
                                        <a:off x="7622" y="314850"/>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5.33</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g:cNvPr id="17" name="组合 17"/>
                              <wpg:cNvGrpSpPr/>
                              <wpg:grpSpPr>
                                <a:xfrm>
                                  <a:off x="17211" y="176948"/>
                                  <a:ext cx="2926" cy="1118"/>
                                  <a:chOff x="17211" y="176948"/>
                                  <a:chExt cx="2926" cy="1118"/>
                                </a:xfrm>
                              </wpg:grpSpPr>
                              <wps:wsp>
                                <wps:cNvPr id="1" name="文本框 1"/>
                                <wps:cNvSpPr txBox="1"/>
                                <wps:spPr>
                                  <a:xfrm>
                                    <a:off x="17211" y="177331"/>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87.5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7857" y="177602"/>
                                    <a:ext cx="1410" cy="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洒水降尘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直接箭头连接符 2"/>
                                <wps:cNvCnPr/>
                                <wps:spPr>
                                  <a:xfrm>
                                    <a:off x="17294" y="177823"/>
                                    <a:ext cx="548"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 name=" 134"/>
                                <wps:cNvSpPr/>
                                <wps:spPr>
                                  <a:xfrm>
                                    <a:off x="18969" y="177315"/>
                                    <a:ext cx="452" cy="282"/>
                                  </a:xfrm>
                                  <a:custGeom>
                                    <a:avLst/>
                                    <a:gdLst>
                                      <a:gd name="connsiteX0" fmla="*/ 1720704 w 1721074"/>
                                      <a:gd name="connsiteY0" fmla="*/ 0 h 1180530"/>
                                      <a:gd name="connsiteX1" fmla="*/ 1721074 w 1721074"/>
                                      <a:gd name="connsiteY1" fmla="*/ 328961 h 1180530"/>
                                      <a:gd name="connsiteX2" fmla="*/ 1609393 w 1721074"/>
                                      <a:gd name="connsiteY2" fmla="*/ 253106 h 1180530"/>
                                      <a:gd name="connsiteX3" fmla="*/ 1153934 w 1721074"/>
                                      <a:gd name="connsiteY3" fmla="*/ 933995 h 1180530"/>
                                      <a:gd name="connsiteX4" fmla="*/ 899597 w 1721074"/>
                                      <a:gd name="connsiteY4" fmla="*/ 519521 h 1180530"/>
                                      <a:gd name="connsiteX5" fmla="*/ 532223 w 1721074"/>
                                      <a:gd name="connsiteY5" fmla="*/ 1009354 h 1180530"/>
                                      <a:gd name="connsiteX6" fmla="*/ 292016 w 1721074"/>
                                      <a:gd name="connsiteY6" fmla="*/ 792697 h 1180530"/>
                                      <a:gd name="connsiteX7" fmla="*/ 0 w 1721074"/>
                                      <a:gd name="connsiteY7" fmla="*/ 1180530 h 1180530"/>
                                      <a:gd name="connsiteX8" fmla="*/ 0 w 1721074"/>
                                      <a:gd name="connsiteY8" fmla="*/ 996382 h 1180530"/>
                                      <a:gd name="connsiteX9" fmla="*/ 277886 w 1721074"/>
                                      <a:gd name="connsiteY9" fmla="*/ 613720 h 1180530"/>
                                      <a:gd name="connsiteX10" fmla="*/ 503963 w 1721074"/>
                                      <a:gd name="connsiteY10" fmla="*/ 839796 h 1180530"/>
                                      <a:gd name="connsiteX11" fmla="*/ 923147 w 1721074"/>
                                      <a:gd name="connsiteY11" fmla="*/ 316994 h 1180530"/>
                                      <a:gd name="connsiteX12" fmla="*/ 1158644 w 1721074"/>
                                      <a:gd name="connsiteY12" fmla="*/ 731468 h 1180530"/>
                                      <a:gd name="connsiteX13" fmla="*/ 1529274 w 1721074"/>
                                      <a:gd name="connsiteY13" fmla="*/ 198688 h 1180530"/>
                                      <a:gd name="connsiteX14" fmla="*/ 1414772 w 1721074"/>
                                      <a:gd name="connsiteY14" fmla="*/ 120917 h 118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21074" h="1180530">
                                        <a:moveTo>
                                          <a:pt x="1720704" y="0"/>
                                        </a:moveTo>
                                        <a:lnTo>
                                          <a:pt x="1721074" y="328961"/>
                                        </a:lnTo>
                                        <a:lnTo>
                                          <a:pt x="1609393" y="253106"/>
                                        </a:lnTo>
                                        <a:lnTo>
                                          <a:pt x="1153934" y="933995"/>
                                        </a:lnTo>
                                        <a:lnTo>
                                          <a:pt x="899597" y="519521"/>
                                        </a:lnTo>
                                        <a:lnTo>
                                          <a:pt x="532223" y="1009354"/>
                                        </a:lnTo>
                                        <a:lnTo>
                                          <a:pt x="292016" y="792697"/>
                                        </a:lnTo>
                                        <a:lnTo>
                                          <a:pt x="0" y="1180530"/>
                                        </a:lnTo>
                                        <a:lnTo>
                                          <a:pt x="0" y="996382"/>
                                        </a:lnTo>
                                        <a:lnTo>
                                          <a:pt x="277886" y="613720"/>
                                        </a:lnTo>
                                        <a:lnTo>
                                          <a:pt x="503963" y="839796"/>
                                        </a:lnTo>
                                        <a:lnTo>
                                          <a:pt x="923147" y="316994"/>
                                        </a:lnTo>
                                        <a:lnTo>
                                          <a:pt x="1158644" y="731468"/>
                                        </a:lnTo>
                                        <a:lnTo>
                                          <a:pt x="1529274" y="198688"/>
                                        </a:lnTo>
                                        <a:lnTo>
                                          <a:pt x="1414772" y="120917"/>
                                        </a:lnTo>
                                        <a:close/>
                                      </a:path>
                                    </a:pathLst>
                                  </a:custGeom>
                                  <a:solidFill>
                                    <a:schemeClr val="tx1"/>
                                  </a:solidFill>
                                  <a:ln w="3175">
                                    <a:noFill/>
                                  </a:ln>
                                </wps:spPr>
                                <wps:style>
                                  <a:lnRef idx="2">
                                    <a:schemeClr val="accent1">
                                      <a:shade val="50000"/>
                                    </a:schemeClr>
                                  </a:lnRef>
                                  <a:fillRef idx="1">
                                    <a:schemeClr val="accent1"/>
                                  </a:fillRef>
                                  <a:effectRef idx="0">
                                    <a:schemeClr val="accent1"/>
                                  </a:effectRef>
                                  <a:fontRef idx="minor">
                                    <a:schemeClr val="lt1"/>
                                  </a:fontRef>
                                </wps:style>
                                <wps:bodyPr lIns="68580" tIns="34290" rIns="68580" bIns="34290" anchor="ctr">
                                  <a:scene3d>
                                    <a:camera prst="orthographicFront"/>
                                    <a:lightRig rig="threePt" dir="t"/>
                                  </a:scene3d>
                                  <a:sp3d>
                                    <a:contourClr>
                                      <a:srgbClr val="FFFFFF"/>
                                    </a:contourClr>
                                  </a:sp3d>
                                </wps:bodyPr>
                              </wps:wsp>
                              <wps:wsp>
                                <wps:cNvPr id="8" name="文本框 367"/>
                                <wps:cNvSpPr txBox="1"/>
                                <wps:spPr>
                                  <a:xfrm>
                                    <a:off x="19227" y="176948"/>
                                    <a:ext cx="910" cy="4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87.5</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23pt;margin-top:7.15pt;height:294.5pt;width:391.4pt;z-index:755022848;mso-width-relative:page;mso-height-relative:page;" coordorigin="16134,174397" coordsize="7828,5890" o:gfxdata="UEsDBAoAAAAAAIdO4kAAAAAAAAAAAAAAAAAEAAAAZHJzL1BLAwQUAAAACACHTuJAKDJ2ytkAAAAJ&#10;AQAADwAAAGRycy9kb3ducmV2LnhtbE2PwUrDQBCG74LvsIzgze6mqSHEbIoU9VQEW0G8TbPTJDS7&#10;G7LbpH17x5MeZ/7hn+8r1xfbi4nG0HmnIVkoEORqbzrXaPjcvz7kIEJEZ7D3jjRcKcC6ur0psTB+&#10;dh807WIjuMSFAjW0MQ6FlKFuyWJY+IEcZ0c/Wow8jo00I85cbnu5VCqTFjvHH1ocaNNSfdqdrYa3&#10;GefnNHmZtqfj5vq9f3z/2iak9f1dop5ARLrEv2P4xWd0qJjp4M/OBNFrWGWsEnm/SkFwni9zVjlo&#10;yFSagqxK+d+g+gFQSwMEFAAAAAgAh07iQJSyQhwBDwAAmqIAAA4AAABkcnMvZTJvRG9jLnhtbO1d&#10;za/jVhXfI/E/WFki0efrb0d9Uw0znYI0oiNaoF36Jc6HSOxg+817wxoBK8SKDQgJCVgVVt2x4K/p&#10;lD+D37lfvnGcxEk7mb5yZ/Emse/1tY/PPZ+/c/Lue/frlfMyr+plWVyP2DvuyMmLSTldFvPr0U8/&#10;fvb9ZOTUTVZMs1VZ5NejV3k9eu/Rd7/z7t1mnHvlolxN88rBRYp6fLe5Hi2aZjO+uqoni3yd1e+U&#10;m7zAyVlZrbMGX6v51bTK7nD19erKc93o6q6sppuqnOR1jaNPxcnRI3792SyfNB/OZnXeOKvrEe6t&#10;4X8r/veG/l49ejcbz6tss1hO5G1kZ9zFOlsWWFRf6mnWZM5ttdy51Ho5qcq6nDXvTMr1VTmbLSc5&#10;fwY8DXM7T/NBVd5u+LPMx3fzjSYTSNuh09mXnfz45YvKWU6vRx4bOUW2xjv68t+//uIPv3NwANS5&#10;28zHGPRBtflo86KSB+biGz3w/axa0/94FOee0/WVpmt+3zgTHAzS2I0TkH+Cc34cuCyUlJ8s8Hpo&#10;HouYH4wcnGdx4KexeDGTxfvyEnHigZNofpikfPKVWvuKblHfkf7yZqnlex1q4cBAajlVydnQoFr/&#10;0yvy7T57NtaE88IQhCG6MtdNkm883bpc5p/DZWHsgv78oYPQD8VDK3L52EiCVfilDVr1Tmt5rDNx&#10;L4NBUtXtZqy/2mb8aJFtcr7Ha9pncjP6Pl6q3I1/+vz17//+5b/++cXfPv/vf/5Cnz/7h0MDOL/x&#10;WU8KuTXrcY1dqvalM1stNz/DluKiSe7QXiIo2sVxZJBOUyAbb6q6+SAv1w59uB7VTZUt54vmSVkU&#10;kLFlJZbIXj6vG9wWJqoJdC9F+Wy5WuF4Nl4Vzt31KA29EOtkEPizVdbg43oDEVQX85GTrebQJJOm&#10;4jddl6vllGbT5Lqa3zxZVc7LjKQ5/0dEwGpbw2jpp1m9EOP4KcEhizybvl9MnebVBmKugEISx5ts&#10;uWqPN9UyK+arfER3us6nI2eV447ok1hsVWDNu42iNX26Kaev+Cvgx8EeJDgvwifpMT5J6a7pZsBd&#10;p/BJnPrgBbXHIkEpyydfO5+06ksoW67J3rDygnzcUvU+16gnqvpezaMZZEdfG3LYCyPFWtBZWkq/&#10;/w3V9V67x6RlJPfUSZZRGMWQeXw/MZZ09lPCSB7ipAfFxgWlVvC981ql1Z2pZXbLV6QQLiKNWjr1&#10;6qxzJVEvBTSjWY01ekgai2yzQ4YNzg/TVz8ku6bfwonI1xA7zU/kflL8kjDMop3Gd6DeLa3BYi0c&#10;stKGWDithLmY5iIncEtz4QBnl5NEca/+UQxy0NsKYk94qeRtBVygkV47Q3Ndwjj0tJP6+o+/ff3n&#10;z17/9TeOj4PtBiOf3mnuf1CSC66Omy4Emd3ScTCe3cfD0+hsrKgW+L7YVsxzfTq1f2dVcBi4bb/H&#10;W9iy5bdM/mf8n7z61jDhVkQ+4grcUTC9BnIHtNdws8omv9i9Au62h+eb+5t7SSth4CvX3ak3k2dL&#10;XPd5VjcvsgohI0gchMGaD/FntirhOZTy08hZlNWv+o7TeDiPOAtXAyEoOEC/vM0qOB6rHxVwK1MW&#10;BLhsw78EYezhS2WeuTHPFLfrJyX8Iog33B3/SOOblfo4q8r1zxEte0yr4lRWTLD29Qjul/j4pBGB&#10;MUTbJvnjx3wQolSbrHlefLSZKD+yKB/fNuVsyR291vmREuOCvk+MhxDCwGBvHDyPveMkUEYpAovS&#10;KFXsnaqQQiC2z/ncveMLa6bVZywzgi8fGjOG2vg1mBEHz2PGMIGAlSZMyjrOgmVGKxllvmNP9DCE&#10;JNuRjDh4JjOGUKuCGd046tjTaSg914DxM1YyWjUtgo0qlE1hjx1mxMHzmJG5SaxEY+AjbILLtGYo&#10;i2KZJrKKmkxIazXq2LdiRw+Oyg474uB57BgFAdhbxBrcQKbflNXIAm02RpxRzxeOW96OdYqsUzTf&#10;o/oRypfs/WVvENZXsf5DCSHD60e6XTE4Uq3cuWrFbQiO58E0fnw/d9t0IfnJIq7SesyQOJdOF8Z9&#10;ESEcPE/4xamL98+FX+CKhHTLG9ZLsV7KYS8l0lgQw2XGwfOYMeSRfc6MfhrY+I0NJlbTPlDdPr2p&#10;JeM+vWlKyT1AClNvpm4sZaMXAO0Cpm5lo9WbCDs/KJiNdhr2cYfpQAziDsQLubAK45DPtdzxYEFY&#10;lBPcdSl5hoysPQCvTsmzRUGkwm2eByGyJTmsS2nzbJd2Gry+aDIOnmenRUGosbu+17HTLHtb9r44&#10;e8NO25XeXO6eJb0Jui00e4BItZXeFiXBOVogSC4f8jEgUzwgaNQQKPDU0FBgihSfjHV7ImjUGq1M&#10;5V1C90gwcLUE7p68oT34H42DeKvVAv0gjLeG8zcwyP1hXQxo9fEQB4TSlFxMsZ13ad3Th+aeagtt&#10;n3tqWmt7uKMXSxsnKVxfzicIY3QcVVst9MD4hOCEO6YODraS4xRHNYkixRvIxNvcpwWESuvmbZk6&#10;gY7hGgkFHPzK7O15lr0t3hls9FYteUDvdqW3wOOd4aiGCeoXpKPq2nyZBd+jNOCEfBkF8YQpIUxO&#10;w63EqVbinmJshozApNzY9AOUiOIqrYMZE9CKCrd4TGU/1uRb517K5hZvtiS4TWGo7h8yfXFSYVXs&#10;a5ni76S1NCAkTGXUV9e49s5ry6q6M/XLhzjeav1xiaIqqhIRjO9Qy5KW08l0lt8E0kc1KNEVVHFE&#10;Fgrn78DtAql5WJyXAIuSRf2QKDC7Fc0XzKAJWs1M0WyBDs2n8oYm6MZQL5v8E5j5s/UKVUnfu3IY&#10;6oZiN3Du6BNzVUhyZ9Kn5iTXWTioUnY14mtn+CdUfGmsQVc+voY5yfeSNGLHFwLJ2oUiN/VT//hC&#10;5iQvRLVedHwhODPtQizEOgOeyJyU+n6ahscXQrpQL5RgRhoffyBzTsjQQGMA5SAw9TohCv+8AYQz&#10;56DGMfXD4PgDYUvohbwUnYyi4w9kzolTLwIRjvIcIvV6Hff4EuZwyc3H10Ac85Q1zOFpGqHe+PgS&#10;sLv0El4cJ8kAcplzIuZjUx9fh9DHeqHQ9XF7x4m2NSlBK6Z0wNahomq9Uur5LBjA0luTfBal6QBW&#10;oxC0XomxMAECe8BDmbNi3F6UDCCfubdZCMYeJOK2ZqVJlAxZytzeSIIGcewNeKqtWZ6bss4egg7R&#10;WiJbiN48UCf3hdQc+ITaT7QTE2Wzm7KmXlymGoGyUl+hIKDecEnMIrVzZDI4wpzMVf7gyXhd5mRu&#10;UA6ejBdgTuZBy8GTQVJzsjI2hz2zsF41wRTmf9hkCERzZW7+Dr5tgTXTK/Ps5eDJImGpJ/NI3uDJ&#10;wonUk3kaYvBkEjbmQ+P7STzWZbLTuEyms/S96wq2YS+MdRgN30+6+Q6rsS1eEySU+5RK5qmD4Yp3&#10;MGxQ1n09qkYOOhje0JJoXpE1tL3VR+pcpaw9Z4HP0pSj82sUpn9c8pEN77wn7EP+HhT12zGrojOW&#10;W5D0zoT5Jp9YDVP/b8SlhbXGLy2MsMPDhc3FhwtT6uBwYTnx0cIgOjha2D98tDRrDg4XVgwfLoyT&#10;g6MFFysqCyZQpFD/C5KIkcJQOHhJYRfwGxDq/uBoodz5aKGyD44WCpqPFmr34GipZAUtuOo8PFwo&#10;Sj6ccfV3eLhQdmI4V2Gd4ZNVWeeCpMTlXANpdqddYjhH+6uk9neLE60jfEZlikM60hnp6T2N5nBT&#10;Pc0kZAcJ0dohSlDhrVo7+IGHlpaytYM8I1o7yDOqU4NuijfJi9yf0h6eoGNnlcmeNWXVLErZzPRZ&#10;VRYNkRI3Q536frKcO9USqr5ZVHn+AjJkuuTNHwRp6/aS9UZeGhcobyu0zqCL7K85g/jU4/DoYvrb&#10;DZT2IXqicxE9vcEJVeKnQxO23vTB1Zu20aML9UfTkaM2PWXm5U/LvWqYGUOURmx0xZQWRWlRlFwA&#10;X64ZD4zXrXRAt1+tMG5lmopyAlynNE/ggFLzabLEl1P4ntzTQ9C/mKpTPhVs83PCOt26Bn3ZF2xl&#10;OhbthmL5NpkAv4FCraEI4EJrqTbWqm2t7QJ3wIghk4Eof0H2wgvrAlcQPsKNSHY4RXaihQRTqU/m&#10;BtztMljDFu3bTmYX5u4ew0A0fTqDu+PE6NazU5Rtu/XYpnripzL662BJEe8IWjOff4qgRWhexLjM&#10;bpnWSLUdI98SQJACtiZmZcdI5X6UlLmnAFcQUQxFKNpnzEs61d4WJv2wYNLUi31HBvJ3eo46dtte&#10;9+EOzM6qY6uOD6pjpOZ2WFG2vD65sDxOYpEmJCGFrk48OKzUse3jaNv1HGzXQy7zDiuaRWenWIYp&#10;UE8y/+TGAi/aeuCWFS0rHmRFKl3ssiKOnRcNCt1UBYN8V1RRGqxIAAUOOrZ9v2070Z4fauvrJnp2&#10;M1GGH0YUKCCk2V0Ajbc1tOVFayweMhbbPi2nI9MB2pD6ONQ/QaVMQ4tM5/twFwKPWFkLRbXIdBQb&#10;WGQ6iGCR6UeB/KTK9NaxyHRVR2OR6RaZvheNL1IpGqy8hRY+isa3yPRPLTKdcwlHjR6u+yAwzxYq&#10;f4vXCHOrK0gsMr3kENstmLxFphNNBODdItPXHOpm/iLhFpbaItP/f5Dp3tcLTI8QlOSlOCwg0I+N&#10;Fn1Lfj7TBKbv+6w7H7zZvhBMc6zsC4ED4LMTfyqeatEEPoLFUdr9mSTUWiHqSVF2hhIqwca6NUT/&#10;1LY3xO5kjeZtSXexX0Dvg6kKep2crTUfPPZ92TJDxeRs3YnNkR3MkWmoU1trYqKbTknWMkBKBXCA&#10;AcrkKoj+feNM6GejLV7a4qUvi5fWGNX+bqcmXHUPio9Mcvmz5pCzqfB3wd1Jt8WpbYX7sLB7Grp3&#10;cgqMoRuRyIGBD3Z+WNTmwGwO7EDvLAiQNp1huzPZHJjtzoTOc7Y7kxYKzHZnkr0JO01zTuuZ00lM&#10;bOUlbA6Mgu6dFl7CotFJQ5sDszkwlZlhtjsT1bib/a2ASkEU0nZn0tk72YqQk0WoMIpmIsKq6Ga7&#10;M6GB4mRRopWS7c50dYce4puqPBiY7Klo8s/uzcRSj3JqlDroSSzYIPnDDZK3yRvebGQ+vptvuOSR&#10;/c2eZk1mfuejxrlXLsrVNK8e/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zEQAAW0NvbnRlbnRfVHlwZXNdLnhtbFBLAQIUAAoAAAAAAIdO4kAA&#10;AAAAAAAAAAAAAAAGAAAAAAAAAAAAEAAAAFUQAABfcmVscy9QSwECFAAUAAAACACHTuJAihRmPNEA&#10;AACUAQAACwAAAAAAAAABACAAAAB5EAAAX3JlbHMvLnJlbHNQSwECFAAKAAAAAACHTuJAAAAAAAAA&#10;AAAAAAAABAAAAAAAAAAAABAAAAAAAAAAZHJzL1BLAQIUABQAAAAIAIdO4kAoMnbK2QAAAAkBAAAP&#10;AAAAAAAAAAEAIAAAACIAAABkcnMvZG93bnJldi54bWxQSwECFAAUAAAACACHTuJAlLJCHAEPAACa&#10;ogAADgAAAAAAAAABACAAAAAoAQAAZHJzL2Uyb0RvYy54bWxQSwUGAAAAAAYABgBZAQAAmxIAAAAA&#10;">
                      <o:lock v:ext="edit" aspectratio="f"/>
                      <v:group id="_x0000_s1026" o:spid="_x0000_s1026" o:spt="203" style="position:absolute;left:16134;top:174397;height:5890;width:7828;" coordorigin="2558,310088" coordsize="7828,589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702;top:314535;height:1;width:3010;" coordorigin="5702,314535" coordsize="3010,1"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5702;top:314535;flip:y;height:1;width:776;" filled="f" stroked="t" coordsize="21600,21600" o:gfxdata="UEsDBAoAAAAAAIdO4kAAAAAAAAAAAAAAAAAEAAAAZHJzL1BLAwQUAAAACACHTuJAe6CtorsAAADc&#10;AAAADwAAAGRycy9kb3ducmV2LnhtbEVPy4rCMBTdC/MP4Q64EU1VFOk0dTG+ZiNidfaX5k5bbG5K&#10;E7X9+8lCcHk472TdmVo8qHWVZQXTSQSCOLe64kLB9bIbr0A4j6yxtkwKenKwTj8GCcbaPvlMj8wX&#10;IoSwi1FB6X0TS+nykgy6iW2IA/dnW4M+wLaQusVnCDe1nEXRUhqsODSU2NB3SfktuxsFm+y02P2O&#10;rt2szw/HbL+6nbjfKjX8nEZfIDx1/i1+uX+0gvk8rA1nwh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CtorsAAADc&#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_x0000_s1026" o:spid="_x0000_s1026" o:spt="32" type="#_x0000_t32" style="position:absolute;left:7936;top:314536;flip:y;height:1;width:776;" filled="f" stroked="t" coordsize="21600,21600" o:gfxdata="UEsDBAoAAAAAAIdO4kAAAAAAAAAAAAAAAAAEAAAAZHJzL1BLAwQUAAAACACHTuJAFOwIOcAAAADc&#10;AAAADwAAAGRycy9kb3ducmV2LnhtbEWPT2vCQBTE70K/w/IKvZS6+YOiqauHtlovIo32/si+JsHs&#10;25DdmuTbu4WCx2FmfsOsNoNpxJU6V1tWEE8jEMSF1TWXCs6n7csChPPIGhvLpGAkB5v1w2SFmbY9&#10;f9E196UIEHYZKqi8bzMpXVGRQTe1LXHwfmxn0AfZlVJ32Ae4aWQSRXNpsOawUGFLbxUVl/zXKHjP&#10;j7Pt9/N5SMbi85DvFpcjjx9KPT3G0SsIT4O/h//be60gTZfwdyYcAb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7Ag5&#10;wAAAANwAAAAPAAAAAAAAAAEAIAAAACIAAABkcnMvZG93bnJldi54bWxQSwECFAAUAAAACACHTuJA&#10;My8FnjsAAAA5AAAAEAAAAAAAAAABACAAAAAPAQAAZHJzL3NoYXBleG1sLnhtbFBLBQYAAAAABgAG&#10;AFsBAAC5AwAAAAA=&#10;">
                            <v:fill on="f" focussize="0,0"/>
                            <v:stroke color="#000000 [3213]" joinstyle="round" endarrow="block"/>
                            <v:imagedata o:title=""/>
                            <o:lock v:ext="edit" aspectratio="f"/>
                          </v:shape>
                        </v:group>
                        <v:group id="_x0000_s1026" o:spid="_x0000_s1026" o:spt="203" style="position:absolute;left:2558;top:310088;height:5890;width:7828;" coordorigin="2566,310081" coordsize="7828,589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5675;top:311186;height:202;width:815;" coordorigin="5675,311186" coordsize="815,20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5675;top:311186;flip:y;height:1;width:776;" filled="f" stroked="t" coordsize="21600,21600" o:gfxdata="UEsDBAoAAAAAAIdO4kAAAAAAAAAAAAAAAAAEAAAAZHJzL1BLAwQUAAAACACHTuJAXqbKV74AAADa&#10;AAAADwAAAGRycy9kb3ducmV2LnhtbEWPQWvCQBSE70L/w/IKXsRsFFrS6OpBq+2lhKbx/sg+k2D2&#10;bchuTfLvu4VCj8PMfMNs96NpxZ1611hWsIpiEMSl1Q1XCoqv0zIB4TyyxtYyKZjIwX73MNtiqu3A&#10;n3TPfSUChF2KCmrvu1RKV9Zk0EW2Iw7e1fYGfZB9JXWPQ4CbVq7j+FkabDgs1NjRoabyln8bBcc8&#10;ezpdFsW4nsq3j/yc3DKeXpWaP67iDQhPo/8P/7XftYIX+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bKV74A&#10;AADa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5680;top:311382;flip:x y;height:6;width:811;" filled="f" stroked="t" coordsize="21600,21600" o:gfxdata="UEsDBAoAAAAAAIdO4kAAAAAAAAAAAAAAAAAEAAAAZHJzL1BLAwQUAAAACACHTuJAVbwlEb4AAADb&#10;AAAADwAAAGRycy9kb3ducmV2LnhtbEWPT2sCMRDF74V+hzCCt5psKaJbowehUGhF/HPpbdiMu4ub&#10;Sdykq35751DobYb35r3fLFY336mB+tQGtlBMDCjiKriWawvHw8fLDFTKyA67wGThTglWy+enBZYu&#10;XHlHwz7XSkI4lWihyTmWWqeqIY9pEiKxaKfQe8yy9rV2PV4l3Hf61Zip9tiyNDQYad1Qdd7/egsn&#10;E6vt/PDlLpf4NtTfP8dYbM7WjkeFeQeV6Zb/zX/Xn07whV5+kQH0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wlEb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group>
                          <v:group id="_x0000_s1026" o:spid="_x0000_s1026" o:spt="203" style="position:absolute;left:2566;top:310081;height:5890;width:7828;" coordorigin="4724,310049" coordsize="7828,589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4724;top:313004;height:1203;width:433;" fillcolor="#FFFFFF [3201]" filled="t" stroked="t" coordsize="21600,21600" o:gfxdata="UEsDBAoAAAAAAIdO4kAAAAAAAAAAAAAAAAAEAAAAZHJzL1BLAwQUAAAACACHTuJACUsfW7cAAADc&#10;AAAADwAAAGRycy9kb3ducmV2LnhtbEWPwQrCMBBE74L/EFbwpqktiFSjoCCIN7UXb0uztsVmU5Jo&#10;9e+NIHgcZuYNs9q8TCue5HxjWcFsmoAgLq1uuFJQXPaTBQgfkDW2lknBmzxs1sPBCnNtez7R8xwq&#10;ESHsc1RQh9DlUvqyJoN+ajvi6N2sMxiidJXUDvsIN61Mk2QuDTYcF2rsaFdTeT8/jILDfBuuVOij&#10;ztLM9oUs3a31So1Hs2QJItAr/MO/9kEryNIU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Sx9b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新鲜水</w:t>
                                    </w:r>
                                  </w:p>
                                </w:txbxContent>
                              </v:textbox>
                            </v:shape>
                            <v:shape id="_x0000_s1026" o:spid="_x0000_s1026" o:spt="202" type="#_x0000_t202" style="position:absolute;left:7846;top:312001;height:422;width:910;" filled="f" stroked="f" coordsize="21600,21600" o:gfxdata="UEsDBAoAAAAAAIdO4kAAAAAAAAAAAAAAAAAEAAAAZHJzL1BLAwQUAAAACACHTuJAWggQErwAAADc&#10;AAAADwAAAGRycy9kb3ducmV2LnhtbEVPSYvCMBS+D/gfwhPmNqY6uFAbRQoyw6AHl4u3Z/O6YPNS&#10;m4zbrzcHwePHtyfzm6nFhVpXWVbQ70UgiDOrKy4U7HfLrwkI55E11pZJwZ0czGedjwRjba+8ocvW&#10;FyKEsItRQel9E0vpspIMup5tiAOX29agD7AtpG7xGsJNLQdRNJIGKw4NJTaUlpSdtv9GwV+6XOPm&#10;ODCTR53+rPJFc94fhkp9dvvRFISnm3+LX+5freB7HOaHM+EI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IEBK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eastAsia="宋体"/>
                                        <w:lang w:val="en-US" w:eastAsia="zh-CN"/>
                                      </w:rPr>
                                    </w:pPr>
                                    <w:r>
                                      <w:rPr>
                                        <w:rFonts w:hint="eastAsia"/>
                                        <w:lang w:val="en-US" w:eastAsia="zh-CN"/>
                                      </w:rPr>
                                      <w:t>400</w:t>
                                    </w:r>
                                  </w:p>
                                </w:txbxContent>
                              </v:textbox>
                            </v:shape>
                            <v:shape id="_x0000_s1026" o:spid="_x0000_s1026" o:spt="202" type="#_x0000_t202" style="position:absolute;left:5804;top:311916;height:422;width:910;" filled="f" stroked="f" coordsize="21600,21600" o:gfxdata="UEsDBAoAAAAAAIdO4kAAAAAAAAAAAAAAAAAEAAAAZHJzL1BLAwQUAAAACACHTuJAgIfl778AAADc&#10;AAAADwAAAGRycy9kb3ducmV2LnhtbEWPS4vCQBCE74L/YWjBm05UFDfrKBKQFdGDj8veejNtEsz0&#10;ZDPj89c7guCxqKqvqMnsZkpxodoVlhX0uhEI4tTqgjMFh/2iMwbhPLLG0jIpuJOD2bTZmGCs7ZW3&#10;dNn5TAQIuxgV5N5XsZQuzcmg69qKOHhHWxv0QdaZ1DVeA9yUsh9FI2mw4LCQY0VJTulpdzYKVsli&#10;g9u/vhk/yuRnfZxX/4ffoVLtVi/6BuHp5j/hd3upFQyGX/A6E46An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H5e+/&#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宋体"/>
                                        <w:lang w:val="en-US" w:eastAsia="zh-CN"/>
                                      </w:rPr>
                                    </w:pPr>
                                    <w:r>
                                      <w:rPr>
                                        <w:rFonts w:hint="eastAsia"/>
                                        <w:lang w:val="en-US" w:eastAsia="zh-CN"/>
                                      </w:rPr>
                                      <w:t>400</w:t>
                                    </w:r>
                                  </w:p>
                                </w:txbxContent>
                              </v:textbox>
                            </v:shape>
                            <v:shape id="_x0000_s1026" o:spid="_x0000_s1026" o:spt="202" type="#_x0000_t202" style="position:absolute;left:5550;top:310762;height:412;width:955;" filled="f" stroked="f" coordsize="21600,21600" o:gfxdata="UEsDBAoAAAAAAIdO4kAAAAAAAAAAAAAAAAAEAAAAZHJzL1BLAwQUAAAACACHTuJA8Rhxnb4AAADc&#10;AAAADwAAAGRycy9kb3ducmV2LnhtbEWPS6vCMBSE94L/IRzh7jTViyLVKFIQ5aILHxt3x+bYFpuT&#10;2sTH9dcbQXA5zMw3zHj6MKW4Ue0Kywq6nQgEcWp1wZmC/W7eHoJwHlljaZkU/JOD6aTZGGOs7Z03&#10;dNv6TAQIuxgV5N5XsZQuzcmg69iKOHgnWxv0QdaZ1DXeA9yUshdFA2mw4LCQY0VJTul5ezUK/pL5&#10;GjfHnhk+y2SxOs2qy/7QV+qn1Y1GIDw9/Df8aS+1gt/+AN5nwhGQk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hxn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宋体"/>
                                        <w:lang w:val="en-US" w:eastAsia="zh-CN"/>
                                      </w:rPr>
                                    </w:pPr>
                                    <w:r>
                                      <w:rPr>
                                        <w:rFonts w:hint="eastAsia"/>
                                        <w:lang w:val="en-US" w:eastAsia="zh-CN"/>
                                      </w:rPr>
                                      <w:t>33.53</w:t>
                                    </w:r>
                                  </w:p>
                                </w:txbxContent>
                              </v:textbox>
                            </v:shape>
                            <v:shape id="_x0000_s1026" o:spid="_x0000_s1026" o:spt="202" type="#_x0000_t202" style="position:absolute;left:10874;top:314315;height:422;width:1678;" filled="f" stroked="f" coordsize="21600,21600" o:gfxdata="UEsDBAoAAAAAAIdO4kAAAAAAAAAAAAAAAAAEAAAAZHJzL1BLAwQUAAAACACHTuJASn+zisEAAADc&#10;AAAADwAAAGRycy9kb3ducmV2LnhtbEWPT2vCQBTE7wW/w/IKvdVdU6whuooEgqW0B/9cvD2zzyQ0&#10;+zZmt2r76bsFweMwM79hZourbcWZet841jAaKhDEpTMNVxp22+I5BeEDssHWMWn4IQ+L+eBhhplx&#10;F17TeRMqESHsM9RQh9BlUvqyJot+6Dri6B1dbzFE2VfS9HiJcNvKRKlXabHhuFBjR3lN5dfm22p4&#10;z4tPXB8Sm/62+erjuOxOu/1Y66fHkZqCCHQN9/Ct/WY0vEzG8H8mHgE5/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n+z&#10;isEAAADc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rPr>
                                        <w:rFonts w:hint="eastAsia" w:eastAsia="宋体"/>
                                        <w:lang w:val="en-US" w:eastAsia="zh-CN"/>
                                      </w:rPr>
                                    </w:pPr>
                                    <w:r>
                                      <w:rPr>
                                        <w:rFonts w:hint="eastAsia"/>
                                        <w:lang w:val="en-US" w:eastAsia="zh-CN"/>
                                      </w:rPr>
                                      <w:t>定期清运肥田</w:t>
                                    </w:r>
                                  </w:p>
                                </w:txbxContent>
                              </v:textbox>
                            </v:shape>
                            <v:shape id="_x0000_s1026" o:spid="_x0000_s1026" o:spt="202" type="#_x0000_t202" style="position:absolute;left:6445;top:311048;height:465;width:1410;" fillcolor="#FFFFFF [3201]" filled="t" stroked="t" coordsize="21600,21600" o:gfxdata="UEsDBAoAAAAAAIdO4kAAAAAAAAAAAAAAAAAEAAAAZHJzL1BLAwQUAAAACACHTuJAZge6wLYAAADc&#10;AAAADwAAAGRycy9kb3ducmV2LnhtbEWPwQrCMBBE74L/EFbwpmkVRKqxoCCIN7UXb0uztsVmU5Jo&#10;9e+NIHgc5s0Ms85fphVPcr6xrCCdJiCIS6sbrhQUl/1kCcIHZI2tZVLwJg/5ZjhYY6Ztzyd6nkMl&#10;Ygn7DBXUIXSZlL6syaCf2o44ejfrDIYoXSW1wz6Wm1bOkmQhDTYcF2rsaFdTeT8/jILDYhuuVOij&#10;ns/mti9k6W6tV2o8SpMViECv8Id/6YNWEGn4nolH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YHusC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跳汰洗煤</w:t>
                                    </w:r>
                                  </w:p>
                                </w:txbxContent>
                              </v:textbox>
                            </v:shape>
                            <v:shape id="_x0000_s1026" o:spid="_x0000_s1026" o:spt="32" type="#_x0000_t32" style="position:absolute;left:5895;top:314530;height:0;width:548;" filled="f" stroked="t" coordsize="21600,21600" o:gfxdata="UEsDBAoAAAAAAIdO4kAAAAAAAAAAAAAAAAAEAAAAZHJzL1BLAwQUAAAACACHTuJAqdRtU7sAAADc&#10;AAAADwAAAGRycy9kb3ducmV2LnhtbEVPy2oCMRTdC/2HcAvdacYKg06NQivS2Sg4SunyMrmdhE5u&#10;hkl8fr1ZCC4P5z1fXlwrTtQH61nBeJSBIK69ttwoOOzXwymIEJE1tp5JwZUCLBcvgzkW2p95R6cq&#10;NiKFcChQgYmxK6QMtSGHYeQ74sT9+d5hTLBvpO7xnMJdK9+zLJcOLacGgx19Gar/q6NTEFe/V5P/&#10;1J8zu91/b3J7K8typdTb6zj7ABHpEp/ih7vUCiaTND+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RtU7sAAADc&#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_x0000_s1026" o:spid="_x0000_s1026" o:spt="202" type="#_x0000_t202" style="position:absolute;left:7908;top:314038;height:422;width:910;" filled="f" stroked="f" coordsize="21600,21600" o:gfxdata="UEsDBAoAAAAAAIdO4kAAAAAAAAAAAAAAAAAEAAAAZHJzL1BLAwQUAAAACACHTuJAxZYr/r8AAADc&#10;AAAADwAAAGRycy9kb3ducmV2LnhtbEWPT4vCMBTE78J+h/AW9qapFV2pRpGCuCx60PXi7dk822Lz&#10;Upus/z69EQSPw8z8hhlPr6YSZ2pcaVlBtxOBIM6sLjlXsP2bt4cgnEfWWFkmBTdyMJ18tMaYaHvh&#10;NZ03PhcBwi5BBYX3dSKlywoy6Dq2Jg7ewTYGfZBNLnWDlwA3lYyjaCANlhwWCqwpLSg7bv6Ngt90&#10;vsL1PjbDe5UulodZfdru+kp9fXajEQhPV/8Ov9o/WkHvO4bnmXAE5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WK/6/&#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宋体"/>
                                        <w:lang w:val="en-US" w:eastAsia="zh-CN"/>
                                      </w:rPr>
                                    </w:pPr>
                                    <w:r>
                                      <w:rPr>
                                        <w:rFonts w:hint="eastAsia"/>
                                        <w:lang w:val="en-US" w:eastAsia="zh-CN"/>
                                      </w:rPr>
                                      <w:t>5.6</w:t>
                                    </w:r>
                                  </w:p>
                                </w:txbxContent>
                              </v:textbox>
                            </v:shape>
                            <v:shape id="_x0000_s1026" o:spid="_x0000_s1026" o:spt="202" type="#_x0000_t202" style="position:absolute;left:5811;top:313941;height:422;width:910;" filled="f" stroked="f" coordsize="21600,21600" o:gfxdata="UEsDBAoAAAAAAIdO4kAAAAAAAAAAAAAAAAAEAAAAZHJzL1BLAwQUAAAACACHTuJAsJ0jVMAAAADc&#10;AAAADwAAAGRycy9kb3ducmV2LnhtbEWPQWvCQBSE74L/YXkFb2YTS0VSVykBsUg9GHPp7TX7TEKz&#10;b2N21bS/3i0UPA4z8w2zXA+mFVfqXWNZQRLFIIhLqxuuFBTHzXQBwnlkja1lUvBDDtar8WiJqbY3&#10;PtA195UIEHYpKqi971IpXVmTQRfZjjh4J9sb9EH2ldQ93gLctHIWx3NpsOGwUGNHWU3ld34xCnbZ&#10;Zo+Hr5lZ/LbZ9uP01p2LzxelJk9J/ArC0+Af4f/2u1bwPE/g70w4An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nSN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eastAsia="宋体"/>
                                        <w:lang w:val="en-US" w:eastAsia="zh-CN"/>
                                      </w:rPr>
                                    </w:pPr>
                                    <w:r>
                                      <w:rPr>
                                        <w:rFonts w:hint="eastAsia"/>
                                        <w:lang w:val="en-US" w:eastAsia="zh-CN"/>
                                      </w:rPr>
                                      <w:t>7</w:t>
                                    </w:r>
                                  </w:p>
                                </w:txbxContent>
                              </v:textbox>
                            </v:shape>
                            <v:shape id="_x0000_s1026" o:spid="_x0000_s1026" o:spt="32" type="#_x0000_t32" style="position:absolute;left:5907;top:312425;height:0;width:548;" filled="f" stroked="t" coordsize="21600,21600" o:gfxdata="UEsDBAoAAAAAAIdO4kAAAAAAAAAAAAAAAAAEAAAAZHJzL1BLAwQUAAAACACHTuJANkpWv74AAADc&#10;AAAADwAAAGRycy9kb3ducmV2LnhtbEWPT2sCMRTE7wW/Q3iCt5pVYWlXo6Ai7qWFqojHx+a5CW5e&#10;lk3810/fFAo9DjPzG2a2eLhG3KgL1rOC0TADQVx5bblWcNhvXt9AhIissfFMCp4UYDHvvcyw0P7O&#10;X3TbxVokCIcCFZgY20LKUBlyGIa+JU7e2XcOY5JdLXWH9wR3jRxnWS4dWk4LBltaGaouu6tTENen&#10;p8mP1fLdfu63H7n9LstyrdSgP8qmICI94n/4r11qBZPJGH7PpCM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pWv7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5909;top:315753;height:0;width:548;" filled="f" stroked="t" coordsize="21600,21600" o:gfxdata="UEsDBAoAAAAAAIdO4kAAAAAAAAAAAAAAAAAEAAAAZHJzL1BLAwQUAAAACACHTuJAWQbzJL8AAADc&#10;AAAADwAAAGRycy9kb3ducmV2LnhtbEWPS2vDMBCE74H+B7GF3hI5MZjEiRJoQqkvLeRByHGxNpao&#10;tTKWmkd/fVUo5DjMzDfMYnVzrbhQH6xnBeNRBoK49tpyo+CwfxtOQYSIrLH1TAruFGC1fBossNT+&#10;ylu67GIjEoRDiQpMjF0pZagNOQwj3xEn7+x7hzHJvpG6x2uCu1ZOsqyQDi2nBYMdrQ3VX7tvpyBu&#10;TndTHOvXmf3cv38U9qeqqo1SL8/jbA4i0i0+wv/tSivI8xz+zq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G8yS/&#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_x0000_s1026" o:spid="_x0000_s1026" o:spt="202" type="#_x0000_t202" style="position:absolute;left:6460;top:312207;height:465;width:1410;" fillcolor="#FFFFFF [3201]" filled="t" stroked="t" coordsize="21600,21600" o:gfxdata="UEsDBAoAAAAAAIdO4kAAAAAAAAAAAAAAAAAEAAAAZHJzL1BLAwQUAAAACACHTuJA6e4itLoAAADc&#10;AAAADwAAAGRycy9kb3ducmV2LnhtbEWPQYvCMBSE7wv+h/AEb2tqu8h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7iK0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制浆</w:t>
                                    </w:r>
                                  </w:p>
                                </w:txbxContent>
                              </v:textbox>
                            </v:shape>
                            <v:shape id="_x0000_s1026" o:spid="_x0000_s1026" o:spt="202" type="#_x0000_t202" style="position:absolute;left:6452;top:314321;height:465;width:1410;" fillcolor="#FFFFFF [3201]" filled="t" stroked="t" coordsize="21600,21600" o:gfxdata="UEsDBAoAAAAAAIdO4kAAAAAAAAAAAAAAAAAEAAAAZHJzL1BLAwQUAAAACACHTuJAdnAZWLsAAADc&#10;AAAADwAAAGRycy9kb3ducmV2LnhtbEWPS2vDMBCE74X+B7GF3Br5ASY4lg0pFEJvSX3JbbHWD2Kt&#10;jKTa6b+vCoUeh5n5hqmah5nFSs5PlhWk+wQEcWf1xIOC9vP99QDCB2SNs2VS8E0emvr5qcJS240v&#10;tF7DICKEfYkKxhCWUkrfjWTQ7+1CHL3eOoMhSjdI7XCLcDPLLEkKaXDiuDDiQm8jdffrl1FwLk7h&#10;Rq3+0HmW262Vnetnr9TuJU2OIAI9wn/4r33WCvKsgN8z8QjI+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AZWL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生活用水</w:t>
                                    </w:r>
                                  </w:p>
                                </w:txbxContent>
                              </v:textbox>
                            </v:shape>
                            <v:shape id="_x0000_s1026" o:spid="_x0000_s1026" o:spt="202" type="#_x0000_t202" style="position:absolute;left:6438;top:315474;height:465;width:1410;" fillcolor="#FFFFFF [3201]" filled="t" stroked="t" coordsize="21600,21600" o:gfxdata="UEsDBAoAAAAAAIdO4kAAAAAAAAAAAAAAAAAEAAAAZHJzL1BLAwQUAAAACACHTuJAGTy8w7oAAADc&#10;AAAADwAAAGRycy9kb3ducmV2LnhtbEWPQYvCMBSE7wv+h/AEb2tqC+5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PLzD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绿化用水</w:t>
                                    </w:r>
                                  </w:p>
                                </w:txbxContent>
                              </v:textbox>
                            </v:shape>
                            <v:line id="_x0000_s1026" o:spid="_x0000_s1026" o:spt="20" style="position:absolute;left:5912;top:311272;height:4500;width:18;" filled="f" stroked="t" coordsize="21600,21600" o:gfxdata="UEsDBAoAAAAAAIdO4kAAAAAAAAAAAAAAAAAEAAAAZHJzL1BLAwQUAAAACACHTuJA/PqnoLkAAADc&#10;AAAADwAAAGRycy9kb3ducmV2LnhtbEVPy4rCMBTdD/gP4QpuRBMrDFKNLnQKLtz4wu2lubbF5qY2&#10;GV9fbxaCy8N5zxYPW4sbtb5yrGE0VCCIc2cqLjQc9tlgAsIHZIO1Y9LwJA+Leednhqlxd97SbRcK&#10;EUPYp6ihDKFJpfR5SRb90DXEkTu71mKIsC2kafEew20tE6V+pcWKY0OJDS1Lyi+7f6vBZ0e6Zq9+&#10;3lenceEoua42f6h1rztSUxCBHuEr/rjXRsM4iW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6p6C5AAAA3A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shape id="_x0000_s1026" o:spid="_x0000_s1026" o:spt="32" type="#_x0000_t32" style="position:absolute;left:5920;top:311272;height:0;width:548;" filled="f" stroked="t" coordsize="21600,21600" o:gfxdata="UEsDBAoAAAAAAIdO4kAAAAAAAAAAAAAAAAAEAAAAZHJzL1BLAwQUAAAACACHTuJAvTdSE78AAADc&#10;AAAADwAAAGRycy9kb3ducmV2LnhtbEWPW2sCMRSE3wv+h3CEvtWsFhZdjUIVcV9a8ELp42Fz3IRu&#10;TpZNvPXXN4Lg4zAz3zCzxdU14kxdsJ4VDAcZCOLKa8u1gsN+/TYGESKyxsYzKbhRgMW89zLDQvsL&#10;b+m8i7VIEA4FKjAxtoWUoTLkMAx8S5y8o+8cxiS7WuoOLwnuGjnKslw6tJwWDLa0NFT97k5OQVz9&#10;3Ez+XX1M7Nd+85nbv7IsV0q99ofZFESka3yGH+1SK3gfTeB+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3UhO/&#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_x0000_s1026" o:spid="_x0000_s1026" o:spt="32" type="#_x0000_t32" style="position:absolute;left:7893;top:312423;flip:y;height:1;width:776;" filled="f" stroked="t" coordsize="21600,21600" o:gfxdata="UEsDBAoAAAAAAIdO4kAAAAAAAAAAAAAAAAAEAAAAZHJzL1BLAwQUAAAACACHTuJAZXOcS74AAADc&#10;AAAADwAAAGRycy9kb3ducmV2LnhtbEWPT4vCMBTE74LfITzBi2iqokg1evDP7l5Etur90TzbYvNS&#10;mqjtt98Iwh6HmfkNs9o0phRPql1hWcF4FIEgTq0uOFNwOR+GCxDOI2ssLZOClhxs1t3OCmNtX/xL&#10;z8RnIkDYxagg976KpXRpTgbdyFbEwbvZ2qAPss6krvEV4KaUkyiaS4MFh4UcK9rmlN6Th1GwS06z&#10;w3VwaSZt+n1Mvhb3E7d7pfq9cbQE4anx/+FP+0crmE7n8D4Tj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OcS7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202" type="#_x0000_t202" style="position:absolute;left:8663;top:314318;height:465;width:1410;" fillcolor="#FFFFFF [3201]" filled="t" stroked="t" coordsize="21600,21600" o:gfxdata="UEsDBAoAAAAAAIdO4kAAAAAAAAAAAAAAAAAEAAAAZHJzL1BLAwQUAAAACACHTuJASwrBF7UAAADc&#10;AAAADwAAAGRycy9kb3ducmV2LnhtbEVPvQrCMBDeBd8hnOBmU62IVKOgIIib2sXtaM622FxKEq2+&#10;vRkEx4/vf719m1a8yPnGsoJpkoIgLq1uuFJQXA+TJQgfkDW2lknBhzxsN8PBGnNtez7T6xIqEUPY&#10;56igDqHLpfRlTQZ9YjviyN2tMxgidJXUDvsYblo5S9OFNNhwbKixo31N5ePyNAqOi124UaFPOptl&#10;ti9k6e6tV2o8mqYrEIHe4S/+uY9aQTaP8+OZeAT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wrBF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化粪池</w:t>
                                    </w:r>
                                  </w:p>
                                </w:txbxContent>
                              </v:textbox>
                            </v:shape>
                            <v:shape id="_x0000_s1026" o:spid="_x0000_s1026" o:spt="202" type="#_x0000_t202" style="position:absolute;left:8663;top:312218;height:465;width:1410;" fillcolor="#FFFFFF [3201]" filled="t" stroked="t" coordsize="21600,21600" o:gfxdata="UEsDBAoAAAAAAIdO4kAAAAAAAAAAAAAAAAAEAAAAZHJzL1BLAwQUAAAACACHTuJA1JT6+7oAAADc&#10;AAAADwAAAGRycy9kb3ducmV2LnhtbEWPQYvCMBSE7wv+h/AEb2tqu8hSTQsKgnjT7WVvj+bZFpuX&#10;kkSr/94IgsdhZr5h1uXd9OJGzneWFSzmCQji2uqOGwXV3+77F4QPyBp7y6TgQR7KYvK1xlzbkY90&#10;O4VGRAj7HBW0IQy5lL5uyaCf24E4emfrDIYoXSO1wzHCTS/TJFlKgx3HhRYH2rZUX05Xo2C/3IR/&#10;qvRBZ2lmx0rW7tx7pWbTRbICEegePuF3e68VZD8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lPr7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产品、晾干</w:t>
                                    </w:r>
                                  </w:p>
                                </w:txbxContent>
                              </v:textbox>
                            </v:shape>
                            <v:shape id="_x0000_s1026" o:spid="_x0000_s1026" o:spt="202" type="#_x0000_t202" style="position:absolute;left:5849;top:315041;height:422;width:910;" filled="f" stroked="f" coordsize="21600,21600" o:gfxdata="UEsDBAoAAAAAAIdO4kAAAAAAAAAAAAAAAAAEAAAAZHJzL1BLAwQUAAAACACHTuJAQE+9I8AAAADc&#10;AAAADwAAAGRycy9kb3ducmV2LnhtbEWPQWvCQBSE7wX/w/IEb3WTSEVSV5GAVKQeTL14e2afSWj2&#10;bcxuY9pf7xYKPQ4z8w2zXA+mET11rrasIJ5GIIgLq2suFZw+ts8LEM4ja2wsk4JvcrBejZ6WmGp7&#10;5yP1uS9FgLBLUUHlfZtK6YqKDLqpbYmDd7WdQR9kV0rd4T3ATSOTKJpLgzWHhQpbyioqPvMvo2Cf&#10;bQ94vCRm8dNkb+/XTXs7nV+Umozj6BWEp8H/h//aO61gNk/g90w4An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T70j&#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eastAsia="宋体"/>
                                        <w:lang w:val="en-US" w:eastAsia="zh-CN"/>
                                      </w:rPr>
                                    </w:pPr>
                                    <w:r>
                                      <w:rPr>
                                        <w:rFonts w:hint="eastAsia"/>
                                        <w:lang w:val="en-US" w:eastAsia="zh-CN"/>
                                      </w:rPr>
                                      <w:t>5.33</w:t>
                                    </w:r>
                                  </w:p>
                                </w:txbxContent>
                              </v:textbox>
                            </v:shape>
                            <v:line id="_x0000_s1026" o:spid="_x0000_s1026" o:spt="20" style="position:absolute;left:5155;top:313466;flip:y;height:4;width:745;" filled="f" stroked="t" coordsize="21600,21600" o:gfxdata="UEsDBAoAAAAAAIdO4kAAAAAAAAAAAAAAAAAEAAAAZHJzL1BLAwQUAAAACACHTuJA8SoXZr0AAADc&#10;AAAADwAAAGRycy9kb3ducmV2LnhtbEWPQWvCQBSE7wX/w/IEb7prpEWjq0ippSAU1Oj5mX0mwezb&#10;kN1G+++7gtDjMDPfMIvV3daio9ZXjjWMRwoEce5MxYWG7LAZTkH4gGywdkwafsnDatl7WWBq3I13&#10;1O1DISKEfYoayhCaVEqfl2TRj1xDHL2Lay2GKNtCmhZvEW5rmSj1Ji1WHBdKbOi9pPy6/7Ea1qft&#10;x+S7O1tXm1mRHY3N1Gei9aA/VnMQge7hP/xsfxkNk9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Khdm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id="_x0000_s1026" o:spid="_x0000_s1026" o:spt="203" style="position:absolute;left:7349;top:313753;height:591;width:910;" coordorigin="7349,313753" coordsize="910,59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 134" o:spid="_x0000_s1026" o:spt="100" style="position:absolute;left:7642;top:314062;height:282;width:452;v-text-anchor:middle;" fillcolor="#000000 [3213]" filled="t" stroked="f" coordsize="1721074,1180530" o:gfxdata="UEsDBAoAAAAAAIdO4kAAAAAAAAAAAAAAAAAEAAAAZHJzL1BLAwQUAAAACACHTuJALuLFIr4AAADc&#10;AAAADwAAAGRycy9kb3ducmV2LnhtbEWPT2vCQBTE7wW/w/KE3nSjlijRVVQslYIH/yB4e2afSTD7&#10;NmS3if32bkHocZiZ3zCzxcOUoqHaFZYVDPoRCOLU6oIzBafjZ28CwnlkjaVlUvBLDhbzztsME21b&#10;3lNz8JkIEHYJKsi9rxIpXZqTQde3FXHwbrY26IOsM6lrbAPclHIYRbE0WHBYyLGidU7p/fBjFDTx&#10;yn63PD7by3WzdL7iyWr3pdR7dxBNQXh6+P/wq73VCkYfMfydCUdAz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LFIr4A&#10;AADcAAAADwAAAAAAAAABACAAAAAiAAAAZHJzL2Rvd25yZXYueG1sUEsBAhQAFAAAAAgAh07iQDMv&#10;BZ47AAAAOQAAABAAAAAAAAAAAQAgAAAADQEAAGRycy9zaGFwZXhtbC54bWxQSwUGAAAAAAYABgBb&#10;AQAAtwMAAAAA&#10;" path="m1720704,0l1721074,328961,1609393,253106,1153934,933995,899597,519521,532223,1009354,292016,792697,0,1180530,0,996382,277886,613720,503963,839796,923147,316994,1158644,731468,1529274,198688,1414772,120917xe">
                                <v:path o:connectlocs="451,0;452,78;422,60;303,223;236,124;139,241;76,189;0,282;0,238;72,146;132,200;242,75;304,174;401,47;371,28" o:connectangles="0,0,0,0,0,0,0,0,0,0,0,0,0,0,0"/>
                                <v:fill on="t" focussize="0,0"/>
                                <v:stroke on="f" weight="0.25pt"/>
                                <v:imagedata o:title=""/>
                                <o:lock v:ext="edit" aspectratio="f"/>
                                <v:textbox inset="1.905mm,0.9525mm,1.905mm,0.9525mm"/>
                              </v:shape>
                              <v:shape id="_x0000_s1026" o:spid="_x0000_s1026" o:spt="202" type="#_x0000_t202" style="position:absolute;left:7349;top:313753;height:422;width:910;" filled="f" stroked="f" coordsize="21600,21600" o:gfxdata="UEsDBAoAAAAAAIdO4kAAAAAAAAAAAAAAAAAEAAAAZHJzL1BLAwQUAAAACACHTuJAUDgeu8AAAADc&#10;AAAADwAAAGRycy9kb3ducmV2LnhtbEWPQWvCQBSE7wX/w/IKvTUbLdUQXUUC0lLqQc3F2zP7TEKz&#10;b9Ps1qT99W5B8DjMzDfMYjWYRlyoc7VlBeMoBkFcWF1zqSA/bJ4TEM4ja2wsk4JfcrBajh4WmGrb&#10;844ue1+KAGGXooLK+zaV0hUVGXSRbYmDd7adQR9kV0rdYR/gppGTOJ5KgzWHhQpbyioqvvY/RsFH&#10;ttni7jQxyV+TvX2e1+13fnxV6ulxHM9BeBr8PXxrv2sFL9MZ/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OB6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eastAsia="宋体"/>
                                          <w:lang w:val="en-US" w:eastAsia="zh-CN"/>
                                        </w:rPr>
                                      </w:pPr>
                                      <w:r>
                                        <w:rPr>
                                          <w:rFonts w:hint="eastAsia"/>
                                          <w:lang w:val="en-US" w:eastAsia="zh-CN"/>
                                        </w:rPr>
                                        <w:t>1.4</w:t>
                                      </w:r>
                                    </w:p>
                                  </w:txbxContent>
                                </v:textbox>
                              </v:shape>
                            </v:group>
                            <v:shape id="_x0000_s1026" o:spid="_x0000_s1026" o:spt="202" type="#_x0000_t202" style="position:absolute;left:8638;top:311053;height:465;width:1410;"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浓缩、压滤</w:t>
                                    </w:r>
                                  </w:p>
                                </w:txbxContent>
                              </v:textbox>
                            </v:shape>
                            <v:shape id="_x0000_s1026" o:spid="_x0000_s1026" o:spt="32" type="#_x0000_t32" style="position:absolute;left:7149;top:310514;height:534;width:1;"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_x0000_s1026" o:spid="_x0000_s1026" o:spt="202" type="#_x0000_t202" style="position:absolute;left:10819;top:311044;height:465;width:1410;"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产品</w:t>
                                    </w:r>
                                  </w:p>
                                </w:txbxContent>
                              </v:textbox>
                            </v:shape>
                            <v:shape id="_x0000_s1026" o:spid="_x0000_s1026" o:spt="202" type="#_x0000_t202" style="position:absolute;left:7850;top:310738;height:412;width:955;"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eastAsia" w:eastAsia="宋体"/>
                                        <w:lang w:val="en-US" w:eastAsia="zh-CN"/>
                                      </w:rPr>
                                    </w:pPr>
                                    <w:r>
                                      <w:rPr>
                                        <w:rFonts w:hint="eastAsia"/>
                                        <w:lang w:val="en-US" w:eastAsia="zh-CN"/>
                                      </w:rPr>
                                      <w:t>11509</w:t>
                                    </w:r>
                                  </w:p>
                                </w:txbxContent>
                              </v:textbox>
                            </v:shape>
                            <v:shape id="_x0000_s1026" o:spid="_x0000_s1026" o:spt="202" type="#_x0000_t202" style="position:absolute;left:6444;top:310049;height:465;width:1410;"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原煤带入</w:t>
                                    </w:r>
                                  </w:p>
                                </w:txbxContent>
                              </v:textbox>
                            </v:shape>
                            <v:shape id="_x0000_s1026" o:spid="_x0000_s1026" o:spt="32" type="#_x0000_t32" style="position:absolute;left:10051;top:311285;flip:y;height:1;width:776;" filled="f" stroked="t" coordsize="21600,21600" o:gfxdata="UEsDBAoAAAAAAIdO4kAAAAAAAAAAAAAAAAAEAAAAZHJzL1BLAwQUAAAACACHTuJAey8iI7wAAADb&#10;AAAADwAAAGRycy9kb3ducmV2LnhtbEVPTWvCQBC9C/0PyxS8iNloa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vIiO8AAAA&#10;2w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_x0000_s1026" o:spid="_x0000_s1026" o:spt="202" type="#_x0000_t202" style="position:absolute;left:7066;top:310541;height:412;width:955;"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eastAsia="宋体"/>
                                        <w:lang w:val="en-US" w:eastAsia="zh-CN"/>
                                      </w:rPr>
                                    </w:pPr>
                                    <w:r>
                                      <w:rPr>
                                        <w:rFonts w:hint="eastAsia"/>
                                        <w:lang w:val="en-US" w:eastAsia="zh-CN"/>
                                      </w:rPr>
                                      <w:t>524.91</w:t>
                                    </w:r>
                                  </w:p>
                                </w:txbxContent>
                              </v:textbox>
                            </v:shape>
                            <v:shape id="_x0000_s1026" o:spid="_x0000_s1026" o:spt="202" type="#_x0000_t202" style="position:absolute;left:7877;top:311295;height:412;width:955;"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宋体"/>
                                        <w:lang w:val="en-US" w:eastAsia="zh-CN"/>
                                      </w:rPr>
                                    </w:pPr>
                                    <w:r>
                                      <w:rPr>
                                        <w:rFonts w:hint="eastAsia"/>
                                        <w:lang w:val="en-US" w:eastAsia="zh-CN"/>
                                      </w:rPr>
                                      <w:t>11509</w:t>
                                    </w:r>
                                  </w:p>
                                </w:txbxContent>
                              </v:textbox>
                            </v:shape>
                            <v:shape id="_x0000_s1026" o:spid="_x0000_s1026" o:spt="202" type="#_x0000_t202" style="position:absolute;left:9995;top:310752;height:412;width:955;"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eastAsia="宋体"/>
                                        <w:lang w:val="en-US" w:eastAsia="zh-CN"/>
                                      </w:rPr>
                                    </w:pPr>
                                    <w:r>
                                      <w:rPr>
                                        <w:rFonts w:hint="eastAsia"/>
                                        <w:lang w:val="en-US" w:eastAsia="zh-CN"/>
                                      </w:rPr>
                                      <w:t>558.44</w:t>
                                    </w:r>
                                  </w:p>
                                </w:txbxContent>
                              </v:textbox>
                            </v:shape>
                            <v:shape id="_x0000_s1026" o:spid="_x0000_s1026" o:spt="202" type="#_x0000_t202" style="position:absolute;left:5099;top:313029;height:422;width:910;"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eastAsia" w:eastAsia="宋体"/>
                                        <w:lang w:val="en-US" w:eastAsia="zh-CN"/>
                                      </w:rPr>
                                    </w:pPr>
                                    <w:r>
                                      <w:rPr>
                                        <w:rFonts w:hint="eastAsia"/>
                                        <w:lang w:val="en-US" w:eastAsia="zh-CN"/>
                                      </w:rPr>
                                      <w:t>771.36</w:t>
                                    </w:r>
                                  </w:p>
                                </w:txbxContent>
                              </v:textbox>
                            </v:shape>
                            <v:shape id="_x0000_s1026" o:spid="_x0000_s1026" o:spt="202" type="#_x0000_t202" style="position:absolute;left:10156;top:314046;height:422;width:910;"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宋体"/>
                                        <w:lang w:val="en-US" w:eastAsia="zh-CN"/>
                                      </w:rPr>
                                    </w:pPr>
                                    <w:r>
                                      <w:rPr>
                                        <w:rFonts w:hint="eastAsia"/>
                                        <w:lang w:val="en-US" w:eastAsia="zh-CN"/>
                                      </w:rPr>
                                      <w:t>5.6</w:t>
                                    </w:r>
                                  </w:p>
                                </w:txbxContent>
                              </v:textbox>
                            </v:shape>
                            <v:shape id=" 134" o:spid="_x0000_s1026" o:spt="100" style="position:absolute;left:7529;top:315202;height:282;width:452;v-text-anchor:middle;" fillcolor="#000000 [3213]" filled="t" stroked="f" coordsize="1721074,1180530" o:gfxdata="UEsDBAoAAAAAAIdO4kAAAAAAAAAAAAAAAAAEAAAAZHJzL1BLAwQUAAAACACHTuJAuWiALbwAAADb&#10;AAAADwAAAGRycy9kb3ducmV2LnhtbEWPT4vCMBTE74LfITzBm6Z6qFKNorLLyoIH/yB4ezbPtti8&#10;lCbbut/eCILHYWZ+w8yXD1OKhmpXWFYwGkYgiFOrC84UnI7fgykI55E1lpZJwT85WC66nTkm2ra8&#10;p+bgMxEg7BJUkHtfJVK6NCeDbmgr4uDdbG3QB1lnUtfYBrgp5TiKYmmw4LCQY0WbnNL74c8oaOK1&#10;/W15craX69fK+Yqn692PUv3eKJqB8PTwn/C7vdUKxjG8voQf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ogC28AAAA&#10;2wAAAA8AAAAAAAAAAQAgAAAAIgAAAGRycy9kb3ducmV2LnhtbFBLAQIUABQAAAAIAIdO4kAzLwWe&#10;OwAAADkAAAAQAAAAAAAAAAEAIAAAAAsBAABkcnMvc2hhcGV4bWwueG1sUEsFBgAAAAAGAAYAWwEA&#10;ALUDAAAAAA==&#10;" path="m1720704,0l1721074,328961,1609393,253106,1153934,933995,899597,519521,532223,1009354,292016,792697,0,1180530,0,996382,277886,613720,503963,839796,923147,316994,1158644,731468,1529274,198688,1414772,120917xe">
                              <v:path o:connectlocs="451,0;452,78;422,60;303,223;236,124;139,241;76,189;0,282;0,238;72,146;132,200;242,75;304,174;401,47;371,28" o:connectangles="0,0,0,0,0,0,0,0,0,0,0,0,0,0,0"/>
                              <v:fill on="t" focussize="0,0"/>
                              <v:stroke on="f" weight="0.25pt"/>
                              <v:imagedata o:title=""/>
                              <o:lock v:ext="edit" aspectratio="f"/>
                              <v:textbox inset="1.905mm,0.9525mm,1.905mm,0.9525mm"/>
                            </v:shape>
                            <v:shape id="文本框 367" o:spid="_x0000_s1026" o:spt="202" type="#_x0000_t202" style="position:absolute;left:7622;top:314850;height:422;width:910;"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宋体"/>
                                        <w:lang w:val="en-US" w:eastAsia="zh-CN"/>
                                      </w:rPr>
                                    </w:pPr>
                                    <w:r>
                                      <w:rPr>
                                        <w:rFonts w:hint="eastAsia"/>
                                        <w:lang w:val="en-US" w:eastAsia="zh-CN"/>
                                      </w:rPr>
                                      <w:t>5.33</w:t>
                                    </w:r>
                                  </w:p>
                                </w:txbxContent>
                              </v:textbox>
                            </v:shape>
                          </v:group>
                        </v:group>
                      </v:group>
                      <v:group id="_x0000_s1026" o:spid="_x0000_s1026" o:spt="203" style="position:absolute;left:17211;top:176948;height:1118;width:2926;" coordorigin="17211,176948" coordsize="2926,111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7211;top:177331;height:422;width:91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rPr>
                                    <w:rFonts w:hint="eastAsia" w:eastAsia="宋体"/>
                                    <w:lang w:val="en-US" w:eastAsia="zh-CN"/>
                                  </w:rPr>
                                </w:pPr>
                                <w:r>
                                  <w:rPr>
                                    <w:rFonts w:hint="eastAsia"/>
                                    <w:lang w:val="en-US" w:eastAsia="zh-CN"/>
                                  </w:rPr>
                                  <w:t>87.5</w:t>
                                </w:r>
                              </w:p>
                            </w:txbxContent>
                          </v:textbox>
                        </v:shape>
                        <v:shape id="_x0000_s1026" o:spid="_x0000_s1026" o:spt="202" type="#_x0000_t202" style="position:absolute;left:17857;top:177602;height:465;width:1410;"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洒水降尘</w:t>
                                </w:r>
                              </w:p>
                            </w:txbxContent>
                          </v:textbox>
                        </v:shape>
                        <v:shape id="_x0000_s1026" o:spid="_x0000_s1026" o:spt="32" type="#_x0000_t32" style="position:absolute;left:17294;top:177823;height:0;width:548;"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 134" o:spid="_x0000_s1026" o:spt="100" style="position:absolute;left:18969;top:177315;height:282;width:452;v-text-anchor:middle;" fillcolor="#000000 [3213]" filled="t" stroked="f" coordsize="1721074,1180530" o:gfxdata="UEsDBAoAAAAAAIdO4kAAAAAAAAAAAAAAAAAEAAAAZHJzL1BLAwQUAAAACACHTuJAZWXGLbwAAADa&#10;AAAADwAAAGRycy9kb3ducmV2LnhtbEWPQYvCMBSE74L/ITxhb5oqrEo1yiqKInjYrgje3jZv27LN&#10;S2liq//eCILHYWa+YebLmylFQ7UrLCsYDiIQxKnVBWcKTj/b/hSE88gaS8uk4E4OlotuZ46xti1/&#10;U5P4TAQIuxgV5N5XsZQuzcmgG9iKOHh/tjbog6wzqWtsA9yUchRFY2mw4LCQY0XrnNL/5GoUNOOV&#10;PbQ8OdvL7+bL+Yqnq+NOqY/eMJqB8HTz7/CrvdcKPuF5Jdw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lxi28AAAA&#10;2gAAAA8AAAAAAAAAAQAgAAAAIgAAAGRycy9kb3ducmV2LnhtbFBLAQIUABQAAAAIAIdO4kAzLwWe&#10;OwAAADkAAAAQAAAAAAAAAAEAIAAAAAsBAABkcnMvc2hhcGV4bWwueG1sUEsFBgAAAAAGAAYAWwEA&#10;ALUDAAAAAA==&#10;" path="m1720704,0l1721074,328961,1609393,253106,1153934,933995,899597,519521,532223,1009354,292016,792697,0,1180530,0,996382,277886,613720,503963,839796,923147,316994,1158644,731468,1529274,198688,1414772,120917xe">
                          <v:path o:connectlocs="451,0;452,78;422,60;303,223;236,124;139,241;76,189;0,282;0,238;72,146;132,200;242,75;304,174;401,47;371,28" o:connectangles="0,0,0,0,0,0,0,0,0,0,0,0,0,0,0"/>
                          <v:fill on="t" focussize="0,0"/>
                          <v:stroke on="f" weight="0.25pt"/>
                          <v:imagedata o:title=""/>
                          <o:lock v:ext="edit" aspectratio="f"/>
                          <v:textbox inset="1.905mm,0.9525mm,1.905mm,0.9525mm"/>
                        </v:shape>
                        <v:shape id="文本框 367" o:spid="_x0000_s1026" o:spt="202" type="#_x0000_t202" style="position:absolute;left:19227;top:176948;height:422;width:910;"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rPr>
                                    <w:rFonts w:hint="eastAsia" w:eastAsia="宋体"/>
                                    <w:lang w:val="en-US" w:eastAsia="zh-CN"/>
                                  </w:rPr>
                                </w:pPr>
                                <w:r>
                                  <w:rPr>
                                    <w:rFonts w:hint="eastAsia"/>
                                    <w:lang w:val="en-US" w:eastAsia="zh-CN"/>
                                  </w:rPr>
                                  <w:t>87.5</w:t>
                                </w:r>
                              </w:p>
                            </w:txbxContent>
                          </v:textbox>
                        </v:shape>
                      </v:group>
                    </v:group>
                  </w:pict>
                </mc:Fallback>
              </mc:AlternateContent>
            </w: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adjustRightInd w:val="0"/>
              <w:snapToGrid w:val="0"/>
              <w:rPr>
                <w:kern w:val="0"/>
                <w:sz w:val="24"/>
              </w:rPr>
            </w:pPr>
          </w:p>
          <w:p>
            <w:pPr>
              <w:pStyle w:val="2"/>
            </w:pPr>
          </w:p>
          <w:p>
            <w:pPr>
              <w:adjustRightInd w:val="0"/>
              <w:snapToGrid w:val="0"/>
              <w:jc w:val="center"/>
            </w:pPr>
            <w:r>
              <w:rPr>
                <w:rFonts w:hint="eastAsia"/>
                <w:b/>
                <w:bCs/>
                <w:kern w:val="0"/>
                <w:sz w:val="24"/>
                <w:lang w:eastAsia="zh-CN"/>
              </w:rPr>
              <w:t>图</w:t>
            </w:r>
            <w:r>
              <w:rPr>
                <w:rFonts w:hint="eastAsia"/>
                <w:b/>
                <w:bCs/>
                <w:kern w:val="0"/>
                <w:sz w:val="24"/>
                <w:lang w:val="en-US" w:eastAsia="zh-CN"/>
              </w:rPr>
              <w:t>4  项目水平衡图（单位：m</w:t>
            </w:r>
            <w:r>
              <w:rPr>
                <w:rFonts w:hint="eastAsia"/>
                <w:b/>
                <w:bCs/>
                <w:kern w:val="0"/>
                <w:sz w:val="24"/>
                <w:vertAlign w:val="superscript"/>
                <w:lang w:val="en-US" w:eastAsia="zh-CN"/>
              </w:rPr>
              <w:t>3</w:t>
            </w:r>
            <w:r>
              <w:rPr>
                <w:rFonts w:hint="eastAsia"/>
                <w:b/>
                <w:bCs/>
                <w:kern w:val="0"/>
                <w:sz w:val="24"/>
                <w:lang w:val="en-US" w:eastAsia="zh-CN"/>
              </w:rPr>
              <w:t>/d）</w:t>
            </w:r>
          </w:p>
          <w:p>
            <w:pPr>
              <w:pStyle w:val="2"/>
              <w:spacing w:line="360" w:lineRule="auto"/>
              <w:ind w:firstLine="440" w:firstLineChars="200"/>
              <w:rPr>
                <w:rFonts w:hint="eastAsia" w:ascii="宋体" w:hAnsi="宋体" w:eastAsia="宋体" w:cs="宋体"/>
                <w:sz w:val="24"/>
                <w:szCs w:val="18"/>
                <w:lang w:eastAsia="zh-CN"/>
              </w:rPr>
            </w:pPr>
            <w:r>
              <w:rPr>
                <w:rFonts w:hint="eastAsia" w:ascii="宋体" w:hAnsi="宋体" w:eastAsia="宋体" w:cs="宋体"/>
                <w:sz w:val="24"/>
                <w:szCs w:val="18"/>
                <w:lang w:eastAsia="zh-CN"/>
              </w:rPr>
              <w:t>硫平衡</w:t>
            </w:r>
          </w:p>
          <w:p>
            <w:pPr>
              <w:pStyle w:val="2"/>
              <w:spacing w:line="360" w:lineRule="auto"/>
              <w:ind w:firstLine="44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项目入选原煤</w:t>
            </w:r>
            <w:r>
              <w:rPr>
                <w:rFonts w:hint="eastAsia" w:ascii="Times New Roman" w:hAnsi="Times New Roman" w:eastAsia="宋体" w:cs="Times New Roman"/>
                <w:sz w:val="24"/>
                <w:lang w:val="en-US" w:eastAsia="zh-CN"/>
              </w:rPr>
              <w:t>150万</w:t>
            </w:r>
            <w:r>
              <w:rPr>
                <w:rFonts w:hint="default" w:ascii="Times New Roman" w:hAnsi="Times New Roman" w:eastAsia="宋体" w:cs="Times New Roman"/>
                <w:sz w:val="24"/>
              </w:rPr>
              <w:t>t/a，原煤含硫量≤1.5%，以1.5%计含硫总计</w:t>
            </w:r>
            <w:r>
              <w:rPr>
                <w:rFonts w:hint="eastAsia" w:ascii="Times New Roman" w:hAnsi="Times New Roman" w:eastAsia="宋体" w:cs="Times New Roman"/>
                <w:sz w:val="24"/>
                <w:lang w:val="en-US" w:eastAsia="zh-CN"/>
              </w:rPr>
              <w:t>22500</w:t>
            </w:r>
            <w:r>
              <w:rPr>
                <w:rFonts w:hint="default" w:ascii="Times New Roman" w:hAnsi="Times New Roman" w:eastAsia="宋体" w:cs="Times New Roman"/>
                <w:sz w:val="24"/>
              </w:rPr>
              <w:t>t/a。原煤带入的硫流出“去向”分别进入精煤、中煤、煤泥、矸石中。选煤生产硫份平衡见</w:t>
            </w:r>
            <w:r>
              <w:rPr>
                <w:rFonts w:hint="eastAsia" w:ascii="Times New Roman" w:hAnsi="Times New Roman" w:eastAsia="宋体" w:cs="Times New Roman"/>
                <w:sz w:val="24"/>
                <w:lang w:eastAsia="zh-CN"/>
              </w:rPr>
              <w:t>下表</w:t>
            </w:r>
            <w:r>
              <w:rPr>
                <w:rFonts w:hint="default" w:ascii="Times New Roman" w:hAnsi="Times New Roman" w:eastAsia="宋体" w:cs="Times New Roman"/>
                <w:sz w:val="24"/>
              </w:rPr>
              <w:t>。</w:t>
            </w:r>
          </w:p>
          <w:p>
            <w:pPr>
              <w:adjustRightInd w:val="0"/>
              <w:snapToGrid w:val="0"/>
              <w:spacing w:before="62" w:beforeLines="20" w:after="31" w:afterLines="10"/>
              <w:jc w:val="center"/>
              <w:rPr>
                <w:rFonts w:hint="eastAsia"/>
                <w:lang w:eastAsia="zh-CN"/>
              </w:rPr>
            </w:pPr>
            <w:r>
              <w:rPr>
                <w:rFonts w:hint="eastAsia" w:hAnsi="宋体"/>
                <w:b/>
                <w:sz w:val="24"/>
              </w:rPr>
              <w:t>表</w:t>
            </w:r>
            <w:r>
              <w:rPr>
                <w:rFonts w:hint="eastAsia" w:hAnsi="宋体"/>
                <w:b/>
                <w:sz w:val="24"/>
                <w:lang w:val="en-US" w:eastAsia="zh-CN"/>
              </w:rPr>
              <w:t xml:space="preserve">12 </w:t>
            </w:r>
            <w:r>
              <w:rPr>
                <w:rFonts w:hint="eastAsia" w:hAnsi="宋体"/>
                <w:b/>
                <w:sz w:val="24"/>
              </w:rPr>
              <w:t xml:space="preserve"> </w:t>
            </w:r>
            <w:r>
              <w:rPr>
                <w:rFonts w:hint="eastAsia" w:hAnsi="宋体"/>
                <w:b/>
                <w:sz w:val="24"/>
                <w:lang w:eastAsia="zh-CN"/>
              </w:rPr>
              <w:t>硫</w:t>
            </w:r>
            <w:r>
              <w:rPr>
                <w:rFonts w:hint="eastAsia" w:hAnsi="宋体"/>
                <w:b/>
                <w:sz w:val="24"/>
              </w:rPr>
              <w:t>平衡</w:t>
            </w:r>
            <w:r>
              <w:rPr>
                <w:rFonts w:hint="eastAsia" w:hAnsi="宋体"/>
                <w:b/>
                <w:sz w:val="24"/>
                <w:lang w:val="en-US" w:eastAsia="zh-CN"/>
              </w:rPr>
              <w:t xml:space="preserve">  单位t/a</w:t>
            </w:r>
          </w:p>
          <w:tbl>
            <w:tblPr>
              <w:tblStyle w:val="34"/>
              <w:tblW w:w="88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27"/>
              <w:gridCol w:w="1380"/>
              <w:gridCol w:w="1381"/>
              <w:gridCol w:w="1379"/>
              <w:gridCol w:w="13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 w:hRule="atLeast"/>
                <w:jc w:val="center"/>
              </w:trPr>
              <w:tc>
                <w:tcPr>
                  <w:tcW w:w="704" w:type="dxa"/>
                  <w:vMerge w:val="restart"/>
                  <w:tcBorders>
                    <w:tl2br w:val="nil"/>
                    <w:tr2bl w:val="nil"/>
                  </w:tcBorders>
                  <w:vAlign w:val="center"/>
                </w:tcPr>
                <w:p>
                  <w:pPr>
                    <w:jc w:val="center"/>
                    <w:rPr>
                      <w:sz w:val="21"/>
                      <w:szCs w:val="21"/>
                    </w:rPr>
                  </w:pPr>
                  <w:r>
                    <w:rPr>
                      <w:sz w:val="21"/>
                      <w:szCs w:val="21"/>
                    </w:rPr>
                    <w:t>序号</w:t>
                  </w:r>
                </w:p>
              </w:tc>
              <w:tc>
                <w:tcPr>
                  <w:tcW w:w="2627" w:type="dxa"/>
                  <w:vMerge w:val="restart"/>
                  <w:tcBorders>
                    <w:tl2br w:val="nil"/>
                    <w:tr2bl w:val="nil"/>
                  </w:tcBorders>
                  <w:vAlign w:val="center"/>
                </w:tcPr>
                <w:p>
                  <w:pPr>
                    <w:jc w:val="center"/>
                    <w:rPr>
                      <w:sz w:val="21"/>
                      <w:szCs w:val="21"/>
                    </w:rPr>
                  </w:pPr>
                  <w:r>
                    <w:rPr>
                      <w:sz w:val="21"/>
                      <w:szCs w:val="21"/>
                    </w:rPr>
                    <w:t>项目</w:t>
                  </w:r>
                </w:p>
              </w:tc>
              <w:tc>
                <w:tcPr>
                  <w:tcW w:w="2761" w:type="dxa"/>
                  <w:gridSpan w:val="2"/>
                  <w:tcBorders>
                    <w:tl2br w:val="nil"/>
                    <w:tr2bl w:val="nil"/>
                  </w:tcBorders>
                  <w:vAlign w:val="center"/>
                </w:tcPr>
                <w:p>
                  <w:pPr>
                    <w:jc w:val="center"/>
                    <w:rPr>
                      <w:sz w:val="21"/>
                      <w:szCs w:val="21"/>
                    </w:rPr>
                  </w:pPr>
                  <w:r>
                    <w:rPr>
                      <w:sz w:val="21"/>
                      <w:szCs w:val="21"/>
                    </w:rPr>
                    <w:t>进料</w:t>
                  </w:r>
                </w:p>
              </w:tc>
              <w:tc>
                <w:tcPr>
                  <w:tcW w:w="2752" w:type="dxa"/>
                  <w:gridSpan w:val="2"/>
                  <w:tcBorders>
                    <w:tl2br w:val="nil"/>
                    <w:tr2bl w:val="nil"/>
                  </w:tcBorders>
                  <w:vAlign w:val="center"/>
                </w:tcPr>
                <w:p>
                  <w:pPr>
                    <w:jc w:val="center"/>
                    <w:rPr>
                      <w:sz w:val="21"/>
                      <w:szCs w:val="21"/>
                    </w:rPr>
                  </w:pPr>
                  <w:r>
                    <w:rPr>
                      <w:sz w:val="21"/>
                      <w:szCs w:val="21"/>
                    </w:rPr>
                    <w:t>出料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4" w:type="dxa"/>
                  <w:vMerge w:val="continue"/>
                  <w:tcBorders>
                    <w:tl2br w:val="nil"/>
                    <w:tr2bl w:val="nil"/>
                  </w:tcBorders>
                  <w:vAlign w:val="center"/>
                </w:tcPr>
                <w:p>
                  <w:pPr>
                    <w:jc w:val="center"/>
                    <w:rPr>
                      <w:sz w:val="21"/>
                      <w:szCs w:val="21"/>
                    </w:rPr>
                  </w:pPr>
                </w:p>
              </w:tc>
              <w:tc>
                <w:tcPr>
                  <w:tcW w:w="2627" w:type="dxa"/>
                  <w:vMerge w:val="continue"/>
                  <w:tcBorders>
                    <w:tl2br w:val="nil"/>
                    <w:tr2bl w:val="nil"/>
                  </w:tcBorders>
                  <w:vAlign w:val="center"/>
                </w:tcPr>
                <w:p>
                  <w:pPr>
                    <w:jc w:val="center"/>
                    <w:rPr>
                      <w:sz w:val="21"/>
                      <w:szCs w:val="21"/>
                    </w:rPr>
                  </w:pPr>
                </w:p>
              </w:tc>
              <w:tc>
                <w:tcPr>
                  <w:tcW w:w="1380" w:type="dxa"/>
                  <w:tcBorders>
                    <w:tl2br w:val="nil"/>
                    <w:tr2bl w:val="nil"/>
                  </w:tcBorders>
                  <w:vAlign w:val="center"/>
                </w:tcPr>
                <w:p>
                  <w:pPr>
                    <w:jc w:val="center"/>
                    <w:rPr>
                      <w:sz w:val="21"/>
                      <w:szCs w:val="21"/>
                    </w:rPr>
                  </w:pPr>
                  <w:r>
                    <w:rPr>
                      <w:sz w:val="21"/>
                      <w:szCs w:val="21"/>
                    </w:rPr>
                    <w:t>物料量</w:t>
                  </w:r>
                </w:p>
              </w:tc>
              <w:tc>
                <w:tcPr>
                  <w:tcW w:w="1381" w:type="dxa"/>
                  <w:tcBorders>
                    <w:tl2br w:val="nil"/>
                    <w:tr2bl w:val="nil"/>
                  </w:tcBorders>
                  <w:vAlign w:val="center"/>
                </w:tcPr>
                <w:p>
                  <w:pPr>
                    <w:jc w:val="center"/>
                    <w:rPr>
                      <w:sz w:val="21"/>
                      <w:szCs w:val="21"/>
                    </w:rPr>
                  </w:pPr>
                  <w:r>
                    <w:rPr>
                      <w:sz w:val="21"/>
                      <w:szCs w:val="21"/>
                    </w:rPr>
                    <w:t>以硫计</w:t>
                  </w:r>
                </w:p>
              </w:tc>
              <w:tc>
                <w:tcPr>
                  <w:tcW w:w="1379" w:type="dxa"/>
                  <w:tcBorders>
                    <w:tl2br w:val="nil"/>
                    <w:tr2bl w:val="nil"/>
                  </w:tcBorders>
                  <w:vAlign w:val="center"/>
                </w:tcPr>
                <w:p>
                  <w:pPr>
                    <w:jc w:val="center"/>
                    <w:rPr>
                      <w:sz w:val="21"/>
                      <w:szCs w:val="21"/>
                    </w:rPr>
                  </w:pPr>
                  <w:r>
                    <w:rPr>
                      <w:sz w:val="21"/>
                      <w:szCs w:val="21"/>
                    </w:rPr>
                    <w:t>物料量</w:t>
                  </w:r>
                </w:p>
              </w:tc>
              <w:tc>
                <w:tcPr>
                  <w:tcW w:w="1373" w:type="dxa"/>
                  <w:tcBorders>
                    <w:tl2br w:val="nil"/>
                    <w:tr2bl w:val="nil"/>
                  </w:tcBorders>
                  <w:vAlign w:val="center"/>
                </w:tcPr>
                <w:p>
                  <w:pPr>
                    <w:jc w:val="center"/>
                    <w:rPr>
                      <w:sz w:val="21"/>
                      <w:szCs w:val="21"/>
                    </w:rPr>
                  </w:pPr>
                  <w:r>
                    <w:rPr>
                      <w:sz w:val="21"/>
                      <w:szCs w:val="21"/>
                    </w:rPr>
                    <w:t>以硫计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04" w:type="dxa"/>
                  <w:tcBorders>
                    <w:tl2br w:val="nil"/>
                    <w:tr2bl w:val="nil"/>
                  </w:tcBorders>
                  <w:vAlign w:val="center"/>
                </w:tcPr>
                <w:p>
                  <w:pPr>
                    <w:jc w:val="center"/>
                    <w:rPr>
                      <w:sz w:val="21"/>
                      <w:szCs w:val="21"/>
                    </w:rPr>
                  </w:pPr>
                  <w:r>
                    <w:rPr>
                      <w:sz w:val="21"/>
                      <w:szCs w:val="21"/>
                    </w:rPr>
                    <w:t>1</w:t>
                  </w:r>
                </w:p>
              </w:tc>
              <w:tc>
                <w:tcPr>
                  <w:tcW w:w="2627" w:type="dxa"/>
                  <w:tcBorders>
                    <w:tl2br w:val="nil"/>
                    <w:tr2bl w:val="nil"/>
                  </w:tcBorders>
                  <w:vAlign w:val="center"/>
                </w:tcPr>
                <w:p>
                  <w:pPr>
                    <w:jc w:val="center"/>
                    <w:rPr>
                      <w:sz w:val="21"/>
                      <w:szCs w:val="21"/>
                    </w:rPr>
                  </w:pPr>
                  <w:r>
                    <w:rPr>
                      <w:sz w:val="21"/>
                      <w:szCs w:val="21"/>
                    </w:rPr>
                    <w:t>原煤（含硫1.5%）</w:t>
                  </w:r>
                </w:p>
              </w:tc>
              <w:tc>
                <w:tcPr>
                  <w:tcW w:w="1380" w:type="dxa"/>
                  <w:tcBorders>
                    <w:tl2br w:val="nil"/>
                    <w:tr2bl w:val="nil"/>
                  </w:tcBorders>
                  <w:vAlign w:val="center"/>
                </w:tcPr>
                <w:p>
                  <w:pPr>
                    <w:jc w:val="center"/>
                    <w:rPr>
                      <w:rFonts w:hint="eastAsia" w:eastAsia="宋体"/>
                      <w:sz w:val="21"/>
                      <w:szCs w:val="21"/>
                      <w:lang w:eastAsia="zh-CN"/>
                    </w:rPr>
                  </w:pPr>
                  <w:r>
                    <w:rPr>
                      <w:rFonts w:hint="eastAsia"/>
                      <w:sz w:val="21"/>
                      <w:szCs w:val="21"/>
                      <w:lang w:val="en-US" w:eastAsia="zh-CN"/>
                    </w:rPr>
                    <w:t>1500000</w:t>
                  </w:r>
                </w:p>
              </w:tc>
              <w:tc>
                <w:tcPr>
                  <w:tcW w:w="1381" w:type="dxa"/>
                  <w:tcBorders>
                    <w:tl2br w:val="nil"/>
                    <w:tr2bl w:val="nil"/>
                  </w:tcBorders>
                  <w:vAlign w:val="center"/>
                </w:tcPr>
                <w:p>
                  <w:pPr>
                    <w:jc w:val="center"/>
                    <w:rPr>
                      <w:rFonts w:hint="eastAsia" w:eastAsia="宋体"/>
                      <w:sz w:val="21"/>
                      <w:szCs w:val="21"/>
                      <w:lang w:eastAsia="zh-CN"/>
                    </w:rPr>
                  </w:pPr>
                  <w:r>
                    <w:rPr>
                      <w:rFonts w:hint="eastAsia"/>
                      <w:sz w:val="21"/>
                      <w:szCs w:val="21"/>
                      <w:lang w:val="en-US" w:eastAsia="zh-CN"/>
                    </w:rPr>
                    <w:t>22500</w:t>
                  </w:r>
                </w:p>
              </w:tc>
              <w:tc>
                <w:tcPr>
                  <w:tcW w:w="1379" w:type="dxa"/>
                  <w:tcBorders>
                    <w:tl2br w:val="nil"/>
                    <w:tr2bl w:val="nil"/>
                  </w:tcBorders>
                  <w:vAlign w:val="center"/>
                </w:tcPr>
                <w:p>
                  <w:pPr>
                    <w:jc w:val="center"/>
                    <w:rPr>
                      <w:sz w:val="21"/>
                      <w:szCs w:val="21"/>
                    </w:rPr>
                  </w:pPr>
                  <w:r>
                    <w:rPr>
                      <w:sz w:val="21"/>
                      <w:szCs w:val="21"/>
                    </w:rPr>
                    <w:t>/</w:t>
                  </w:r>
                </w:p>
              </w:tc>
              <w:tc>
                <w:tcPr>
                  <w:tcW w:w="1373" w:type="dxa"/>
                  <w:tcBorders>
                    <w:tl2br w:val="nil"/>
                    <w:tr2bl w:val="nil"/>
                  </w:tcBorders>
                  <w:vAlign w:val="center"/>
                </w:tcPr>
                <w:p>
                  <w:pPr>
                    <w:jc w:val="center"/>
                    <w:rPr>
                      <w:sz w:val="21"/>
                      <w:szCs w:val="21"/>
                    </w:rPr>
                  </w:pPr>
                  <w:r>
                    <w:rPr>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04" w:type="dxa"/>
                  <w:tcBorders>
                    <w:tl2br w:val="nil"/>
                    <w:tr2bl w:val="nil"/>
                  </w:tcBorders>
                  <w:vAlign w:val="center"/>
                </w:tcPr>
                <w:p>
                  <w:pPr>
                    <w:jc w:val="center"/>
                    <w:rPr>
                      <w:sz w:val="21"/>
                      <w:szCs w:val="21"/>
                    </w:rPr>
                  </w:pPr>
                  <w:r>
                    <w:rPr>
                      <w:sz w:val="21"/>
                      <w:szCs w:val="21"/>
                    </w:rPr>
                    <w:t>2</w:t>
                  </w:r>
                </w:p>
              </w:tc>
              <w:tc>
                <w:tcPr>
                  <w:tcW w:w="2627" w:type="dxa"/>
                  <w:tcBorders>
                    <w:tl2br w:val="nil"/>
                    <w:tr2bl w:val="nil"/>
                  </w:tcBorders>
                  <w:vAlign w:val="center"/>
                </w:tcPr>
                <w:p>
                  <w:pPr>
                    <w:jc w:val="center"/>
                    <w:rPr>
                      <w:sz w:val="21"/>
                      <w:szCs w:val="21"/>
                    </w:rPr>
                  </w:pPr>
                  <w:r>
                    <w:rPr>
                      <w:sz w:val="21"/>
                      <w:szCs w:val="21"/>
                    </w:rPr>
                    <w:t xml:space="preserve"> 精煤（含硫0.</w:t>
                  </w:r>
                  <w:r>
                    <w:rPr>
                      <w:rFonts w:hint="eastAsia"/>
                      <w:sz w:val="21"/>
                      <w:szCs w:val="21"/>
                      <w:lang w:val="en-US" w:eastAsia="zh-CN"/>
                    </w:rPr>
                    <w:t>8</w:t>
                  </w:r>
                  <w:r>
                    <w:rPr>
                      <w:sz w:val="21"/>
                      <w:szCs w:val="21"/>
                    </w:rPr>
                    <w:t>%）</w:t>
                  </w:r>
                </w:p>
              </w:tc>
              <w:tc>
                <w:tcPr>
                  <w:tcW w:w="1380" w:type="dxa"/>
                  <w:tcBorders>
                    <w:tl2br w:val="nil"/>
                    <w:tr2bl w:val="nil"/>
                  </w:tcBorders>
                  <w:vAlign w:val="center"/>
                </w:tcPr>
                <w:p>
                  <w:pPr>
                    <w:jc w:val="center"/>
                    <w:rPr>
                      <w:sz w:val="21"/>
                      <w:szCs w:val="21"/>
                    </w:rPr>
                  </w:pPr>
                  <w:r>
                    <w:rPr>
                      <w:sz w:val="21"/>
                      <w:szCs w:val="21"/>
                    </w:rPr>
                    <w:t>/</w:t>
                  </w:r>
                </w:p>
              </w:tc>
              <w:tc>
                <w:tcPr>
                  <w:tcW w:w="1381" w:type="dxa"/>
                  <w:tcBorders>
                    <w:tl2br w:val="nil"/>
                    <w:tr2bl w:val="nil"/>
                  </w:tcBorders>
                  <w:vAlign w:val="center"/>
                </w:tcPr>
                <w:p>
                  <w:pPr>
                    <w:jc w:val="center"/>
                    <w:rPr>
                      <w:sz w:val="21"/>
                      <w:szCs w:val="21"/>
                    </w:rPr>
                  </w:pPr>
                  <w:r>
                    <w:rPr>
                      <w:sz w:val="21"/>
                      <w:szCs w:val="21"/>
                    </w:rPr>
                    <w:t>/</w:t>
                  </w:r>
                </w:p>
              </w:tc>
              <w:tc>
                <w:tcPr>
                  <w:tcW w:w="1379" w:type="dxa"/>
                  <w:tcBorders>
                    <w:tl2br w:val="nil"/>
                    <w:tr2bl w:val="nil"/>
                  </w:tcBorders>
                  <w:vAlign w:val="center"/>
                </w:tcPr>
                <w:p>
                  <w:pPr>
                    <w:widowControl w:val="0"/>
                    <w:jc w:val="center"/>
                    <w:rPr>
                      <w:sz w:val="21"/>
                      <w:szCs w:val="21"/>
                    </w:rPr>
                  </w:pPr>
                  <w:r>
                    <w:rPr>
                      <w:rFonts w:hint="default" w:ascii="Times New Roman" w:hAnsi="Times New Roman" w:eastAsia="宋体" w:cs="Times New Roman"/>
                      <w:sz w:val="21"/>
                      <w:szCs w:val="21"/>
                    </w:rPr>
                    <w:t>8850</w:t>
                  </w:r>
                  <w:r>
                    <w:rPr>
                      <w:rFonts w:hint="eastAsia" w:ascii="Times New Roman" w:hAnsi="Times New Roman" w:cs="Times New Roman"/>
                      <w:sz w:val="21"/>
                      <w:szCs w:val="21"/>
                      <w:lang w:val="en-US" w:eastAsia="zh-CN"/>
                    </w:rPr>
                    <w:t>00</w:t>
                  </w:r>
                </w:p>
              </w:tc>
              <w:tc>
                <w:tcPr>
                  <w:tcW w:w="1373" w:type="dxa"/>
                  <w:tcBorders>
                    <w:tl2br w:val="nil"/>
                    <w:tr2bl w:val="nil"/>
                  </w:tcBorders>
                  <w:vAlign w:val="center"/>
                </w:tcPr>
                <w:p>
                  <w:pPr>
                    <w:jc w:val="center"/>
                    <w:rPr>
                      <w:rFonts w:hint="eastAsia" w:eastAsia="宋体"/>
                      <w:sz w:val="21"/>
                      <w:szCs w:val="21"/>
                      <w:lang w:val="en-US" w:eastAsia="zh-CN"/>
                    </w:rPr>
                  </w:pPr>
                  <w:r>
                    <w:rPr>
                      <w:rFonts w:hint="eastAsia"/>
                      <w:sz w:val="21"/>
                      <w:szCs w:val="21"/>
                      <w:lang w:val="en-US" w:eastAsia="zh-CN"/>
                    </w:rPr>
                    <w:t>7080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704" w:type="dxa"/>
                  <w:tcBorders>
                    <w:tl2br w:val="nil"/>
                    <w:tr2bl w:val="nil"/>
                  </w:tcBorders>
                  <w:vAlign w:val="center"/>
                </w:tcPr>
                <w:p>
                  <w:pPr>
                    <w:jc w:val="center"/>
                    <w:rPr>
                      <w:sz w:val="21"/>
                      <w:szCs w:val="21"/>
                    </w:rPr>
                  </w:pPr>
                  <w:r>
                    <w:rPr>
                      <w:sz w:val="21"/>
                      <w:szCs w:val="21"/>
                    </w:rPr>
                    <w:t>3</w:t>
                  </w:r>
                </w:p>
              </w:tc>
              <w:tc>
                <w:tcPr>
                  <w:tcW w:w="2627" w:type="dxa"/>
                  <w:tcBorders>
                    <w:tl2br w:val="nil"/>
                    <w:tr2bl w:val="nil"/>
                  </w:tcBorders>
                  <w:vAlign w:val="center"/>
                </w:tcPr>
                <w:p>
                  <w:pPr>
                    <w:jc w:val="center"/>
                    <w:rPr>
                      <w:sz w:val="21"/>
                      <w:szCs w:val="21"/>
                    </w:rPr>
                  </w:pPr>
                  <w:r>
                    <w:rPr>
                      <w:sz w:val="21"/>
                      <w:szCs w:val="21"/>
                    </w:rPr>
                    <w:t>中煤（含硫1.4%）</w:t>
                  </w:r>
                </w:p>
              </w:tc>
              <w:tc>
                <w:tcPr>
                  <w:tcW w:w="1380" w:type="dxa"/>
                  <w:tcBorders>
                    <w:tl2br w:val="nil"/>
                    <w:tr2bl w:val="nil"/>
                  </w:tcBorders>
                  <w:vAlign w:val="center"/>
                </w:tcPr>
                <w:p>
                  <w:pPr>
                    <w:jc w:val="center"/>
                    <w:rPr>
                      <w:sz w:val="21"/>
                      <w:szCs w:val="21"/>
                    </w:rPr>
                  </w:pPr>
                  <w:r>
                    <w:rPr>
                      <w:sz w:val="21"/>
                      <w:szCs w:val="21"/>
                    </w:rPr>
                    <w:t>/</w:t>
                  </w:r>
                </w:p>
              </w:tc>
              <w:tc>
                <w:tcPr>
                  <w:tcW w:w="1381" w:type="dxa"/>
                  <w:tcBorders>
                    <w:tl2br w:val="nil"/>
                    <w:tr2bl w:val="nil"/>
                  </w:tcBorders>
                  <w:vAlign w:val="center"/>
                </w:tcPr>
                <w:p>
                  <w:pPr>
                    <w:jc w:val="center"/>
                    <w:rPr>
                      <w:sz w:val="21"/>
                      <w:szCs w:val="21"/>
                    </w:rPr>
                  </w:pPr>
                  <w:r>
                    <w:rPr>
                      <w:sz w:val="21"/>
                      <w:szCs w:val="21"/>
                    </w:rPr>
                    <w:t>/</w:t>
                  </w:r>
                </w:p>
              </w:tc>
              <w:tc>
                <w:tcPr>
                  <w:tcW w:w="1379" w:type="dxa"/>
                  <w:tcBorders>
                    <w:tl2br w:val="nil"/>
                    <w:tr2bl w:val="nil"/>
                  </w:tcBorders>
                  <w:vAlign w:val="center"/>
                </w:tcPr>
                <w:p>
                  <w:pPr>
                    <w:widowControl w:val="0"/>
                    <w:jc w:val="center"/>
                    <w:rPr>
                      <w:sz w:val="21"/>
                      <w:szCs w:val="21"/>
                    </w:rPr>
                  </w:pPr>
                  <w:r>
                    <w:rPr>
                      <w:rFonts w:hint="default" w:ascii="Times New Roman" w:hAnsi="Times New Roman" w:eastAsia="宋体" w:cs="Times New Roman"/>
                      <w:sz w:val="21"/>
                      <w:szCs w:val="21"/>
                    </w:rPr>
                    <w:t>2700</w:t>
                  </w:r>
                  <w:r>
                    <w:rPr>
                      <w:rFonts w:hint="eastAsia" w:ascii="Times New Roman" w:hAnsi="Times New Roman" w:cs="Times New Roman"/>
                      <w:sz w:val="21"/>
                      <w:szCs w:val="21"/>
                      <w:lang w:val="en-US" w:eastAsia="zh-CN"/>
                    </w:rPr>
                    <w:t>00</w:t>
                  </w:r>
                </w:p>
              </w:tc>
              <w:tc>
                <w:tcPr>
                  <w:tcW w:w="1373" w:type="dxa"/>
                  <w:tcBorders>
                    <w:tl2br w:val="nil"/>
                    <w:tr2bl w:val="nil"/>
                  </w:tcBorders>
                  <w:vAlign w:val="center"/>
                </w:tcPr>
                <w:p>
                  <w:pPr>
                    <w:jc w:val="center"/>
                    <w:rPr>
                      <w:rFonts w:hint="eastAsia" w:eastAsia="宋体"/>
                      <w:sz w:val="21"/>
                      <w:szCs w:val="21"/>
                      <w:lang w:eastAsia="zh-CN"/>
                    </w:rPr>
                  </w:pPr>
                  <w:r>
                    <w:rPr>
                      <w:rFonts w:hint="eastAsia"/>
                      <w:sz w:val="21"/>
                      <w:szCs w:val="21"/>
                      <w:lang w:val="en-US" w:eastAsia="zh-CN"/>
                    </w:rPr>
                    <w:t>3780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704" w:type="dxa"/>
                  <w:tcBorders>
                    <w:tl2br w:val="nil"/>
                    <w:tr2bl w:val="nil"/>
                  </w:tcBorders>
                  <w:vAlign w:val="center"/>
                </w:tcPr>
                <w:p>
                  <w:pPr>
                    <w:jc w:val="center"/>
                    <w:rPr>
                      <w:sz w:val="21"/>
                      <w:szCs w:val="21"/>
                    </w:rPr>
                  </w:pPr>
                  <w:r>
                    <w:rPr>
                      <w:sz w:val="21"/>
                      <w:szCs w:val="21"/>
                    </w:rPr>
                    <w:t>4</w:t>
                  </w:r>
                </w:p>
              </w:tc>
              <w:tc>
                <w:tcPr>
                  <w:tcW w:w="2627" w:type="dxa"/>
                  <w:tcBorders>
                    <w:tl2br w:val="nil"/>
                    <w:tr2bl w:val="nil"/>
                  </w:tcBorders>
                  <w:vAlign w:val="center"/>
                </w:tcPr>
                <w:p>
                  <w:pPr>
                    <w:jc w:val="center"/>
                    <w:rPr>
                      <w:sz w:val="21"/>
                      <w:szCs w:val="21"/>
                    </w:rPr>
                  </w:pPr>
                  <w:r>
                    <w:rPr>
                      <w:sz w:val="21"/>
                      <w:szCs w:val="21"/>
                    </w:rPr>
                    <w:t>煤泥（含硫1.6%）</w:t>
                  </w:r>
                </w:p>
              </w:tc>
              <w:tc>
                <w:tcPr>
                  <w:tcW w:w="1380" w:type="dxa"/>
                  <w:tcBorders>
                    <w:tl2br w:val="nil"/>
                    <w:tr2bl w:val="nil"/>
                  </w:tcBorders>
                  <w:vAlign w:val="center"/>
                </w:tcPr>
                <w:p>
                  <w:pPr>
                    <w:jc w:val="center"/>
                    <w:rPr>
                      <w:sz w:val="21"/>
                      <w:szCs w:val="21"/>
                    </w:rPr>
                  </w:pPr>
                  <w:r>
                    <w:rPr>
                      <w:sz w:val="21"/>
                      <w:szCs w:val="21"/>
                    </w:rPr>
                    <w:t>/</w:t>
                  </w:r>
                </w:p>
              </w:tc>
              <w:tc>
                <w:tcPr>
                  <w:tcW w:w="1381" w:type="dxa"/>
                  <w:tcBorders>
                    <w:tl2br w:val="nil"/>
                    <w:tr2bl w:val="nil"/>
                  </w:tcBorders>
                  <w:vAlign w:val="center"/>
                </w:tcPr>
                <w:p>
                  <w:pPr>
                    <w:jc w:val="center"/>
                    <w:rPr>
                      <w:sz w:val="21"/>
                      <w:szCs w:val="21"/>
                    </w:rPr>
                  </w:pPr>
                  <w:r>
                    <w:rPr>
                      <w:sz w:val="21"/>
                      <w:szCs w:val="21"/>
                    </w:rPr>
                    <w:t>/</w:t>
                  </w:r>
                </w:p>
              </w:tc>
              <w:tc>
                <w:tcPr>
                  <w:tcW w:w="1379" w:type="dxa"/>
                  <w:tcBorders>
                    <w:tl2br w:val="nil"/>
                    <w:tr2bl w:val="nil"/>
                  </w:tcBorders>
                  <w:vAlign w:val="center"/>
                </w:tcPr>
                <w:p>
                  <w:pPr>
                    <w:widowControl w:val="0"/>
                    <w:jc w:val="center"/>
                    <w:rPr>
                      <w:sz w:val="21"/>
                      <w:szCs w:val="21"/>
                    </w:rPr>
                  </w:pPr>
                  <w:r>
                    <w:rPr>
                      <w:rFonts w:hint="default" w:ascii="Times New Roman" w:hAnsi="Times New Roman" w:eastAsia="宋体" w:cs="Times New Roman"/>
                      <w:sz w:val="21"/>
                      <w:szCs w:val="21"/>
                    </w:rPr>
                    <w:t>105</w:t>
                  </w:r>
                  <w:r>
                    <w:rPr>
                      <w:rFonts w:hint="eastAsia" w:ascii="Times New Roman" w:hAnsi="Times New Roman" w:cs="Times New Roman"/>
                      <w:sz w:val="21"/>
                      <w:szCs w:val="21"/>
                      <w:lang w:val="en-US" w:eastAsia="zh-CN"/>
                    </w:rPr>
                    <w:t>000</w:t>
                  </w:r>
                </w:p>
              </w:tc>
              <w:tc>
                <w:tcPr>
                  <w:tcW w:w="1373" w:type="dxa"/>
                  <w:tcBorders>
                    <w:tl2br w:val="nil"/>
                    <w:tr2bl w:val="nil"/>
                  </w:tcBorders>
                  <w:vAlign w:val="center"/>
                </w:tcPr>
                <w:p>
                  <w:pPr>
                    <w:jc w:val="center"/>
                    <w:rPr>
                      <w:rFonts w:hint="eastAsia" w:eastAsia="宋体"/>
                      <w:sz w:val="21"/>
                      <w:szCs w:val="21"/>
                      <w:lang w:eastAsia="zh-CN"/>
                    </w:rPr>
                  </w:pPr>
                  <w:r>
                    <w:rPr>
                      <w:rFonts w:hint="eastAsia"/>
                      <w:sz w:val="21"/>
                      <w:szCs w:val="21"/>
                      <w:lang w:val="en-US" w:eastAsia="zh-CN"/>
                    </w:rPr>
                    <w:t>1680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704" w:type="dxa"/>
                  <w:tcBorders>
                    <w:tl2br w:val="nil"/>
                    <w:tr2bl w:val="nil"/>
                  </w:tcBorders>
                  <w:vAlign w:val="center"/>
                </w:tcPr>
                <w:p>
                  <w:pPr>
                    <w:jc w:val="center"/>
                    <w:rPr>
                      <w:sz w:val="21"/>
                      <w:szCs w:val="21"/>
                    </w:rPr>
                  </w:pPr>
                  <w:r>
                    <w:rPr>
                      <w:sz w:val="21"/>
                      <w:szCs w:val="21"/>
                    </w:rPr>
                    <w:t>5</w:t>
                  </w:r>
                </w:p>
              </w:tc>
              <w:tc>
                <w:tcPr>
                  <w:tcW w:w="2627" w:type="dxa"/>
                  <w:tcBorders>
                    <w:tl2br w:val="nil"/>
                    <w:tr2bl w:val="nil"/>
                  </w:tcBorders>
                  <w:vAlign w:val="center"/>
                </w:tcPr>
                <w:p>
                  <w:pPr>
                    <w:jc w:val="center"/>
                    <w:rPr>
                      <w:sz w:val="21"/>
                      <w:szCs w:val="21"/>
                    </w:rPr>
                  </w:pPr>
                  <w:r>
                    <w:rPr>
                      <w:sz w:val="21"/>
                      <w:szCs w:val="21"/>
                    </w:rPr>
                    <w:t>矸石（含硫</w:t>
                  </w:r>
                  <w:r>
                    <w:rPr>
                      <w:rFonts w:hint="eastAsia"/>
                      <w:sz w:val="21"/>
                      <w:szCs w:val="21"/>
                      <w:lang w:val="en-US" w:eastAsia="zh-CN"/>
                    </w:rPr>
                    <w:t>4.15</w:t>
                  </w:r>
                  <w:r>
                    <w:rPr>
                      <w:sz w:val="21"/>
                      <w:szCs w:val="21"/>
                    </w:rPr>
                    <w:t>%）</w:t>
                  </w:r>
                </w:p>
              </w:tc>
              <w:tc>
                <w:tcPr>
                  <w:tcW w:w="1380" w:type="dxa"/>
                  <w:tcBorders>
                    <w:tl2br w:val="nil"/>
                    <w:tr2bl w:val="nil"/>
                  </w:tcBorders>
                  <w:vAlign w:val="center"/>
                </w:tcPr>
                <w:p>
                  <w:pPr>
                    <w:jc w:val="center"/>
                    <w:rPr>
                      <w:sz w:val="21"/>
                      <w:szCs w:val="21"/>
                    </w:rPr>
                  </w:pPr>
                  <w:r>
                    <w:rPr>
                      <w:sz w:val="21"/>
                      <w:szCs w:val="21"/>
                    </w:rPr>
                    <w:t>/</w:t>
                  </w:r>
                </w:p>
              </w:tc>
              <w:tc>
                <w:tcPr>
                  <w:tcW w:w="1381" w:type="dxa"/>
                  <w:tcBorders>
                    <w:tl2br w:val="nil"/>
                    <w:tr2bl w:val="nil"/>
                  </w:tcBorders>
                  <w:vAlign w:val="center"/>
                </w:tcPr>
                <w:p>
                  <w:pPr>
                    <w:jc w:val="center"/>
                    <w:rPr>
                      <w:sz w:val="21"/>
                      <w:szCs w:val="21"/>
                    </w:rPr>
                  </w:pPr>
                  <w:r>
                    <w:rPr>
                      <w:sz w:val="21"/>
                      <w:szCs w:val="21"/>
                    </w:rPr>
                    <w:t>/</w:t>
                  </w:r>
                </w:p>
              </w:tc>
              <w:tc>
                <w:tcPr>
                  <w:tcW w:w="1379" w:type="dxa"/>
                  <w:tcBorders>
                    <w:tl2br w:val="nil"/>
                    <w:tr2bl w:val="nil"/>
                  </w:tcBorders>
                  <w:vAlign w:val="center"/>
                </w:tcPr>
                <w:p>
                  <w:pPr>
                    <w:widowControl w:val="0"/>
                    <w:jc w:val="center"/>
                    <w:rPr>
                      <w:sz w:val="21"/>
                      <w:szCs w:val="21"/>
                    </w:rPr>
                  </w:pPr>
                  <w:r>
                    <w:rPr>
                      <w:rFonts w:hint="default" w:ascii="Times New Roman" w:hAnsi="Times New Roman" w:eastAsia="宋体" w:cs="Times New Roman"/>
                      <w:sz w:val="21"/>
                      <w:szCs w:val="21"/>
                    </w:rPr>
                    <w:t>24</w:t>
                  </w:r>
                  <w:r>
                    <w:rPr>
                      <w:rFonts w:hint="eastAsia" w:ascii="Times New Roman" w:hAnsi="Times New Roman" w:cs="Times New Roman"/>
                      <w:sz w:val="21"/>
                      <w:szCs w:val="21"/>
                      <w:lang w:val="en-US" w:eastAsia="zh-CN"/>
                    </w:rPr>
                    <w:t>0000</w:t>
                  </w:r>
                </w:p>
              </w:tc>
              <w:tc>
                <w:tcPr>
                  <w:tcW w:w="1373" w:type="dxa"/>
                  <w:tcBorders>
                    <w:tl2br w:val="nil"/>
                    <w:tr2bl w:val="nil"/>
                  </w:tcBorders>
                  <w:vAlign w:val="center"/>
                </w:tcPr>
                <w:p>
                  <w:pPr>
                    <w:jc w:val="center"/>
                    <w:rPr>
                      <w:rFonts w:hint="eastAsia" w:eastAsia="宋体"/>
                      <w:sz w:val="21"/>
                      <w:szCs w:val="21"/>
                      <w:lang w:eastAsia="zh-CN"/>
                    </w:rPr>
                  </w:pPr>
                  <w:r>
                    <w:rPr>
                      <w:rFonts w:hint="eastAsia"/>
                      <w:sz w:val="21"/>
                      <w:szCs w:val="21"/>
                      <w:lang w:val="en-US" w:eastAsia="zh-CN"/>
                    </w:rPr>
                    <w:t>9960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3331" w:type="dxa"/>
                  <w:gridSpan w:val="2"/>
                  <w:tcBorders>
                    <w:tl2br w:val="nil"/>
                    <w:tr2bl w:val="nil"/>
                  </w:tcBorders>
                  <w:vAlign w:val="center"/>
                </w:tcPr>
                <w:p>
                  <w:pPr>
                    <w:jc w:val="center"/>
                    <w:rPr>
                      <w:sz w:val="21"/>
                      <w:szCs w:val="21"/>
                    </w:rPr>
                  </w:pPr>
                  <w:r>
                    <w:rPr>
                      <w:sz w:val="21"/>
                      <w:szCs w:val="21"/>
                    </w:rPr>
                    <w:t>合计</w:t>
                  </w:r>
                </w:p>
              </w:tc>
              <w:tc>
                <w:tcPr>
                  <w:tcW w:w="1380" w:type="dxa"/>
                  <w:tcBorders>
                    <w:tl2br w:val="nil"/>
                    <w:tr2bl w:val="nil"/>
                  </w:tcBorders>
                  <w:vAlign w:val="center"/>
                </w:tcPr>
                <w:p>
                  <w:pPr>
                    <w:jc w:val="center"/>
                    <w:rPr>
                      <w:rFonts w:hint="eastAsia" w:eastAsia="宋体"/>
                      <w:sz w:val="21"/>
                      <w:szCs w:val="21"/>
                      <w:lang w:eastAsia="zh-CN"/>
                    </w:rPr>
                  </w:pPr>
                  <w:r>
                    <w:rPr>
                      <w:rFonts w:hint="eastAsia"/>
                      <w:sz w:val="21"/>
                      <w:szCs w:val="21"/>
                      <w:lang w:val="en-US" w:eastAsia="zh-CN"/>
                    </w:rPr>
                    <w:t>1500000</w:t>
                  </w:r>
                </w:p>
              </w:tc>
              <w:tc>
                <w:tcPr>
                  <w:tcW w:w="1381" w:type="dxa"/>
                  <w:tcBorders>
                    <w:tl2br w:val="nil"/>
                    <w:tr2bl w:val="nil"/>
                  </w:tcBorders>
                  <w:vAlign w:val="center"/>
                </w:tcPr>
                <w:p>
                  <w:pPr>
                    <w:jc w:val="center"/>
                    <w:rPr>
                      <w:rFonts w:hint="eastAsia" w:eastAsia="宋体"/>
                      <w:sz w:val="21"/>
                      <w:szCs w:val="21"/>
                      <w:lang w:eastAsia="zh-CN"/>
                    </w:rPr>
                  </w:pPr>
                  <w:r>
                    <w:rPr>
                      <w:rFonts w:hint="eastAsia"/>
                      <w:sz w:val="21"/>
                      <w:szCs w:val="21"/>
                      <w:lang w:val="en-US" w:eastAsia="zh-CN"/>
                    </w:rPr>
                    <w:t>22500</w:t>
                  </w:r>
                </w:p>
              </w:tc>
              <w:tc>
                <w:tcPr>
                  <w:tcW w:w="1379" w:type="dxa"/>
                  <w:tcBorders>
                    <w:tl2br w:val="nil"/>
                    <w:tr2bl w:val="nil"/>
                  </w:tcBorders>
                  <w:vAlign w:val="center"/>
                </w:tcPr>
                <w:p>
                  <w:pPr>
                    <w:jc w:val="center"/>
                    <w:rPr>
                      <w:rFonts w:hint="eastAsia" w:eastAsia="宋体"/>
                      <w:sz w:val="21"/>
                      <w:szCs w:val="21"/>
                      <w:lang w:eastAsia="zh-CN"/>
                    </w:rPr>
                  </w:pPr>
                  <w:r>
                    <w:rPr>
                      <w:rFonts w:hint="eastAsia"/>
                      <w:sz w:val="21"/>
                      <w:szCs w:val="21"/>
                      <w:lang w:val="en-US" w:eastAsia="zh-CN"/>
                    </w:rPr>
                    <w:t>1500000</w:t>
                  </w:r>
                </w:p>
              </w:tc>
              <w:tc>
                <w:tcPr>
                  <w:tcW w:w="1373" w:type="dxa"/>
                  <w:tcBorders>
                    <w:tl2br w:val="nil"/>
                    <w:tr2bl w:val="nil"/>
                  </w:tcBorders>
                  <w:vAlign w:val="center"/>
                </w:tcPr>
                <w:p>
                  <w:pPr>
                    <w:jc w:val="center"/>
                    <w:rPr>
                      <w:sz w:val="21"/>
                      <w:szCs w:val="21"/>
                    </w:rPr>
                  </w:pPr>
                  <w:r>
                    <w:rPr>
                      <w:rFonts w:hint="eastAsia"/>
                      <w:sz w:val="21"/>
                      <w:szCs w:val="21"/>
                      <w:lang w:val="en-US" w:eastAsia="zh-CN"/>
                    </w:rPr>
                    <w:t>22500</w:t>
                  </w:r>
                </w:p>
              </w:tc>
            </w:tr>
          </w:tbl>
          <w:p>
            <w:pPr>
              <w:pStyle w:val="2"/>
              <w:spacing w:line="360" w:lineRule="auto"/>
              <w:ind w:firstLine="440" w:firstLineChars="200"/>
              <w:rPr>
                <w:rFonts w:hint="eastAsia" w:ascii="宋体" w:hAnsi="宋体" w:eastAsia="宋体" w:cs="宋体"/>
                <w:sz w:val="24"/>
                <w:szCs w:val="18"/>
                <w:lang w:eastAsia="zh-CN"/>
              </w:rPr>
            </w:pPr>
            <w:r>
              <w:rPr>
                <w:rFonts w:hint="eastAsia" w:ascii="宋体" w:hAnsi="宋体" w:eastAsia="宋体" w:cs="宋体"/>
                <w:sz w:val="24"/>
                <w:szCs w:val="18"/>
                <w:lang w:eastAsia="zh-CN"/>
              </w:rPr>
              <w:t>灰分平衡</w:t>
            </w:r>
          </w:p>
          <w:p>
            <w:pPr>
              <w:pStyle w:val="2"/>
              <w:spacing w:line="360" w:lineRule="auto"/>
              <w:ind w:firstLine="440" w:firstLineChars="200"/>
              <w:rPr>
                <w:rFonts w:hint="eastAsia" w:hAnsi="宋体"/>
                <w:b/>
                <w:sz w:val="24"/>
              </w:rPr>
            </w:pPr>
            <w:r>
              <w:rPr>
                <w:rFonts w:hint="default" w:ascii="Times New Roman" w:hAnsi="Times New Roman" w:eastAsia="宋体" w:cs="Times New Roman"/>
                <w:sz w:val="24"/>
              </w:rPr>
              <w:t>项目入选原煤</w:t>
            </w:r>
            <w:r>
              <w:rPr>
                <w:rFonts w:hint="eastAsia" w:ascii="Times New Roman" w:hAnsi="Times New Roman" w:eastAsia="宋体" w:cs="Times New Roman"/>
                <w:sz w:val="24"/>
                <w:lang w:val="en-US" w:eastAsia="zh-CN"/>
              </w:rPr>
              <w:t>150万</w:t>
            </w:r>
            <w:r>
              <w:rPr>
                <w:rFonts w:hint="default" w:ascii="Times New Roman" w:hAnsi="Times New Roman" w:eastAsia="宋体" w:cs="Times New Roman"/>
                <w:sz w:val="24"/>
              </w:rPr>
              <w:t>t/a，原煤</w:t>
            </w:r>
            <w:r>
              <w:rPr>
                <w:rFonts w:hint="eastAsia" w:ascii="Times New Roman" w:hAnsi="Times New Roman" w:eastAsia="宋体" w:cs="Times New Roman"/>
                <w:sz w:val="24"/>
                <w:lang w:eastAsia="zh-CN"/>
              </w:rPr>
              <w:t>灰分</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23</w:t>
            </w:r>
            <w:r>
              <w:rPr>
                <w:rFonts w:hint="default" w:ascii="Times New Roman" w:hAnsi="Times New Roman" w:eastAsia="宋体" w:cs="Times New Roman"/>
                <w:sz w:val="24"/>
              </w:rPr>
              <w:t>%，以</w:t>
            </w:r>
            <w:r>
              <w:rPr>
                <w:rFonts w:hint="eastAsia" w:ascii="Times New Roman" w:hAnsi="Times New Roman" w:eastAsia="宋体" w:cs="Times New Roman"/>
                <w:sz w:val="24"/>
                <w:lang w:val="en-US" w:eastAsia="zh-CN"/>
              </w:rPr>
              <w:t>23</w:t>
            </w:r>
            <w:r>
              <w:rPr>
                <w:rFonts w:hint="default" w:ascii="Times New Roman" w:hAnsi="Times New Roman" w:eastAsia="宋体" w:cs="Times New Roman"/>
                <w:sz w:val="24"/>
              </w:rPr>
              <w:t>%计</w:t>
            </w:r>
            <w:r>
              <w:rPr>
                <w:rFonts w:hint="eastAsia" w:ascii="Times New Roman" w:hAnsi="Times New Roman" w:eastAsia="宋体" w:cs="Times New Roman"/>
                <w:sz w:val="24"/>
                <w:lang w:eastAsia="zh-CN"/>
              </w:rPr>
              <w:t>灰分量</w:t>
            </w:r>
            <w:r>
              <w:rPr>
                <w:rFonts w:hint="default" w:ascii="Times New Roman" w:hAnsi="Times New Roman" w:eastAsia="宋体" w:cs="Times New Roman"/>
                <w:sz w:val="24"/>
              </w:rPr>
              <w:t>总计</w:t>
            </w:r>
            <w:r>
              <w:rPr>
                <w:rFonts w:hint="eastAsia" w:ascii="Times New Roman" w:hAnsi="Times New Roman" w:eastAsia="宋体" w:cs="Times New Roman"/>
                <w:sz w:val="24"/>
                <w:lang w:val="en-US" w:eastAsia="zh-CN"/>
              </w:rPr>
              <w:t>345000</w:t>
            </w:r>
            <w:r>
              <w:rPr>
                <w:rFonts w:hint="default" w:ascii="Times New Roman" w:hAnsi="Times New Roman" w:eastAsia="宋体" w:cs="Times New Roman"/>
                <w:sz w:val="24"/>
              </w:rPr>
              <w:t>t/a。原煤带入的</w:t>
            </w:r>
            <w:r>
              <w:rPr>
                <w:rFonts w:hint="eastAsia" w:ascii="Times New Roman" w:hAnsi="Times New Roman" w:eastAsia="宋体" w:cs="Times New Roman"/>
                <w:sz w:val="24"/>
                <w:lang w:eastAsia="zh-CN"/>
              </w:rPr>
              <w:t>灰分</w:t>
            </w:r>
            <w:r>
              <w:rPr>
                <w:rFonts w:hint="default" w:ascii="Times New Roman" w:hAnsi="Times New Roman" w:eastAsia="宋体" w:cs="Times New Roman"/>
                <w:sz w:val="24"/>
              </w:rPr>
              <w:t>流出“去向”分别进入精煤、中煤、煤泥、矸石中。选煤生产</w:t>
            </w:r>
            <w:r>
              <w:rPr>
                <w:rFonts w:hint="eastAsia" w:ascii="Times New Roman" w:hAnsi="Times New Roman" w:eastAsia="宋体" w:cs="Times New Roman"/>
                <w:sz w:val="24"/>
                <w:lang w:eastAsia="zh-CN"/>
              </w:rPr>
              <w:t>灰分</w:t>
            </w:r>
            <w:r>
              <w:rPr>
                <w:rFonts w:hint="default" w:ascii="Times New Roman" w:hAnsi="Times New Roman" w:eastAsia="宋体" w:cs="Times New Roman"/>
                <w:sz w:val="24"/>
              </w:rPr>
              <w:t>平衡见</w:t>
            </w:r>
            <w:r>
              <w:rPr>
                <w:rFonts w:hint="eastAsia" w:ascii="Times New Roman" w:hAnsi="Times New Roman" w:eastAsia="宋体" w:cs="Times New Roman"/>
                <w:sz w:val="24"/>
                <w:lang w:eastAsia="zh-CN"/>
              </w:rPr>
              <w:t>下表</w:t>
            </w:r>
            <w:r>
              <w:rPr>
                <w:rFonts w:hint="default" w:ascii="Times New Roman" w:hAnsi="Times New Roman" w:eastAsia="宋体" w:cs="Times New Roman"/>
                <w:sz w:val="24"/>
              </w:rPr>
              <w:t>。</w:t>
            </w:r>
          </w:p>
          <w:p>
            <w:pPr>
              <w:adjustRightInd w:val="0"/>
              <w:snapToGrid w:val="0"/>
              <w:spacing w:before="62" w:beforeLines="20" w:after="31" w:afterLines="10"/>
              <w:jc w:val="center"/>
              <w:rPr>
                <w:rFonts w:hint="eastAsia"/>
                <w:lang w:eastAsia="zh-CN"/>
              </w:rPr>
            </w:pPr>
            <w:r>
              <w:rPr>
                <w:rFonts w:hint="eastAsia" w:hAnsi="宋体"/>
                <w:b/>
                <w:sz w:val="24"/>
              </w:rPr>
              <w:t>表</w:t>
            </w:r>
            <w:r>
              <w:rPr>
                <w:rFonts w:hint="eastAsia" w:hAnsi="宋体"/>
                <w:b/>
                <w:sz w:val="24"/>
                <w:lang w:val="en-US" w:eastAsia="zh-CN"/>
              </w:rPr>
              <w:t xml:space="preserve">13 </w:t>
            </w:r>
            <w:r>
              <w:rPr>
                <w:rFonts w:hint="eastAsia" w:hAnsi="宋体"/>
                <w:b/>
                <w:sz w:val="24"/>
              </w:rPr>
              <w:t xml:space="preserve"> </w:t>
            </w:r>
            <w:r>
              <w:rPr>
                <w:rFonts w:hint="eastAsia" w:hAnsi="宋体"/>
                <w:b/>
                <w:sz w:val="24"/>
                <w:lang w:eastAsia="zh-CN"/>
              </w:rPr>
              <w:t>灰分</w:t>
            </w:r>
            <w:r>
              <w:rPr>
                <w:rFonts w:hint="eastAsia" w:hAnsi="宋体"/>
                <w:b/>
                <w:sz w:val="24"/>
              </w:rPr>
              <w:t>平衡</w:t>
            </w:r>
            <w:r>
              <w:rPr>
                <w:rFonts w:hint="eastAsia" w:hAnsi="宋体"/>
                <w:b/>
                <w:sz w:val="24"/>
                <w:lang w:val="en-US" w:eastAsia="zh-CN"/>
              </w:rPr>
              <w:t xml:space="preserve">  单位t/a</w:t>
            </w:r>
          </w:p>
          <w:tbl>
            <w:tblPr>
              <w:tblStyle w:val="34"/>
              <w:tblW w:w="8834"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446"/>
              <w:gridCol w:w="1374"/>
              <w:gridCol w:w="1376"/>
              <w:gridCol w:w="1374"/>
              <w:gridCol w:w="13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888" w:type="dxa"/>
                  <w:vMerge w:val="restar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446" w:type="dxa"/>
                  <w:vMerge w:val="restar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2750" w:type="dxa"/>
                  <w:gridSpan w:val="2"/>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进料</w:t>
                  </w:r>
                </w:p>
              </w:tc>
              <w:tc>
                <w:tcPr>
                  <w:tcW w:w="2750" w:type="dxa"/>
                  <w:gridSpan w:val="2"/>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888" w:type="dxa"/>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2446" w:type="dxa"/>
                  <w:vMerge w:val="continue"/>
                  <w:tcBorders>
                    <w:tl2br w:val="nil"/>
                    <w:tr2bl w:val="nil"/>
                  </w:tcBorders>
                  <w:vAlign w:val="center"/>
                </w:tcPr>
                <w:p>
                  <w:pPr>
                    <w:jc w:val="center"/>
                    <w:rPr>
                      <w:rFonts w:hint="default" w:ascii="Times New Roman" w:hAnsi="Times New Roman" w:eastAsia="宋体" w:cs="Times New Roman"/>
                      <w:sz w:val="21"/>
                      <w:szCs w:val="21"/>
                    </w:rPr>
                  </w:pPr>
                </w:p>
              </w:tc>
              <w:tc>
                <w:tcPr>
                  <w:tcW w:w="137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物料量</w:t>
                  </w:r>
                </w:p>
              </w:tc>
              <w:tc>
                <w:tcPr>
                  <w:tcW w:w="137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灰分</w:t>
                  </w:r>
                </w:p>
              </w:tc>
              <w:tc>
                <w:tcPr>
                  <w:tcW w:w="137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物料量</w:t>
                  </w:r>
                </w:p>
              </w:tc>
              <w:tc>
                <w:tcPr>
                  <w:tcW w:w="137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灰分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888"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44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原煤（灰分2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w:t>
                  </w:r>
                </w:p>
              </w:tc>
              <w:tc>
                <w:tcPr>
                  <w:tcW w:w="1374" w:type="dxa"/>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1500000</w:t>
                  </w:r>
                </w:p>
              </w:tc>
              <w:tc>
                <w:tcPr>
                  <w:tcW w:w="1376" w:type="dxa"/>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330000</w:t>
                  </w:r>
                </w:p>
              </w:tc>
              <w:tc>
                <w:tcPr>
                  <w:tcW w:w="137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888"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44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精煤（灰分</w:t>
                  </w:r>
                  <w:r>
                    <w:rPr>
                      <w:rFonts w:hint="default" w:ascii="Times New Roman" w:hAnsi="Times New Roman" w:eastAsia="宋体" w:cs="Times New Roman"/>
                      <w:sz w:val="21"/>
                      <w:szCs w:val="21"/>
                      <w:lang w:val="en-US" w:eastAsia="zh-CN"/>
                    </w:rPr>
                    <w:t>12.4</w:t>
                  </w:r>
                  <w:r>
                    <w:rPr>
                      <w:rFonts w:hint="default" w:ascii="Times New Roman" w:hAnsi="Times New Roman" w:eastAsia="宋体" w:cs="Times New Roman"/>
                      <w:sz w:val="21"/>
                      <w:szCs w:val="21"/>
                    </w:rPr>
                    <w:t>%）</w:t>
                  </w:r>
                </w:p>
              </w:tc>
              <w:tc>
                <w:tcPr>
                  <w:tcW w:w="137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4" w:type="dxa"/>
                  <w:tcBorders>
                    <w:tl2br w:val="nil"/>
                    <w:tr2bl w:val="nil"/>
                  </w:tcBorders>
                  <w:vAlign w:val="center"/>
                </w:tcPr>
                <w:p>
                  <w:pPr>
                    <w:widowControl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8850</w:t>
                  </w:r>
                  <w:r>
                    <w:rPr>
                      <w:rFonts w:hint="default" w:ascii="Times New Roman" w:hAnsi="Times New Roman" w:eastAsia="宋体" w:cs="Times New Roman"/>
                      <w:sz w:val="21"/>
                      <w:szCs w:val="21"/>
                      <w:lang w:val="en-US" w:eastAsia="zh-CN"/>
                    </w:rPr>
                    <w:t>00</w:t>
                  </w:r>
                </w:p>
              </w:tc>
              <w:tc>
                <w:tcPr>
                  <w:tcW w:w="137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109740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888"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44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中煤（灰分</w:t>
                  </w:r>
                  <w:r>
                    <w:rPr>
                      <w:rFonts w:hint="default" w:ascii="Times New Roman" w:hAnsi="Times New Roman" w:eastAsia="宋体" w:cs="Times New Roman"/>
                      <w:sz w:val="21"/>
                      <w:szCs w:val="21"/>
                      <w:lang w:val="en-US" w:eastAsia="zh-CN"/>
                    </w:rPr>
                    <w:t>15.9</w:t>
                  </w:r>
                  <w:r>
                    <w:rPr>
                      <w:rFonts w:hint="default" w:ascii="Times New Roman" w:hAnsi="Times New Roman" w:eastAsia="宋体" w:cs="Times New Roman"/>
                      <w:sz w:val="21"/>
                      <w:szCs w:val="21"/>
                    </w:rPr>
                    <w:t>%）</w:t>
                  </w:r>
                </w:p>
              </w:tc>
              <w:tc>
                <w:tcPr>
                  <w:tcW w:w="137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4" w:type="dxa"/>
                  <w:tcBorders>
                    <w:tl2br w:val="nil"/>
                    <w:tr2bl w:val="nil"/>
                  </w:tcBorders>
                  <w:vAlign w:val="center"/>
                </w:tcPr>
                <w:p>
                  <w:pPr>
                    <w:widowControl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2700</w:t>
                  </w:r>
                  <w:r>
                    <w:rPr>
                      <w:rFonts w:hint="default" w:ascii="Times New Roman" w:hAnsi="Times New Roman" w:eastAsia="宋体" w:cs="Times New Roman"/>
                      <w:sz w:val="21"/>
                      <w:szCs w:val="21"/>
                      <w:lang w:val="en-US" w:eastAsia="zh-CN"/>
                    </w:rPr>
                    <w:t>00</w:t>
                  </w:r>
                </w:p>
              </w:tc>
              <w:tc>
                <w:tcPr>
                  <w:tcW w:w="137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42930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888"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44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煤泥（灰分</w:t>
                  </w:r>
                  <w:r>
                    <w:rPr>
                      <w:rFonts w:hint="default" w:ascii="Times New Roman" w:hAnsi="Times New Roman" w:eastAsia="宋体" w:cs="Times New Roman"/>
                      <w:sz w:val="21"/>
                      <w:szCs w:val="21"/>
                      <w:lang w:val="en-US" w:eastAsia="zh-CN"/>
                    </w:rPr>
                    <w:t>41.8</w:t>
                  </w:r>
                  <w:r>
                    <w:rPr>
                      <w:rFonts w:hint="default" w:ascii="Times New Roman" w:hAnsi="Times New Roman" w:eastAsia="宋体" w:cs="Times New Roman"/>
                      <w:sz w:val="21"/>
                      <w:szCs w:val="21"/>
                    </w:rPr>
                    <w:t>%）</w:t>
                  </w:r>
                </w:p>
              </w:tc>
              <w:tc>
                <w:tcPr>
                  <w:tcW w:w="137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4" w:type="dxa"/>
                  <w:tcBorders>
                    <w:tl2br w:val="nil"/>
                    <w:tr2bl w:val="nil"/>
                  </w:tcBorders>
                  <w:vAlign w:val="center"/>
                </w:tcPr>
                <w:p>
                  <w:pPr>
                    <w:widowControl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105</w:t>
                  </w:r>
                  <w:r>
                    <w:rPr>
                      <w:rFonts w:hint="default" w:ascii="Times New Roman" w:hAnsi="Times New Roman" w:eastAsia="宋体" w:cs="Times New Roman"/>
                      <w:sz w:val="21"/>
                      <w:szCs w:val="21"/>
                      <w:lang w:val="en-US" w:eastAsia="zh-CN"/>
                    </w:rPr>
                    <w:t>000</w:t>
                  </w:r>
                </w:p>
              </w:tc>
              <w:tc>
                <w:tcPr>
                  <w:tcW w:w="137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43890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888"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44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矸石（灰分55.</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p>
              </w:tc>
              <w:tc>
                <w:tcPr>
                  <w:tcW w:w="137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74" w:type="dxa"/>
                  <w:tcBorders>
                    <w:tl2br w:val="nil"/>
                    <w:tr2bl w:val="nil"/>
                  </w:tcBorders>
                  <w:vAlign w:val="center"/>
                </w:tcPr>
                <w:p>
                  <w:pPr>
                    <w:widowControl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r>
                    <w:rPr>
                      <w:rFonts w:hint="default" w:ascii="Times New Roman" w:hAnsi="Times New Roman" w:eastAsia="宋体" w:cs="Times New Roman"/>
                      <w:sz w:val="21"/>
                      <w:szCs w:val="21"/>
                      <w:lang w:val="en-US" w:eastAsia="zh-CN"/>
                    </w:rPr>
                    <w:t>0000</w:t>
                  </w:r>
                </w:p>
              </w:tc>
              <w:tc>
                <w:tcPr>
                  <w:tcW w:w="137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133440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34" w:type="dxa"/>
                  <w:gridSpan w:val="2"/>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1374" w:type="dxa"/>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1500000</w:t>
                  </w:r>
                </w:p>
              </w:tc>
              <w:tc>
                <w:tcPr>
                  <w:tcW w:w="1376" w:type="dxa"/>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330000</w:t>
                  </w:r>
                </w:p>
              </w:tc>
              <w:tc>
                <w:tcPr>
                  <w:tcW w:w="137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1500000</w:t>
                  </w:r>
                </w:p>
              </w:tc>
              <w:tc>
                <w:tcPr>
                  <w:tcW w:w="1376"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330000</w:t>
                  </w:r>
                </w:p>
              </w:tc>
            </w:tr>
          </w:tbl>
          <w:p>
            <w:pPr>
              <w:adjustRightInd w:val="0"/>
              <w:snapToGrid w:val="0"/>
              <w:spacing w:line="360" w:lineRule="auto"/>
              <w:ind w:firstLine="480" w:firstLineChars="200"/>
              <w:rPr>
                <w:color w:val="auto"/>
                <w:sz w:val="24"/>
                <w:shd w:val="clear" w:color="auto" w:fill="auto"/>
              </w:rPr>
            </w:pPr>
            <w:r>
              <w:rPr>
                <w:rFonts w:hint="eastAsia"/>
                <w:color w:val="auto"/>
                <w:sz w:val="24"/>
                <w:shd w:val="clear" w:color="auto" w:fill="auto"/>
              </w:rPr>
              <w:t>2</w:t>
            </w:r>
            <w:r>
              <w:rPr>
                <w:color w:val="auto"/>
                <w:sz w:val="24"/>
                <w:shd w:val="clear" w:color="auto" w:fill="auto"/>
              </w:rPr>
              <w:t>、废气</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项目主要大气污染物为原煤储存粉尘、破碎筛分车间粉尘、产品及固废堆放产生的粉尘、原料及产品转运、装卸粉尘等。</w:t>
            </w:r>
          </w:p>
          <w:p>
            <w:pPr>
              <w:pStyle w:val="21"/>
              <w:ind w:left="0" w:leftChars="0" w:firstLine="0" w:firstLineChars="0"/>
              <w:rPr>
                <w:rFonts w:hint="eastAsia" w:eastAsia="宋体"/>
                <w:b/>
                <w:bCs/>
                <w:lang w:eastAsia="zh-CN"/>
              </w:rPr>
            </w:pPr>
            <w:r>
              <w:rPr>
                <w:rFonts w:hint="eastAsia" w:ascii="Times New Roman" w:hAnsi="Times New Roman" w:cs="Times New Roman"/>
                <w:b/>
                <w:bCs/>
                <w:sz w:val="24"/>
                <w:szCs w:val="24"/>
                <w:lang w:eastAsia="zh-CN"/>
              </w:rPr>
              <w:t>洗煤工艺废气</w:t>
            </w:r>
          </w:p>
          <w:p>
            <w:pPr>
              <w:pStyle w:val="10"/>
              <w:snapToGrid/>
              <w:spacing w:line="360" w:lineRule="auto"/>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⑴ 原煤储存粉尘</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项目原煤</w:t>
            </w:r>
            <w:r>
              <w:rPr>
                <w:rFonts w:hint="eastAsia" w:cs="Times New Roman"/>
                <w:sz w:val="24"/>
                <w:szCs w:val="24"/>
                <w:lang w:eastAsia="zh-CN"/>
              </w:rPr>
              <w:t>存储于全密闭厂房中</w:t>
            </w:r>
            <w:r>
              <w:rPr>
                <w:rFonts w:hint="default" w:ascii="Times New Roman" w:hAnsi="Times New Roman" w:eastAsia="宋体" w:cs="Times New Roman"/>
                <w:sz w:val="24"/>
                <w:szCs w:val="24"/>
              </w:rPr>
              <w:t>，原煤储存粉尘主要为原煤卸车时产生的粉尘。原煤卸车过程历时较短，并且车辆卸车过程中采用喷雾洒水抑尘，提高物料的含水率，减少扬尘扩散对环境空气的影响；特别在卸载时应将车上原煤缓慢落地，待卸载完毕后车辆慢速离开，降低原煤因落地惯性产生较大的扬尘。全封闭式</w:t>
            </w:r>
            <w:r>
              <w:rPr>
                <w:rFonts w:hint="eastAsia" w:cs="Times New Roman"/>
                <w:sz w:val="24"/>
                <w:szCs w:val="24"/>
                <w:lang w:eastAsia="zh-CN"/>
              </w:rPr>
              <w:t>堆场</w:t>
            </w:r>
            <w:r>
              <w:rPr>
                <w:rFonts w:hint="default" w:ascii="Times New Roman" w:hAnsi="Times New Roman" w:eastAsia="宋体" w:cs="Times New Roman"/>
                <w:sz w:val="24"/>
                <w:szCs w:val="24"/>
              </w:rPr>
              <w:t>内设皮带输送机与下一工序相联。类比同类储煤项目，在采取以上措施后，原煤储存外逸环境中的粉尘量约为0.2t/a。</w:t>
            </w:r>
          </w:p>
          <w:p>
            <w:pPr>
              <w:pStyle w:val="10"/>
              <w:snapToGrid/>
              <w:spacing w:line="360" w:lineRule="auto"/>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⑵ 破碎筛分环节粉尘</w:t>
            </w:r>
          </w:p>
          <w:p>
            <w:pPr>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原煤在破碎筛分过程中将产生大量煤尘，本项目</w:t>
            </w:r>
            <w:r>
              <w:rPr>
                <w:rFonts w:hint="eastAsia" w:ascii="Times New Roman" w:hAnsi="Times New Roman" w:cs="Times New Roman"/>
                <w:sz w:val="24"/>
                <w:szCs w:val="24"/>
                <w:lang w:eastAsia="zh-CN"/>
              </w:rPr>
              <w:t>共设置三条洗选生产线，每条生产线年洗选煤</w:t>
            </w:r>
            <w:r>
              <w:rPr>
                <w:rFonts w:hint="eastAsia" w:ascii="Times New Roman" w:hAnsi="Times New Roman" w:cs="Times New Roman"/>
                <w:sz w:val="24"/>
                <w:szCs w:val="24"/>
                <w:lang w:val="en-US" w:eastAsia="zh-CN"/>
              </w:rPr>
              <w:t>50万t，单个生产线每小时洗选煤量为208.3t，</w:t>
            </w:r>
            <w:r>
              <w:rPr>
                <w:rFonts w:hint="default" w:ascii="Times New Roman" w:hAnsi="Times New Roman" w:eastAsia="宋体" w:cs="Times New Roman"/>
                <w:sz w:val="24"/>
                <w:szCs w:val="24"/>
              </w:rPr>
              <w:t>破碎筛分工序煤粉尘产生量为</w:t>
            </w:r>
            <w:r>
              <w:rPr>
                <w:rFonts w:hint="eastAsia" w:ascii="Times New Roman" w:hAnsi="Times New Roman" w:cs="Times New Roman"/>
                <w:sz w:val="24"/>
                <w:szCs w:val="24"/>
                <w:lang w:val="en-US" w:eastAsia="zh-CN"/>
              </w:rPr>
              <w:t>41.66</w:t>
            </w:r>
            <w:r>
              <w:rPr>
                <w:rFonts w:hint="default" w:ascii="Times New Roman" w:hAnsi="Times New Roman" w:eastAsia="宋体" w:cs="Times New Roman"/>
                <w:sz w:val="24"/>
                <w:szCs w:val="24"/>
              </w:rPr>
              <w:t>kg/h（本项目破碎系统采用一段破碎流程，根据资料调查，无控制情况下粉尘产生情况为：一级破碎0.05kg/t—产品，</w:t>
            </w:r>
            <w:r>
              <w:rPr>
                <w:rFonts w:hint="eastAsia" w:ascii="Times New Roman" w:hAnsi="Times New Roman" w:cs="Times New Roman"/>
                <w:sz w:val="24"/>
                <w:szCs w:val="24"/>
                <w:lang w:eastAsia="zh-CN"/>
              </w:rPr>
              <w:t>一</w:t>
            </w:r>
            <w:r>
              <w:rPr>
                <w:rFonts w:hint="default" w:ascii="Times New Roman" w:hAnsi="Times New Roman" w:eastAsia="宋体" w:cs="Times New Roman"/>
                <w:sz w:val="24"/>
                <w:szCs w:val="24"/>
              </w:rPr>
              <w:t>道筛选</w:t>
            </w:r>
            <w:r>
              <w:rPr>
                <w:rFonts w:hint="eastAsia" w:ascii="Times New Roman" w:hAnsi="Times New Roman" w:cs="Times New Roman"/>
                <w:sz w:val="24"/>
                <w:szCs w:val="24"/>
                <w:lang w:val="en-US" w:eastAsia="zh-CN"/>
              </w:rPr>
              <w:t>0.1</w:t>
            </w:r>
            <w:r>
              <w:rPr>
                <w:rFonts w:hint="default" w:ascii="Times New Roman" w:hAnsi="Times New Roman" w:eastAsia="宋体" w:cs="Times New Roman"/>
                <w:sz w:val="24"/>
                <w:szCs w:val="24"/>
              </w:rPr>
              <w:t>kg/t—产品，落料、皮带输送等过程损耗0.05kg/t—产品，合计产生系数约为</w:t>
            </w:r>
            <w:r>
              <w:rPr>
                <w:rFonts w:hint="eastAsia" w:ascii="Times New Roman" w:hAnsi="Times New Roman" w:cs="Times New Roman"/>
                <w:sz w:val="24"/>
                <w:szCs w:val="24"/>
                <w:lang w:val="en-US" w:eastAsia="zh-CN"/>
              </w:rPr>
              <w:t>0.2</w:t>
            </w:r>
            <w:r>
              <w:rPr>
                <w:rFonts w:hint="default" w:ascii="Times New Roman" w:hAnsi="Times New Roman" w:eastAsia="宋体" w:cs="Times New Roman"/>
                <w:sz w:val="24"/>
                <w:szCs w:val="24"/>
              </w:rPr>
              <w:t>kg/t—产品），项目对破碎筛分机进行隔离封闭，物料输送全部为密闭通廊。在破碎筛分车间设集气罩+布袋除尘器，废气经除尘系统（</w:t>
            </w:r>
            <w:r>
              <w:rPr>
                <w:rFonts w:hint="eastAsia" w:cs="Times New Roman"/>
                <w:sz w:val="24"/>
                <w:szCs w:val="24"/>
                <w:lang w:eastAsia="zh-CN"/>
              </w:rPr>
              <w:t>引风机风量</w:t>
            </w:r>
            <w:r>
              <w:rPr>
                <w:rFonts w:hint="eastAsia" w:cs="Times New Roman"/>
                <w:sz w:val="24"/>
                <w:szCs w:val="24"/>
                <w:lang w:val="en-US" w:eastAsia="zh-CN"/>
              </w:rPr>
              <w:t>10000m</w:t>
            </w:r>
            <w:r>
              <w:rPr>
                <w:rFonts w:hint="eastAsia" w:cs="Times New Roman"/>
                <w:sz w:val="24"/>
                <w:szCs w:val="24"/>
                <w:vertAlign w:val="superscript"/>
                <w:lang w:val="en-US" w:eastAsia="zh-CN"/>
              </w:rPr>
              <w:t>3</w:t>
            </w:r>
            <w:r>
              <w:rPr>
                <w:rFonts w:hint="eastAsia" w:cs="Times New Roman"/>
                <w:sz w:val="24"/>
                <w:szCs w:val="24"/>
                <w:vertAlign w:val="baseline"/>
                <w:lang w:val="en-US" w:eastAsia="zh-CN"/>
              </w:rPr>
              <w:t>/h，集气罩</w:t>
            </w:r>
            <w:r>
              <w:rPr>
                <w:rFonts w:hint="eastAsia" w:cs="Times New Roman"/>
                <w:sz w:val="24"/>
                <w:szCs w:val="24"/>
                <w:lang w:eastAsia="zh-CN"/>
              </w:rPr>
              <w:t>收集效率</w:t>
            </w:r>
            <w:r>
              <w:rPr>
                <w:rFonts w:hint="eastAsia" w:cs="Times New Roman"/>
                <w:sz w:val="24"/>
                <w:szCs w:val="24"/>
                <w:lang w:val="en-US" w:eastAsia="zh-CN"/>
              </w:rPr>
              <w:t>90%，</w:t>
            </w:r>
            <w:r>
              <w:rPr>
                <w:rFonts w:hint="default" w:ascii="Times New Roman" w:hAnsi="Times New Roman" w:eastAsia="宋体" w:cs="Times New Roman"/>
                <w:sz w:val="24"/>
                <w:szCs w:val="24"/>
              </w:rPr>
              <w:t>除尘效率99%）除尘后由1根15m排气筒排放。产生浓度为</w:t>
            </w:r>
            <w:r>
              <w:rPr>
                <w:rFonts w:hint="eastAsia" w:ascii="Times New Roman" w:hAnsi="Times New Roman" w:cs="Times New Roman"/>
                <w:sz w:val="24"/>
                <w:szCs w:val="24"/>
                <w:lang w:val="en-US" w:eastAsia="zh-CN"/>
              </w:rPr>
              <w:t>4166</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，废气的产生量为</w:t>
            </w:r>
            <w:r>
              <w:rPr>
                <w:rFonts w:hint="eastAsia" w:ascii="Times New Roman" w:hAnsi="Times New Roman" w:cs="Times New Roman"/>
                <w:sz w:val="24"/>
                <w:szCs w:val="24"/>
                <w:lang w:val="en-US" w:eastAsia="zh-CN"/>
              </w:rPr>
              <w:t>10000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w:t>
            </w:r>
            <w:r>
              <w:rPr>
                <w:rFonts w:hint="eastAsia" w:ascii="Times New Roman" w:hAnsi="Times New Roman" w:cs="Times New Roman"/>
                <w:sz w:val="24"/>
                <w:szCs w:val="24"/>
                <w:lang w:eastAsia="zh-CN"/>
              </w:rPr>
              <w:t>项目共设置三条相同生产线，各生产线独立设置废气收集处理系统，设置独立排气筒排放，</w:t>
            </w:r>
            <w:r>
              <w:rPr>
                <w:rFonts w:hint="default" w:ascii="Times New Roman" w:hAnsi="Times New Roman" w:eastAsia="宋体" w:cs="Times New Roman"/>
                <w:sz w:val="24"/>
                <w:szCs w:val="24"/>
              </w:rPr>
              <w:t>项目破碎筛分工序粉尘产生及排放情况见表</w:t>
            </w:r>
            <w:r>
              <w:rPr>
                <w:rFonts w:hint="eastAsia" w:cs="Times New Roman"/>
                <w:sz w:val="24"/>
                <w:szCs w:val="24"/>
                <w:lang w:val="en-US" w:eastAsia="zh-CN"/>
              </w:rPr>
              <w:t>14</w:t>
            </w:r>
            <w:r>
              <w:rPr>
                <w:rFonts w:hint="default" w:ascii="Times New Roman" w:hAnsi="Times New Roman" w:eastAsia="宋体" w:cs="Times New Roman"/>
                <w:sz w:val="24"/>
                <w:szCs w:val="24"/>
              </w:rPr>
              <w:t>。</w:t>
            </w:r>
          </w:p>
          <w:p>
            <w:pPr>
              <w:snapToGrid w:val="0"/>
              <w:contextualSpacing/>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eastAsia" w:cs="Times New Roman"/>
                <w:b/>
                <w:bCs/>
                <w:sz w:val="24"/>
                <w:szCs w:val="24"/>
                <w:lang w:val="en-US" w:eastAsia="zh-CN"/>
              </w:rPr>
              <w:t>14</w:t>
            </w:r>
            <w:r>
              <w:rPr>
                <w:rFonts w:hint="default" w:ascii="Times New Roman" w:hAnsi="Times New Roman" w:eastAsia="宋体" w:cs="Times New Roman"/>
                <w:b/>
                <w:bCs/>
                <w:sz w:val="24"/>
                <w:szCs w:val="24"/>
              </w:rPr>
              <w:t xml:space="preserve">  项目破碎筛分工序粉尘产生及排放情况</w:t>
            </w:r>
          </w:p>
          <w:tbl>
            <w:tblPr>
              <w:tblStyle w:val="34"/>
              <w:tblW w:w="8834"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1140"/>
              <w:gridCol w:w="1198"/>
              <w:gridCol w:w="1125"/>
              <w:gridCol w:w="1155"/>
              <w:gridCol w:w="10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8"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排放源名称</w:t>
                  </w:r>
                </w:p>
              </w:tc>
              <w:tc>
                <w:tcPr>
                  <w:tcW w:w="1140"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废气量</w:t>
                  </w:r>
                </w:p>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1198"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产生浓度</w:t>
                  </w:r>
                </w:p>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1125"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产生速率</w:t>
                  </w:r>
                </w:p>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kg/h</w:t>
                  </w:r>
                </w:p>
              </w:tc>
              <w:tc>
                <w:tcPr>
                  <w:tcW w:w="1155"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排放浓度</w:t>
                  </w:r>
                </w:p>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1068"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排放速率</w:t>
                  </w:r>
                </w:p>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8"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破碎机、筛分机</w:t>
                  </w:r>
                </w:p>
              </w:tc>
              <w:tc>
                <w:tcPr>
                  <w:tcW w:w="1140" w:type="dxa"/>
                  <w:tcBorders>
                    <w:tl2br w:val="nil"/>
                    <w:tr2bl w:val="nil"/>
                  </w:tcBorders>
                  <w:vAlign w:val="center"/>
                </w:tcPr>
                <w:p>
                  <w:pPr>
                    <w:adjustRightInd w:val="0"/>
                    <w:contextualSpacing/>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30000</w:t>
                  </w:r>
                </w:p>
              </w:tc>
              <w:tc>
                <w:tcPr>
                  <w:tcW w:w="1198" w:type="dxa"/>
                  <w:tcBorders>
                    <w:tl2br w:val="nil"/>
                    <w:tr2bl w:val="nil"/>
                  </w:tcBorders>
                  <w:vAlign w:val="center"/>
                </w:tcPr>
                <w:p>
                  <w:pPr>
                    <w:adjustRightInd w:val="0"/>
                    <w:contextualSpacing/>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4166</w:t>
                  </w:r>
                </w:p>
              </w:tc>
              <w:tc>
                <w:tcPr>
                  <w:tcW w:w="1125" w:type="dxa"/>
                  <w:tcBorders>
                    <w:tl2br w:val="nil"/>
                    <w:tr2bl w:val="nil"/>
                  </w:tcBorders>
                  <w:vAlign w:val="center"/>
                </w:tcPr>
                <w:p>
                  <w:pPr>
                    <w:adjustRightInd w:val="0"/>
                    <w:contextualSpacing/>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124.98</w:t>
                  </w:r>
                </w:p>
              </w:tc>
              <w:tc>
                <w:tcPr>
                  <w:tcW w:w="1155" w:type="dxa"/>
                  <w:tcBorders>
                    <w:tl2br w:val="nil"/>
                    <w:tr2bl w:val="nil"/>
                  </w:tcBorders>
                  <w:vAlign w:val="center"/>
                </w:tcPr>
                <w:p>
                  <w:pPr>
                    <w:adjustRightInd w:val="0"/>
                    <w:contextualSpacing/>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41.66</w:t>
                  </w:r>
                </w:p>
              </w:tc>
              <w:tc>
                <w:tcPr>
                  <w:tcW w:w="1068" w:type="dxa"/>
                  <w:tcBorders>
                    <w:tl2br w:val="nil"/>
                    <w:tr2bl w:val="nil"/>
                  </w:tcBorders>
                  <w:vAlign w:val="center"/>
                </w:tcPr>
                <w:p>
                  <w:pPr>
                    <w:adjustRightInd w:val="0"/>
                    <w:contextualSpacing/>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1.26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8"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《煤炭工业污染物排放标准》（GB20426-2006）表4</w:t>
                  </w:r>
                </w:p>
              </w:tc>
              <w:tc>
                <w:tcPr>
                  <w:tcW w:w="1140"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98"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25"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55"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1068" w:type="dxa"/>
                  <w:tcBorders>
                    <w:tl2br w:val="nil"/>
                    <w:tr2bl w:val="nil"/>
                  </w:tcBorders>
                  <w:vAlign w:val="center"/>
                </w:tcPr>
                <w:p>
                  <w:pPr>
                    <w:adjustRightInd w:val="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同时为了防止破碎筛分工序散溢到周围空气中的粉尘（按10%计，约为</w:t>
            </w:r>
            <w:r>
              <w:rPr>
                <w:rFonts w:hint="eastAsia" w:ascii="Times New Roman" w:hAnsi="Times New Roman" w:cs="Times New Roman"/>
                <w:sz w:val="24"/>
                <w:szCs w:val="24"/>
                <w:lang w:val="en-US" w:eastAsia="zh-CN"/>
              </w:rPr>
              <w:t>4.17</w:t>
            </w:r>
            <w:r>
              <w:rPr>
                <w:rFonts w:hint="default" w:ascii="Times New Roman" w:hAnsi="Times New Roman" w:eastAsia="宋体" w:cs="Times New Roman"/>
                <w:sz w:val="24"/>
                <w:szCs w:val="24"/>
              </w:rPr>
              <w:t>kg/h）对周围环境的影响，环评建议在产尘点设置洒水喷雾装置（除尘效率按95%计），</w:t>
            </w:r>
            <w:r>
              <w:rPr>
                <w:rFonts w:hint="eastAsia" w:ascii="Times New Roman" w:hAnsi="Times New Roman" w:cs="Times New Roman"/>
                <w:sz w:val="24"/>
                <w:szCs w:val="24"/>
                <w:lang w:eastAsia="zh-CN"/>
              </w:rPr>
              <w:t>单个</w:t>
            </w:r>
            <w:r>
              <w:rPr>
                <w:rFonts w:hint="default" w:ascii="Times New Roman" w:hAnsi="Times New Roman" w:eastAsia="宋体" w:cs="Times New Roman"/>
                <w:sz w:val="24"/>
                <w:szCs w:val="24"/>
              </w:rPr>
              <w:t>无组织粉尘排放速率约为0.</w:t>
            </w:r>
            <w:r>
              <w:rPr>
                <w:rFonts w:hint="eastAsia" w:ascii="Times New Roman" w:hAnsi="Times New Roman" w:cs="Times New Roman"/>
                <w:sz w:val="24"/>
                <w:szCs w:val="24"/>
                <w:lang w:val="en-US" w:eastAsia="zh-CN"/>
              </w:rPr>
              <w:t>21</w:t>
            </w:r>
            <w:r>
              <w:rPr>
                <w:rFonts w:hint="default" w:ascii="Times New Roman" w:hAnsi="Times New Roman" w:eastAsia="宋体" w:cs="Times New Roman"/>
                <w:sz w:val="24"/>
                <w:szCs w:val="24"/>
              </w:rPr>
              <w:t>kg/h</w:t>
            </w:r>
            <w:r>
              <w:rPr>
                <w:rFonts w:hint="eastAsia" w:ascii="Times New Roman" w:hAnsi="Times New Roman" w:cs="Times New Roman"/>
                <w:sz w:val="24"/>
                <w:szCs w:val="24"/>
                <w:lang w:eastAsia="zh-CN"/>
              </w:rPr>
              <w:t>，三个车间无组织排放</w:t>
            </w:r>
            <w:r>
              <w:rPr>
                <w:rFonts w:hint="eastAsia" w:cs="Times New Roman"/>
                <w:sz w:val="24"/>
                <w:szCs w:val="24"/>
                <w:lang w:eastAsia="zh-CN"/>
              </w:rPr>
              <w:t>速</w:t>
            </w:r>
            <w:r>
              <w:rPr>
                <w:rFonts w:hint="default" w:ascii="Times New Roman" w:hAnsi="Times New Roman" w:eastAsia="宋体" w:cs="Times New Roman"/>
                <w:sz w:val="24"/>
                <w:szCs w:val="24"/>
              </w:rPr>
              <w:t>率约为0.</w:t>
            </w:r>
            <w:r>
              <w:rPr>
                <w:rFonts w:hint="eastAsia" w:cs="Times New Roman"/>
                <w:sz w:val="24"/>
                <w:szCs w:val="24"/>
                <w:lang w:val="en-US" w:eastAsia="zh-CN"/>
              </w:rPr>
              <w:t>63</w:t>
            </w:r>
            <w:r>
              <w:rPr>
                <w:rFonts w:hint="default" w:ascii="Times New Roman" w:hAnsi="Times New Roman" w:eastAsia="宋体" w:cs="Times New Roman"/>
                <w:sz w:val="24"/>
                <w:szCs w:val="24"/>
              </w:rPr>
              <w:t>kg/h。</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采取以上措施后，项目破碎筛分工序产生粉尘分别满足《煤炭工业污染物排放标准》（GB20426-2006）表4中颗粒物浓度限值小于80mg/m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及其表5中无组织排放限值低于1.0mg/m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的要求。</w:t>
            </w:r>
          </w:p>
          <w:p>
            <w:pPr>
              <w:pStyle w:val="10"/>
              <w:snapToGrid/>
              <w:spacing w:line="360" w:lineRule="auto"/>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⑶ 产品、固废堆放产生的粉尘</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产品煤通过带式输送机运至各产品</w:t>
            </w:r>
            <w:r>
              <w:rPr>
                <w:rFonts w:hint="eastAsia" w:cs="Times New Roman"/>
                <w:sz w:val="24"/>
                <w:szCs w:val="24"/>
                <w:lang w:eastAsia="zh-CN"/>
              </w:rPr>
              <w:t>堆场</w:t>
            </w:r>
            <w:r>
              <w:rPr>
                <w:rFonts w:hint="default" w:ascii="Times New Roman" w:hAnsi="Times New Roman" w:eastAsia="宋体" w:cs="Times New Roman"/>
                <w:sz w:val="24"/>
                <w:szCs w:val="24"/>
              </w:rPr>
              <w:t>内，由于精煤、中煤、矸石储存在全封闭式</w:t>
            </w:r>
            <w:r>
              <w:rPr>
                <w:rFonts w:hint="eastAsia" w:cs="Times New Roman"/>
                <w:sz w:val="24"/>
                <w:szCs w:val="24"/>
                <w:lang w:eastAsia="zh-CN"/>
              </w:rPr>
              <w:t>堆场</w:t>
            </w:r>
            <w:r>
              <w:rPr>
                <w:rFonts w:hint="default" w:ascii="Times New Roman" w:hAnsi="Times New Roman" w:eastAsia="宋体" w:cs="Times New Roman"/>
                <w:sz w:val="24"/>
                <w:szCs w:val="24"/>
              </w:rPr>
              <w:t>内，起尘量很少。主要为产品煤装车时产生的粉尘，项目在产品煤装车过程中采用喷雾洒水抑尘，提高产品煤的含水率，特别在装车时应将产品煤缓慢落地，待装车完成后车辆慢速离开，降低产品煤因落地惯性产生较大的扬尘。收集煤粉尘淋湿后掺入煤泥存入密闭储棚</w:t>
            </w:r>
            <w:r>
              <w:rPr>
                <w:rFonts w:hint="eastAsia" w:ascii="Times New Roman" w:hAnsi="Times New Roman" w:cs="Times New Roman"/>
                <w:sz w:val="24"/>
                <w:szCs w:val="24"/>
                <w:lang w:eastAsia="zh-CN"/>
              </w:rPr>
              <w:t>存贮</w:t>
            </w:r>
            <w:r>
              <w:rPr>
                <w:rFonts w:hint="default" w:ascii="Times New Roman" w:hAnsi="Times New Roman" w:eastAsia="宋体" w:cs="Times New Roman"/>
                <w:sz w:val="24"/>
                <w:szCs w:val="24"/>
              </w:rPr>
              <w:t>。</w:t>
            </w:r>
          </w:p>
          <w:p>
            <w:pPr>
              <w:pStyle w:val="10"/>
              <w:snapToGrid/>
              <w:spacing w:line="360" w:lineRule="auto"/>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⑷ 原料及产品转运、装卸粉尘</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项目原煤由输送带输送至厂区原煤</w:t>
            </w:r>
            <w:r>
              <w:rPr>
                <w:rFonts w:hint="eastAsia" w:cs="Times New Roman"/>
                <w:sz w:val="24"/>
                <w:szCs w:val="24"/>
                <w:lang w:eastAsia="zh-CN"/>
              </w:rPr>
              <w:t>堆场</w:t>
            </w:r>
            <w:r>
              <w:rPr>
                <w:rFonts w:hint="default" w:ascii="Times New Roman" w:hAnsi="Times New Roman" w:eastAsia="宋体" w:cs="Times New Roman"/>
                <w:sz w:val="24"/>
                <w:szCs w:val="24"/>
              </w:rPr>
              <w:t>，再经皮带输送机，通过密闭廊道将原煤输送至破碎筛分车间进行预处理，洗选后的产品煤通过密闭廊道输送至精煤</w:t>
            </w:r>
            <w:r>
              <w:rPr>
                <w:rFonts w:hint="eastAsia" w:cs="Times New Roman"/>
                <w:sz w:val="24"/>
                <w:szCs w:val="24"/>
                <w:lang w:eastAsia="zh-CN"/>
              </w:rPr>
              <w:t>堆场</w:t>
            </w:r>
            <w:r>
              <w:rPr>
                <w:rFonts w:hint="default" w:ascii="Times New Roman" w:hAnsi="Times New Roman" w:eastAsia="宋体" w:cs="Times New Roman"/>
                <w:sz w:val="24"/>
                <w:szCs w:val="24"/>
              </w:rPr>
              <w:t>分区储存，外售产品煤通过汽车运出厂外。原煤及产品厂内转运、装卸过程以及道路运输过程会有一定的粉尘产生。</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转运、装卸粉尘</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项目原煤及产品煤转运过程均采用密闭廊道和皮带传输，各落料点及转载点均设置喷雾洒水装置，可有效抑制粉尘外逸，在采取以上措施后，转运、装卸过程粉尘</w:t>
            </w:r>
            <w:r>
              <w:rPr>
                <w:rFonts w:hint="eastAsia" w:ascii="Times New Roman" w:hAnsi="Times New Roman" w:cs="Times New Roman"/>
                <w:sz w:val="24"/>
                <w:szCs w:val="24"/>
                <w:lang w:eastAsia="zh-CN"/>
              </w:rPr>
              <w:t>产生量很小</w:t>
            </w:r>
            <w:r>
              <w:rPr>
                <w:rFonts w:hint="default" w:ascii="Times New Roman" w:hAnsi="Times New Roman" w:eastAsia="宋体" w:cs="Times New Roman"/>
                <w:sz w:val="24"/>
                <w:szCs w:val="24"/>
              </w:rPr>
              <w:t>。</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道路运输扬尘</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项目产品矸石、煤泥外售，均由汽车运输。项目年运输出厂总量达</w:t>
            </w:r>
            <w:r>
              <w:rPr>
                <w:rFonts w:hint="eastAsia" w:cs="Times New Roman"/>
                <w:sz w:val="24"/>
                <w:szCs w:val="24"/>
                <w:lang w:val="en-US" w:eastAsia="zh-CN"/>
              </w:rPr>
              <w:t>510</w:t>
            </w:r>
            <w:r>
              <w:rPr>
                <w:rFonts w:hint="default" w:ascii="Times New Roman" w:hAnsi="Times New Roman" w:eastAsia="宋体" w:cs="Times New Roman"/>
                <w:sz w:val="24"/>
                <w:szCs w:val="24"/>
              </w:rPr>
              <w:t>万吨，每天出厂货物量平均为</w:t>
            </w:r>
            <w:r>
              <w:rPr>
                <w:rFonts w:hint="eastAsia" w:cs="Times New Roman"/>
                <w:sz w:val="24"/>
                <w:szCs w:val="24"/>
                <w:lang w:val="en-US" w:eastAsia="zh-CN"/>
              </w:rPr>
              <w:t>17000</w:t>
            </w:r>
            <w:r>
              <w:rPr>
                <w:rFonts w:hint="default" w:ascii="Times New Roman" w:hAnsi="Times New Roman" w:eastAsia="宋体" w:cs="Times New Roman"/>
                <w:sz w:val="24"/>
                <w:szCs w:val="24"/>
              </w:rPr>
              <w:t>吨，每辆汽车载重能力按30吨计，每天车辆出厂运输频次为</w:t>
            </w:r>
            <w:r>
              <w:rPr>
                <w:rFonts w:hint="eastAsia" w:cs="Times New Roman"/>
                <w:sz w:val="24"/>
                <w:szCs w:val="24"/>
                <w:lang w:val="en-US" w:eastAsia="zh-CN"/>
              </w:rPr>
              <w:t>567</w:t>
            </w:r>
            <w:r>
              <w:rPr>
                <w:rFonts w:hint="default" w:ascii="Times New Roman" w:hAnsi="Times New Roman" w:eastAsia="宋体" w:cs="Times New Roman"/>
                <w:sz w:val="24"/>
                <w:szCs w:val="24"/>
              </w:rPr>
              <w:t>车次。考虑项目原煤的进厂运输车辆，项目运营后，每天进出厂区的运输车辆将会大大增加，平均每天进出厂运输总量为出厂运输总量的2倍，而车辆行驶必然产生一定量的扬尘，在一定的气象条件下，扬尘量与路面平整度、湿度及车况有关，车辆行驶产生的扬尘量按下列经验公式计算：</w:t>
            </w:r>
          </w:p>
          <w:p>
            <w:pPr>
              <w:spacing w:line="360" w:lineRule="auto"/>
              <w:contextualSpacing/>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Q=0.123(V/5)(W/6.8)0.85(P/0.5)0.75</w:t>
            </w:r>
          </w:p>
          <w:p>
            <w:pPr>
              <w:spacing w:line="360" w:lineRule="auto"/>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式中 Q：汽车行驶时的扬尘，kg/km·辆；</w:t>
            </w:r>
          </w:p>
          <w:p>
            <w:pPr>
              <w:spacing w:line="360" w:lineRule="auto"/>
              <w:ind w:firstLine="2868" w:firstLineChars="1195"/>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V：汽车速度，km/h；</w:t>
            </w:r>
          </w:p>
          <w:p>
            <w:pPr>
              <w:spacing w:line="360" w:lineRule="auto"/>
              <w:ind w:firstLine="2868" w:firstLineChars="1195"/>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W：汽车载重量，吨；</w:t>
            </w:r>
          </w:p>
          <w:p>
            <w:pPr>
              <w:spacing w:line="360" w:lineRule="auto"/>
              <w:ind w:firstLine="2868" w:firstLineChars="1195"/>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P：道路表面粉尘量，kg/m3。</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本项目车辆在厂区行驶距离按</w:t>
            </w:r>
            <w:r>
              <w:rPr>
                <w:rFonts w:hint="eastAsia" w:ascii="Times New Roman" w:hAnsi="Times New Roman" w:cs="Times New Roman"/>
                <w:sz w:val="24"/>
                <w:szCs w:val="24"/>
                <w:lang w:val="en-US" w:eastAsia="zh-CN"/>
              </w:rPr>
              <w:t>400</w:t>
            </w:r>
            <w:r>
              <w:rPr>
                <w:rFonts w:hint="default" w:ascii="Times New Roman" w:hAnsi="Times New Roman" w:eastAsia="宋体" w:cs="Times New Roman"/>
                <w:sz w:val="24"/>
                <w:szCs w:val="24"/>
              </w:rPr>
              <w:t>m计，运输空车重约10.0t，重车重约40.0t，以速度20km/h行驶，在不同路面情况下的单辆汽车的扬尘量见表</w:t>
            </w:r>
            <w:r>
              <w:rPr>
                <w:rFonts w:hint="eastAsia" w:cs="Times New Roman"/>
                <w:sz w:val="24"/>
                <w:szCs w:val="24"/>
                <w:lang w:val="en-US" w:eastAsia="zh-CN"/>
              </w:rPr>
              <w:t>15</w:t>
            </w:r>
            <w:r>
              <w:rPr>
                <w:rFonts w:hint="default" w:ascii="Times New Roman" w:hAnsi="Times New Roman" w:eastAsia="宋体" w:cs="Times New Roman"/>
                <w:sz w:val="24"/>
                <w:szCs w:val="24"/>
              </w:rPr>
              <w:t>。</w:t>
            </w:r>
          </w:p>
          <w:p>
            <w:pPr>
              <w:autoSpaceDE w:val="0"/>
              <w:autoSpaceDN w:val="0"/>
              <w:adjustRightInd w:val="0"/>
              <w:snapToGrid w:val="0"/>
              <w:spacing w:line="360" w:lineRule="auto"/>
              <w:jc w:val="center"/>
              <w:rPr>
                <w:rFonts w:hint="default" w:ascii="Times New Roman" w:hAnsi="Times New Roman" w:eastAsia="宋体" w:cs="Times New Roman"/>
                <w:b/>
                <w:bCs/>
                <w:color w:val="auto"/>
                <w:kern w:val="24"/>
                <w:sz w:val="24"/>
              </w:rPr>
            </w:pPr>
            <w:r>
              <w:rPr>
                <w:rFonts w:hint="default" w:ascii="Times New Roman" w:hAnsi="Times New Roman" w:eastAsia="宋体" w:cs="Times New Roman"/>
                <w:b/>
                <w:bCs/>
                <w:color w:val="auto"/>
                <w:kern w:val="24"/>
                <w:sz w:val="24"/>
              </w:rPr>
              <w:t>表</w:t>
            </w:r>
            <w:r>
              <w:rPr>
                <w:rFonts w:hint="eastAsia" w:ascii="Times New Roman" w:hAnsi="Times New Roman" w:eastAsia="宋体" w:cs="Times New Roman"/>
                <w:b/>
                <w:bCs/>
                <w:color w:val="auto"/>
                <w:kern w:val="24"/>
                <w:sz w:val="24"/>
                <w:lang w:val="en-US" w:eastAsia="zh-CN"/>
              </w:rPr>
              <w:t>15</w:t>
            </w:r>
            <w:r>
              <w:rPr>
                <w:rFonts w:hint="default" w:ascii="Times New Roman" w:hAnsi="Times New Roman" w:eastAsia="宋体" w:cs="Times New Roman"/>
                <w:b/>
                <w:bCs/>
                <w:color w:val="auto"/>
                <w:kern w:val="24"/>
                <w:sz w:val="24"/>
              </w:rPr>
              <w:t xml:space="preserve">  汽车扬尘量 单位：kg</w:t>
            </w:r>
          </w:p>
          <w:tbl>
            <w:tblPr>
              <w:tblStyle w:val="34"/>
              <w:tblW w:w="88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57"/>
              <w:gridCol w:w="1257"/>
              <w:gridCol w:w="1257"/>
              <w:gridCol w:w="1257"/>
              <w:gridCol w:w="1257"/>
              <w:gridCol w:w="12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300"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路况</w:t>
                  </w:r>
                </w:p>
                <w:p>
                  <w:pPr>
                    <w:adjustRightIn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车况</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w:t>
                  </w:r>
                </w:p>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w:t>
                  </w:r>
                </w:p>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w:t>
                  </w:r>
                </w:p>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tc>
              <w:tc>
                <w:tcPr>
                  <w:tcW w:w="1259"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w:t>
                  </w:r>
                </w:p>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0"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空车</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0.205/0.0</w:t>
                  </w:r>
                  <w:r>
                    <w:rPr>
                      <w:rFonts w:hint="eastAsia" w:ascii="Times New Roman" w:hAnsi="Times New Roman" w:cs="Times New Roman"/>
                      <w:sz w:val="21"/>
                      <w:szCs w:val="21"/>
                      <w:lang w:val="en-US" w:eastAsia="zh-CN"/>
                    </w:rPr>
                    <w:t>42</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0.342/0.</w:t>
                  </w:r>
                  <w:r>
                    <w:rPr>
                      <w:rFonts w:hint="eastAsia" w:ascii="Times New Roman" w:hAnsi="Times New Roman" w:cs="Times New Roman"/>
                      <w:sz w:val="21"/>
                      <w:szCs w:val="21"/>
                      <w:lang w:val="en-US" w:eastAsia="zh-CN"/>
                    </w:rPr>
                    <w:t>136</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0.465/0.</w:t>
                  </w:r>
                  <w:r>
                    <w:rPr>
                      <w:rFonts w:hint="eastAsia" w:ascii="Times New Roman" w:hAnsi="Times New Roman" w:cs="Times New Roman"/>
                      <w:sz w:val="21"/>
                      <w:szCs w:val="21"/>
                      <w:lang w:val="en-US" w:eastAsia="zh-CN"/>
                    </w:rPr>
                    <w:t>186</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0.581/0.</w:t>
                  </w:r>
                  <w:r>
                    <w:rPr>
                      <w:rFonts w:hint="eastAsia" w:ascii="Times New Roman" w:hAnsi="Times New Roman" w:cs="Times New Roman"/>
                      <w:sz w:val="21"/>
                      <w:szCs w:val="21"/>
                      <w:lang w:val="en-US" w:eastAsia="zh-CN"/>
                    </w:rPr>
                    <w:t>232</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0.684/0.</w:t>
                  </w:r>
                  <w:r>
                    <w:rPr>
                      <w:rFonts w:hint="eastAsia" w:ascii="Times New Roman" w:hAnsi="Times New Roman" w:cs="Times New Roman"/>
                      <w:sz w:val="21"/>
                      <w:szCs w:val="21"/>
                      <w:lang w:val="en-US" w:eastAsia="zh-CN"/>
                    </w:rPr>
                    <w:t>274</w:t>
                  </w:r>
                </w:p>
              </w:tc>
              <w:tc>
                <w:tcPr>
                  <w:tcW w:w="1259"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0.787/0.</w:t>
                  </w:r>
                  <w:r>
                    <w:rPr>
                      <w:rFonts w:hint="eastAsia" w:ascii="Times New Roman" w:hAnsi="Times New Roman" w:cs="Times New Roman"/>
                      <w:sz w:val="21"/>
                      <w:szCs w:val="21"/>
                      <w:lang w:val="en-US" w:eastAsia="zh-CN"/>
                    </w:rPr>
                    <w:t>314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0"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重车</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0.521/0.</w:t>
                  </w:r>
                  <w:r>
                    <w:rPr>
                      <w:rFonts w:hint="eastAsia" w:ascii="Times New Roman" w:hAnsi="Times New Roman" w:cs="Times New Roman"/>
                      <w:sz w:val="21"/>
                      <w:szCs w:val="21"/>
                      <w:lang w:val="en-US" w:eastAsia="zh-CN"/>
                    </w:rPr>
                    <w:t>208</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0.868/0.</w:t>
                  </w:r>
                  <w:r>
                    <w:rPr>
                      <w:rFonts w:hint="eastAsia" w:ascii="Times New Roman" w:hAnsi="Times New Roman" w:cs="Times New Roman"/>
                      <w:sz w:val="21"/>
                      <w:szCs w:val="21"/>
                      <w:lang w:val="en-US" w:eastAsia="zh-CN"/>
                    </w:rPr>
                    <w:t>348</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1.181/0.</w:t>
                  </w:r>
                  <w:r>
                    <w:rPr>
                      <w:rFonts w:hint="eastAsia" w:ascii="Times New Roman" w:hAnsi="Times New Roman" w:cs="Times New Roman"/>
                      <w:sz w:val="21"/>
                      <w:szCs w:val="21"/>
                      <w:lang w:val="en-US" w:eastAsia="zh-CN"/>
                    </w:rPr>
                    <w:t>472</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1.476/0.</w:t>
                  </w:r>
                  <w:r>
                    <w:rPr>
                      <w:rFonts w:hint="eastAsia" w:ascii="Times New Roman" w:hAnsi="Times New Roman" w:cs="Times New Roman"/>
                      <w:sz w:val="21"/>
                      <w:szCs w:val="21"/>
                      <w:lang w:val="en-US" w:eastAsia="zh-CN"/>
                    </w:rPr>
                    <w:t>590</w:t>
                  </w:r>
                </w:p>
              </w:tc>
              <w:tc>
                <w:tcPr>
                  <w:tcW w:w="1257"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1.737/0.</w:t>
                  </w:r>
                  <w:r>
                    <w:rPr>
                      <w:rFonts w:hint="eastAsia" w:ascii="Times New Roman" w:hAnsi="Times New Roman" w:cs="Times New Roman"/>
                      <w:sz w:val="21"/>
                      <w:szCs w:val="21"/>
                      <w:lang w:val="en-US" w:eastAsia="zh-CN"/>
                    </w:rPr>
                    <w:t>694</w:t>
                  </w:r>
                </w:p>
              </w:tc>
              <w:tc>
                <w:tcPr>
                  <w:tcW w:w="1259" w:type="dxa"/>
                  <w:tcBorders>
                    <w:tl2br w:val="nil"/>
                    <w:tr2bl w:val="nil"/>
                  </w:tcBorders>
                  <w:vAlign w:val="center"/>
                </w:tcPr>
                <w:p>
                  <w:pPr>
                    <w:adjustRightIn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1.990/0.</w:t>
                  </w:r>
                  <w:r>
                    <w:rPr>
                      <w:rFonts w:hint="eastAsia" w:ascii="Times New Roman" w:hAnsi="Times New Roman" w:cs="Times New Roman"/>
                      <w:sz w:val="21"/>
                      <w:szCs w:val="21"/>
                      <w:lang w:val="en-US" w:eastAsia="zh-CN"/>
                    </w:rPr>
                    <w:t>802</w:t>
                  </w:r>
                </w:p>
              </w:tc>
            </w:tr>
          </w:tbl>
          <w:p>
            <w:pPr>
              <w:ind w:firstLine="442" w:firstLineChars="200"/>
              <w:contextualSpacing/>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注：表中结果为km尘量/</w:t>
            </w:r>
            <w:r>
              <w:rPr>
                <w:rFonts w:hint="eastAsia" w:ascii="Times New Roman" w:hAnsi="Times New Roman" w:cs="Times New Roman"/>
                <w:b/>
                <w:bCs/>
                <w:sz w:val="22"/>
                <w:szCs w:val="22"/>
                <w:lang w:val="en-US" w:eastAsia="zh-CN"/>
              </w:rPr>
              <w:t>400</w:t>
            </w:r>
            <w:r>
              <w:rPr>
                <w:rFonts w:hint="default" w:ascii="Times New Roman" w:hAnsi="Times New Roman" w:eastAsia="宋体" w:cs="Times New Roman"/>
                <w:b/>
                <w:bCs/>
                <w:sz w:val="22"/>
                <w:szCs w:val="22"/>
              </w:rPr>
              <w:t>m尘量</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从上表可以看出，道路硬化平坦、潮湿路面，车辆的起尘量最小，沙土干燥路面起尘量最大，是前者的3.8倍；载重后起尘量为空车的2.5倍。</w:t>
            </w:r>
            <w:r>
              <w:rPr>
                <w:rFonts w:hint="eastAsia" w:cs="Times New Roman"/>
                <w:sz w:val="24"/>
                <w:szCs w:val="24"/>
                <w:lang w:eastAsia="zh-CN"/>
              </w:rPr>
              <w:t>本项目厂内道路全部硬化处理，定时洒水降尘保持地面湿润，并对出厂车辆冲洗外表，轮胎不沾带泥沙，车体表面无附着物。</w:t>
            </w:r>
          </w:p>
          <w:p>
            <w:pPr>
              <w:pStyle w:val="21"/>
              <w:ind w:left="0" w:leftChars="0" w:firstLine="0" w:firstLineChars="0"/>
              <w:rPr>
                <w:rFonts w:hint="eastAsia" w:ascii="Times New Roman" w:hAnsi="Times New Roman" w:cs="Times New Roman"/>
                <w:b/>
                <w:bCs/>
                <w:sz w:val="24"/>
                <w:szCs w:val="24"/>
                <w:lang w:eastAsia="zh-CN"/>
              </w:rPr>
            </w:pPr>
            <w:r>
              <w:rPr>
                <w:rFonts w:hint="eastAsia" w:cs="Times New Roman"/>
                <w:b/>
                <w:bCs/>
                <w:sz w:val="24"/>
                <w:szCs w:val="24"/>
                <w:lang w:eastAsia="zh-CN"/>
              </w:rPr>
              <w:t>制砖</w:t>
            </w:r>
            <w:r>
              <w:rPr>
                <w:rFonts w:hint="eastAsia" w:ascii="Times New Roman" w:hAnsi="Times New Roman" w:cs="Times New Roman"/>
                <w:b/>
                <w:bCs/>
                <w:sz w:val="24"/>
                <w:szCs w:val="24"/>
                <w:lang w:eastAsia="zh-CN"/>
              </w:rPr>
              <w:t>工艺废气</w:t>
            </w:r>
          </w:p>
          <w:p>
            <w:pPr>
              <w:numPr>
                <w:ilvl w:val="0"/>
                <w:numId w:val="5"/>
              </w:numPr>
              <w:adjustRightInd w:val="0"/>
              <w:snapToGrid w:val="0"/>
              <w:spacing w:line="360" w:lineRule="auto"/>
              <w:ind w:firstLine="480" w:firstLineChars="200"/>
              <w:rPr>
                <w:rFonts w:hint="eastAsia"/>
                <w:color w:val="auto"/>
                <w:sz w:val="24"/>
                <w:shd w:val="clear" w:color="auto" w:fill="auto"/>
                <w:lang w:val="en-US" w:eastAsia="zh-CN"/>
              </w:rPr>
            </w:pPr>
            <w:r>
              <w:rPr>
                <w:rFonts w:hint="eastAsia"/>
                <w:color w:val="auto"/>
                <w:sz w:val="24"/>
                <w:shd w:val="clear" w:color="auto" w:fill="auto"/>
                <w:lang w:val="en-US" w:eastAsia="zh-CN"/>
              </w:rPr>
              <w:t>破碎粉尘</w:t>
            </w:r>
          </w:p>
          <w:p>
            <w:pPr>
              <w:numPr>
                <w:ilvl w:val="0"/>
                <w:numId w:val="0"/>
              </w:numPr>
              <w:adjustRightInd w:val="0"/>
              <w:snapToGrid w:val="0"/>
              <w:spacing w:line="360" w:lineRule="auto"/>
              <w:ind w:firstLine="480"/>
              <w:rPr>
                <w:rFonts w:hint="eastAsia"/>
                <w:color w:val="auto"/>
                <w:sz w:val="24"/>
                <w:shd w:val="clear" w:color="auto" w:fill="auto"/>
                <w:lang w:val="en-US" w:eastAsia="zh-CN"/>
              </w:rPr>
            </w:pPr>
            <w:r>
              <w:rPr>
                <w:rFonts w:hint="eastAsia"/>
                <w:color w:val="auto"/>
                <w:sz w:val="24"/>
                <w:shd w:val="clear" w:color="auto" w:fill="auto"/>
                <w:lang w:val="en-US" w:eastAsia="zh-CN"/>
              </w:rPr>
              <w:t>项目使用圆锥破碎机对煤矸石进行破碎（</w:t>
            </w:r>
            <w:r>
              <w:rPr>
                <w:rFonts w:hint="default" w:ascii="Times New Roman" w:hAnsi="Times New Roman" w:eastAsia="宋体" w:cs="Times New Roman"/>
                <w:sz w:val="24"/>
                <w:szCs w:val="24"/>
              </w:rPr>
              <w:t>本项目破碎系统采用一段破碎流程，根据资料调查，无控制情况下粉尘产生情况为：一级破碎0.05kg/t—产品</w:t>
            </w:r>
            <w:r>
              <w:rPr>
                <w:rFonts w:hint="eastAsia"/>
                <w:color w:val="auto"/>
                <w:sz w:val="24"/>
                <w:shd w:val="clear" w:color="auto" w:fill="auto"/>
                <w:lang w:val="en-US" w:eastAsia="zh-CN"/>
              </w:rPr>
              <w:t>），项目年破碎煤矸石24万t，年生产300天，每天工作8小时，每小时破碎100t，产生粉尘5kg/h，破碎产生的粉尘由集气罩收集经布袋除尘器处理后由15m排气筒排放（风量8000m</w:t>
            </w:r>
            <w:r>
              <w:rPr>
                <w:rFonts w:hint="eastAsia"/>
                <w:color w:val="auto"/>
                <w:sz w:val="24"/>
                <w:shd w:val="clear" w:color="auto" w:fill="auto"/>
                <w:vertAlign w:val="superscript"/>
                <w:lang w:val="en-US" w:eastAsia="zh-CN"/>
              </w:rPr>
              <w:t>3</w:t>
            </w:r>
            <w:r>
              <w:rPr>
                <w:rFonts w:hint="eastAsia"/>
                <w:color w:val="auto"/>
                <w:sz w:val="24"/>
                <w:shd w:val="clear" w:color="auto" w:fill="auto"/>
                <w:vertAlign w:val="baseline"/>
                <w:lang w:val="en-US" w:eastAsia="zh-CN"/>
              </w:rPr>
              <w:t>/h，收集效率90%，除尘效率99%</w:t>
            </w:r>
            <w:r>
              <w:rPr>
                <w:rFonts w:hint="eastAsia"/>
                <w:color w:val="auto"/>
                <w:sz w:val="24"/>
                <w:shd w:val="clear" w:color="auto" w:fill="auto"/>
                <w:lang w:val="en-US" w:eastAsia="zh-CN"/>
              </w:rPr>
              <w:t>），则有组织排放浓度为5.625mg/m</w:t>
            </w:r>
            <w:r>
              <w:rPr>
                <w:rFonts w:hint="eastAsia"/>
                <w:color w:val="auto"/>
                <w:sz w:val="24"/>
                <w:shd w:val="clear" w:color="auto" w:fill="auto"/>
                <w:vertAlign w:val="superscript"/>
                <w:lang w:val="en-US" w:eastAsia="zh-CN"/>
              </w:rPr>
              <w:t>3</w:t>
            </w:r>
            <w:r>
              <w:rPr>
                <w:rFonts w:hint="eastAsia"/>
                <w:color w:val="auto"/>
                <w:sz w:val="24"/>
                <w:shd w:val="clear" w:color="auto" w:fill="auto"/>
                <w:vertAlign w:val="baseline"/>
                <w:lang w:val="en-US" w:eastAsia="zh-CN"/>
              </w:rPr>
              <w:t>，无组织排放量为0.5kg/h</w:t>
            </w:r>
            <w:r>
              <w:rPr>
                <w:rFonts w:hint="eastAsia"/>
                <w:color w:val="auto"/>
                <w:sz w:val="24"/>
                <w:shd w:val="clear" w:color="auto" w:fill="auto"/>
                <w:lang w:val="en-US" w:eastAsia="zh-CN"/>
              </w:rPr>
              <w:t>。</w:t>
            </w:r>
          </w:p>
          <w:p>
            <w:pPr>
              <w:numPr>
                <w:ilvl w:val="0"/>
                <w:numId w:val="5"/>
              </w:numPr>
              <w:adjustRightInd w:val="0"/>
              <w:snapToGrid w:val="0"/>
              <w:spacing w:line="360" w:lineRule="auto"/>
              <w:ind w:firstLine="480" w:firstLineChars="200"/>
              <w:rPr>
                <w:rFonts w:hint="eastAsia"/>
                <w:color w:val="auto"/>
                <w:sz w:val="24"/>
                <w:shd w:val="clear" w:color="auto" w:fill="auto"/>
                <w:lang w:val="en-US" w:eastAsia="zh-CN"/>
              </w:rPr>
            </w:pPr>
            <w:r>
              <w:rPr>
                <w:rFonts w:hint="eastAsia"/>
                <w:color w:val="auto"/>
                <w:sz w:val="24"/>
                <w:shd w:val="clear" w:color="auto" w:fill="auto"/>
                <w:lang w:val="en-US" w:eastAsia="zh-CN"/>
              </w:rPr>
              <w:t>粉料贮存粉尘</w:t>
            </w:r>
          </w:p>
          <w:p>
            <w:pPr>
              <w:numPr>
                <w:ilvl w:val="0"/>
                <w:numId w:val="0"/>
              </w:numPr>
              <w:adjustRightInd w:val="0"/>
              <w:snapToGrid w:val="0"/>
              <w:spacing w:line="360" w:lineRule="auto"/>
              <w:ind w:firstLine="480"/>
              <w:rPr>
                <w:rFonts w:hint="eastAsia"/>
                <w:bCs/>
                <w:color w:val="auto"/>
                <w:sz w:val="24"/>
              </w:rPr>
            </w:pPr>
            <w:r>
              <w:rPr>
                <w:rFonts w:hint="eastAsia"/>
                <w:color w:val="auto"/>
                <w:sz w:val="24"/>
                <w:shd w:val="clear" w:color="auto" w:fill="auto"/>
                <w:lang w:val="en-US" w:eastAsia="zh-CN"/>
              </w:rPr>
              <w:t>项目设置四个储料罐用来储存水泥，每个储罐均安装仓顶脉冲布袋除尘器。</w:t>
            </w:r>
            <w:r>
              <w:rPr>
                <w:rFonts w:hint="eastAsia"/>
                <w:color w:val="auto"/>
                <w:sz w:val="24"/>
                <w:lang w:eastAsia="zh-CN"/>
              </w:rPr>
              <w:t>水泥</w:t>
            </w:r>
            <w:r>
              <w:rPr>
                <w:color w:val="auto"/>
                <w:sz w:val="24"/>
              </w:rPr>
              <w:t>原料由散装罐车吹入密闭筒仓，仓顶呼吸孔会产生一定量的粉尘。</w:t>
            </w:r>
            <w:r>
              <w:rPr>
                <w:rFonts w:hint="eastAsia"/>
                <w:color w:val="auto"/>
                <w:sz w:val="24"/>
              </w:rPr>
              <w:t>根据资料数据，粉料仓呼吸</w:t>
            </w:r>
            <w:r>
              <w:rPr>
                <w:bCs/>
                <w:color w:val="auto"/>
                <w:sz w:val="24"/>
              </w:rPr>
              <w:t>含尘浓度</w:t>
            </w:r>
            <w:r>
              <w:rPr>
                <w:rFonts w:hint="eastAsia"/>
                <w:bCs/>
                <w:color w:val="auto"/>
                <w:sz w:val="24"/>
              </w:rPr>
              <w:t>介于</w:t>
            </w:r>
            <w:r>
              <w:rPr>
                <w:bCs/>
                <w:color w:val="auto"/>
                <w:sz w:val="24"/>
              </w:rPr>
              <w:t>200mg/m</w:t>
            </w:r>
            <w:r>
              <w:rPr>
                <w:bCs/>
                <w:color w:val="auto"/>
                <w:sz w:val="24"/>
                <w:vertAlign w:val="superscript"/>
              </w:rPr>
              <w:t>3</w:t>
            </w:r>
            <w:r>
              <w:rPr>
                <w:bCs/>
                <w:color w:val="auto"/>
                <w:sz w:val="24"/>
              </w:rPr>
              <w:t>-3000mg/m</w:t>
            </w:r>
            <w:r>
              <w:rPr>
                <w:bCs/>
                <w:color w:val="auto"/>
                <w:sz w:val="24"/>
                <w:vertAlign w:val="superscript"/>
              </w:rPr>
              <w:t>3</w:t>
            </w:r>
            <w:r>
              <w:rPr>
                <w:rFonts w:hint="eastAsia"/>
                <w:bCs/>
                <w:color w:val="auto"/>
                <w:sz w:val="24"/>
              </w:rPr>
              <w:t>之间，本评价取</w:t>
            </w:r>
            <w:r>
              <w:rPr>
                <w:rFonts w:hint="eastAsia"/>
                <w:bCs/>
                <w:color w:val="auto"/>
                <w:sz w:val="24"/>
                <w:lang w:val="en-US" w:eastAsia="zh-CN"/>
              </w:rPr>
              <w:t>800</w:t>
            </w:r>
            <w:r>
              <w:rPr>
                <w:bCs/>
                <w:color w:val="auto"/>
                <w:sz w:val="24"/>
              </w:rPr>
              <w:t>mg/m</w:t>
            </w:r>
            <w:r>
              <w:rPr>
                <w:bCs/>
                <w:color w:val="auto"/>
                <w:sz w:val="24"/>
                <w:vertAlign w:val="superscript"/>
              </w:rPr>
              <w:t>3</w:t>
            </w:r>
            <w:r>
              <w:rPr>
                <w:rFonts w:hint="eastAsia"/>
                <w:bCs/>
                <w:color w:val="auto"/>
                <w:sz w:val="24"/>
              </w:rPr>
              <w:t>。各粉料仓仓顶均设有仓顶</w:t>
            </w:r>
            <w:r>
              <w:rPr>
                <w:rFonts w:hint="eastAsia"/>
                <w:bCs/>
                <w:color w:val="auto"/>
                <w:sz w:val="24"/>
                <w:lang w:eastAsia="zh-CN"/>
              </w:rPr>
              <w:t>脉冲布袋</w:t>
            </w:r>
            <w:r>
              <w:rPr>
                <w:rFonts w:hint="eastAsia"/>
                <w:bCs/>
                <w:color w:val="auto"/>
                <w:sz w:val="24"/>
              </w:rPr>
              <w:t>除尘器1台，</w:t>
            </w:r>
            <w:r>
              <w:rPr>
                <w:rFonts w:hint="eastAsia"/>
                <w:bCs/>
                <w:color w:val="auto"/>
                <w:sz w:val="24"/>
                <w:lang w:eastAsia="zh-CN"/>
              </w:rPr>
              <w:t>废气量</w:t>
            </w:r>
            <w:r>
              <w:rPr>
                <w:rFonts w:hint="eastAsia"/>
                <w:bCs/>
                <w:color w:val="auto"/>
                <w:sz w:val="24"/>
              </w:rPr>
              <w:t>为2000m</w:t>
            </w:r>
            <w:r>
              <w:rPr>
                <w:rFonts w:hint="eastAsia"/>
                <w:bCs/>
                <w:color w:val="auto"/>
                <w:sz w:val="24"/>
                <w:vertAlign w:val="superscript"/>
              </w:rPr>
              <w:t>3</w:t>
            </w:r>
            <w:r>
              <w:rPr>
                <w:rFonts w:hint="eastAsia"/>
                <w:bCs/>
                <w:color w:val="auto"/>
                <w:sz w:val="24"/>
              </w:rPr>
              <w:t>/h，本项目年工作</w:t>
            </w:r>
            <w:r>
              <w:rPr>
                <w:rFonts w:hint="eastAsia"/>
                <w:bCs/>
                <w:color w:val="auto"/>
                <w:sz w:val="24"/>
                <w:lang w:val="en-US" w:eastAsia="zh-CN"/>
              </w:rPr>
              <w:t>300</w:t>
            </w:r>
            <w:r>
              <w:rPr>
                <w:rFonts w:hint="eastAsia"/>
                <w:bCs/>
                <w:color w:val="auto"/>
                <w:sz w:val="24"/>
              </w:rPr>
              <w:t>天，</w:t>
            </w:r>
            <w:r>
              <w:rPr>
                <w:rFonts w:hint="eastAsia"/>
                <w:bCs/>
                <w:color w:val="auto"/>
                <w:sz w:val="24"/>
                <w:lang w:eastAsia="zh-CN"/>
              </w:rPr>
              <w:t>每天消耗水泥</w:t>
            </w:r>
            <w:r>
              <w:rPr>
                <w:rFonts w:hint="eastAsia"/>
                <w:bCs/>
                <w:color w:val="auto"/>
                <w:sz w:val="24"/>
                <w:lang w:val="en-US" w:eastAsia="zh-CN"/>
              </w:rPr>
              <w:t>800t，需为3个储罐上料，每个储罐上料过程约为8</w:t>
            </w:r>
            <w:r>
              <w:rPr>
                <w:rFonts w:hint="eastAsia"/>
                <w:bCs/>
                <w:color w:val="auto"/>
                <w:sz w:val="24"/>
              </w:rPr>
              <w:t>小时，据此计算，项目</w:t>
            </w:r>
            <w:r>
              <w:rPr>
                <w:rFonts w:hint="eastAsia"/>
                <w:bCs/>
                <w:color w:val="auto"/>
                <w:sz w:val="24"/>
                <w:lang w:val="en-US" w:eastAsia="zh-CN"/>
              </w:rPr>
              <w:t>4</w:t>
            </w:r>
            <w:r>
              <w:rPr>
                <w:rFonts w:hint="eastAsia"/>
                <w:bCs/>
                <w:color w:val="auto"/>
                <w:sz w:val="24"/>
              </w:rPr>
              <w:t>个粉料仓产生呼吸粉尘总量为</w:t>
            </w:r>
            <w:r>
              <w:rPr>
                <w:rFonts w:hint="eastAsia"/>
                <w:bCs/>
                <w:color w:val="auto"/>
                <w:sz w:val="24"/>
                <w:lang w:val="en-US" w:eastAsia="zh-CN"/>
              </w:rPr>
              <w:t>11.52</w:t>
            </w:r>
            <w:r>
              <w:rPr>
                <w:rFonts w:hint="eastAsia"/>
                <w:bCs/>
                <w:color w:val="auto"/>
                <w:sz w:val="24"/>
              </w:rPr>
              <w:t>t/a</w:t>
            </w:r>
            <w:r>
              <w:rPr>
                <w:rFonts w:hint="eastAsia"/>
                <w:bCs/>
                <w:color w:val="auto"/>
                <w:sz w:val="24"/>
                <w:lang w:eastAsia="zh-CN"/>
              </w:rPr>
              <w:t>，</w:t>
            </w:r>
            <w:r>
              <w:rPr>
                <w:rFonts w:hint="eastAsia"/>
                <w:bCs/>
                <w:color w:val="auto"/>
                <w:sz w:val="24"/>
                <w:lang w:val="en-US" w:eastAsia="zh-CN"/>
              </w:rPr>
              <w:t>0.038t/d</w:t>
            </w:r>
            <w:r>
              <w:rPr>
                <w:rFonts w:hint="eastAsia"/>
                <w:bCs/>
                <w:color w:val="auto"/>
                <w:sz w:val="24"/>
              </w:rPr>
              <w:t>。</w:t>
            </w:r>
          </w:p>
          <w:p>
            <w:pPr>
              <w:snapToGrid w:val="0"/>
              <w:spacing w:line="360" w:lineRule="auto"/>
              <w:ind w:firstLine="480" w:firstLineChars="200"/>
              <w:contextualSpacing/>
              <w:rPr>
                <w:rFonts w:hint="default" w:ascii="Times New Roman" w:hAnsi="Times New Roman" w:eastAsia="宋体" w:cs="Times New Roman"/>
                <w:b/>
                <w:bCs/>
                <w:color w:val="auto"/>
                <w:kern w:val="24"/>
                <w:sz w:val="24"/>
              </w:rPr>
            </w:pPr>
            <w:r>
              <w:rPr>
                <w:bCs/>
                <w:color w:val="auto"/>
                <w:sz w:val="24"/>
              </w:rPr>
              <w:t>仓顶</w:t>
            </w:r>
            <w:r>
              <w:rPr>
                <w:rFonts w:hint="eastAsia"/>
                <w:bCs/>
                <w:color w:val="auto"/>
                <w:sz w:val="24"/>
                <w:lang w:eastAsia="zh-CN"/>
              </w:rPr>
              <w:t>脉冲布袋</w:t>
            </w:r>
            <w:r>
              <w:rPr>
                <w:bCs/>
                <w:color w:val="auto"/>
                <w:sz w:val="24"/>
              </w:rPr>
              <w:t>除尘器是一种用于气力填充料仓的圆筒形收尘机。机体为不</w:t>
            </w:r>
            <w:r>
              <w:rPr>
                <w:rFonts w:hint="eastAsia"/>
                <w:bCs/>
                <w:color w:val="auto"/>
                <w:sz w:val="24"/>
              </w:rPr>
              <w:t>锈</w:t>
            </w:r>
            <w:r>
              <w:rPr>
                <w:bCs/>
                <w:color w:val="auto"/>
                <w:sz w:val="24"/>
              </w:rPr>
              <w:t>钢材料，</w:t>
            </w:r>
            <w:r>
              <w:rPr>
                <w:rFonts w:hint="eastAsia"/>
                <w:bCs/>
                <w:color w:val="auto"/>
                <w:sz w:val="24"/>
                <w:lang w:eastAsia="zh-CN"/>
              </w:rPr>
              <w:t>内部</w:t>
            </w:r>
            <w:r>
              <w:rPr>
                <w:bCs/>
                <w:color w:val="auto"/>
                <w:sz w:val="24"/>
              </w:rPr>
              <w:t>安装滤芯。脉冲反吹清洁系统集成在防雨保护顶盖中。仓顶除尘器滤尘是通过滤芯进行的，滤芯是一种多孔性的滤尘材料，当气流通过时，由于震动作用使气流中的微粒吸附在滤芯上或沉降下来，净化后的空气即可排出</w:t>
            </w:r>
            <w:r>
              <w:rPr>
                <w:rFonts w:hint="eastAsia"/>
                <w:bCs/>
                <w:color w:val="auto"/>
                <w:sz w:val="24"/>
              </w:rPr>
              <w:t>。仓顶除尘器处理效率可以达到99％以上，处理</w:t>
            </w:r>
            <w:r>
              <w:rPr>
                <w:bCs/>
                <w:color w:val="auto"/>
                <w:sz w:val="24"/>
              </w:rPr>
              <w:t>含尘浓度</w:t>
            </w:r>
            <w:r>
              <w:rPr>
                <w:rFonts w:hint="eastAsia"/>
                <w:bCs/>
                <w:color w:val="auto"/>
                <w:sz w:val="24"/>
              </w:rPr>
              <w:t>介于</w:t>
            </w:r>
            <w:r>
              <w:rPr>
                <w:bCs/>
                <w:color w:val="auto"/>
                <w:sz w:val="24"/>
              </w:rPr>
              <w:t>200mg/m</w:t>
            </w:r>
            <w:r>
              <w:rPr>
                <w:bCs/>
                <w:color w:val="auto"/>
                <w:sz w:val="24"/>
                <w:vertAlign w:val="superscript"/>
              </w:rPr>
              <w:t>3</w:t>
            </w:r>
            <w:r>
              <w:rPr>
                <w:bCs/>
                <w:color w:val="auto"/>
                <w:sz w:val="24"/>
              </w:rPr>
              <w:t>-3000mg/m</w:t>
            </w:r>
            <w:r>
              <w:rPr>
                <w:bCs/>
                <w:color w:val="auto"/>
                <w:sz w:val="24"/>
                <w:vertAlign w:val="superscript"/>
              </w:rPr>
              <w:t>3</w:t>
            </w:r>
            <w:r>
              <w:rPr>
                <w:rFonts w:hint="eastAsia"/>
                <w:bCs/>
                <w:color w:val="auto"/>
                <w:sz w:val="24"/>
              </w:rPr>
              <w:t>之间，本评价以入口含尘浓度</w:t>
            </w:r>
            <w:r>
              <w:rPr>
                <w:rFonts w:hint="eastAsia"/>
                <w:bCs/>
                <w:color w:val="auto"/>
                <w:sz w:val="24"/>
                <w:lang w:val="en-US" w:eastAsia="zh-CN"/>
              </w:rPr>
              <w:t>800</w:t>
            </w:r>
            <w:r>
              <w:rPr>
                <w:bCs/>
                <w:color w:val="auto"/>
                <w:sz w:val="24"/>
              </w:rPr>
              <w:t>mg/m</w:t>
            </w:r>
            <w:r>
              <w:rPr>
                <w:bCs/>
                <w:color w:val="auto"/>
                <w:sz w:val="24"/>
                <w:vertAlign w:val="superscript"/>
              </w:rPr>
              <w:t>3</w:t>
            </w:r>
            <w:r>
              <w:rPr>
                <w:rFonts w:hint="eastAsia"/>
                <w:bCs/>
                <w:color w:val="auto"/>
                <w:sz w:val="24"/>
              </w:rPr>
              <w:t>计，则该部分粉尘产生及排放情况见表</w:t>
            </w:r>
            <w:r>
              <w:rPr>
                <w:rFonts w:hint="eastAsia"/>
                <w:bCs/>
                <w:color w:val="auto"/>
                <w:sz w:val="24"/>
                <w:lang w:val="en-US" w:eastAsia="zh-CN"/>
              </w:rPr>
              <w:t>16</w:t>
            </w:r>
            <w:r>
              <w:rPr>
                <w:rFonts w:hint="eastAsia"/>
                <w:bCs/>
                <w:color w:val="auto"/>
                <w:sz w:val="24"/>
              </w:rPr>
              <w:t>。</w:t>
            </w:r>
          </w:p>
          <w:p>
            <w:pPr>
              <w:autoSpaceDE w:val="0"/>
              <w:autoSpaceDN w:val="0"/>
              <w:adjustRightInd w:val="0"/>
              <w:snapToGrid w:val="0"/>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color w:val="auto"/>
                <w:kern w:val="24"/>
                <w:sz w:val="24"/>
              </w:rPr>
              <w:tab/>
            </w:r>
            <w:r>
              <w:rPr>
                <w:rFonts w:hint="default" w:ascii="Times New Roman" w:hAnsi="Times New Roman" w:eastAsia="宋体" w:cs="Times New Roman"/>
                <w:b/>
                <w:bCs/>
                <w:color w:val="auto"/>
                <w:kern w:val="24"/>
                <w:sz w:val="24"/>
              </w:rPr>
              <w:t>表</w:t>
            </w:r>
            <w:r>
              <w:rPr>
                <w:rFonts w:hint="eastAsia" w:cs="Times New Roman"/>
                <w:b/>
                <w:bCs/>
                <w:color w:val="auto"/>
                <w:kern w:val="24"/>
                <w:sz w:val="24"/>
                <w:lang w:val="en-US" w:eastAsia="zh-CN"/>
              </w:rPr>
              <w:t>16</w:t>
            </w:r>
            <w:r>
              <w:rPr>
                <w:rFonts w:hint="default" w:ascii="Times New Roman" w:hAnsi="Times New Roman" w:eastAsia="宋体" w:cs="Times New Roman"/>
                <w:b/>
                <w:bCs/>
                <w:color w:val="auto"/>
                <w:kern w:val="24"/>
                <w:sz w:val="24"/>
              </w:rPr>
              <w:t xml:space="preserve">  粉料仓呼吸粉尘产生及排</w:t>
            </w:r>
            <w:r>
              <w:rPr>
                <w:rFonts w:hint="default" w:ascii="Times New Roman" w:hAnsi="Times New Roman" w:eastAsia="宋体" w:cs="Times New Roman"/>
                <w:b/>
                <w:bCs/>
                <w:kern w:val="24"/>
                <w:sz w:val="24"/>
              </w:rPr>
              <w:t>放量一览表</w:t>
            </w:r>
          </w:p>
          <w:tbl>
            <w:tblPr>
              <w:tblStyle w:val="34"/>
              <w:tblW w:w="884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83"/>
              <w:gridCol w:w="1275"/>
              <w:gridCol w:w="1099"/>
              <w:gridCol w:w="1469"/>
              <w:gridCol w:w="1176"/>
              <w:gridCol w:w="882"/>
              <w:gridCol w:w="12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830" w:type="dxa"/>
                  <w:tcBorders>
                    <w:tl2br w:val="nil"/>
                    <w:tr2bl w:val="nil"/>
                  </w:tcBorders>
                  <w:vAlign w:val="center"/>
                </w:tcPr>
                <w:p>
                  <w:pPr>
                    <w:adjustRightInd w:val="0"/>
                    <w:snapToGrid w:val="0"/>
                    <w:spacing w:line="360" w:lineRule="auto"/>
                    <w:jc w:val="center"/>
                    <w:rPr>
                      <w:szCs w:val="21"/>
                    </w:rPr>
                  </w:pPr>
                  <w:r>
                    <w:rPr>
                      <w:rFonts w:hint="eastAsia"/>
                      <w:szCs w:val="21"/>
                    </w:rPr>
                    <w:t>筒库</w:t>
                  </w:r>
                  <w:r>
                    <w:rPr>
                      <w:szCs w:val="21"/>
                    </w:rPr>
                    <w:t>数量</w:t>
                  </w:r>
                </w:p>
              </w:tc>
              <w:tc>
                <w:tcPr>
                  <w:tcW w:w="883" w:type="dxa"/>
                  <w:tcBorders>
                    <w:tl2br w:val="nil"/>
                    <w:tr2bl w:val="nil"/>
                  </w:tcBorders>
                  <w:vAlign w:val="center"/>
                </w:tcPr>
                <w:p>
                  <w:pPr>
                    <w:adjustRightInd w:val="0"/>
                    <w:snapToGrid w:val="0"/>
                    <w:spacing w:line="360" w:lineRule="auto"/>
                    <w:jc w:val="center"/>
                    <w:rPr>
                      <w:szCs w:val="21"/>
                    </w:rPr>
                  </w:pPr>
                  <w:r>
                    <w:rPr>
                      <w:szCs w:val="21"/>
                    </w:rPr>
                    <w:t>风量</w:t>
                  </w:r>
                </w:p>
                <w:p>
                  <w:pPr>
                    <w:adjustRightInd w:val="0"/>
                    <w:snapToGrid w:val="0"/>
                    <w:spacing w:line="360" w:lineRule="auto"/>
                    <w:jc w:val="center"/>
                    <w:rPr>
                      <w:szCs w:val="21"/>
                    </w:rPr>
                  </w:pPr>
                  <w:r>
                    <w:rPr>
                      <w:szCs w:val="21"/>
                    </w:rPr>
                    <w:t>m</w:t>
                  </w:r>
                  <w:r>
                    <w:rPr>
                      <w:szCs w:val="21"/>
                      <w:vertAlign w:val="superscript"/>
                    </w:rPr>
                    <w:t>3</w:t>
                  </w:r>
                  <w:r>
                    <w:rPr>
                      <w:szCs w:val="21"/>
                    </w:rPr>
                    <w:t>/h</w:t>
                  </w:r>
                </w:p>
              </w:tc>
              <w:tc>
                <w:tcPr>
                  <w:tcW w:w="1275" w:type="dxa"/>
                  <w:tcBorders>
                    <w:tl2br w:val="nil"/>
                    <w:tr2bl w:val="nil"/>
                  </w:tcBorders>
                  <w:vAlign w:val="center"/>
                </w:tcPr>
                <w:p>
                  <w:pPr>
                    <w:adjustRightInd w:val="0"/>
                    <w:snapToGrid w:val="0"/>
                    <w:spacing w:line="360" w:lineRule="auto"/>
                    <w:jc w:val="center"/>
                    <w:rPr>
                      <w:szCs w:val="21"/>
                    </w:rPr>
                  </w:pPr>
                  <w:r>
                    <w:rPr>
                      <w:szCs w:val="21"/>
                    </w:rPr>
                    <w:t>入口浓度</w:t>
                  </w:r>
                </w:p>
                <w:p>
                  <w:pPr>
                    <w:adjustRightInd w:val="0"/>
                    <w:snapToGrid w:val="0"/>
                    <w:spacing w:line="360" w:lineRule="auto"/>
                    <w:jc w:val="center"/>
                    <w:rPr>
                      <w:szCs w:val="21"/>
                    </w:rPr>
                  </w:pPr>
                  <w:r>
                    <w:rPr>
                      <w:szCs w:val="21"/>
                    </w:rPr>
                    <w:t>mg/m</w:t>
                  </w:r>
                  <w:r>
                    <w:rPr>
                      <w:szCs w:val="21"/>
                      <w:vertAlign w:val="superscript"/>
                    </w:rPr>
                    <w:t>3</w:t>
                  </w:r>
                </w:p>
              </w:tc>
              <w:tc>
                <w:tcPr>
                  <w:tcW w:w="1099" w:type="dxa"/>
                  <w:tcBorders>
                    <w:tl2br w:val="nil"/>
                    <w:tr2bl w:val="nil"/>
                  </w:tcBorders>
                  <w:vAlign w:val="center"/>
                </w:tcPr>
                <w:p>
                  <w:pPr>
                    <w:adjustRightInd w:val="0"/>
                    <w:snapToGrid w:val="0"/>
                    <w:spacing w:line="360" w:lineRule="auto"/>
                    <w:jc w:val="center"/>
                    <w:rPr>
                      <w:szCs w:val="21"/>
                    </w:rPr>
                  </w:pPr>
                  <w:r>
                    <w:rPr>
                      <w:rFonts w:hint="eastAsia"/>
                      <w:szCs w:val="21"/>
                    </w:rPr>
                    <w:t>产生量</w:t>
                  </w:r>
                </w:p>
                <w:p>
                  <w:pPr>
                    <w:adjustRightInd w:val="0"/>
                    <w:snapToGrid w:val="0"/>
                    <w:spacing w:line="360" w:lineRule="auto"/>
                    <w:jc w:val="center"/>
                    <w:rPr>
                      <w:szCs w:val="21"/>
                    </w:rPr>
                  </w:pPr>
                  <w:r>
                    <w:rPr>
                      <w:szCs w:val="21"/>
                    </w:rPr>
                    <w:t>t/a</w:t>
                  </w:r>
                </w:p>
              </w:tc>
              <w:tc>
                <w:tcPr>
                  <w:tcW w:w="1469" w:type="dxa"/>
                  <w:tcBorders>
                    <w:tl2br w:val="nil"/>
                    <w:tr2bl w:val="nil"/>
                  </w:tcBorders>
                  <w:vAlign w:val="center"/>
                </w:tcPr>
                <w:p>
                  <w:pPr>
                    <w:adjustRightInd w:val="0"/>
                    <w:snapToGrid w:val="0"/>
                    <w:spacing w:line="360" w:lineRule="auto"/>
                    <w:jc w:val="center"/>
                    <w:rPr>
                      <w:szCs w:val="21"/>
                    </w:rPr>
                  </w:pPr>
                  <w:r>
                    <w:rPr>
                      <w:szCs w:val="21"/>
                    </w:rPr>
                    <w:t>除尘设施</w:t>
                  </w:r>
                </w:p>
                <w:p>
                  <w:pPr>
                    <w:adjustRightInd w:val="0"/>
                    <w:snapToGrid w:val="0"/>
                    <w:spacing w:line="360" w:lineRule="auto"/>
                    <w:jc w:val="center"/>
                    <w:rPr>
                      <w:szCs w:val="21"/>
                    </w:rPr>
                  </w:pPr>
                  <w:r>
                    <w:rPr>
                      <w:rFonts w:hint="eastAsia"/>
                      <w:szCs w:val="21"/>
                    </w:rPr>
                    <w:t>及效率</w:t>
                  </w:r>
                </w:p>
              </w:tc>
              <w:tc>
                <w:tcPr>
                  <w:tcW w:w="1176" w:type="dxa"/>
                  <w:tcBorders>
                    <w:tl2br w:val="nil"/>
                    <w:tr2bl w:val="nil"/>
                  </w:tcBorders>
                  <w:vAlign w:val="center"/>
                </w:tcPr>
                <w:p>
                  <w:pPr>
                    <w:adjustRightInd w:val="0"/>
                    <w:snapToGrid w:val="0"/>
                    <w:spacing w:line="360" w:lineRule="auto"/>
                    <w:jc w:val="center"/>
                    <w:rPr>
                      <w:szCs w:val="21"/>
                    </w:rPr>
                  </w:pPr>
                  <w:r>
                    <w:rPr>
                      <w:szCs w:val="21"/>
                    </w:rPr>
                    <w:t>排放浓度</w:t>
                  </w:r>
                </w:p>
                <w:p>
                  <w:pPr>
                    <w:adjustRightInd w:val="0"/>
                    <w:snapToGrid w:val="0"/>
                    <w:spacing w:line="360" w:lineRule="auto"/>
                    <w:jc w:val="center"/>
                    <w:rPr>
                      <w:szCs w:val="21"/>
                    </w:rPr>
                  </w:pPr>
                  <w:r>
                    <w:rPr>
                      <w:szCs w:val="21"/>
                    </w:rPr>
                    <w:t>mg/m</w:t>
                  </w:r>
                  <w:r>
                    <w:rPr>
                      <w:szCs w:val="21"/>
                      <w:vertAlign w:val="superscript"/>
                    </w:rPr>
                    <w:t>3</w:t>
                  </w:r>
                </w:p>
              </w:tc>
              <w:tc>
                <w:tcPr>
                  <w:tcW w:w="882" w:type="dxa"/>
                  <w:tcBorders>
                    <w:tl2br w:val="nil"/>
                    <w:tr2bl w:val="nil"/>
                  </w:tcBorders>
                  <w:vAlign w:val="center"/>
                </w:tcPr>
                <w:p>
                  <w:pPr>
                    <w:adjustRightInd w:val="0"/>
                    <w:snapToGrid w:val="0"/>
                    <w:spacing w:line="360" w:lineRule="auto"/>
                    <w:jc w:val="center"/>
                    <w:rPr>
                      <w:szCs w:val="21"/>
                    </w:rPr>
                  </w:pPr>
                  <w:r>
                    <w:rPr>
                      <w:szCs w:val="21"/>
                    </w:rPr>
                    <w:t>排放量t/a</w:t>
                  </w:r>
                </w:p>
              </w:tc>
              <w:tc>
                <w:tcPr>
                  <w:tcW w:w="1230" w:type="dxa"/>
                  <w:tcBorders>
                    <w:tl2br w:val="nil"/>
                    <w:tr2bl w:val="nil"/>
                  </w:tcBorders>
                  <w:vAlign w:val="center"/>
                </w:tcPr>
                <w:p>
                  <w:pPr>
                    <w:adjustRightInd w:val="0"/>
                    <w:snapToGrid w:val="0"/>
                    <w:spacing w:line="360" w:lineRule="auto"/>
                    <w:jc w:val="center"/>
                    <w:rPr>
                      <w:szCs w:val="21"/>
                    </w:rPr>
                  </w:pPr>
                  <w:r>
                    <w:rPr>
                      <w:szCs w:val="21"/>
                    </w:rPr>
                    <w:t>排放</w:t>
                  </w:r>
                  <w:r>
                    <w:rPr>
                      <w:rFonts w:hint="eastAsia"/>
                      <w:szCs w:val="21"/>
                    </w:rPr>
                    <w:t>标准</w:t>
                  </w:r>
                </w:p>
                <w:p>
                  <w:pPr>
                    <w:adjustRightInd w:val="0"/>
                    <w:snapToGrid w:val="0"/>
                    <w:spacing w:line="360" w:lineRule="auto"/>
                    <w:jc w:val="center"/>
                    <w:rPr>
                      <w:szCs w:val="21"/>
                    </w:rPr>
                  </w:pPr>
                  <w:r>
                    <w:rPr>
                      <w:szCs w:val="21"/>
                    </w:rPr>
                    <w:t>mg/m</w:t>
                  </w:r>
                  <w:r>
                    <w:rPr>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830" w:type="dxa"/>
                  <w:tcBorders>
                    <w:tl2br w:val="nil"/>
                    <w:tr2bl w:val="nil"/>
                  </w:tcBorders>
                  <w:vAlign w:val="center"/>
                </w:tcPr>
                <w:p>
                  <w:pPr>
                    <w:adjustRightInd w:val="0"/>
                    <w:snapToGrid w:val="0"/>
                    <w:spacing w:line="360" w:lineRule="auto"/>
                    <w:jc w:val="center"/>
                    <w:rPr>
                      <w:szCs w:val="21"/>
                    </w:rPr>
                  </w:pPr>
                  <w:r>
                    <w:rPr>
                      <w:rFonts w:hint="eastAsia"/>
                      <w:szCs w:val="21"/>
                    </w:rPr>
                    <w:t>每只</w:t>
                  </w:r>
                </w:p>
              </w:tc>
              <w:tc>
                <w:tcPr>
                  <w:tcW w:w="883" w:type="dxa"/>
                  <w:tcBorders>
                    <w:tl2br w:val="nil"/>
                    <w:tr2bl w:val="nil"/>
                  </w:tcBorders>
                  <w:vAlign w:val="center"/>
                </w:tcPr>
                <w:p>
                  <w:pPr>
                    <w:adjustRightInd w:val="0"/>
                    <w:snapToGrid w:val="0"/>
                    <w:spacing w:line="360" w:lineRule="auto"/>
                    <w:jc w:val="center"/>
                    <w:rPr>
                      <w:szCs w:val="21"/>
                    </w:rPr>
                  </w:pPr>
                  <w:r>
                    <w:rPr>
                      <w:rFonts w:hint="eastAsia"/>
                      <w:szCs w:val="21"/>
                    </w:rPr>
                    <w:t>2000</w:t>
                  </w:r>
                </w:p>
              </w:tc>
              <w:tc>
                <w:tcPr>
                  <w:tcW w:w="1275"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val="en-US" w:eastAsia="zh-CN"/>
                    </w:rPr>
                    <w:t>800</w:t>
                  </w:r>
                </w:p>
              </w:tc>
              <w:tc>
                <w:tcPr>
                  <w:tcW w:w="1099" w:type="dxa"/>
                  <w:tcBorders>
                    <w:tl2br w:val="nil"/>
                    <w:tr2bl w:val="nil"/>
                  </w:tcBorders>
                  <w:vAlign w:val="center"/>
                </w:tcPr>
                <w:p>
                  <w:pPr>
                    <w:adjustRightInd w:val="0"/>
                    <w:snapToGrid w:val="0"/>
                    <w:spacing w:line="360" w:lineRule="auto"/>
                    <w:jc w:val="center"/>
                    <w:rPr>
                      <w:szCs w:val="21"/>
                    </w:rPr>
                  </w:pPr>
                  <w:r>
                    <w:rPr>
                      <w:rFonts w:hint="eastAsia"/>
                      <w:szCs w:val="21"/>
                      <w:lang w:val="en-US" w:eastAsia="zh-CN"/>
                    </w:rPr>
                    <w:t>11.52</w:t>
                  </w:r>
                  <w:r>
                    <w:rPr>
                      <w:szCs w:val="21"/>
                    </w:rPr>
                    <w:t>t/a</w:t>
                  </w:r>
                </w:p>
              </w:tc>
              <w:tc>
                <w:tcPr>
                  <w:tcW w:w="1469" w:type="dxa"/>
                  <w:tcBorders>
                    <w:tl2br w:val="nil"/>
                    <w:tr2bl w:val="nil"/>
                  </w:tcBorders>
                  <w:vAlign w:val="center"/>
                </w:tcPr>
                <w:p>
                  <w:pPr>
                    <w:adjustRightInd w:val="0"/>
                    <w:snapToGrid w:val="0"/>
                    <w:spacing w:line="360" w:lineRule="auto"/>
                    <w:jc w:val="center"/>
                    <w:rPr>
                      <w:szCs w:val="21"/>
                    </w:rPr>
                  </w:pPr>
                  <w:r>
                    <w:rPr>
                      <w:rFonts w:hint="eastAsia"/>
                      <w:szCs w:val="21"/>
                    </w:rPr>
                    <w:t>仓顶</w:t>
                  </w:r>
                  <w:r>
                    <w:rPr>
                      <w:szCs w:val="21"/>
                    </w:rPr>
                    <w:t>除尘</w:t>
                  </w:r>
                </w:p>
                <w:p>
                  <w:pPr>
                    <w:adjustRightInd w:val="0"/>
                    <w:snapToGrid w:val="0"/>
                    <w:spacing w:line="360" w:lineRule="auto"/>
                    <w:jc w:val="center"/>
                    <w:rPr>
                      <w:szCs w:val="21"/>
                    </w:rPr>
                  </w:pPr>
                  <w:r>
                    <w:rPr>
                      <w:szCs w:val="21"/>
                    </w:rPr>
                    <w:t>器</w:t>
                  </w:r>
                  <w:r>
                    <w:rPr>
                      <w:rFonts w:hint="eastAsia"/>
                      <w:szCs w:val="21"/>
                    </w:rPr>
                    <w:t>，99%</w:t>
                  </w:r>
                </w:p>
              </w:tc>
              <w:tc>
                <w:tcPr>
                  <w:tcW w:w="1176"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val="en-US" w:eastAsia="zh-CN"/>
                    </w:rPr>
                    <w:t>8</w:t>
                  </w:r>
                </w:p>
              </w:tc>
              <w:tc>
                <w:tcPr>
                  <w:tcW w:w="882" w:type="dxa"/>
                  <w:tcBorders>
                    <w:tl2br w:val="nil"/>
                    <w:tr2bl w:val="nil"/>
                  </w:tcBorders>
                  <w:vAlign w:val="center"/>
                </w:tcPr>
                <w:p>
                  <w:pPr>
                    <w:adjustRightInd w:val="0"/>
                    <w:snapToGrid w:val="0"/>
                    <w:spacing w:line="360" w:lineRule="auto"/>
                    <w:jc w:val="center"/>
                    <w:rPr>
                      <w:szCs w:val="21"/>
                    </w:rPr>
                  </w:pPr>
                  <w:r>
                    <w:rPr>
                      <w:rFonts w:hint="eastAsia"/>
                      <w:szCs w:val="21"/>
                    </w:rPr>
                    <w:t>0.</w:t>
                  </w:r>
                  <w:r>
                    <w:rPr>
                      <w:rFonts w:hint="eastAsia"/>
                      <w:szCs w:val="21"/>
                      <w:lang w:val="en-US" w:eastAsia="zh-CN"/>
                    </w:rPr>
                    <w:t>115</w:t>
                  </w:r>
                </w:p>
              </w:tc>
              <w:tc>
                <w:tcPr>
                  <w:tcW w:w="1230" w:type="dxa"/>
                  <w:tcBorders>
                    <w:tl2br w:val="nil"/>
                    <w:tr2bl w:val="nil"/>
                  </w:tcBorders>
                  <w:vAlign w:val="center"/>
                </w:tcPr>
                <w:p>
                  <w:pPr>
                    <w:adjustRightInd w:val="0"/>
                    <w:snapToGrid w:val="0"/>
                    <w:spacing w:line="360" w:lineRule="auto"/>
                    <w:jc w:val="center"/>
                    <w:rPr>
                      <w:szCs w:val="21"/>
                    </w:rPr>
                  </w:pPr>
                  <w:r>
                    <w:rPr>
                      <w:rFonts w:hint="eastAsia"/>
                      <w:szCs w:val="21"/>
                    </w:rPr>
                    <w:t>10</w:t>
                  </w:r>
                </w:p>
              </w:tc>
            </w:tr>
          </w:tbl>
          <w:p>
            <w:pPr>
              <w:pStyle w:val="21"/>
              <w:ind w:left="0" w:leftChars="0" w:firstLine="482" w:firstLineChars="200"/>
              <w:rPr>
                <w:rFonts w:hint="eastAsia" w:ascii="Times New Roman" w:hAnsi="Times New Roman" w:cs="Times New Roman"/>
                <w:b/>
                <w:bCs/>
                <w:sz w:val="24"/>
                <w:szCs w:val="24"/>
                <w:lang w:eastAsia="zh-CN"/>
              </w:rPr>
            </w:pPr>
            <w:r>
              <w:rPr>
                <w:rFonts w:hint="eastAsia" w:cs="Times New Roman"/>
                <w:b/>
                <w:bCs/>
                <w:sz w:val="24"/>
                <w:szCs w:val="24"/>
                <w:lang w:eastAsia="zh-CN"/>
              </w:rPr>
              <w:t>食堂</w:t>
            </w:r>
            <w:r>
              <w:rPr>
                <w:rFonts w:hint="eastAsia" w:ascii="Times New Roman" w:hAnsi="Times New Roman" w:cs="Times New Roman"/>
                <w:b/>
                <w:bCs/>
                <w:sz w:val="24"/>
                <w:szCs w:val="24"/>
                <w:lang w:eastAsia="zh-CN"/>
              </w:rPr>
              <w:t>废气</w:t>
            </w:r>
          </w:p>
          <w:p>
            <w:pPr>
              <w:spacing w:line="360" w:lineRule="auto"/>
              <w:ind w:firstLine="480" w:firstLineChars="200"/>
              <w:rPr>
                <w:rFonts w:hint="eastAsia"/>
                <w:sz w:val="24"/>
              </w:rPr>
            </w:pPr>
            <w:r>
              <w:rPr>
                <w:rFonts w:hint="eastAsia"/>
                <w:strike w:val="0"/>
                <w:dstrike w:val="0"/>
                <w:color w:val="auto"/>
                <w:sz w:val="24"/>
                <w:highlight w:val="none"/>
                <w:shd w:val="clear" w:color="auto" w:fill="auto"/>
              </w:rPr>
              <w:t>食物在烹饪</w:t>
            </w:r>
            <w:r>
              <w:rPr>
                <w:rFonts w:hint="eastAsia"/>
                <w:color w:val="auto"/>
                <w:sz w:val="24"/>
                <w:shd w:val="clear" w:color="auto" w:fill="auto"/>
              </w:rPr>
              <w:t>、</w:t>
            </w:r>
            <w:r>
              <w:rPr>
                <w:rFonts w:hint="eastAsia"/>
                <w:sz w:val="24"/>
              </w:rPr>
              <w:t>加工过程中将会发出油脂、有机质及热分解或裂解产物，从而产生油烟废气。根据一般居民用油情况的类比调查，目前每人食用油日用量约30g/（人·d），油的平均挥发量为总耗油量的2.83%。项目食堂内设</w:t>
            </w:r>
            <w:r>
              <w:rPr>
                <w:rFonts w:hint="eastAsia"/>
                <w:sz w:val="24"/>
                <w:lang w:val="en-US" w:eastAsia="zh-CN"/>
              </w:rPr>
              <w:t>5</w:t>
            </w:r>
            <w:r>
              <w:rPr>
                <w:rFonts w:hint="eastAsia"/>
                <w:sz w:val="24"/>
              </w:rPr>
              <w:t>个灶头，规模属于</w:t>
            </w:r>
            <w:r>
              <w:rPr>
                <w:rFonts w:hint="eastAsia"/>
                <w:sz w:val="24"/>
                <w:lang w:eastAsia="zh-CN"/>
              </w:rPr>
              <w:t>中</w:t>
            </w:r>
            <w:r>
              <w:rPr>
                <w:rFonts w:hint="eastAsia"/>
                <w:sz w:val="24"/>
              </w:rPr>
              <w:t>型食堂，灶头排风量</w:t>
            </w:r>
            <w:r>
              <w:rPr>
                <w:rFonts w:hint="eastAsia"/>
                <w:sz w:val="24"/>
                <w:lang w:val="en-US" w:eastAsia="zh-CN"/>
              </w:rPr>
              <w:t>1</w:t>
            </w:r>
            <w:r>
              <w:rPr>
                <w:rFonts w:hint="eastAsia"/>
                <w:sz w:val="24"/>
              </w:rPr>
              <w:t>0000m</w:t>
            </w:r>
            <w:r>
              <w:rPr>
                <w:rFonts w:hint="eastAsia"/>
                <w:sz w:val="24"/>
                <w:vertAlign w:val="superscript"/>
              </w:rPr>
              <w:t>3</w:t>
            </w:r>
            <w:r>
              <w:rPr>
                <w:rFonts w:hint="eastAsia"/>
                <w:sz w:val="24"/>
              </w:rPr>
              <w:t>/h，日工作时间约5h，年工作日3</w:t>
            </w:r>
            <w:r>
              <w:rPr>
                <w:rFonts w:hint="eastAsia"/>
                <w:sz w:val="24"/>
                <w:lang w:val="en-US" w:eastAsia="zh-CN"/>
              </w:rPr>
              <w:t>00</w:t>
            </w:r>
            <w:r>
              <w:rPr>
                <w:rFonts w:hint="eastAsia"/>
                <w:sz w:val="24"/>
              </w:rPr>
              <w:t>天，约有</w:t>
            </w:r>
            <w:r>
              <w:rPr>
                <w:rFonts w:hint="eastAsia"/>
                <w:sz w:val="24"/>
                <w:lang w:val="en-US" w:eastAsia="zh-CN"/>
              </w:rPr>
              <w:t>1</w:t>
            </w:r>
            <w:r>
              <w:rPr>
                <w:rFonts w:hint="eastAsia"/>
                <w:sz w:val="24"/>
              </w:rPr>
              <w:t>00人就餐，则项目消耗食用油</w:t>
            </w:r>
            <w:r>
              <w:rPr>
                <w:rFonts w:hint="eastAsia"/>
                <w:sz w:val="24"/>
                <w:lang w:val="en-US" w:eastAsia="zh-CN"/>
              </w:rPr>
              <w:t>0.9</w:t>
            </w:r>
            <w:r>
              <w:rPr>
                <w:rFonts w:hint="eastAsia"/>
                <w:sz w:val="24"/>
              </w:rPr>
              <w:t>t/a，厨房油烟产生量约为0.0</w:t>
            </w:r>
            <w:r>
              <w:rPr>
                <w:rFonts w:hint="eastAsia"/>
                <w:sz w:val="24"/>
                <w:lang w:val="en-US" w:eastAsia="zh-CN"/>
              </w:rPr>
              <w:t>3</w:t>
            </w:r>
            <w:r>
              <w:rPr>
                <w:rFonts w:hint="eastAsia"/>
                <w:sz w:val="24"/>
              </w:rPr>
              <w:t>t/a。产生浓度为1.</w:t>
            </w:r>
            <w:r>
              <w:rPr>
                <w:rFonts w:hint="eastAsia"/>
                <w:sz w:val="24"/>
                <w:lang w:val="en-US" w:eastAsia="zh-CN"/>
              </w:rPr>
              <w:t>7</w:t>
            </w:r>
            <w:r>
              <w:rPr>
                <w:rFonts w:hint="eastAsia"/>
                <w:sz w:val="24"/>
              </w:rPr>
              <w:t>mg/m</w:t>
            </w:r>
            <w:r>
              <w:rPr>
                <w:rFonts w:hint="eastAsia"/>
                <w:sz w:val="24"/>
                <w:vertAlign w:val="superscript"/>
              </w:rPr>
              <w:t>3</w:t>
            </w:r>
            <w:r>
              <w:rPr>
                <w:rFonts w:hint="eastAsia"/>
                <w:sz w:val="24"/>
              </w:rPr>
              <w:t>。食堂拟安装去除效率不低于</w:t>
            </w:r>
            <w:r>
              <w:rPr>
                <w:rFonts w:hint="eastAsia"/>
                <w:sz w:val="24"/>
                <w:lang w:val="en-US" w:eastAsia="zh-CN"/>
              </w:rPr>
              <w:t>75</w:t>
            </w:r>
            <w:r>
              <w:rPr>
                <w:rFonts w:hint="eastAsia"/>
                <w:sz w:val="24"/>
              </w:rPr>
              <w:t>%的油烟净化装置，以处理效率为</w:t>
            </w:r>
            <w:r>
              <w:rPr>
                <w:rFonts w:hint="eastAsia"/>
                <w:sz w:val="24"/>
                <w:lang w:val="en-US" w:eastAsia="zh-CN"/>
              </w:rPr>
              <w:t>75</w:t>
            </w:r>
            <w:r>
              <w:rPr>
                <w:rFonts w:hint="eastAsia"/>
                <w:sz w:val="24"/>
              </w:rPr>
              <w:t>%计算，则油烟排放浓度为0.</w:t>
            </w:r>
            <w:r>
              <w:rPr>
                <w:rFonts w:hint="eastAsia"/>
                <w:sz w:val="24"/>
                <w:lang w:val="en-US" w:eastAsia="zh-CN"/>
              </w:rPr>
              <w:t>425</w:t>
            </w:r>
            <w:r>
              <w:rPr>
                <w:rFonts w:hint="eastAsia"/>
                <w:sz w:val="24"/>
              </w:rPr>
              <w:t>mg/m</w:t>
            </w:r>
            <w:r>
              <w:rPr>
                <w:rFonts w:hint="eastAsia"/>
                <w:sz w:val="24"/>
                <w:vertAlign w:val="superscript"/>
              </w:rPr>
              <w:t>3</w:t>
            </w:r>
            <w:r>
              <w:rPr>
                <w:rFonts w:hint="eastAsia"/>
                <w:sz w:val="24"/>
              </w:rPr>
              <w:t>，排放量为0.0</w:t>
            </w:r>
            <w:r>
              <w:rPr>
                <w:rFonts w:hint="eastAsia"/>
                <w:sz w:val="24"/>
                <w:lang w:val="en-US" w:eastAsia="zh-CN"/>
              </w:rPr>
              <w:t>06</w:t>
            </w:r>
            <w:r>
              <w:rPr>
                <w:rFonts w:hint="eastAsia"/>
                <w:sz w:val="24"/>
              </w:rPr>
              <w:t>t/a。油烟经净化设施处理达标后，排气筒引至楼顶排放。</w:t>
            </w:r>
          </w:p>
          <w:p>
            <w:pPr>
              <w:adjustRightInd w:val="0"/>
              <w:snapToGrid w:val="0"/>
              <w:spacing w:line="360" w:lineRule="auto"/>
              <w:ind w:firstLine="480" w:firstLineChars="200"/>
              <w:rPr>
                <w:sz w:val="24"/>
              </w:rPr>
            </w:pPr>
            <w:r>
              <w:rPr>
                <w:sz w:val="24"/>
              </w:rPr>
              <w:t>3、噪声</w:t>
            </w:r>
          </w:p>
          <w:p>
            <w:pPr>
              <w:adjustRightInd w:val="0"/>
              <w:snapToGrid w:val="0"/>
              <w:spacing w:line="360" w:lineRule="auto"/>
              <w:ind w:firstLine="480" w:firstLineChars="200"/>
              <w:rPr>
                <w:sz w:val="24"/>
              </w:rPr>
            </w:pPr>
            <w:r>
              <w:rPr>
                <w:sz w:val="24"/>
              </w:rPr>
              <w:t>本项目噪声污染源主要为</w:t>
            </w:r>
            <w:r>
              <w:rPr>
                <w:rFonts w:hint="eastAsia"/>
                <w:sz w:val="24"/>
                <w:lang w:eastAsia="zh-CN"/>
              </w:rPr>
              <w:t>破碎机</w:t>
            </w:r>
            <w:r>
              <w:rPr>
                <w:rFonts w:hint="eastAsia"/>
                <w:sz w:val="24"/>
              </w:rPr>
              <w:t>、</w:t>
            </w:r>
            <w:r>
              <w:rPr>
                <w:rFonts w:hint="eastAsia"/>
                <w:sz w:val="24"/>
                <w:lang w:eastAsia="zh-CN"/>
              </w:rPr>
              <w:t>跳汰机</w:t>
            </w:r>
            <w:r>
              <w:rPr>
                <w:sz w:val="24"/>
              </w:rPr>
              <w:t>等设备运转时产生的噪声，</w:t>
            </w:r>
            <w:r>
              <w:rPr>
                <w:rFonts w:hint="eastAsia"/>
                <w:sz w:val="24"/>
              </w:rPr>
              <w:t>噪声源强见表</w:t>
            </w:r>
            <w:r>
              <w:rPr>
                <w:sz w:val="24"/>
              </w:rPr>
              <w:t>。</w:t>
            </w:r>
          </w:p>
          <w:p>
            <w:pPr>
              <w:adjustRightInd w:val="0"/>
              <w:snapToGrid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eastAsia" w:cs="Times New Roman"/>
                <w:b/>
                <w:bCs/>
                <w:sz w:val="24"/>
                <w:szCs w:val="24"/>
                <w:lang w:val="en-US" w:eastAsia="zh-CN"/>
              </w:rPr>
              <w:t>17</w:t>
            </w:r>
            <w:r>
              <w:rPr>
                <w:rFonts w:hint="default" w:ascii="Times New Roman" w:hAnsi="Times New Roman" w:eastAsia="宋体" w:cs="Times New Roman"/>
                <w:b/>
                <w:bCs/>
                <w:sz w:val="24"/>
                <w:szCs w:val="24"/>
              </w:rPr>
              <w:t xml:space="preserve">  主要噪声源及源强  单位：dB（A）</w:t>
            </w:r>
          </w:p>
          <w:tbl>
            <w:tblPr>
              <w:tblStyle w:val="34"/>
              <w:tblW w:w="887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2576"/>
              <w:gridCol w:w="32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3" w:type="dxa"/>
                  <w:vAlign w:val="center"/>
                </w:tcPr>
                <w:p>
                  <w:pPr>
                    <w:spacing w:line="360" w:lineRule="auto"/>
                    <w:jc w:val="center"/>
                    <w:rPr>
                      <w:sz w:val="21"/>
                      <w:szCs w:val="21"/>
                    </w:rPr>
                  </w:pPr>
                  <w:r>
                    <w:rPr>
                      <w:sz w:val="21"/>
                      <w:szCs w:val="21"/>
                    </w:rPr>
                    <w:t>噪声源</w:t>
                  </w:r>
                </w:p>
              </w:tc>
              <w:tc>
                <w:tcPr>
                  <w:tcW w:w="2576" w:type="dxa"/>
                  <w:vAlign w:val="center"/>
                </w:tcPr>
                <w:p>
                  <w:pPr>
                    <w:spacing w:line="360" w:lineRule="auto"/>
                    <w:jc w:val="center"/>
                    <w:rPr>
                      <w:sz w:val="21"/>
                      <w:szCs w:val="21"/>
                    </w:rPr>
                  </w:pPr>
                  <w:r>
                    <w:rPr>
                      <w:rFonts w:hint="eastAsia"/>
                      <w:sz w:val="21"/>
                      <w:szCs w:val="21"/>
                    </w:rPr>
                    <w:t>数量</w:t>
                  </w:r>
                </w:p>
              </w:tc>
              <w:tc>
                <w:tcPr>
                  <w:tcW w:w="3287" w:type="dxa"/>
                  <w:vAlign w:val="center"/>
                </w:tcPr>
                <w:p>
                  <w:pPr>
                    <w:spacing w:line="360" w:lineRule="auto"/>
                    <w:jc w:val="center"/>
                    <w:rPr>
                      <w:sz w:val="21"/>
                      <w:szCs w:val="21"/>
                    </w:rPr>
                  </w:pPr>
                  <w:r>
                    <w:rPr>
                      <w:sz w:val="21"/>
                      <w:szCs w:val="21"/>
                    </w:rPr>
                    <w:t>单台声功率级dB(A)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3" w:type="dxa"/>
                  <w:vAlign w:val="center"/>
                </w:tcPr>
                <w:p>
                  <w:pPr>
                    <w:spacing w:line="360" w:lineRule="auto"/>
                    <w:jc w:val="center"/>
                    <w:rPr>
                      <w:rFonts w:hAnsi="宋体"/>
                      <w:sz w:val="21"/>
                      <w:szCs w:val="21"/>
                    </w:rPr>
                  </w:pPr>
                  <w:r>
                    <w:rPr>
                      <w:rFonts w:hint="eastAsia" w:hAnsi="宋体"/>
                      <w:sz w:val="21"/>
                      <w:szCs w:val="21"/>
                      <w:lang w:eastAsia="zh-CN"/>
                    </w:rPr>
                    <w:t>筛分破碎工段</w:t>
                  </w:r>
                </w:p>
              </w:tc>
              <w:tc>
                <w:tcPr>
                  <w:tcW w:w="2576" w:type="dxa"/>
                  <w:vAlign w:val="center"/>
                </w:tcPr>
                <w:p>
                  <w:pPr>
                    <w:tabs>
                      <w:tab w:val="left" w:pos="4680"/>
                    </w:tabs>
                    <w:spacing w:line="360" w:lineRule="auto"/>
                    <w:jc w:val="center"/>
                    <w:rPr>
                      <w:rFonts w:hAnsi="宋体"/>
                      <w:sz w:val="21"/>
                      <w:szCs w:val="21"/>
                    </w:rPr>
                  </w:pPr>
                  <w:r>
                    <w:rPr>
                      <w:rFonts w:hint="eastAsia" w:hAnsi="宋体"/>
                      <w:sz w:val="21"/>
                      <w:szCs w:val="21"/>
                      <w:lang w:val="en-US" w:eastAsia="zh-CN"/>
                    </w:rPr>
                    <w:t>3</w:t>
                  </w:r>
                  <w:r>
                    <w:rPr>
                      <w:rFonts w:hint="eastAsia" w:hAnsi="宋体"/>
                      <w:sz w:val="21"/>
                      <w:szCs w:val="21"/>
                    </w:rPr>
                    <w:t>套</w:t>
                  </w:r>
                </w:p>
              </w:tc>
              <w:tc>
                <w:tcPr>
                  <w:tcW w:w="3287" w:type="dxa"/>
                  <w:vAlign w:val="center"/>
                </w:tcPr>
                <w:p>
                  <w:pPr>
                    <w:tabs>
                      <w:tab w:val="left" w:pos="4680"/>
                    </w:tabs>
                    <w:spacing w:line="360" w:lineRule="auto"/>
                    <w:jc w:val="center"/>
                    <w:rPr>
                      <w:rFonts w:hAnsi="宋体"/>
                      <w:sz w:val="21"/>
                      <w:szCs w:val="21"/>
                    </w:rPr>
                  </w:pPr>
                  <w:r>
                    <w:rPr>
                      <w:rFonts w:hint="eastAsia"/>
                      <w:sz w:val="21"/>
                      <w:szCs w:val="21"/>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3" w:type="dxa"/>
                  <w:vAlign w:val="center"/>
                </w:tcPr>
                <w:p>
                  <w:pPr>
                    <w:spacing w:line="360" w:lineRule="auto"/>
                    <w:jc w:val="center"/>
                    <w:rPr>
                      <w:rFonts w:hint="eastAsia" w:hAnsi="宋体" w:eastAsia="宋体"/>
                      <w:sz w:val="21"/>
                      <w:szCs w:val="21"/>
                      <w:lang w:eastAsia="zh-CN"/>
                    </w:rPr>
                  </w:pPr>
                  <w:r>
                    <w:rPr>
                      <w:rFonts w:hint="eastAsia" w:hAnsi="宋体"/>
                      <w:sz w:val="21"/>
                      <w:szCs w:val="21"/>
                      <w:lang w:eastAsia="zh-CN"/>
                    </w:rPr>
                    <w:t>跳汰洗煤机</w:t>
                  </w:r>
                </w:p>
              </w:tc>
              <w:tc>
                <w:tcPr>
                  <w:tcW w:w="2576" w:type="dxa"/>
                  <w:vAlign w:val="center"/>
                </w:tcPr>
                <w:p>
                  <w:pPr>
                    <w:tabs>
                      <w:tab w:val="left" w:pos="4680"/>
                    </w:tabs>
                    <w:spacing w:line="360" w:lineRule="auto"/>
                    <w:jc w:val="center"/>
                    <w:rPr>
                      <w:rFonts w:hAnsi="宋体"/>
                      <w:sz w:val="21"/>
                      <w:szCs w:val="21"/>
                    </w:rPr>
                  </w:pPr>
                  <w:r>
                    <w:rPr>
                      <w:rFonts w:hint="eastAsia" w:hAnsi="宋体"/>
                      <w:sz w:val="21"/>
                      <w:szCs w:val="21"/>
                      <w:lang w:val="en-US" w:eastAsia="zh-CN"/>
                    </w:rPr>
                    <w:t>3</w:t>
                  </w:r>
                  <w:r>
                    <w:rPr>
                      <w:rFonts w:hint="eastAsia" w:hAnsi="宋体"/>
                      <w:sz w:val="21"/>
                      <w:szCs w:val="21"/>
                    </w:rPr>
                    <w:t>台</w:t>
                  </w:r>
                </w:p>
              </w:tc>
              <w:tc>
                <w:tcPr>
                  <w:tcW w:w="3287" w:type="dxa"/>
                  <w:vAlign w:val="center"/>
                </w:tcPr>
                <w:p>
                  <w:pPr>
                    <w:spacing w:line="360" w:lineRule="auto"/>
                    <w:jc w:val="center"/>
                    <w:rPr>
                      <w:sz w:val="21"/>
                      <w:szCs w:val="21"/>
                    </w:rPr>
                  </w:pPr>
                  <w:r>
                    <w:rPr>
                      <w:rFonts w:hint="eastAsia"/>
                      <w:sz w:val="21"/>
                      <w:szCs w:val="21"/>
                      <w:lang w:val="en-US" w:eastAsia="zh-CN"/>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3" w:type="dxa"/>
                  <w:vAlign w:val="center"/>
                </w:tcPr>
                <w:p>
                  <w:pPr>
                    <w:spacing w:line="360" w:lineRule="auto"/>
                    <w:jc w:val="center"/>
                    <w:rPr>
                      <w:rFonts w:hint="eastAsia" w:hAnsi="宋体" w:eastAsia="宋体"/>
                      <w:sz w:val="21"/>
                      <w:szCs w:val="21"/>
                      <w:lang w:eastAsia="zh-CN"/>
                    </w:rPr>
                  </w:pPr>
                  <w:r>
                    <w:rPr>
                      <w:rFonts w:hint="eastAsia" w:hAnsi="宋体"/>
                      <w:sz w:val="21"/>
                      <w:szCs w:val="21"/>
                      <w:lang w:eastAsia="zh-CN"/>
                    </w:rPr>
                    <w:t>压滤机</w:t>
                  </w:r>
                </w:p>
              </w:tc>
              <w:tc>
                <w:tcPr>
                  <w:tcW w:w="2576" w:type="dxa"/>
                  <w:vAlign w:val="center"/>
                </w:tcPr>
                <w:p>
                  <w:pPr>
                    <w:tabs>
                      <w:tab w:val="left" w:pos="4680"/>
                    </w:tabs>
                    <w:spacing w:line="360" w:lineRule="auto"/>
                    <w:jc w:val="center"/>
                    <w:rPr>
                      <w:rFonts w:hAnsi="宋体"/>
                      <w:sz w:val="21"/>
                      <w:szCs w:val="21"/>
                    </w:rPr>
                  </w:pPr>
                  <w:r>
                    <w:rPr>
                      <w:rFonts w:hint="eastAsia" w:hAnsi="宋体"/>
                      <w:sz w:val="21"/>
                      <w:szCs w:val="21"/>
                      <w:lang w:val="en-US" w:eastAsia="zh-CN"/>
                    </w:rPr>
                    <w:t>3</w:t>
                  </w:r>
                  <w:r>
                    <w:rPr>
                      <w:rFonts w:hint="eastAsia" w:hAnsi="宋体"/>
                      <w:sz w:val="21"/>
                      <w:szCs w:val="21"/>
                    </w:rPr>
                    <w:t>套</w:t>
                  </w:r>
                </w:p>
              </w:tc>
              <w:tc>
                <w:tcPr>
                  <w:tcW w:w="3287" w:type="dxa"/>
                  <w:vAlign w:val="center"/>
                </w:tcPr>
                <w:p>
                  <w:pPr>
                    <w:tabs>
                      <w:tab w:val="left" w:pos="4680"/>
                    </w:tabs>
                    <w:spacing w:line="360" w:lineRule="auto"/>
                    <w:jc w:val="center"/>
                    <w:rPr>
                      <w:sz w:val="21"/>
                      <w:szCs w:val="21"/>
                    </w:rPr>
                  </w:pPr>
                  <w:r>
                    <w:rPr>
                      <w:sz w:val="21"/>
                      <w:szCs w:val="21"/>
                    </w:rPr>
                    <w:t>8</w:t>
                  </w:r>
                  <w:r>
                    <w:rPr>
                      <w:rFonts w:hint="eastAsia"/>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3" w:type="dxa"/>
                  <w:vAlign w:val="center"/>
                </w:tcPr>
                <w:p>
                  <w:pPr>
                    <w:spacing w:line="360" w:lineRule="auto"/>
                    <w:jc w:val="center"/>
                    <w:rPr>
                      <w:rFonts w:hint="eastAsia" w:hAnsi="宋体" w:eastAsia="宋体"/>
                      <w:sz w:val="21"/>
                      <w:szCs w:val="21"/>
                      <w:lang w:eastAsia="zh-CN"/>
                    </w:rPr>
                  </w:pPr>
                  <w:r>
                    <w:rPr>
                      <w:rFonts w:hint="eastAsia" w:hAnsi="宋体"/>
                      <w:sz w:val="21"/>
                      <w:szCs w:val="21"/>
                      <w:lang w:eastAsia="zh-CN"/>
                    </w:rPr>
                    <w:t>圆锥破碎机</w:t>
                  </w:r>
                </w:p>
              </w:tc>
              <w:tc>
                <w:tcPr>
                  <w:tcW w:w="2576" w:type="dxa"/>
                  <w:vAlign w:val="center"/>
                </w:tcPr>
                <w:p>
                  <w:pPr>
                    <w:tabs>
                      <w:tab w:val="left" w:pos="4680"/>
                    </w:tabs>
                    <w:spacing w:line="360" w:lineRule="auto"/>
                    <w:jc w:val="center"/>
                    <w:rPr>
                      <w:rFonts w:hAnsi="宋体"/>
                      <w:sz w:val="21"/>
                      <w:szCs w:val="21"/>
                    </w:rPr>
                  </w:pPr>
                  <w:r>
                    <w:rPr>
                      <w:rFonts w:hint="eastAsia" w:hAnsi="宋体"/>
                      <w:sz w:val="21"/>
                      <w:szCs w:val="21"/>
                    </w:rPr>
                    <w:t>1台</w:t>
                  </w:r>
                </w:p>
              </w:tc>
              <w:tc>
                <w:tcPr>
                  <w:tcW w:w="3287" w:type="dxa"/>
                  <w:vAlign w:val="center"/>
                </w:tcPr>
                <w:p>
                  <w:pPr>
                    <w:tabs>
                      <w:tab w:val="left" w:pos="4680"/>
                    </w:tabs>
                    <w:spacing w:line="360" w:lineRule="auto"/>
                    <w:jc w:val="center"/>
                    <w:rPr>
                      <w:rFonts w:hAnsi="宋体"/>
                      <w:sz w:val="21"/>
                      <w:szCs w:val="21"/>
                    </w:rPr>
                  </w:pPr>
                  <w:r>
                    <w:rPr>
                      <w:rFonts w:hint="eastAsia"/>
                      <w:sz w:val="21"/>
                      <w:szCs w:val="21"/>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3" w:type="dxa"/>
                  <w:vAlign w:val="center"/>
                </w:tcPr>
                <w:p>
                  <w:pPr>
                    <w:spacing w:line="360" w:lineRule="auto"/>
                    <w:jc w:val="center"/>
                    <w:rPr>
                      <w:rFonts w:hint="eastAsia" w:hAnsi="宋体" w:eastAsia="宋体"/>
                      <w:sz w:val="21"/>
                      <w:szCs w:val="21"/>
                      <w:lang w:eastAsia="zh-CN"/>
                    </w:rPr>
                  </w:pPr>
                  <w:r>
                    <w:rPr>
                      <w:rFonts w:hint="eastAsia" w:hAnsi="宋体"/>
                      <w:sz w:val="21"/>
                      <w:szCs w:val="21"/>
                      <w:lang w:eastAsia="zh-CN"/>
                    </w:rPr>
                    <w:t>砖机</w:t>
                  </w:r>
                </w:p>
              </w:tc>
              <w:tc>
                <w:tcPr>
                  <w:tcW w:w="2576" w:type="dxa"/>
                  <w:vAlign w:val="center"/>
                </w:tcPr>
                <w:p>
                  <w:pPr>
                    <w:tabs>
                      <w:tab w:val="left" w:pos="4680"/>
                    </w:tabs>
                    <w:spacing w:line="360" w:lineRule="auto"/>
                    <w:jc w:val="center"/>
                    <w:rPr>
                      <w:rFonts w:hAnsi="宋体"/>
                      <w:sz w:val="21"/>
                      <w:szCs w:val="21"/>
                    </w:rPr>
                  </w:pPr>
                  <w:r>
                    <w:rPr>
                      <w:rFonts w:hint="eastAsia" w:hAnsi="宋体"/>
                      <w:sz w:val="21"/>
                      <w:szCs w:val="21"/>
                      <w:lang w:val="en-US" w:eastAsia="zh-CN"/>
                    </w:rPr>
                    <w:t>1</w:t>
                  </w:r>
                  <w:r>
                    <w:rPr>
                      <w:rFonts w:hint="eastAsia" w:hAnsi="宋体"/>
                      <w:sz w:val="21"/>
                      <w:szCs w:val="21"/>
                    </w:rPr>
                    <w:t>台</w:t>
                  </w:r>
                </w:p>
              </w:tc>
              <w:tc>
                <w:tcPr>
                  <w:tcW w:w="3287" w:type="dxa"/>
                  <w:vAlign w:val="center"/>
                </w:tcPr>
                <w:p>
                  <w:pPr>
                    <w:tabs>
                      <w:tab w:val="left" w:pos="4680"/>
                    </w:tabs>
                    <w:spacing w:line="360" w:lineRule="auto"/>
                    <w:jc w:val="center"/>
                    <w:rPr>
                      <w:rFonts w:hint="eastAsia" w:hAnsi="宋体" w:eastAsia="宋体"/>
                      <w:sz w:val="21"/>
                      <w:szCs w:val="21"/>
                      <w:lang w:eastAsia="zh-CN"/>
                    </w:rPr>
                  </w:pPr>
                  <w:r>
                    <w:rPr>
                      <w:rFonts w:hint="eastAsia"/>
                      <w:sz w:val="21"/>
                      <w:szCs w:val="21"/>
                      <w:lang w:val="en-US" w:eastAsia="zh-CN"/>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3" w:type="dxa"/>
                  <w:vAlign w:val="center"/>
                </w:tcPr>
                <w:p>
                  <w:pPr>
                    <w:spacing w:line="360" w:lineRule="auto"/>
                    <w:jc w:val="center"/>
                    <w:rPr>
                      <w:rFonts w:hint="eastAsia" w:hAnsi="宋体" w:eastAsia="宋体"/>
                      <w:sz w:val="21"/>
                      <w:szCs w:val="21"/>
                      <w:lang w:eastAsia="zh-CN"/>
                    </w:rPr>
                  </w:pPr>
                  <w:r>
                    <w:rPr>
                      <w:rFonts w:hint="eastAsia"/>
                      <w:spacing w:val="4"/>
                      <w:sz w:val="21"/>
                      <w:szCs w:val="21"/>
                      <w:lang w:eastAsia="zh-CN"/>
                    </w:rPr>
                    <w:t>水泥罐车</w:t>
                  </w:r>
                </w:p>
              </w:tc>
              <w:tc>
                <w:tcPr>
                  <w:tcW w:w="2576" w:type="dxa"/>
                  <w:vAlign w:val="center"/>
                </w:tcPr>
                <w:p>
                  <w:pPr>
                    <w:tabs>
                      <w:tab w:val="left" w:pos="4680"/>
                    </w:tabs>
                    <w:spacing w:line="360" w:lineRule="auto"/>
                    <w:jc w:val="center"/>
                    <w:rPr>
                      <w:rFonts w:hAnsi="宋体"/>
                      <w:sz w:val="21"/>
                      <w:szCs w:val="21"/>
                    </w:rPr>
                  </w:pPr>
                  <w:r>
                    <w:rPr>
                      <w:rFonts w:hint="eastAsia" w:hAnsi="宋体"/>
                      <w:sz w:val="21"/>
                      <w:szCs w:val="21"/>
                      <w:lang w:val="en-US" w:eastAsia="zh-CN"/>
                    </w:rPr>
                    <w:t>2</w:t>
                  </w:r>
                  <w:r>
                    <w:rPr>
                      <w:rFonts w:hint="eastAsia" w:hAnsi="宋体"/>
                      <w:sz w:val="21"/>
                      <w:szCs w:val="21"/>
                      <w:lang w:eastAsia="zh-CN"/>
                    </w:rPr>
                    <w:t>台</w:t>
                  </w:r>
                </w:p>
              </w:tc>
              <w:tc>
                <w:tcPr>
                  <w:tcW w:w="3287" w:type="dxa"/>
                  <w:vAlign w:val="center"/>
                </w:tcPr>
                <w:p>
                  <w:pPr>
                    <w:tabs>
                      <w:tab w:val="left" w:pos="4680"/>
                    </w:tabs>
                    <w:spacing w:line="360" w:lineRule="auto"/>
                    <w:jc w:val="center"/>
                    <w:rPr>
                      <w:sz w:val="21"/>
                      <w:szCs w:val="21"/>
                    </w:rPr>
                  </w:pPr>
                  <w:r>
                    <w:rPr>
                      <w:sz w:val="21"/>
                      <w:szCs w:val="21"/>
                    </w:rPr>
                    <w:t>85</w:t>
                  </w:r>
                </w:p>
              </w:tc>
            </w:tr>
          </w:tbl>
          <w:p>
            <w:pPr>
              <w:adjustRightInd w:val="0"/>
              <w:snapToGrid w:val="0"/>
              <w:spacing w:line="360" w:lineRule="auto"/>
              <w:ind w:firstLine="480" w:firstLineChars="200"/>
              <w:rPr>
                <w:sz w:val="24"/>
              </w:rPr>
            </w:pPr>
            <w:r>
              <w:rPr>
                <w:sz w:val="24"/>
              </w:rPr>
              <w:t>4、固体废物</w:t>
            </w:r>
          </w:p>
          <w:p>
            <w:pPr>
              <w:tabs>
                <w:tab w:val="left" w:pos="1440"/>
                <w:tab w:val="left" w:pos="1800"/>
              </w:tabs>
              <w:adjustRightInd w:val="0"/>
              <w:snapToGrid w:val="0"/>
              <w:spacing w:line="360" w:lineRule="auto"/>
              <w:ind w:firstLine="480" w:firstLineChars="200"/>
              <w:rPr>
                <w:sz w:val="24"/>
              </w:rPr>
            </w:pPr>
            <w:r>
              <w:rPr>
                <w:rFonts w:hint="eastAsia"/>
                <w:sz w:val="24"/>
                <w:lang w:eastAsia="zh-CN"/>
              </w:rPr>
              <w:t>本项目产生的</w:t>
            </w:r>
            <w:r>
              <w:rPr>
                <w:rFonts w:hint="eastAsia" w:ascii="宋体" w:hAnsi="宋体"/>
                <w:sz w:val="24"/>
              </w:rPr>
              <w:t>一般工业固废</w:t>
            </w:r>
            <w:r>
              <w:rPr>
                <w:rFonts w:hint="eastAsia"/>
                <w:sz w:val="24"/>
              </w:rPr>
              <w:t>主要有矸石、除尘器收集的粉尘</w:t>
            </w:r>
            <w:r>
              <w:rPr>
                <w:rFonts w:hint="eastAsia"/>
                <w:sz w:val="24"/>
                <w:lang w:eastAsia="zh-CN"/>
              </w:rPr>
              <w:t>、砖机产生的边角料，员工生活产生的</w:t>
            </w:r>
            <w:r>
              <w:rPr>
                <w:rFonts w:hint="eastAsia"/>
                <w:sz w:val="24"/>
              </w:rPr>
              <w:t>生活垃圾</w:t>
            </w:r>
            <w:r>
              <w:rPr>
                <w:rFonts w:hint="eastAsia"/>
                <w:sz w:val="24"/>
                <w:lang w:eastAsia="zh-CN"/>
              </w:rPr>
              <w:t>、废油脂</w:t>
            </w:r>
            <w:r>
              <w:rPr>
                <w:rFonts w:hint="eastAsia"/>
                <w:sz w:val="24"/>
              </w:rPr>
              <w:t>。</w:t>
            </w:r>
          </w:p>
          <w:p>
            <w:pPr>
              <w:tabs>
                <w:tab w:val="left" w:pos="1440"/>
                <w:tab w:val="left" w:pos="1800"/>
              </w:tabs>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一般工业固废</w:t>
            </w:r>
          </w:p>
          <w:p>
            <w:pPr>
              <w:tabs>
                <w:tab w:val="left" w:pos="1440"/>
                <w:tab w:val="left" w:pos="1800"/>
              </w:tabs>
              <w:adjustRightInd w:val="0"/>
              <w:snapToGrid w:val="0"/>
              <w:spacing w:line="360" w:lineRule="auto"/>
              <w:ind w:firstLine="480" w:firstLineChars="200"/>
              <w:rPr>
                <w:spacing w:val="4"/>
                <w:sz w:val="24"/>
              </w:rPr>
            </w:pPr>
            <w:r>
              <w:rPr>
                <w:rFonts w:hint="eastAsia"/>
                <w:sz w:val="24"/>
              </w:rPr>
              <w:t>①</w:t>
            </w:r>
            <w:r>
              <w:rPr>
                <w:rFonts w:hint="eastAsia"/>
                <w:spacing w:val="4"/>
                <w:sz w:val="24"/>
                <w:lang w:eastAsia="zh-CN"/>
              </w:rPr>
              <w:t>根据建设单位提供资料，项目煤矸石</w:t>
            </w:r>
            <w:r>
              <w:rPr>
                <w:rFonts w:hint="eastAsia"/>
                <w:spacing w:val="4"/>
                <w:sz w:val="24"/>
              </w:rPr>
              <w:t>产生量约</w:t>
            </w:r>
            <w:r>
              <w:rPr>
                <w:rFonts w:hint="eastAsia"/>
                <w:spacing w:val="4"/>
                <w:sz w:val="24"/>
                <w:lang w:val="en-US" w:eastAsia="zh-CN"/>
              </w:rPr>
              <w:t>24</w:t>
            </w:r>
            <w:r>
              <w:rPr>
                <w:rFonts w:hint="eastAsia"/>
                <w:spacing w:val="4"/>
                <w:sz w:val="24"/>
              </w:rPr>
              <w:t>万t/a。</w:t>
            </w:r>
            <w:r>
              <w:rPr>
                <w:rFonts w:hint="eastAsia"/>
                <w:spacing w:val="4"/>
                <w:sz w:val="24"/>
                <w:lang w:eastAsia="zh-CN"/>
              </w:rPr>
              <w:t>产生的煤矸石全部用于混凝土铺地砖的生产。</w:t>
            </w:r>
          </w:p>
          <w:p>
            <w:pPr>
              <w:tabs>
                <w:tab w:val="left" w:pos="1440"/>
                <w:tab w:val="left" w:pos="1800"/>
              </w:tabs>
              <w:adjustRightInd w:val="0"/>
              <w:snapToGrid w:val="0"/>
              <w:spacing w:line="360" w:lineRule="auto"/>
              <w:ind w:firstLine="496" w:firstLineChars="200"/>
              <w:rPr>
                <w:color w:val="auto"/>
                <w:spacing w:val="4"/>
                <w:sz w:val="24"/>
              </w:rPr>
            </w:pPr>
            <w:r>
              <w:rPr>
                <w:rFonts w:hint="eastAsia"/>
                <w:color w:val="auto"/>
                <w:spacing w:val="4"/>
                <w:sz w:val="24"/>
                <w:lang w:eastAsia="zh-CN"/>
              </w:rPr>
              <w:t>②项目年</w:t>
            </w:r>
            <w:r>
              <w:rPr>
                <w:rFonts w:hint="eastAsia"/>
                <w:color w:val="auto"/>
                <w:spacing w:val="4"/>
                <w:sz w:val="24"/>
              </w:rPr>
              <w:t>除尘器收集的粉尘产生量为</w:t>
            </w:r>
            <w:r>
              <w:rPr>
                <w:rFonts w:hint="eastAsia"/>
                <w:color w:val="auto"/>
                <w:spacing w:val="4"/>
                <w:sz w:val="24"/>
                <w:lang w:val="en-US" w:eastAsia="zh-CN"/>
              </w:rPr>
              <w:t>277.95</w:t>
            </w:r>
            <w:r>
              <w:rPr>
                <w:rFonts w:hint="eastAsia"/>
                <w:color w:val="auto"/>
                <w:spacing w:val="4"/>
                <w:sz w:val="24"/>
              </w:rPr>
              <w:t>t/a</w:t>
            </w:r>
            <w:r>
              <w:rPr>
                <w:rFonts w:hint="eastAsia"/>
                <w:color w:val="auto"/>
                <w:spacing w:val="4"/>
                <w:sz w:val="24"/>
                <w:lang w:eastAsia="zh-CN"/>
              </w:rPr>
              <w:t>，作为建筑材料外售</w:t>
            </w:r>
            <w:r>
              <w:rPr>
                <w:rFonts w:hint="eastAsia"/>
                <w:color w:val="auto"/>
                <w:spacing w:val="4"/>
                <w:sz w:val="24"/>
              </w:rPr>
              <w:t>。</w:t>
            </w:r>
          </w:p>
          <w:p>
            <w:pPr>
              <w:tabs>
                <w:tab w:val="left" w:pos="1440"/>
                <w:tab w:val="left" w:pos="1800"/>
              </w:tabs>
              <w:adjustRightInd w:val="0"/>
              <w:snapToGrid w:val="0"/>
              <w:spacing w:line="360" w:lineRule="auto"/>
              <w:ind w:firstLine="496" w:firstLineChars="200"/>
              <w:rPr>
                <w:rFonts w:hint="eastAsia" w:ascii="宋体" w:hAnsi="宋体"/>
                <w:color w:val="auto"/>
                <w:sz w:val="24"/>
                <w:szCs w:val="24"/>
              </w:rPr>
            </w:pPr>
            <w:r>
              <w:rPr>
                <w:rFonts w:hint="eastAsia"/>
                <w:spacing w:val="4"/>
                <w:sz w:val="24"/>
                <w:lang w:eastAsia="zh-CN"/>
              </w:rPr>
              <w:t>③</w:t>
            </w:r>
            <w:r>
              <w:rPr>
                <w:color w:val="auto"/>
                <w:sz w:val="24"/>
                <w:szCs w:val="24"/>
              </w:rPr>
              <w:t>项目</w:t>
            </w:r>
            <w:r>
              <w:rPr>
                <w:rFonts w:hint="eastAsia"/>
                <w:color w:val="auto"/>
                <w:sz w:val="24"/>
                <w:szCs w:val="24"/>
                <w:lang w:eastAsia="zh-CN"/>
              </w:rPr>
              <w:t>制砖工艺中的震压成型工艺会产生一部分的边角料，该边角料可直接回用于制砖工序</w:t>
            </w:r>
            <w:r>
              <w:rPr>
                <w:rFonts w:hint="eastAsia" w:ascii="宋体" w:hAnsi="宋体"/>
                <w:color w:val="auto"/>
                <w:sz w:val="24"/>
                <w:szCs w:val="24"/>
              </w:rPr>
              <w:t>。</w:t>
            </w:r>
          </w:p>
          <w:p>
            <w:pPr>
              <w:pStyle w:val="2"/>
              <w:spacing w:line="360" w:lineRule="auto"/>
              <w:ind w:firstLine="44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z w:val="24"/>
                <w:szCs w:val="24"/>
                <w:lang w:eastAsia="zh-CN"/>
              </w:rPr>
              <w:t>④项目成品会有少量在厂内转运时破碎、损坏，根据建设单位经验，本项目年产生损坏产品</w:t>
            </w:r>
            <w:r>
              <w:rPr>
                <w:rFonts w:hint="eastAsia"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lang w:val="en-US" w:eastAsia="zh-CN"/>
              </w:rPr>
              <w:t>吨</w:t>
            </w:r>
            <w:r>
              <w:rPr>
                <w:rFonts w:hint="eastAsia" w:eastAsia="宋体" w:cs="Times New Roman"/>
                <w:color w:val="auto"/>
                <w:sz w:val="24"/>
                <w:szCs w:val="24"/>
                <w:lang w:val="en-US" w:eastAsia="zh-CN"/>
              </w:rPr>
              <w:t>，与煤矸石一同破碎作为制砖工艺原料</w:t>
            </w:r>
            <w:r>
              <w:rPr>
                <w:rFonts w:hint="default" w:ascii="Times New Roman" w:hAnsi="Times New Roman" w:eastAsia="宋体" w:cs="Times New Roman"/>
                <w:color w:val="auto"/>
                <w:sz w:val="24"/>
                <w:szCs w:val="24"/>
                <w:lang w:val="en-US" w:eastAsia="zh-CN"/>
              </w:rPr>
              <w:t>。</w:t>
            </w:r>
          </w:p>
          <w:p>
            <w:pPr>
              <w:tabs>
                <w:tab w:val="left" w:pos="1440"/>
                <w:tab w:val="left" w:pos="1800"/>
              </w:tabs>
              <w:adjustRightInd w:val="0"/>
              <w:snapToGrid w:val="0"/>
              <w:spacing w:line="360" w:lineRule="auto"/>
              <w:ind w:firstLine="496" w:firstLineChars="200"/>
              <w:rPr>
                <w:spacing w:val="4"/>
                <w:sz w:val="24"/>
              </w:rPr>
            </w:pPr>
            <w:r>
              <w:rPr>
                <w:rFonts w:hint="eastAsia"/>
                <w:spacing w:val="4"/>
                <w:sz w:val="24"/>
              </w:rPr>
              <w:t>（2）</w:t>
            </w:r>
            <w:r>
              <w:rPr>
                <w:rFonts w:hint="eastAsia"/>
                <w:spacing w:val="4"/>
                <w:sz w:val="24"/>
                <w:lang w:eastAsia="zh-CN"/>
              </w:rPr>
              <w:t>员工生活</w:t>
            </w:r>
          </w:p>
          <w:p>
            <w:pPr>
              <w:spacing w:line="360" w:lineRule="auto"/>
              <w:ind w:firstLine="480" w:firstLineChars="200"/>
              <w:rPr>
                <w:sz w:val="24"/>
              </w:rPr>
            </w:pPr>
            <w:r>
              <w:rPr>
                <w:sz w:val="24"/>
              </w:rPr>
              <w:t>项目劳动定员</w:t>
            </w:r>
            <w:r>
              <w:rPr>
                <w:rFonts w:hint="eastAsia"/>
                <w:sz w:val="24"/>
                <w:lang w:val="en-US" w:eastAsia="zh-CN"/>
              </w:rPr>
              <w:t>100</w:t>
            </w:r>
            <w:r>
              <w:rPr>
                <w:sz w:val="24"/>
              </w:rPr>
              <w:t>人，生活垃圾产生量按</w:t>
            </w:r>
            <w:r>
              <w:rPr>
                <w:rFonts w:hint="eastAsia"/>
                <w:sz w:val="24"/>
                <w:lang w:val="en-US" w:eastAsia="zh-CN"/>
              </w:rPr>
              <w:t>1</w:t>
            </w:r>
            <w:r>
              <w:rPr>
                <w:sz w:val="24"/>
              </w:rPr>
              <w:t>kg/人·d，生活垃圾</w:t>
            </w:r>
            <w:r>
              <w:rPr>
                <w:rFonts w:hint="eastAsia"/>
                <w:sz w:val="24"/>
              </w:rPr>
              <w:t>产生量为</w:t>
            </w:r>
            <w:r>
              <w:rPr>
                <w:rFonts w:hint="eastAsia"/>
                <w:sz w:val="24"/>
                <w:lang w:val="en-US" w:eastAsia="zh-CN"/>
              </w:rPr>
              <w:t>100</w:t>
            </w:r>
            <w:r>
              <w:rPr>
                <w:sz w:val="24"/>
              </w:rPr>
              <w:t>kg</w:t>
            </w:r>
            <w:r>
              <w:rPr>
                <w:rFonts w:hint="eastAsia"/>
                <w:sz w:val="24"/>
              </w:rPr>
              <w:t>/d</w:t>
            </w:r>
            <w:r>
              <w:rPr>
                <w:sz w:val="24"/>
              </w:rPr>
              <w:t>，</w:t>
            </w:r>
            <w:r>
              <w:rPr>
                <w:rFonts w:hint="eastAsia"/>
                <w:sz w:val="24"/>
              </w:rPr>
              <w:t>全年产生</w:t>
            </w:r>
            <w:r>
              <w:rPr>
                <w:rFonts w:hint="eastAsia"/>
                <w:sz w:val="24"/>
                <w:lang w:val="en-US" w:eastAsia="zh-CN"/>
              </w:rPr>
              <w:t>30</w:t>
            </w:r>
            <w:r>
              <w:rPr>
                <w:sz w:val="24"/>
              </w:rPr>
              <w:t>t。</w:t>
            </w:r>
            <w:r>
              <w:rPr>
                <w:rFonts w:hint="eastAsia"/>
                <w:sz w:val="24"/>
              </w:rPr>
              <w:t>餐饮垃圾根据《第一次全国污染源普查城镇生活源产排污系数手册》，本项目餐饮垃圾产生量按0.44kg/人次计，则项目餐饮垃圾产生量为</w:t>
            </w:r>
            <w:r>
              <w:rPr>
                <w:rFonts w:hint="eastAsia"/>
                <w:sz w:val="24"/>
                <w:lang w:val="en-US" w:eastAsia="zh-CN"/>
              </w:rPr>
              <w:t>39.6</w:t>
            </w:r>
            <w:r>
              <w:rPr>
                <w:rFonts w:hint="eastAsia"/>
                <w:sz w:val="24"/>
              </w:rPr>
              <w:t>t/a。项目废油脂主要为隔油池处理产生的废油脂。项目餐饮废水动植物油产生量按0.02kg/人•餐计，项目平流板式隔油池的隔油效率为70%，则隔油池产生的废油脂量为</w:t>
            </w:r>
            <w:r>
              <w:rPr>
                <w:rFonts w:hint="eastAsia"/>
                <w:sz w:val="24"/>
                <w:lang w:val="en-US" w:eastAsia="zh-CN"/>
              </w:rPr>
              <w:t>1.26</w:t>
            </w:r>
            <w:r>
              <w:rPr>
                <w:rFonts w:hint="eastAsia"/>
                <w:sz w:val="24"/>
              </w:rPr>
              <w:t>t/a。</w:t>
            </w:r>
          </w:p>
          <w:p>
            <w:pPr>
              <w:spacing w:line="360" w:lineRule="auto"/>
              <w:ind w:firstLine="480" w:firstLineChars="200"/>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废机油</w:t>
            </w:r>
          </w:p>
          <w:p>
            <w:pPr>
              <w:spacing w:line="360" w:lineRule="auto"/>
              <w:ind w:firstLine="480" w:firstLineChars="200"/>
              <w:rPr>
                <w:sz w:val="24"/>
              </w:rPr>
            </w:pPr>
            <w:r>
              <w:rPr>
                <w:sz w:val="24"/>
              </w:rPr>
              <w:t>项目废机油主要来自传动机械与设备</w:t>
            </w:r>
            <w:r>
              <w:rPr>
                <w:rFonts w:hint="eastAsia"/>
                <w:sz w:val="24"/>
                <w:lang w:eastAsia="zh-CN"/>
              </w:rPr>
              <w:t>的</w:t>
            </w:r>
            <w:r>
              <w:rPr>
                <w:sz w:val="24"/>
              </w:rPr>
              <w:t>维修保养，</w:t>
            </w:r>
            <w:r>
              <w:rPr>
                <w:rFonts w:hint="eastAsia"/>
                <w:sz w:val="24"/>
                <w:lang w:eastAsia="zh-CN"/>
              </w:rPr>
              <w:t>根据建设单位提供资料，本项目</w:t>
            </w:r>
            <w:r>
              <w:rPr>
                <w:sz w:val="24"/>
              </w:rPr>
              <w:t>估算每年产生量约</w:t>
            </w:r>
            <w:r>
              <w:rPr>
                <w:rFonts w:hint="eastAsia"/>
                <w:sz w:val="24"/>
                <w:lang w:val="en-US" w:eastAsia="zh-CN"/>
              </w:rPr>
              <w:t>0.1</w:t>
            </w:r>
            <w:r>
              <w:rPr>
                <w:sz w:val="24"/>
              </w:rPr>
              <w:t>t，</w:t>
            </w:r>
            <w:r>
              <w:rPr>
                <w:rFonts w:hint="eastAsia"/>
                <w:sz w:val="24"/>
                <w:lang w:eastAsia="zh-CN"/>
              </w:rPr>
              <w:t>定点收集存放在危废暂存间内，定期</w:t>
            </w:r>
            <w:r>
              <w:rPr>
                <w:sz w:val="24"/>
              </w:rPr>
              <w:t>交有资质单位处置。</w:t>
            </w:r>
          </w:p>
          <w:p>
            <w:pPr>
              <w:tabs>
                <w:tab w:val="left" w:pos="1440"/>
                <w:tab w:val="left" w:pos="1800"/>
              </w:tabs>
              <w:adjustRightInd w:val="0"/>
              <w:snapToGrid w:val="0"/>
              <w:spacing w:line="360" w:lineRule="auto"/>
              <w:ind w:firstLine="496" w:firstLineChars="200"/>
              <w:rPr>
                <w:rFonts w:hint="eastAsia"/>
              </w:rPr>
            </w:pPr>
            <w:r>
              <w:rPr>
                <w:rFonts w:hint="eastAsia"/>
                <w:spacing w:val="4"/>
                <w:sz w:val="24"/>
              </w:rPr>
              <w:t>本项目固体废物产生情况汇总如下表</w:t>
            </w:r>
            <w:r>
              <w:rPr>
                <w:rFonts w:hint="eastAsia"/>
                <w:spacing w:val="4"/>
                <w:sz w:val="24"/>
                <w:lang w:val="en-US" w:eastAsia="zh-CN"/>
              </w:rPr>
              <w:t>18</w:t>
            </w:r>
            <w:r>
              <w:rPr>
                <w:rFonts w:hint="eastAsia"/>
                <w:spacing w:val="4"/>
                <w:sz w:val="24"/>
              </w:rPr>
              <w:t>。</w:t>
            </w:r>
          </w:p>
          <w:p>
            <w:pPr>
              <w:adjustRightInd w:val="0"/>
              <w:snapToGrid w:val="0"/>
              <w:spacing w:before="62" w:beforeLines="20" w:after="31" w:afterLines="10"/>
              <w:jc w:val="center"/>
              <w:rPr>
                <w:b/>
                <w:bCs/>
                <w:sz w:val="24"/>
              </w:rPr>
            </w:pPr>
            <w:r>
              <w:rPr>
                <w:rFonts w:hint="eastAsia" w:hAnsi="宋体"/>
                <w:b/>
                <w:sz w:val="24"/>
              </w:rPr>
              <w:t>表</w:t>
            </w:r>
            <w:r>
              <w:rPr>
                <w:rFonts w:hint="eastAsia" w:hAnsi="宋体"/>
                <w:b/>
                <w:sz w:val="24"/>
                <w:lang w:val="en-US" w:eastAsia="zh-CN"/>
              </w:rPr>
              <w:t>18</w:t>
            </w:r>
            <w:r>
              <w:rPr>
                <w:rFonts w:hint="eastAsia" w:hAnsi="宋体"/>
                <w:b/>
                <w:sz w:val="24"/>
              </w:rPr>
              <w:t xml:space="preserve">  固体废物产生情况汇总表</w:t>
            </w:r>
          </w:p>
          <w:tbl>
            <w:tblPr>
              <w:tblStyle w:val="34"/>
              <w:tblW w:w="88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793"/>
              <w:gridCol w:w="1166"/>
              <w:gridCol w:w="1356"/>
              <w:gridCol w:w="1582"/>
              <w:gridCol w:w="1404"/>
              <w:gridCol w:w="2570"/>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c>
                <w:tcPr>
                  <w:tcW w:w="793" w:type="dxa"/>
                  <w:tcBorders>
                    <w:tl2br w:val="nil"/>
                    <w:tr2bl w:val="nil"/>
                  </w:tcBorders>
                  <w:vAlign w:val="center"/>
                </w:tcPr>
                <w:p>
                  <w:pPr>
                    <w:snapToGrid w:val="0"/>
                    <w:spacing w:line="360" w:lineRule="exact"/>
                    <w:jc w:val="center"/>
                    <w:rPr>
                      <w:sz w:val="21"/>
                      <w:szCs w:val="21"/>
                    </w:rPr>
                  </w:pPr>
                  <w:r>
                    <w:rPr>
                      <w:sz w:val="21"/>
                      <w:szCs w:val="21"/>
                    </w:rPr>
                    <w:t>序号</w:t>
                  </w:r>
                </w:p>
              </w:tc>
              <w:tc>
                <w:tcPr>
                  <w:tcW w:w="2522" w:type="dxa"/>
                  <w:gridSpan w:val="2"/>
                  <w:tcBorders>
                    <w:tl2br w:val="nil"/>
                    <w:tr2bl w:val="nil"/>
                  </w:tcBorders>
                  <w:vAlign w:val="top"/>
                </w:tcPr>
                <w:p>
                  <w:pPr>
                    <w:snapToGrid w:val="0"/>
                    <w:spacing w:line="360" w:lineRule="exact"/>
                    <w:jc w:val="center"/>
                    <w:rPr>
                      <w:sz w:val="21"/>
                      <w:szCs w:val="21"/>
                    </w:rPr>
                  </w:pPr>
                  <w:r>
                    <w:rPr>
                      <w:rFonts w:hint="eastAsia"/>
                      <w:sz w:val="21"/>
                      <w:szCs w:val="21"/>
                    </w:rPr>
                    <w:t>废物名称</w:t>
                  </w:r>
                </w:p>
              </w:tc>
              <w:tc>
                <w:tcPr>
                  <w:tcW w:w="1582" w:type="dxa"/>
                  <w:tcBorders>
                    <w:tl2br w:val="nil"/>
                    <w:tr2bl w:val="nil"/>
                  </w:tcBorders>
                  <w:vAlign w:val="top"/>
                </w:tcPr>
                <w:p>
                  <w:pPr>
                    <w:snapToGrid w:val="0"/>
                    <w:spacing w:line="360" w:lineRule="exact"/>
                    <w:jc w:val="center"/>
                    <w:rPr>
                      <w:sz w:val="21"/>
                      <w:szCs w:val="21"/>
                    </w:rPr>
                  </w:pPr>
                  <w:r>
                    <w:rPr>
                      <w:rFonts w:hint="eastAsia"/>
                      <w:sz w:val="21"/>
                      <w:szCs w:val="21"/>
                    </w:rPr>
                    <w:t>产生量（t/a）</w:t>
                  </w:r>
                </w:p>
              </w:tc>
              <w:tc>
                <w:tcPr>
                  <w:tcW w:w="1404" w:type="dxa"/>
                  <w:tcBorders>
                    <w:tl2br w:val="nil"/>
                    <w:tr2bl w:val="nil"/>
                  </w:tcBorders>
                  <w:vAlign w:val="center"/>
                </w:tcPr>
                <w:p>
                  <w:pPr>
                    <w:snapToGrid w:val="0"/>
                    <w:spacing w:line="360" w:lineRule="exact"/>
                    <w:jc w:val="center"/>
                    <w:rPr>
                      <w:sz w:val="21"/>
                      <w:szCs w:val="21"/>
                    </w:rPr>
                  </w:pPr>
                  <w:r>
                    <w:rPr>
                      <w:sz w:val="21"/>
                      <w:szCs w:val="21"/>
                    </w:rPr>
                    <w:t>属性</w:t>
                  </w:r>
                </w:p>
              </w:tc>
              <w:tc>
                <w:tcPr>
                  <w:tcW w:w="2570" w:type="dxa"/>
                  <w:tcBorders>
                    <w:tl2br w:val="nil"/>
                    <w:tr2bl w:val="nil"/>
                  </w:tcBorders>
                  <w:vAlign w:val="center"/>
                </w:tcPr>
                <w:p>
                  <w:pPr>
                    <w:snapToGrid w:val="0"/>
                    <w:spacing w:line="360" w:lineRule="exact"/>
                    <w:jc w:val="center"/>
                    <w:rPr>
                      <w:rFonts w:hint="eastAsia" w:eastAsia="宋体"/>
                      <w:sz w:val="21"/>
                      <w:szCs w:val="21"/>
                      <w:lang w:eastAsia="zh-CN"/>
                    </w:rPr>
                  </w:pPr>
                  <w:r>
                    <w:rPr>
                      <w:rFonts w:hint="eastAsia"/>
                      <w:sz w:val="21"/>
                      <w:szCs w:val="21"/>
                      <w:lang w:eastAsia="zh-CN"/>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274" w:hRule="atLeast"/>
              </w:trPr>
              <w:tc>
                <w:tcPr>
                  <w:tcW w:w="793" w:type="dxa"/>
                  <w:tcBorders>
                    <w:tl2br w:val="nil"/>
                    <w:tr2bl w:val="nil"/>
                  </w:tcBorders>
                  <w:vAlign w:val="center"/>
                </w:tcPr>
                <w:p>
                  <w:pPr>
                    <w:snapToGrid w:val="0"/>
                    <w:spacing w:line="360" w:lineRule="exact"/>
                    <w:jc w:val="center"/>
                    <w:rPr>
                      <w:rFonts w:hint="eastAsia" w:eastAsia="宋体"/>
                      <w:sz w:val="21"/>
                      <w:szCs w:val="21"/>
                      <w:lang w:eastAsia="zh-CN"/>
                    </w:rPr>
                  </w:pPr>
                  <w:r>
                    <w:rPr>
                      <w:rFonts w:hint="eastAsia"/>
                      <w:sz w:val="21"/>
                      <w:szCs w:val="21"/>
                      <w:lang w:val="en-US" w:eastAsia="zh-CN"/>
                    </w:rPr>
                    <w:t>1</w:t>
                  </w:r>
                </w:p>
              </w:tc>
              <w:tc>
                <w:tcPr>
                  <w:tcW w:w="2522" w:type="dxa"/>
                  <w:gridSpan w:val="2"/>
                  <w:tcBorders>
                    <w:tl2br w:val="nil"/>
                    <w:tr2bl w:val="nil"/>
                  </w:tcBorders>
                  <w:vAlign w:val="top"/>
                </w:tcPr>
                <w:p>
                  <w:pPr>
                    <w:snapToGrid w:val="0"/>
                    <w:spacing w:line="360" w:lineRule="exact"/>
                    <w:jc w:val="center"/>
                    <w:rPr>
                      <w:rFonts w:hint="eastAsia" w:eastAsia="宋体"/>
                      <w:sz w:val="21"/>
                      <w:szCs w:val="21"/>
                      <w:lang w:eastAsia="zh-CN"/>
                    </w:rPr>
                  </w:pPr>
                  <w:r>
                    <w:rPr>
                      <w:rFonts w:hint="eastAsia"/>
                      <w:sz w:val="21"/>
                      <w:szCs w:val="21"/>
                      <w:lang w:eastAsia="zh-CN"/>
                    </w:rPr>
                    <w:t>煤矸石</w:t>
                  </w:r>
                </w:p>
              </w:tc>
              <w:tc>
                <w:tcPr>
                  <w:tcW w:w="1582" w:type="dxa"/>
                  <w:tcBorders>
                    <w:tl2br w:val="nil"/>
                    <w:tr2bl w:val="nil"/>
                  </w:tcBorders>
                  <w:vAlign w:val="center"/>
                </w:tcPr>
                <w:p>
                  <w:pPr>
                    <w:snapToGrid w:val="0"/>
                    <w:spacing w:line="360" w:lineRule="exact"/>
                    <w:jc w:val="center"/>
                    <w:rPr>
                      <w:sz w:val="21"/>
                      <w:szCs w:val="21"/>
                    </w:rPr>
                  </w:pPr>
                  <w:r>
                    <w:rPr>
                      <w:rFonts w:hint="eastAsia"/>
                      <w:sz w:val="21"/>
                      <w:szCs w:val="21"/>
                      <w:lang w:val="en-US" w:eastAsia="zh-CN"/>
                    </w:rPr>
                    <w:t>24</w:t>
                  </w:r>
                  <w:r>
                    <w:rPr>
                      <w:rFonts w:hint="eastAsia"/>
                      <w:sz w:val="21"/>
                      <w:szCs w:val="21"/>
                    </w:rPr>
                    <w:t>万</w:t>
                  </w:r>
                </w:p>
              </w:tc>
              <w:tc>
                <w:tcPr>
                  <w:tcW w:w="1404" w:type="dxa"/>
                  <w:tcBorders>
                    <w:tl2br w:val="nil"/>
                    <w:tr2bl w:val="nil"/>
                  </w:tcBorders>
                  <w:vAlign w:val="center"/>
                </w:tcPr>
                <w:p>
                  <w:pPr>
                    <w:snapToGrid w:val="0"/>
                    <w:spacing w:line="360" w:lineRule="exact"/>
                    <w:jc w:val="center"/>
                    <w:rPr>
                      <w:sz w:val="21"/>
                      <w:szCs w:val="21"/>
                    </w:rPr>
                  </w:pPr>
                  <w:r>
                    <w:rPr>
                      <w:rFonts w:hint="eastAsia"/>
                      <w:sz w:val="21"/>
                      <w:szCs w:val="21"/>
                    </w:rPr>
                    <w:t>一般固废</w:t>
                  </w:r>
                </w:p>
              </w:tc>
              <w:tc>
                <w:tcPr>
                  <w:tcW w:w="2570" w:type="dxa"/>
                  <w:tcBorders>
                    <w:tl2br w:val="nil"/>
                    <w:tr2bl w:val="nil"/>
                  </w:tcBorders>
                  <w:vAlign w:val="center"/>
                </w:tcPr>
                <w:p>
                  <w:pPr>
                    <w:snapToGrid w:val="0"/>
                    <w:spacing w:line="360" w:lineRule="exact"/>
                    <w:jc w:val="center"/>
                    <w:rPr>
                      <w:rFonts w:hint="eastAsia" w:eastAsia="宋体"/>
                      <w:sz w:val="21"/>
                      <w:szCs w:val="21"/>
                      <w:lang w:eastAsia="zh-CN"/>
                    </w:rPr>
                  </w:pPr>
                  <w:r>
                    <w:rPr>
                      <w:rFonts w:hint="eastAsia"/>
                      <w:sz w:val="21"/>
                      <w:szCs w:val="21"/>
                      <w:lang w:eastAsia="zh-CN"/>
                    </w:rPr>
                    <w:t>用于制砖原料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274" w:hRule="atLeast"/>
              </w:trPr>
              <w:tc>
                <w:tcPr>
                  <w:tcW w:w="793" w:type="dxa"/>
                  <w:vMerge w:val="restart"/>
                  <w:tcBorders>
                    <w:tl2br w:val="nil"/>
                    <w:tr2bl w:val="nil"/>
                  </w:tcBorders>
                  <w:vAlign w:val="center"/>
                </w:tcPr>
                <w:p>
                  <w:pPr>
                    <w:snapToGrid w:val="0"/>
                    <w:spacing w:line="360" w:lineRule="exact"/>
                    <w:jc w:val="center"/>
                    <w:rPr>
                      <w:rFonts w:hint="eastAsia" w:eastAsia="宋体"/>
                      <w:sz w:val="21"/>
                      <w:szCs w:val="21"/>
                      <w:lang w:eastAsia="zh-CN"/>
                    </w:rPr>
                  </w:pPr>
                  <w:r>
                    <w:rPr>
                      <w:rFonts w:hint="eastAsia"/>
                      <w:sz w:val="21"/>
                      <w:szCs w:val="21"/>
                      <w:lang w:val="en-US" w:eastAsia="zh-CN"/>
                    </w:rPr>
                    <w:t>2</w:t>
                  </w:r>
                </w:p>
              </w:tc>
              <w:tc>
                <w:tcPr>
                  <w:tcW w:w="1166" w:type="dxa"/>
                  <w:vMerge w:val="restart"/>
                  <w:tcBorders>
                    <w:right w:val="single" w:color="000000" w:sz="4" w:space="0"/>
                    <w:tl2br w:val="nil"/>
                    <w:tr2bl w:val="nil"/>
                  </w:tcBorders>
                  <w:vAlign w:val="top"/>
                </w:tcPr>
                <w:p>
                  <w:pPr>
                    <w:snapToGrid w:val="0"/>
                    <w:spacing w:line="360" w:lineRule="exact"/>
                    <w:jc w:val="center"/>
                    <w:rPr>
                      <w:rFonts w:hint="eastAsia" w:eastAsia="宋体"/>
                      <w:sz w:val="21"/>
                      <w:szCs w:val="21"/>
                      <w:lang w:eastAsia="zh-CN"/>
                    </w:rPr>
                  </w:pPr>
                  <w:r>
                    <w:rPr>
                      <w:rFonts w:hint="eastAsia"/>
                      <w:sz w:val="21"/>
                      <w:szCs w:val="21"/>
                      <w:lang w:eastAsia="zh-CN"/>
                    </w:rPr>
                    <w:t>除尘器收集的粉尘</w:t>
                  </w:r>
                </w:p>
              </w:tc>
              <w:tc>
                <w:tcPr>
                  <w:tcW w:w="1356" w:type="dxa"/>
                  <w:tcBorders>
                    <w:left w:val="single" w:color="000000" w:sz="4" w:space="0"/>
                    <w:tl2br w:val="nil"/>
                    <w:tr2bl w:val="nil"/>
                  </w:tcBorders>
                  <w:vAlign w:val="top"/>
                </w:tcPr>
                <w:p>
                  <w:pPr>
                    <w:snapToGrid w:val="0"/>
                    <w:spacing w:line="360" w:lineRule="exact"/>
                    <w:jc w:val="center"/>
                    <w:rPr>
                      <w:rFonts w:hint="eastAsia"/>
                      <w:sz w:val="21"/>
                      <w:szCs w:val="21"/>
                      <w:lang w:eastAsia="zh-CN"/>
                    </w:rPr>
                  </w:pPr>
                  <w:r>
                    <w:rPr>
                      <w:rFonts w:hint="eastAsia"/>
                      <w:sz w:val="21"/>
                      <w:szCs w:val="21"/>
                      <w:lang w:eastAsia="zh-CN"/>
                    </w:rPr>
                    <w:t>洗煤工艺</w:t>
                  </w:r>
                </w:p>
              </w:tc>
              <w:tc>
                <w:tcPr>
                  <w:tcW w:w="1582" w:type="dxa"/>
                  <w:tcBorders>
                    <w:tl2br w:val="nil"/>
                    <w:tr2bl w:val="nil"/>
                  </w:tcBorders>
                  <w:vAlign w:val="center"/>
                </w:tcPr>
                <w:p>
                  <w:pPr>
                    <w:snapToGrid w:val="0"/>
                    <w:spacing w:line="360" w:lineRule="exact"/>
                    <w:jc w:val="center"/>
                    <w:rPr>
                      <w:rFonts w:hint="eastAsia" w:eastAsia="宋体"/>
                      <w:sz w:val="21"/>
                      <w:szCs w:val="21"/>
                      <w:lang w:eastAsia="zh-CN"/>
                    </w:rPr>
                  </w:pPr>
                  <w:r>
                    <w:rPr>
                      <w:rFonts w:hint="eastAsia"/>
                      <w:sz w:val="21"/>
                      <w:szCs w:val="21"/>
                      <w:lang w:val="en-US" w:eastAsia="zh-CN"/>
                    </w:rPr>
                    <w:t>296.93</w:t>
                  </w:r>
                </w:p>
              </w:tc>
              <w:tc>
                <w:tcPr>
                  <w:tcW w:w="1404" w:type="dxa"/>
                  <w:vMerge w:val="restart"/>
                  <w:tcBorders>
                    <w:tl2br w:val="nil"/>
                    <w:tr2bl w:val="nil"/>
                  </w:tcBorders>
                  <w:vAlign w:val="center"/>
                </w:tcPr>
                <w:p>
                  <w:pPr>
                    <w:snapToGrid w:val="0"/>
                    <w:spacing w:line="360" w:lineRule="exact"/>
                    <w:jc w:val="center"/>
                    <w:rPr>
                      <w:sz w:val="21"/>
                      <w:szCs w:val="21"/>
                    </w:rPr>
                  </w:pPr>
                  <w:r>
                    <w:rPr>
                      <w:rFonts w:hint="eastAsia"/>
                      <w:sz w:val="21"/>
                      <w:szCs w:val="21"/>
                    </w:rPr>
                    <w:t>一般固废</w:t>
                  </w:r>
                </w:p>
              </w:tc>
              <w:tc>
                <w:tcPr>
                  <w:tcW w:w="2570" w:type="dxa"/>
                  <w:tcBorders>
                    <w:tl2br w:val="nil"/>
                    <w:tr2bl w:val="nil"/>
                  </w:tcBorders>
                  <w:vAlign w:val="center"/>
                </w:tcPr>
                <w:p>
                  <w:pPr>
                    <w:snapToGrid w:val="0"/>
                    <w:spacing w:line="360" w:lineRule="exact"/>
                    <w:jc w:val="center"/>
                    <w:rPr>
                      <w:rFonts w:hint="eastAsia" w:eastAsia="宋体"/>
                      <w:sz w:val="21"/>
                      <w:szCs w:val="21"/>
                      <w:lang w:eastAsia="zh-CN"/>
                    </w:rPr>
                  </w:pPr>
                  <w:r>
                    <w:rPr>
                      <w:rFonts w:hint="eastAsia"/>
                      <w:sz w:val="21"/>
                      <w:szCs w:val="21"/>
                      <w:lang w:eastAsia="zh-CN"/>
                    </w:rPr>
                    <w:t>与煤泥混合后外售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274" w:hRule="atLeast"/>
              </w:trPr>
              <w:tc>
                <w:tcPr>
                  <w:tcW w:w="793" w:type="dxa"/>
                  <w:vMerge w:val="continue"/>
                  <w:tcBorders>
                    <w:tl2br w:val="nil"/>
                    <w:tr2bl w:val="nil"/>
                  </w:tcBorders>
                  <w:vAlign w:val="center"/>
                </w:tcPr>
                <w:p>
                  <w:pPr>
                    <w:snapToGrid w:val="0"/>
                    <w:spacing w:line="360" w:lineRule="exact"/>
                    <w:jc w:val="center"/>
                    <w:rPr>
                      <w:rFonts w:hint="eastAsia"/>
                      <w:sz w:val="21"/>
                      <w:szCs w:val="21"/>
                      <w:lang w:val="en-US" w:eastAsia="zh-CN"/>
                    </w:rPr>
                  </w:pPr>
                </w:p>
              </w:tc>
              <w:tc>
                <w:tcPr>
                  <w:tcW w:w="1166" w:type="dxa"/>
                  <w:vMerge w:val="continue"/>
                  <w:tcBorders>
                    <w:right w:val="single" w:color="000000" w:sz="4" w:space="0"/>
                    <w:tl2br w:val="nil"/>
                    <w:tr2bl w:val="nil"/>
                  </w:tcBorders>
                  <w:vAlign w:val="top"/>
                </w:tcPr>
                <w:p>
                  <w:pPr>
                    <w:snapToGrid w:val="0"/>
                    <w:spacing w:line="360" w:lineRule="exact"/>
                    <w:jc w:val="center"/>
                    <w:rPr>
                      <w:rFonts w:hint="eastAsia"/>
                      <w:sz w:val="21"/>
                      <w:szCs w:val="21"/>
                      <w:lang w:eastAsia="zh-CN"/>
                    </w:rPr>
                  </w:pPr>
                </w:p>
              </w:tc>
              <w:tc>
                <w:tcPr>
                  <w:tcW w:w="1356" w:type="dxa"/>
                  <w:tcBorders>
                    <w:left w:val="single" w:color="000000" w:sz="4" w:space="0"/>
                    <w:tl2br w:val="nil"/>
                    <w:tr2bl w:val="nil"/>
                  </w:tcBorders>
                  <w:vAlign w:val="top"/>
                </w:tcPr>
                <w:p>
                  <w:pPr>
                    <w:snapToGrid w:val="0"/>
                    <w:spacing w:line="360" w:lineRule="exact"/>
                    <w:jc w:val="center"/>
                    <w:rPr>
                      <w:rFonts w:hint="eastAsia"/>
                      <w:sz w:val="21"/>
                      <w:szCs w:val="21"/>
                      <w:lang w:eastAsia="zh-CN"/>
                    </w:rPr>
                  </w:pPr>
                  <w:r>
                    <w:rPr>
                      <w:rFonts w:hint="eastAsia"/>
                      <w:sz w:val="21"/>
                      <w:szCs w:val="21"/>
                      <w:lang w:eastAsia="zh-CN"/>
                    </w:rPr>
                    <w:t>制砖工艺</w:t>
                  </w:r>
                </w:p>
              </w:tc>
              <w:tc>
                <w:tcPr>
                  <w:tcW w:w="1582" w:type="dxa"/>
                  <w:tcBorders>
                    <w:tl2br w:val="nil"/>
                    <w:tr2bl w:val="nil"/>
                  </w:tcBorders>
                  <w:vAlign w:val="center"/>
                </w:tcPr>
                <w:p>
                  <w:pPr>
                    <w:snapToGrid w:val="0"/>
                    <w:spacing w:line="360" w:lineRule="exact"/>
                    <w:jc w:val="center"/>
                    <w:rPr>
                      <w:rFonts w:hint="eastAsia"/>
                      <w:sz w:val="21"/>
                      <w:szCs w:val="21"/>
                      <w:lang w:val="en-US" w:eastAsia="zh-CN"/>
                    </w:rPr>
                  </w:pPr>
                  <w:r>
                    <w:rPr>
                      <w:rFonts w:hint="eastAsia"/>
                      <w:sz w:val="21"/>
                      <w:szCs w:val="21"/>
                      <w:lang w:val="en-US" w:eastAsia="zh-CN"/>
                    </w:rPr>
                    <w:t>22.10</w:t>
                  </w:r>
                </w:p>
              </w:tc>
              <w:tc>
                <w:tcPr>
                  <w:tcW w:w="1404" w:type="dxa"/>
                  <w:vMerge w:val="continue"/>
                  <w:tcBorders>
                    <w:tl2br w:val="nil"/>
                    <w:tr2bl w:val="nil"/>
                  </w:tcBorders>
                  <w:vAlign w:val="center"/>
                </w:tcPr>
                <w:p>
                  <w:pPr>
                    <w:snapToGrid w:val="0"/>
                    <w:spacing w:line="360" w:lineRule="exact"/>
                    <w:jc w:val="center"/>
                    <w:rPr>
                      <w:rFonts w:hint="eastAsia"/>
                      <w:sz w:val="21"/>
                      <w:szCs w:val="21"/>
                    </w:rPr>
                  </w:pPr>
                </w:p>
              </w:tc>
              <w:tc>
                <w:tcPr>
                  <w:tcW w:w="2570" w:type="dxa"/>
                  <w:tcBorders>
                    <w:tl2br w:val="nil"/>
                    <w:tr2bl w:val="nil"/>
                  </w:tcBorders>
                  <w:vAlign w:val="center"/>
                </w:tcPr>
                <w:p>
                  <w:pPr>
                    <w:snapToGrid w:val="0"/>
                    <w:spacing w:line="360" w:lineRule="exact"/>
                    <w:jc w:val="center"/>
                    <w:rPr>
                      <w:rFonts w:hint="eastAsia"/>
                      <w:sz w:val="21"/>
                      <w:szCs w:val="21"/>
                      <w:lang w:eastAsia="zh-CN"/>
                    </w:rPr>
                  </w:pPr>
                  <w:r>
                    <w:rPr>
                      <w:rFonts w:hint="eastAsia"/>
                      <w:sz w:val="21"/>
                      <w:szCs w:val="21"/>
                      <w:lang w:eastAsia="zh-CN"/>
                    </w:rPr>
                    <w:t>回用制砖生产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274" w:hRule="atLeast"/>
              </w:trPr>
              <w:tc>
                <w:tcPr>
                  <w:tcW w:w="793" w:type="dxa"/>
                  <w:tcBorders>
                    <w:tl2br w:val="nil"/>
                    <w:tr2bl w:val="nil"/>
                  </w:tcBorders>
                  <w:vAlign w:val="center"/>
                </w:tcPr>
                <w:p>
                  <w:pPr>
                    <w:snapToGrid w:val="0"/>
                    <w:spacing w:line="360" w:lineRule="exact"/>
                    <w:jc w:val="center"/>
                    <w:rPr>
                      <w:rFonts w:hint="eastAsia" w:eastAsia="宋体"/>
                      <w:color w:val="auto"/>
                      <w:sz w:val="21"/>
                      <w:szCs w:val="21"/>
                      <w:lang w:eastAsia="zh-CN"/>
                    </w:rPr>
                  </w:pPr>
                  <w:r>
                    <w:rPr>
                      <w:rFonts w:hint="eastAsia"/>
                      <w:color w:val="auto"/>
                      <w:sz w:val="21"/>
                      <w:szCs w:val="21"/>
                      <w:lang w:val="en-US" w:eastAsia="zh-CN"/>
                    </w:rPr>
                    <w:t>3</w:t>
                  </w:r>
                </w:p>
              </w:tc>
              <w:tc>
                <w:tcPr>
                  <w:tcW w:w="2522" w:type="dxa"/>
                  <w:gridSpan w:val="2"/>
                  <w:tcBorders>
                    <w:tl2br w:val="nil"/>
                    <w:tr2bl w:val="nil"/>
                  </w:tcBorders>
                  <w:vAlign w:val="top"/>
                </w:tcPr>
                <w:p>
                  <w:pPr>
                    <w:snapToGrid w:val="0"/>
                    <w:spacing w:line="360" w:lineRule="exact"/>
                    <w:jc w:val="center"/>
                    <w:rPr>
                      <w:rFonts w:hint="eastAsia" w:eastAsia="宋体"/>
                      <w:color w:val="auto"/>
                      <w:sz w:val="21"/>
                      <w:szCs w:val="21"/>
                      <w:lang w:eastAsia="zh-CN"/>
                    </w:rPr>
                  </w:pPr>
                  <w:r>
                    <w:rPr>
                      <w:rFonts w:hint="eastAsia"/>
                      <w:color w:val="auto"/>
                      <w:sz w:val="21"/>
                      <w:szCs w:val="21"/>
                      <w:lang w:eastAsia="zh-CN"/>
                    </w:rPr>
                    <w:t>制砖边角料</w:t>
                  </w:r>
                </w:p>
              </w:tc>
              <w:tc>
                <w:tcPr>
                  <w:tcW w:w="1582" w:type="dxa"/>
                  <w:tcBorders>
                    <w:tl2br w:val="nil"/>
                    <w:tr2bl w:val="nil"/>
                  </w:tcBorders>
                  <w:vAlign w:val="center"/>
                </w:tcPr>
                <w:p>
                  <w:pPr>
                    <w:snapToGrid w:val="0"/>
                    <w:spacing w:line="360" w:lineRule="exact"/>
                    <w:jc w:val="center"/>
                    <w:rPr>
                      <w:rFonts w:hint="eastAsia" w:eastAsia="宋体"/>
                      <w:color w:val="auto"/>
                      <w:sz w:val="21"/>
                      <w:szCs w:val="21"/>
                      <w:lang w:eastAsia="zh-CN"/>
                    </w:rPr>
                  </w:pPr>
                  <w:r>
                    <w:rPr>
                      <w:rFonts w:hint="eastAsia"/>
                      <w:color w:val="auto"/>
                      <w:sz w:val="21"/>
                      <w:szCs w:val="21"/>
                      <w:lang w:val="en-US" w:eastAsia="zh-CN"/>
                    </w:rPr>
                    <w:t>/</w:t>
                  </w:r>
                </w:p>
              </w:tc>
              <w:tc>
                <w:tcPr>
                  <w:tcW w:w="1404" w:type="dxa"/>
                  <w:tcBorders>
                    <w:tl2br w:val="nil"/>
                    <w:tr2bl w:val="nil"/>
                  </w:tcBorders>
                  <w:vAlign w:val="center"/>
                </w:tcPr>
                <w:p>
                  <w:pPr>
                    <w:snapToGrid w:val="0"/>
                    <w:spacing w:line="360" w:lineRule="exact"/>
                    <w:jc w:val="center"/>
                    <w:rPr>
                      <w:color w:val="auto"/>
                      <w:sz w:val="21"/>
                      <w:szCs w:val="21"/>
                    </w:rPr>
                  </w:pPr>
                  <w:r>
                    <w:rPr>
                      <w:rFonts w:hint="eastAsia"/>
                      <w:color w:val="auto"/>
                      <w:sz w:val="21"/>
                      <w:szCs w:val="21"/>
                    </w:rPr>
                    <w:t>一般固废</w:t>
                  </w:r>
                </w:p>
              </w:tc>
              <w:tc>
                <w:tcPr>
                  <w:tcW w:w="2570" w:type="dxa"/>
                  <w:tcBorders>
                    <w:tl2br w:val="nil"/>
                    <w:tr2bl w:val="nil"/>
                  </w:tcBorders>
                  <w:vAlign w:val="center"/>
                </w:tcPr>
                <w:p>
                  <w:pPr>
                    <w:snapToGrid w:val="0"/>
                    <w:spacing w:line="360" w:lineRule="exact"/>
                    <w:jc w:val="center"/>
                    <w:rPr>
                      <w:rFonts w:hint="eastAsia" w:eastAsia="宋体"/>
                      <w:color w:val="auto"/>
                      <w:sz w:val="21"/>
                      <w:szCs w:val="21"/>
                      <w:lang w:eastAsia="zh-CN"/>
                    </w:rPr>
                  </w:pPr>
                  <w:r>
                    <w:rPr>
                      <w:rFonts w:hint="eastAsia"/>
                      <w:color w:val="auto"/>
                      <w:sz w:val="21"/>
                      <w:szCs w:val="21"/>
                      <w:lang w:eastAsia="zh-CN"/>
                    </w:rPr>
                    <w:t>回用于制砖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274" w:hRule="atLeast"/>
              </w:trPr>
              <w:tc>
                <w:tcPr>
                  <w:tcW w:w="793" w:type="dxa"/>
                  <w:tcBorders>
                    <w:tl2br w:val="nil"/>
                    <w:tr2bl w:val="nil"/>
                  </w:tcBorders>
                  <w:vAlign w:val="center"/>
                </w:tcPr>
                <w:p>
                  <w:pPr>
                    <w:snapToGrid w:val="0"/>
                    <w:spacing w:line="36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2522" w:type="dxa"/>
                  <w:gridSpan w:val="2"/>
                  <w:tcBorders>
                    <w:tl2br w:val="nil"/>
                    <w:tr2bl w:val="nil"/>
                  </w:tcBorders>
                  <w:vAlign w:val="top"/>
                </w:tcPr>
                <w:p>
                  <w:pPr>
                    <w:snapToGrid w:val="0"/>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生活垃圾</w:t>
                  </w:r>
                  <w:r>
                    <w:rPr>
                      <w:rFonts w:hint="eastAsia"/>
                      <w:color w:val="000000" w:themeColor="text1"/>
                      <w:sz w:val="21"/>
                      <w:szCs w:val="21"/>
                      <w:lang w:eastAsia="zh-CN"/>
                      <w14:textFill>
                        <w14:solidFill>
                          <w14:schemeClr w14:val="tx1"/>
                        </w14:solidFill>
                      </w14:textFill>
                    </w:rPr>
                    <w:t>、餐饮垃圾</w:t>
                  </w:r>
                </w:p>
              </w:tc>
              <w:tc>
                <w:tcPr>
                  <w:tcW w:w="1582" w:type="dxa"/>
                  <w:tcBorders>
                    <w:tl2br w:val="nil"/>
                    <w:tr2bl w:val="nil"/>
                  </w:tcBorders>
                  <w:vAlign w:val="center"/>
                </w:tcPr>
                <w:p>
                  <w:pPr>
                    <w:snapToGrid w:val="0"/>
                    <w:spacing w:line="36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69.6</w:t>
                  </w:r>
                </w:p>
              </w:tc>
              <w:tc>
                <w:tcPr>
                  <w:tcW w:w="1404" w:type="dxa"/>
                  <w:tcBorders>
                    <w:tl2br w:val="nil"/>
                    <w:tr2bl w:val="nil"/>
                  </w:tcBorders>
                  <w:vAlign w:val="center"/>
                </w:tcPr>
                <w:p>
                  <w:pPr>
                    <w:snapToGrid w:val="0"/>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一般固废</w:t>
                  </w:r>
                </w:p>
              </w:tc>
              <w:tc>
                <w:tcPr>
                  <w:tcW w:w="2570" w:type="dxa"/>
                  <w:tcBorders>
                    <w:tl2br w:val="nil"/>
                    <w:tr2bl w:val="nil"/>
                  </w:tcBorders>
                  <w:vAlign w:val="center"/>
                </w:tcPr>
                <w:p>
                  <w:pPr>
                    <w:snapToGrid w:val="0"/>
                    <w:spacing w:line="36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委托环卫部门清运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274" w:hRule="atLeast"/>
              </w:trPr>
              <w:tc>
                <w:tcPr>
                  <w:tcW w:w="793" w:type="dxa"/>
                  <w:tcBorders>
                    <w:tl2br w:val="nil"/>
                    <w:tr2bl w:val="nil"/>
                  </w:tcBorders>
                  <w:vAlign w:val="center"/>
                </w:tcPr>
                <w:p>
                  <w:pPr>
                    <w:snapToGrid w:val="0"/>
                    <w:spacing w:line="36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2522" w:type="dxa"/>
                  <w:gridSpan w:val="2"/>
                  <w:tcBorders>
                    <w:tl2br w:val="nil"/>
                    <w:tr2bl w:val="nil"/>
                  </w:tcBorders>
                  <w:vAlign w:val="top"/>
                </w:tcPr>
                <w:p>
                  <w:pPr>
                    <w:snapToGrid w:val="0"/>
                    <w:spacing w:line="36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废油脂</w:t>
                  </w:r>
                </w:p>
              </w:tc>
              <w:tc>
                <w:tcPr>
                  <w:tcW w:w="1582" w:type="dxa"/>
                  <w:tcBorders>
                    <w:tl2br w:val="nil"/>
                    <w:tr2bl w:val="nil"/>
                  </w:tcBorders>
                  <w:vAlign w:val="center"/>
                </w:tcPr>
                <w:p>
                  <w:pPr>
                    <w:snapToGrid w:val="0"/>
                    <w:spacing w:line="36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1.26</w:t>
                  </w:r>
                </w:p>
              </w:tc>
              <w:tc>
                <w:tcPr>
                  <w:tcW w:w="1404" w:type="dxa"/>
                  <w:tcBorders>
                    <w:tl2br w:val="nil"/>
                    <w:tr2bl w:val="nil"/>
                  </w:tcBorders>
                  <w:vAlign w:val="center"/>
                </w:tcPr>
                <w:p>
                  <w:pPr>
                    <w:snapToGrid w:val="0"/>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一般固废</w:t>
                  </w:r>
                </w:p>
              </w:tc>
              <w:tc>
                <w:tcPr>
                  <w:tcW w:w="2570" w:type="dxa"/>
                  <w:tcBorders>
                    <w:tl2br w:val="nil"/>
                    <w:tr2bl w:val="nil"/>
                  </w:tcBorders>
                  <w:vAlign w:val="center"/>
                </w:tcPr>
                <w:p>
                  <w:pPr>
                    <w:snapToGrid w:val="0"/>
                    <w:spacing w:line="36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委托有资质单位转运处置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274" w:hRule="atLeast"/>
              </w:trPr>
              <w:tc>
                <w:tcPr>
                  <w:tcW w:w="793" w:type="dxa"/>
                  <w:tcBorders>
                    <w:tl2br w:val="nil"/>
                    <w:tr2bl w:val="nil"/>
                  </w:tcBorders>
                  <w:vAlign w:val="center"/>
                </w:tcPr>
                <w:p>
                  <w:pPr>
                    <w:snapToGrid w:val="0"/>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2522" w:type="dxa"/>
                  <w:gridSpan w:val="2"/>
                  <w:tcBorders>
                    <w:tl2br w:val="nil"/>
                    <w:tr2bl w:val="nil"/>
                  </w:tcBorders>
                  <w:vAlign w:val="center"/>
                </w:tcPr>
                <w:p>
                  <w:pPr>
                    <w:snapToGrid w:val="0"/>
                    <w:spacing w:line="360" w:lineRule="exact"/>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废机油</w:t>
                  </w:r>
                </w:p>
              </w:tc>
              <w:tc>
                <w:tcPr>
                  <w:tcW w:w="1582" w:type="dxa"/>
                  <w:tcBorders>
                    <w:tl2br w:val="nil"/>
                    <w:tr2bl w:val="nil"/>
                  </w:tcBorders>
                  <w:vAlign w:val="center"/>
                </w:tcPr>
                <w:p>
                  <w:pPr>
                    <w:snapToGrid w:val="0"/>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w:t>
                  </w:r>
                </w:p>
              </w:tc>
              <w:tc>
                <w:tcPr>
                  <w:tcW w:w="1404" w:type="dxa"/>
                  <w:tcBorders>
                    <w:tl2br w:val="nil"/>
                    <w:tr2bl w:val="nil"/>
                  </w:tcBorders>
                  <w:vAlign w:val="center"/>
                </w:tcPr>
                <w:p>
                  <w:pPr>
                    <w:snapToGrid w:val="0"/>
                    <w:spacing w:line="36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危险废物</w:t>
                  </w:r>
                </w:p>
              </w:tc>
              <w:tc>
                <w:tcPr>
                  <w:tcW w:w="2570" w:type="dxa"/>
                  <w:tcBorders>
                    <w:tl2br w:val="nil"/>
                    <w:tr2bl w:val="nil"/>
                  </w:tcBorders>
                  <w:vAlign w:val="center"/>
                </w:tcPr>
                <w:p>
                  <w:pPr>
                    <w:snapToGrid w:val="0"/>
                    <w:spacing w:line="360" w:lineRule="exact"/>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定点收集存放在危废暂存间内，委托有资质单位转运处置</w:t>
                  </w:r>
                </w:p>
              </w:tc>
            </w:tr>
          </w:tbl>
          <w:p>
            <w:pPr>
              <w:adjustRightInd w:val="0"/>
              <w:snapToGrid w:val="0"/>
              <w:rPr>
                <w:rFonts w:hint="eastAsia"/>
                <w:sz w:val="24"/>
                <w:lang w:eastAsia="zh-CN"/>
              </w:rPr>
            </w:pPr>
          </w:p>
          <w:p>
            <w:pPr>
              <w:adjustRightInd w:val="0"/>
              <w:snapToGrid w:val="0"/>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sz w:val="24"/>
                <w:lang w:eastAsia="zh-CN"/>
              </w:rPr>
            </w:pPr>
          </w:p>
          <w:p>
            <w:pPr>
              <w:rPr>
                <w:rFonts w:hint="eastAsia"/>
                <w:sz w:val="24"/>
                <w:lang w:eastAsia="zh-CN"/>
              </w:rPr>
            </w:pPr>
          </w:p>
          <w:p>
            <w:pPr>
              <w:adjustRightInd w:val="0"/>
              <w:snapToGrid w:val="0"/>
              <w:rPr>
                <w:rFonts w:hint="eastAsia" w:eastAsia="宋体"/>
                <w:sz w:val="24"/>
                <w:lang w:eastAsia="zh-CN"/>
              </w:rPr>
            </w:pPr>
          </w:p>
        </w:tc>
      </w:tr>
    </w:tbl>
    <w:p>
      <w:pPr>
        <w:pStyle w:val="3"/>
        <w:ind w:firstLine="321"/>
        <w:jc w:val="left"/>
        <w:rPr>
          <w:rFonts w:ascii="Times New Roman" w:eastAsia="宋体"/>
          <w:b/>
          <w:sz w:val="32"/>
          <w:szCs w:val="32"/>
        </w:rPr>
      </w:pPr>
      <w:bookmarkStart w:id="10" w:name="_Toc325470783"/>
      <w:r>
        <w:rPr>
          <w:rFonts w:ascii="Times New Roman" w:eastAsia="宋体"/>
          <w:b/>
          <w:sz w:val="32"/>
          <w:szCs w:val="32"/>
        </w:rPr>
        <w:t>项目主要污染物产生及预计排放情况</w:t>
      </w:r>
      <w:bookmarkEnd w:id="10"/>
    </w:p>
    <w:tbl>
      <w:tblPr>
        <w:tblStyle w:val="34"/>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58"/>
        <w:gridCol w:w="1052"/>
        <w:gridCol w:w="911"/>
        <w:gridCol w:w="1415"/>
        <w:gridCol w:w="1137"/>
        <w:gridCol w:w="1515"/>
        <w:gridCol w:w="1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20" w:type="dxa"/>
            <w:tcBorders>
              <w:tl2br w:val="nil"/>
              <w:tr2bl w:val="nil"/>
            </w:tcBorders>
            <w:vAlign w:val="center"/>
          </w:tcPr>
          <w:p>
            <w:pPr>
              <w:adjustRightInd w:val="0"/>
              <w:spacing w:line="300" w:lineRule="exact"/>
              <w:jc w:val="center"/>
              <w:rPr>
                <w:rFonts w:ascii="Times New Roman" w:hAnsi="Times New Roman"/>
                <w:b/>
                <w:bCs/>
                <w:sz w:val="24"/>
                <w:szCs w:val="24"/>
              </w:rPr>
            </w:pPr>
            <w:bookmarkStart w:id="11" w:name="_Toc325470784"/>
            <w:r>
              <w:rPr>
                <w:rFonts w:ascii="Times New Roman" w:hAnsi="Times New Roman"/>
                <w:b/>
                <w:bCs/>
                <w:sz w:val="24"/>
                <w:szCs w:val="24"/>
              </w:rPr>
              <w:t>内容</w:t>
            </w:r>
          </w:p>
          <w:p>
            <w:pPr>
              <w:adjustRightInd w:val="0"/>
              <w:spacing w:line="300" w:lineRule="exact"/>
              <w:jc w:val="center"/>
              <w:rPr>
                <w:rFonts w:ascii="Times New Roman" w:hAnsi="Times New Roman"/>
                <w:b/>
                <w:bCs/>
                <w:sz w:val="24"/>
                <w:szCs w:val="24"/>
              </w:rPr>
            </w:pPr>
            <w:r>
              <w:rPr>
                <w:rFonts w:ascii="Times New Roman" w:hAnsi="Times New Roman"/>
                <w:b/>
                <w:bCs/>
                <w:sz w:val="24"/>
                <w:szCs w:val="24"/>
              </w:rPr>
              <w:t>类型</w:t>
            </w:r>
          </w:p>
        </w:tc>
        <w:tc>
          <w:tcPr>
            <w:tcW w:w="1910" w:type="dxa"/>
            <w:gridSpan w:val="2"/>
            <w:tcBorders>
              <w:tl2br w:val="nil"/>
              <w:tr2bl w:val="nil"/>
            </w:tcBorders>
            <w:vAlign w:val="center"/>
          </w:tcPr>
          <w:p>
            <w:pPr>
              <w:adjustRightInd w:val="0"/>
              <w:spacing w:line="300" w:lineRule="exact"/>
              <w:jc w:val="center"/>
              <w:rPr>
                <w:rFonts w:ascii="Times New Roman" w:hAnsi="Times New Roman"/>
                <w:b/>
                <w:bCs/>
                <w:sz w:val="24"/>
                <w:szCs w:val="24"/>
              </w:rPr>
            </w:pPr>
            <w:r>
              <w:rPr>
                <w:rFonts w:ascii="Times New Roman" w:hAnsi="Times New Roman"/>
                <w:b/>
                <w:bCs/>
                <w:sz w:val="24"/>
                <w:szCs w:val="24"/>
              </w:rPr>
              <w:t>排放源</w:t>
            </w:r>
          </w:p>
          <w:p>
            <w:pPr>
              <w:adjustRightInd w:val="0"/>
              <w:spacing w:line="300" w:lineRule="exact"/>
              <w:jc w:val="center"/>
              <w:rPr>
                <w:rFonts w:ascii="Times New Roman" w:hAnsi="Times New Roman"/>
                <w:b/>
                <w:bCs/>
                <w:sz w:val="24"/>
                <w:szCs w:val="24"/>
              </w:rPr>
            </w:pPr>
            <w:r>
              <w:rPr>
                <w:rFonts w:ascii="Times New Roman" w:hAnsi="Times New Roman"/>
                <w:b/>
                <w:bCs/>
                <w:sz w:val="24"/>
                <w:szCs w:val="24"/>
              </w:rPr>
              <w:t>（编号）</w:t>
            </w:r>
          </w:p>
        </w:tc>
        <w:tc>
          <w:tcPr>
            <w:tcW w:w="911" w:type="dxa"/>
            <w:tcBorders>
              <w:tl2br w:val="nil"/>
              <w:tr2bl w:val="nil"/>
            </w:tcBorders>
            <w:vAlign w:val="center"/>
          </w:tcPr>
          <w:p>
            <w:pPr>
              <w:adjustRightInd w:val="0"/>
              <w:spacing w:line="300" w:lineRule="exact"/>
              <w:jc w:val="center"/>
              <w:rPr>
                <w:rFonts w:ascii="Times New Roman" w:hAnsi="Times New Roman"/>
                <w:b/>
                <w:bCs/>
                <w:sz w:val="24"/>
                <w:szCs w:val="24"/>
              </w:rPr>
            </w:pPr>
            <w:r>
              <w:rPr>
                <w:rFonts w:ascii="Times New Roman" w:hAnsi="Times New Roman"/>
                <w:b/>
                <w:bCs/>
                <w:sz w:val="24"/>
                <w:szCs w:val="24"/>
              </w:rPr>
              <w:t>污染物</w:t>
            </w:r>
          </w:p>
        </w:tc>
        <w:tc>
          <w:tcPr>
            <w:tcW w:w="1415" w:type="dxa"/>
            <w:tcBorders>
              <w:tl2br w:val="nil"/>
              <w:tr2bl w:val="nil"/>
            </w:tcBorders>
            <w:vAlign w:val="center"/>
          </w:tcPr>
          <w:p>
            <w:pPr>
              <w:adjustRightInd w:val="0"/>
              <w:spacing w:line="300" w:lineRule="exact"/>
              <w:jc w:val="center"/>
              <w:rPr>
                <w:rFonts w:ascii="Times New Roman" w:hAnsi="Times New Roman"/>
                <w:b/>
                <w:bCs/>
                <w:sz w:val="24"/>
                <w:szCs w:val="24"/>
              </w:rPr>
            </w:pPr>
            <w:r>
              <w:rPr>
                <w:rFonts w:ascii="Times New Roman" w:hAnsi="Times New Roman"/>
                <w:b/>
                <w:bCs/>
                <w:sz w:val="24"/>
                <w:szCs w:val="24"/>
              </w:rPr>
              <w:t>产生浓度</w:t>
            </w:r>
          </w:p>
        </w:tc>
        <w:tc>
          <w:tcPr>
            <w:tcW w:w="1137" w:type="dxa"/>
            <w:tcBorders>
              <w:tl2br w:val="nil"/>
              <w:tr2bl w:val="nil"/>
            </w:tcBorders>
            <w:vAlign w:val="center"/>
          </w:tcPr>
          <w:p>
            <w:pPr>
              <w:adjustRightInd w:val="0"/>
              <w:spacing w:line="300" w:lineRule="exact"/>
              <w:jc w:val="center"/>
              <w:rPr>
                <w:rFonts w:ascii="Times New Roman" w:hAnsi="Times New Roman"/>
                <w:b/>
                <w:bCs/>
                <w:sz w:val="24"/>
                <w:szCs w:val="24"/>
              </w:rPr>
            </w:pPr>
            <w:r>
              <w:rPr>
                <w:rFonts w:ascii="Times New Roman" w:hAnsi="Times New Roman"/>
                <w:b/>
                <w:bCs/>
                <w:spacing w:val="-10"/>
                <w:sz w:val="24"/>
                <w:szCs w:val="24"/>
              </w:rPr>
              <w:t>产生量</w:t>
            </w:r>
          </w:p>
        </w:tc>
        <w:tc>
          <w:tcPr>
            <w:tcW w:w="1515" w:type="dxa"/>
            <w:tcBorders>
              <w:tl2br w:val="nil"/>
              <w:tr2bl w:val="nil"/>
            </w:tcBorders>
            <w:vAlign w:val="center"/>
          </w:tcPr>
          <w:p>
            <w:pPr>
              <w:adjustRightInd w:val="0"/>
              <w:spacing w:line="300" w:lineRule="exact"/>
              <w:jc w:val="center"/>
              <w:rPr>
                <w:rFonts w:ascii="Times New Roman" w:hAnsi="Times New Roman"/>
                <w:b/>
                <w:bCs/>
                <w:sz w:val="24"/>
                <w:szCs w:val="24"/>
              </w:rPr>
            </w:pPr>
            <w:r>
              <w:rPr>
                <w:rFonts w:ascii="Times New Roman" w:hAnsi="Times New Roman"/>
                <w:b/>
                <w:bCs/>
                <w:sz w:val="24"/>
                <w:szCs w:val="24"/>
              </w:rPr>
              <w:t>排放浓度</w:t>
            </w:r>
          </w:p>
        </w:tc>
        <w:tc>
          <w:tcPr>
            <w:tcW w:w="1680" w:type="dxa"/>
            <w:tcBorders>
              <w:tl2br w:val="nil"/>
              <w:tr2bl w:val="nil"/>
            </w:tcBorders>
            <w:vAlign w:val="center"/>
          </w:tcPr>
          <w:p>
            <w:pPr>
              <w:adjustRightInd w:val="0"/>
              <w:spacing w:line="300" w:lineRule="exact"/>
              <w:jc w:val="center"/>
              <w:rPr>
                <w:rFonts w:ascii="Times New Roman" w:hAnsi="Times New Roman"/>
                <w:b/>
                <w:bCs/>
                <w:sz w:val="24"/>
                <w:szCs w:val="24"/>
              </w:rPr>
            </w:pPr>
            <w:r>
              <w:rPr>
                <w:rFonts w:ascii="Times New Roman" w:hAnsi="Times New Roman"/>
                <w:b/>
                <w:bCs/>
                <w:sz w:val="24"/>
                <w:szCs w:val="24"/>
              </w:rPr>
              <w:t>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20" w:type="dxa"/>
            <w:vMerge w:val="restart"/>
            <w:tcBorders>
              <w:tl2br w:val="nil"/>
              <w:tr2bl w:val="nil"/>
            </w:tcBorders>
            <w:vAlign w:val="center"/>
          </w:tcPr>
          <w:p>
            <w:pPr>
              <w:adjustRightInd w:val="0"/>
              <w:spacing w:line="300" w:lineRule="exact"/>
              <w:jc w:val="center"/>
              <w:rPr>
                <w:rFonts w:hint="eastAsia" w:ascii="Times New Roman" w:hAnsi="Times New Roman"/>
                <w:sz w:val="24"/>
                <w:szCs w:val="24"/>
              </w:rPr>
            </w:pPr>
            <w:r>
              <w:rPr>
                <w:rFonts w:hint="eastAsia" w:ascii="Times New Roman" w:hAnsi="Times New Roman" w:eastAsia="黑体"/>
                <w:sz w:val="24"/>
                <w:szCs w:val="24"/>
              </w:rPr>
              <w:t>大气污染物</w:t>
            </w:r>
          </w:p>
        </w:tc>
        <w:tc>
          <w:tcPr>
            <w:tcW w:w="858" w:type="dxa"/>
            <w:vMerge w:val="restart"/>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原煤破碎筛分</w:t>
            </w:r>
          </w:p>
        </w:tc>
        <w:tc>
          <w:tcPr>
            <w:tcW w:w="1052"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有组织</w:t>
            </w:r>
          </w:p>
        </w:tc>
        <w:tc>
          <w:tcPr>
            <w:tcW w:w="911" w:type="dxa"/>
            <w:vMerge w:val="restart"/>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粉尘</w:t>
            </w:r>
          </w:p>
          <w:p>
            <w:pPr>
              <w:adjustRightInd w:val="0"/>
              <w:spacing w:line="300" w:lineRule="exact"/>
              <w:jc w:val="center"/>
              <w:rPr>
                <w:rFonts w:ascii="Times New Roman" w:hAnsi="Times New Roman"/>
                <w:sz w:val="24"/>
                <w:szCs w:val="24"/>
              </w:rPr>
            </w:pPr>
          </w:p>
        </w:tc>
        <w:tc>
          <w:tcPr>
            <w:tcW w:w="1415"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val="en-US" w:eastAsia="zh-CN"/>
              </w:rPr>
              <w:t>4166</w:t>
            </w:r>
            <w:r>
              <w:rPr>
                <w:rFonts w:ascii="Times New Roman" w:hAnsi="Times New Roman"/>
                <w:sz w:val="24"/>
                <w:szCs w:val="24"/>
              </w:rPr>
              <w:t>mg/m</w:t>
            </w:r>
            <w:r>
              <w:rPr>
                <w:rFonts w:ascii="Times New Roman" w:hAnsi="Times New Roman"/>
                <w:sz w:val="24"/>
                <w:szCs w:val="24"/>
                <w:vertAlign w:val="superscript"/>
              </w:rPr>
              <w:t>3</w:t>
            </w:r>
          </w:p>
        </w:tc>
        <w:tc>
          <w:tcPr>
            <w:tcW w:w="1137"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val="en-US" w:eastAsia="zh-CN"/>
              </w:rPr>
              <w:t>299.95</w:t>
            </w:r>
            <w:r>
              <w:rPr>
                <w:rFonts w:ascii="Times New Roman" w:hAnsi="Times New Roman"/>
                <w:sz w:val="24"/>
                <w:szCs w:val="24"/>
              </w:rPr>
              <w:t>t/a</w:t>
            </w:r>
          </w:p>
        </w:tc>
        <w:tc>
          <w:tcPr>
            <w:tcW w:w="1515"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val="en-US" w:eastAsia="zh-CN"/>
              </w:rPr>
              <w:t>41.66</w:t>
            </w:r>
            <w:r>
              <w:rPr>
                <w:rFonts w:ascii="Times New Roman" w:hAnsi="Times New Roman"/>
                <w:sz w:val="24"/>
                <w:szCs w:val="24"/>
              </w:rPr>
              <w:t>mg/m</w:t>
            </w:r>
            <w:r>
              <w:rPr>
                <w:rFonts w:ascii="Times New Roman" w:hAnsi="Times New Roman"/>
                <w:sz w:val="24"/>
                <w:szCs w:val="24"/>
                <w:vertAlign w:val="superscript"/>
              </w:rPr>
              <w:t>3</w:t>
            </w:r>
          </w:p>
        </w:tc>
        <w:tc>
          <w:tcPr>
            <w:tcW w:w="1680"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val="en-US" w:eastAsia="zh-CN"/>
              </w:rPr>
              <w:t>3.02</w:t>
            </w:r>
            <w:r>
              <w:rPr>
                <w:rFonts w:ascii="Times New Roman" w:hAnsi="Times New Roman"/>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858"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052"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无组织</w:t>
            </w:r>
          </w:p>
        </w:tc>
        <w:tc>
          <w:tcPr>
            <w:tcW w:w="911"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415"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w:t>
            </w:r>
          </w:p>
        </w:tc>
        <w:tc>
          <w:tcPr>
            <w:tcW w:w="1137"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val="en-US" w:eastAsia="zh-CN"/>
              </w:rPr>
              <w:t>29.99</w:t>
            </w:r>
            <w:r>
              <w:rPr>
                <w:rFonts w:ascii="Times New Roman" w:hAnsi="Times New Roman"/>
                <w:sz w:val="24"/>
                <w:szCs w:val="24"/>
              </w:rPr>
              <w:t>t/a</w:t>
            </w:r>
          </w:p>
        </w:tc>
        <w:tc>
          <w:tcPr>
            <w:tcW w:w="1515"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w:t>
            </w:r>
          </w:p>
        </w:tc>
        <w:tc>
          <w:tcPr>
            <w:tcW w:w="1680"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val="en-US" w:eastAsia="zh-CN"/>
              </w:rPr>
              <w:t>1.5</w:t>
            </w:r>
            <w:r>
              <w:rPr>
                <w:rFonts w:ascii="Times New Roman" w:hAnsi="Times New Roman"/>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产品及固废储存</w:t>
            </w:r>
          </w:p>
        </w:tc>
        <w:tc>
          <w:tcPr>
            <w:tcW w:w="911"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415"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w:t>
            </w:r>
          </w:p>
        </w:tc>
        <w:tc>
          <w:tcPr>
            <w:tcW w:w="1137"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0.3t/a</w:t>
            </w:r>
          </w:p>
        </w:tc>
        <w:tc>
          <w:tcPr>
            <w:tcW w:w="1515"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w:t>
            </w:r>
          </w:p>
        </w:tc>
        <w:tc>
          <w:tcPr>
            <w:tcW w:w="1680"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0.3t/a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转载输送</w:t>
            </w:r>
          </w:p>
        </w:tc>
        <w:tc>
          <w:tcPr>
            <w:tcW w:w="911"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5747" w:type="dxa"/>
            <w:gridSpan w:val="4"/>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采用密闭输送廊道（密闭皮带输送机）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原煤储存</w:t>
            </w:r>
          </w:p>
        </w:tc>
        <w:tc>
          <w:tcPr>
            <w:tcW w:w="911"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415"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w:t>
            </w:r>
          </w:p>
        </w:tc>
        <w:tc>
          <w:tcPr>
            <w:tcW w:w="1137"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0.2t/a</w:t>
            </w:r>
          </w:p>
        </w:tc>
        <w:tc>
          <w:tcPr>
            <w:tcW w:w="1515"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w:t>
            </w:r>
          </w:p>
        </w:tc>
        <w:tc>
          <w:tcPr>
            <w:tcW w:w="1680"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0.2t/a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道路、运煤车辆</w:t>
            </w:r>
          </w:p>
        </w:tc>
        <w:tc>
          <w:tcPr>
            <w:tcW w:w="911"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5747" w:type="dxa"/>
            <w:gridSpan w:val="4"/>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采用箱式货车运输物料，进厂道路及厂内硬化，喷雾洒水车抑尘</w:t>
            </w:r>
            <w:r>
              <w:rPr>
                <w:rFonts w:hint="eastAsia"/>
                <w:sz w:val="24"/>
                <w:szCs w:val="24"/>
                <w:lang w:eastAsia="zh-CN"/>
              </w:rPr>
              <w:t>，车辆通过循环水洗车台冲洗车辆外表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858" w:type="dxa"/>
            <w:vMerge w:val="restart"/>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煤矸石破碎</w:t>
            </w:r>
          </w:p>
        </w:tc>
        <w:tc>
          <w:tcPr>
            <w:tcW w:w="1052" w:type="dxa"/>
            <w:tcBorders>
              <w:tl2br w:val="nil"/>
              <w:tr2bl w:val="nil"/>
            </w:tcBorders>
            <w:vAlign w:val="center"/>
          </w:tcPr>
          <w:p>
            <w:pPr>
              <w:adjustRightInd w:val="0"/>
              <w:spacing w:line="300" w:lineRule="exact"/>
              <w:jc w:val="center"/>
              <w:rPr>
                <w:rFonts w:hint="eastAsia" w:ascii="Times New Roman" w:hAnsi="Times New Roman"/>
                <w:sz w:val="24"/>
                <w:szCs w:val="24"/>
                <w:lang w:eastAsia="zh-CN"/>
              </w:rPr>
            </w:pPr>
            <w:r>
              <w:rPr>
                <w:rFonts w:hint="eastAsia" w:ascii="Times New Roman" w:hAnsi="Times New Roman"/>
                <w:sz w:val="24"/>
                <w:szCs w:val="24"/>
                <w:lang w:eastAsia="zh-CN"/>
              </w:rPr>
              <w:t>有组织</w:t>
            </w:r>
          </w:p>
        </w:tc>
        <w:tc>
          <w:tcPr>
            <w:tcW w:w="911"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415"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562.5</w:t>
            </w:r>
            <w:r>
              <w:rPr>
                <w:rFonts w:ascii="Times New Roman" w:hAnsi="Times New Roman"/>
                <w:sz w:val="24"/>
                <w:szCs w:val="24"/>
              </w:rPr>
              <w:t>mg/m</w:t>
            </w:r>
            <w:r>
              <w:rPr>
                <w:rFonts w:ascii="Times New Roman" w:hAnsi="Times New Roman"/>
                <w:sz w:val="24"/>
                <w:szCs w:val="24"/>
                <w:vertAlign w:val="superscript"/>
              </w:rPr>
              <w:t>3</w:t>
            </w:r>
          </w:p>
        </w:tc>
        <w:tc>
          <w:tcPr>
            <w:tcW w:w="1137"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10.8</w:t>
            </w:r>
            <w:r>
              <w:rPr>
                <w:rFonts w:ascii="Times New Roman" w:hAnsi="Times New Roman"/>
                <w:sz w:val="24"/>
                <w:szCs w:val="24"/>
              </w:rPr>
              <w:t>t/a</w:t>
            </w:r>
          </w:p>
        </w:tc>
        <w:tc>
          <w:tcPr>
            <w:tcW w:w="1515"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5.625</w:t>
            </w:r>
            <w:r>
              <w:rPr>
                <w:rFonts w:ascii="Times New Roman" w:hAnsi="Times New Roman"/>
                <w:sz w:val="24"/>
                <w:szCs w:val="24"/>
              </w:rPr>
              <w:t>mg/m</w:t>
            </w:r>
            <w:r>
              <w:rPr>
                <w:rFonts w:ascii="Times New Roman" w:hAnsi="Times New Roman"/>
                <w:sz w:val="24"/>
                <w:szCs w:val="24"/>
                <w:vertAlign w:val="superscript"/>
              </w:rPr>
              <w:t>3</w:t>
            </w:r>
          </w:p>
        </w:tc>
        <w:tc>
          <w:tcPr>
            <w:tcW w:w="1680"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0.108</w:t>
            </w:r>
            <w:r>
              <w:rPr>
                <w:rFonts w:ascii="Times New Roman" w:hAnsi="Times New Roman"/>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858" w:type="dxa"/>
            <w:vMerge w:val="continue"/>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p>
        </w:tc>
        <w:tc>
          <w:tcPr>
            <w:tcW w:w="1052"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无组织</w:t>
            </w:r>
          </w:p>
        </w:tc>
        <w:tc>
          <w:tcPr>
            <w:tcW w:w="911"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415"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w:t>
            </w:r>
          </w:p>
        </w:tc>
        <w:tc>
          <w:tcPr>
            <w:tcW w:w="1137"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1.2</w:t>
            </w:r>
            <w:r>
              <w:rPr>
                <w:rFonts w:ascii="Times New Roman" w:hAnsi="Times New Roman"/>
                <w:sz w:val="24"/>
                <w:szCs w:val="24"/>
              </w:rPr>
              <w:t>t/a</w:t>
            </w:r>
          </w:p>
        </w:tc>
        <w:tc>
          <w:tcPr>
            <w:tcW w:w="1515"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w:t>
            </w:r>
          </w:p>
        </w:tc>
        <w:tc>
          <w:tcPr>
            <w:tcW w:w="1680"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val="en-US" w:eastAsia="zh-CN"/>
              </w:rPr>
              <w:t>1.2</w:t>
            </w:r>
            <w:r>
              <w:rPr>
                <w:rFonts w:ascii="Times New Roman" w:hAnsi="Times New Roman"/>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eastAsia="zh-CN"/>
              </w:rPr>
              <w:t>粉料贮存</w:t>
            </w:r>
          </w:p>
        </w:tc>
        <w:tc>
          <w:tcPr>
            <w:tcW w:w="911"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415"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val="en-US" w:eastAsia="zh-CN"/>
              </w:rPr>
              <w:t>800</w:t>
            </w:r>
            <w:r>
              <w:rPr>
                <w:rFonts w:ascii="Times New Roman" w:hAnsi="Times New Roman"/>
                <w:sz w:val="24"/>
                <w:szCs w:val="24"/>
              </w:rPr>
              <w:t>mg/m</w:t>
            </w:r>
            <w:r>
              <w:rPr>
                <w:rFonts w:ascii="Times New Roman" w:hAnsi="Times New Roman"/>
                <w:sz w:val="24"/>
                <w:szCs w:val="24"/>
                <w:vertAlign w:val="superscript"/>
              </w:rPr>
              <w:t>3</w:t>
            </w:r>
          </w:p>
        </w:tc>
        <w:tc>
          <w:tcPr>
            <w:tcW w:w="1137"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bCs/>
                <w:color w:val="auto"/>
                <w:sz w:val="24"/>
                <w:lang w:val="en-US" w:eastAsia="zh-CN"/>
              </w:rPr>
              <w:t>11.52</w:t>
            </w:r>
            <w:r>
              <w:rPr>
                <w:rFonts w:hint="eastAsia"/>
                <w:bCs/>
                <w:color w:val="auto"/>
                <w:sz w:val="24"/>
              </w:rPr>
              <w:t>t/a</w:t>
            </w:r>
          </w:p>
        </w:tc>
        <w:tc>
          <w:tcPr>
            <w:tcW w:w="1515"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lang w:val="en-US" w:eastAsia="zh-CN"/>
              </w:rPr>
              <w:t>8</w:t>
            </w:r>
            <w:r>
              <w:rPr>
                <w:rFonts w:ascii="Times New Roman" w:hAnsi="Times New Roman"/>
                <w:sz w:val="24"/>
                <w:szCs w:val="24"/>
              </w:rPr>
              <w:t>mg/m</w:t>
            </w:r>
            <w:r>
              <w:rPr>
                <w:rFonts w:ascii="Times New Roman" w:hAnsi="Times New Roman"/>
                <w:sz w:val="24"/>
                <w:szCs w:val="24"/>
                <w:vertAlign w:val="superscript"/>
              </w:rPr>
              <w:t>3</w:t>
            </w:r>
          </w:p>
        </w:tc>
        <w:tc>
          <w:tcPr>
            <w:tcW w:w="1680"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sz w:val="24"/>
                <w:szCs w:val="24"/>
              </w:rPr>
              <w:t>0.</w:t>
            </w:r>
            <w:r>
              <w:rPr>
                <w:rFonts w:hint="eastAsia"/>
                <w:sz w:val="24"/>
                <w:szCs w:val="24"/>
                <w:lang w:val="en-US" w:eastAsia="zh-CN"/>
              </w:rPr>
              <w:t>115</w:t>
            </w:r>
            <w:r>
              <w:rPr>
                <w:rFonts w:hint="eastAsia"/>
                <w:bCs/>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tcBorders>
              <w:tl2br w:val="nil"/>
              <w:tr2bl w:val="nil"/>
            </w:tcBorders>
            <w:vAlign w:val="center"/>
          </w:tcPr>
          <w:p>
            <w:pPr>
              <w:adjustRightInd w:val="0"/>
              <w:spacing w:line="300" w:lineRule="exact"/>
              <w:jc w:val="center"/>
              <w:rPr>
                <w:rFonts w:hint="eastAsia" w:ascii="Times New Roman" w:hAnsi="Times New Roman"/>
                <w:sz w:val="24"/>
                <w:szCs w:val="24"/>
                <w:lang w:eastAsia="zh-CN"/>
              </w:rPr>
            </w:pPr>
            <w:r>
              <w:rPr>
                <w:rFonts w:hint="eastAsia"/>
                <w:sz w:val="24"/>
                <w:szCs w:val="24"/>
                <w:lang w:eastAsia="zh-CN"/>
              </w:rPr>
              <w:t>食堂</w:t>
            </w:r>
          </w:p>
        </w:tc>
        <w:tc>
          <w:tcPr>
            <w:tcW w:w="911"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油烟</w:t>
            </w:r>
          </w:p>
        </w:tc>
        <w:tc>
          <w:tcPr>
            <w:tcW w:w="1415"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sz w:val="24"/>
              </w:rPr>
              <w:t>1.</w:t>
            </w:r>
            <w:r>
              <w:rPr>
                <w:rFonts w:hint="eastAsia"/>
                <w:sz w:val="24"/>
                <w:lang w:val="en-US" w:eastAsia="zh-CN"/>
              </w:rPr>
              <w:t>7</w:t>
            </w:r>
            <w:r>
              <w:rPr>
                <w:rFonts w:hint="eastAsia"/>
                <w:sz w:val="24"/>
              </w:rPr>
              <w:t>mg/m</w:t>
            </w:r>
            <w:r>
              <w:rPr>
                <w:rFonts w:hint="eastAsia"/>
                <w:sz w:val="24"/>
                <w:vertAlign w:val="superscript"/>
              </w:rPr>
              <w:t>3</w:t>
            </w:r>
          </w:p>
        </w:tc>
        <w:tc>
          <w:tcPr>
            <w:tcW w:w="1137"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0.024</w:t>
            </w:r>
            <w:r>
              <w:rPr>
                <w:rFonts w:hint="eastAsia"/>
                <w:sz w:val="24"/>
              </w:rPr>
              <w:t>t/a</w:t>
            </w:r>
          </w:p>
        </w:tc>
        <w:tc>
          <w:tcPr>
            <w:tcW w:w="1515"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sz w:val="24"/>
              </w:rPr>
              <w:t>0.</w:t>
            </w:r>
            <w:r>
              <w:rPr>
                <w:rFonts w:hint="eastAsia"/>
                <w:sz w:val="24"/>
                <w:lang w:val="en-US" w:eastAsia="zh-CN"/>
              </w:rPr>
              <w:t>425</w:t>
            </w:r>
            <w:r>
              <w:rPr>
                <w:rFonts w:hint="eastAsia"/>
                <w:sz w:val="24"/>
              </w:rPr>
              <w:t>mg/m</w:t>
            </w:r>
            <w:r>
              <w:rPr>
                <w:rFonts w:hint="eastAsia"/>
                <w:sz w:val="24"/>
                <w:vertAlign w:val="superscript"/>
              </w:rPr>
              <w:t>3</w:t>
            </w:r>
          </w:p>
        </w:tc>
        <w:tc>
          <w:tcPr>
            <w:tcW w:w="1680" w:type="dxa"/>
            <w:tcBorders>
              <w:tl2br w:val="nil"/>
              <w:tr2bl w:val="nil"/>
            </w:tcBorders>
            <w:vAlign w:val="center"/>
          </w:tcPr>
          <w:p>
            <w:pPr>
              <w:adjustRightInd w:val="0"/>
              <w:spacing w:line="300" w:lineRule="exact"/>
              <w:jc w:val="center"/>
              <w:rPr>
                <w:rFonts w:ascii="Times New Roman" w:hAnsi="Times New Roman"/>
                <w:sz w:val="24"/>
                <w:szCs w:val="24"/>
              </w:rPr>
            </w:pPr>
            <w:r>
              <w:rPr>
                <w:rFonts w:hint="eastAsia"/>
                <w:sz w:val="24"/>
              </w:rPr>
              <w:t>0.0</w:t>
            </w:r>
            <w:r>
              <w:rPr>
                <w:rFonts w:hint="eastAsia"/>
                <w:sz w:val="24"/>
                <w:lang w:val="en-US" w:eastAsia="zh-CN"/>
              </w:rPr>
              <w:t>06</w:t>
            </w:r>
            <w:r>
              <w:rPr>
                <w:rFonts w:hint="eastAsia"/>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20" w:type="dxa"/>
            <w:vMerge w:val="restart"/>
            <w:tcBorders>
              <w:tl2br w:val="nil"/>
              <w:tr2bl w:val="nil"/>
            </w:tcBorders>
            <w:vAlign w:val="center"/>
          </w:tcPr>
          <w:p>
            <w:pPr>
              <w:adjustRightInd w:val="0"/>
              <w:spacing w:line="300" w:lineRule="exact"/>
              <w:jc w:val="center"/>
              <w:rPr>
                <w:rFonts w:ascii="Times New Roman" w:hAnsi="Times New Roman" w:eastAsia="黑体"/>
                <w:sz w:val="24"/>
                <w:szCs w:val="24"/>
              </w:rPr>
            </w:pPr>
            <w:r>
              <w:rPr>
                <w:rFonts w:ascii="Times New Roman" w:hAnsi="Times New Roman" w:eastAsia="黑体"/>
                <w:sz w:val="24"/>
                <w:szCs w:val="24"/>
              </w:rPr>
              <w:t>水</w:t>
            </w:r>
          </w:p>
          <w:p>
            <w:pPr>
              <w:adjustRightInd w:val="0"/>
              <w:spacing w:line="300" w:lineRule="exact"/>
              <w:jc w:val="center"/>
              <w:rPr>
                <w:rFonts w:ascii="Times New Roman" w:hAnsi="Times New Roman" w:eastAsia="黑体"/>
                <w:sz w:val="24"/>
                <w:szCs w:val="24"/>
              </w:rPr>
            </w:pPr>
            <w:r>
              <w:rPr>
                <w:rFonts w:ascii="Times New Roman" w:hAnsi="Times New Roman" w:eastAsia="黑体"/>
                <w:sz w:val="24"/>
                <w:szCs w:val="24"/>
              </w:rPr>
              <w:t>污</w:t>
            </w:r>
          </w:p>
          <w:p>
            <w:pPr>
              <w:adjustRightInd w:val="0"/>
              <w:spacing w:line="300" w:lineRule="exact"/>
              <w:jc w:val="center"/>
              <w:rPr>
                <w:rFonts w:ascii="Times New Roman" w:hAnsi="Times New Roman" w:eastAsia="黑体"/>
                <w:sz w:val="24"/>
                <w:szCs w:val="24"/>
              </w:rPr>
            </w:pPr>
            <w:r>
              <w:rPr>
                <w:rFonts w:ascii="Times New Roman" w:hAnsi="Times New Roman" w:eastAsia="黑体"/>
                <w:sz w:val="24"/>
                <w:szCs w:val="24"/>
              </w:rPr>
              <w:t>染</w:t>
            </w:r>
          </w:p>
          <w:p>
            <w:pPr>
              <w:adjustRightInd w:val="0"/>
              <w:spacing w:line="300" w:lineRule="exact"/>
              <w:jc w:val="center"/>
              <w:rPr>
                <w:rFonts w:ascii="Times New Roman" w:hAnsi="Times New Roman"/>
                <w:sz w:val="24"/>
                <w:szCs w:val="24"/>
              </w:rPr>
            </w:pPr>
            <w:r>
              <w:rPr>
                <w:rFonts w:ascii="Times New Roman" w:hAnsi="Times New Roman" w:eastAsia="黑体"/>
                <w:sz w:val="24"/>
                <w:szCs w:val="24"/>
              </w:rPr>
              <w:t>物</w:t>
            </w:r>
          </w:p>
        </w:tc>
        <w:tc>
          <w:tcPr>
            <w:tcW w:w="1910"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煤泥水</w:t>
            </w:r>
          </w:p>
        </w:tc>
        <w:tc>
          <w:tcPr>
            <w:tcW w:w="911"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悬浮物</w:t>
            </w:r>
          </w:p>
        </w:tc>
        <w:tc>
          <w:tcPr>
            <w:tcW w:w="5747" w:type="dxa"/>
            <w:gridSpan w:val="4"/>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bCs/>
                <w:sz w:val="24"/>
                <w:szCs w:val="24"/>
              </w:rPr>
              <w:t>闭路循环不外排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eastAsia="黑体"/>
                <w:sz w:val="24"/>
                <w:szCs w:val="24"/>
              </w:rPr>
            </w:pPr>
          </w:p>
        </w:tc>
        <w:tc>
          <w:tcPr>
            <w:tcW w:w="1910" w:type="dxa"/>
            <w:gridSpan w:val="2"/>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sz w:val="24"/>
                <w:szCs w:val="24"/>
                <w:lang w:eastAsia="zh-CN"/>
              </w:rPr>
              <w:t>餐饮废水</w:t>
            </w:r>
          </w:p>
        </w:tc>
        <w:tc>
          <w:tcPr>
            <w:tcW w:w="911"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sz w:val="24"/>
                <w:szCs w:val="24"/>
                <w:lang w:eastAsia="zh-CN"/>
              </w:rPr>
              <w:t>动植物油</w:t>
            </w:r>
          </w:p>
        </w:tc>
        <w:tc>
          <w:tcPr>
            <w:tcW w:w="5747" w:type="dxa"/>
            <w:gridSpan w:val="4"/>
            <w:tcBorders>
              <w:tl2br w:val="nil"/>
              <w:tr2bl w:val="nil"/>
            </w:tcBorders>
            <w:vAlign w:val="center"/>
          </w:tcPr>
          <w:p>
            <w:pPr>
              <w:adjustRightInd w:val="0"/>
              <w:spacing w:line="300" w:lineRule="exact"/>
              <w:jc w:val="center"/>
              <w:rPr>
                <w:rFonts w:hint="eastAsia" w:ascii="Times New Roman" w:hAnsi="Times New Roman" w:eastAsia="宋体"/>
                <w:bCs/>
                <w:sz w:val="24"/>
                <w:szCs w:val="24"/>
                <w:lang w:eastAsia="zh-CN"/>
              </w:rPr>
            </w:pPr>
            <w:r>
              <w:rPr>
                <w:rFonts w:hint="eastAsia"/>
                <w:bCs/>
                <w:sz w:val="24"/>
                <w:szCs w:val="24"/>
                <w:lang w:eastAsia="zh-CN"/>
              </w:rPr>
              <w:t>经过隔油池处理后与生活污水一同排入化粪池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restart"/>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pacing w:val="-20"/>
                <w:sz w:val="24"/>
                <w:szCs w:val="24"/>
              </w:rPr>
              <w:t>生活污水</w:t>
            </w:r>
          </w:p>
        </w:tc>
        <w:tc>
          <w:tcPr>
            <w:tcW w:w="911"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COD</w:t>
            </w:r>
          </w:p>
        </w:tc>
        <w:tc>
          <w:tcPr>
            <w:tcW w:w="2552" w:type="dxa"/>
            <w:gridSpan w:val="2"/>
            <w:vMerge w:val="restart"/>
            <w:tcBorders>
              <w:tl2br w:val="nil"/>
              <w:tr2bl w:val="nil"/>
            </w:tcBorders>
            <w:vAlign w:val="center"/>
          </w:tcPr>
          <w:p>
            <w:pPr>
              <w:adjustRightInd w:val="0"/>
              <w:spacing w:line="300" w:lineRule="exact"/>
              <w:jc w:val="center"/>
              <w:rPr>
                <w:rFonts w:ascii="Times New Roman" w:hAnsi="Times New Roman"/>
                <w:sz w:val="24"/>
                <w:szCs w:val="24"/>
              </w:rPr>
            </w:pPr>
            <w:r>
              <w:rPr>
                <w:rFonts w:hint="eastAsia"/>
                <w:sz w:val="24"/>
                <w:szCs w:val="24"/>
                <w:lang w:val="en-US" w:eastAsia="zh-CN"/>
              </w:rPr>
              <w:t>1680</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/a</w:t>
            </w:r>
          </w:p>
        </w:tc>
        <w:tc>
          <w:tcPr>
            <w:tcW w:w="3195" w:type="dxa"/>
            <w:gridSpan w:val="2"/>
            <w:vMerge w:val="restart"/>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定期清运肥田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continue"/>
            <w:tcBorders>
              <w:tl2br w:val="nil"/>
              <w:tr2bl w:val="nil"/>
            </w:tcBorders>
            <w:vAlign w:val="center"/>
          </w:tcPr>
          <w:p>
            <w:pPr>
              <w:adjustRightInd w:val="0"/>
              <w:spacing w:line="300" w:lineRule="exact"/>
              <w:jc w:val="center"/>
              <w:rPr>
                <w:rFonts w:ascii="Times New Roman" w:hAnsi="Times New Roman"/>
                <w:spacing w:val="-20"/>
                <w:sz w:val="24"/>
                <w:szCs w:val="24"/>
              </w:rPr>
            </w:pPr>
          </w:p>
        </w:tc>
        <w:tc>
          <w:tcPr>
            <w:tcW w:w="911" w:type="dxa"/>
            <w:tcBorders>
              <w:tl2br w:val="nil"/>
              <w:tr2bl w:val="nil"/>
            </w:tcBorders>
            <w:vAlign w:val="center"/>
          </w:tcPr>
          <w:p>
            <w:pPr>
              <w:adjustRightInd w:val="0"/>
              <w:spacing w:line="300" w:lineRule="exact"/>
              <w:jc w:val="center"/>
              <w:rPr>
                <w:rFonts w:ascii="Times New Roman" w:hAnsi="Times New Roman"/>
                <w:sz w:val="24"/>
                <w:szCs w:val="24"/>
              </w:rPr>
            </w:pPr>
            <w:r>
              <w:rPr>
                <w:sz w:val="24"/>
                <w:szCs w:val="24"/>
              </w:rPr>
              <w:t>BOD</w:t>
            </w:r>
            <w:r>
              <w:rPr>
                <w:sz w:val="24"/>
                <w:szCs w:val="24"/>
                <w:vertAlign w:val="subscript"/>
              </w:rPr>
              <w:t>5</w:t>
            </w:r>
          </w:p>
        </w:tc>
        <w:tc>
          <w:tcPr>
            <w:tcW w:w="2552" w:type="dxa"/>
            <w:gridSpan w:val="2"/>
            <w:vMerge w:val="continue"/>
            <w:tcBorders>
              <w:tl2br w:val="nil"/>
              <w:tr2bl w:val="nil"/>
            </w:tcBorders>
            <w:vAlign w:val="center"/>
          </w:tcPr>
          <w:p>
            <w:pPr>
              <w:adjustRightInd w:val="0"/>
              <w:spacing w:line="300" w:lineRule="exact"/>
              <w:jc w:val="center"/>
              <w:rPr>
                <w:rFonts w:hint="eastAsia" w:ascii="Times New Roman" w:hAnsi="Times New Roman"/>
                <w:sz w:val="24"/>
                <w:szCs w:val="24"/>
                <w:lang w:val="en-US" w:eastAsia="zh-CN"/>
              </w:rPr>
            </w:pPr>
          </w:p>
        </w:tc>
        <w:tc>
          <w:tcPr>
            <w:tcW w:w="3195" w:type="dxa"/>
            <w:gridSpan w:val="2"/>
            <w:vMerge w:val="continue"/>
            <w:tcBorders>
              <w:tl2br w:val="nil"/>
              <w:tr2bl w:val="nil"/>
            </w:tcBorders>
            <w:vAlign w:val="center"/>
          </w:tcPr>
          <w:p>
            <w:pPr>
              <w:adjustRightInd w:val="0"/>
              <w:spacing w:line="300" w:lineRule="exact"/>
              <w:jc w:val="center"/>
              <w:rPr>
                <w:rFonts w:hint="eastAsia" w:ascii="Times New Roman" w:hAnsi="Times New Roman"/>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911"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SS</w:t>
            </w:r>
          </w:p>
        </w:tc>
        <w:tc>
          <w:tcPr>
            <w:tcW w:w="2552" w:type="dxa"/>
            <w:gridSpan w:val="2"/>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3195" w:type="dxa"/>
            <w:gridSpan w:val="2"/>
            <w:vMerge w:val="continue"/>
            <w:tcBorders>
              <w:tl2br w:val="nil"/>
              <w:tr2bl w:val="nil"/>
            </w:tcBorders>
            <w:vAlign w:val="center"/>
          </w:tcPr>
          <w:p>
            <w:pPr>
              <w:adjustRightInd w:val="0"/>
              <w:spacing w:line="300" w:lineRule="exact"/>
              <w:jc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911"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氨氮</w:t>
            </w:r>
          </w:p>
        </w:tc>
        <w:tc>
          <w:tcPr>
            <w:tcW w:w="2552" w:type="dxa"/>
            <w:gridSpan w:val="2"/>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3195" w:type="dxa"/>
            <w:gridSpan w:val="2"/>
            <w:vMerge w:val="continue"/>
            <w:tcBorders>
              <w:tl2br w:val="nil"/>
              <w:tr2bl w:val="nil"/>
            </w:tcBorders>
            <w:vAlign w:val="center"/>
          </w:tcPr>
          <w:p>
            <w:pPr>
              <w:adjustRightInd w:val="0"/>
              <w:spacing w:line="300" w:lineRule="exact"/>
              <w:jc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720" w:type="dxa"/>
            <w:vMerge w:val="restart"/>
            <w:tcBorders>
              <w:tl2br w:val="nil"/>
              <w:tr2bl w:val="nil"/>
            </w:tcBorders>
            <w:vAlign w:val="center"/>
          </w:tcPr>
          <w:p>
            <w:pPr>
              <w:adjustRightInd w:val="0"/>
              <w:spacing w:line="300" w:lineRule="exact"/>
              <w:jc w:val="center"/>
              <w:rPr>
                <w:rFonts w:ascii="Times New Roman" w:hAnsi="Times New Roman" w:eastAsia="黑体"/>
                <w:sz w:val="24"/>
                <w:szCs w:val="24"/>
              </w:rPr>
            </w:pPr>
            <w:r>
              <w:rPr>
                <w:rFonts w:ascii="Times New Roman" w:hAnsi="Times New Roman" w:eastAsia="黑体"/>
                <w:sz w:val="24"/>
                <w:szCs w:val="24"/>
              </w:rPr>
              <w:t>固</w:t>
            </w:r>
          </w:p>
          <w:p>
            <w:pPr>
              <w:adjustRightInd w:val="0"/>
              <w:spacing w:line="300" w:lineRule="exact"/>
              <w:jc w:val="center"/>
              <w:rPr>
                <w:rFonts w:ascii="Times New Roman" w:hAnsi="Times New Roman" w:eastAsia="黑体"/>
                <w:sz w:val="24"/>
                <w:szCs w:val="24"/>
              </w:rPr>
            </w:pPr>
            <w:r>
              <w:rPr>
                <w:rFonts w:ascii="Times New Roman" w:hAnsi="Times New Roman" w:eastAsia="黑体"/>
                <w:sz w:val="24"/>
                <w:szCs w:val="24"/>
              </w:rPr>
              <w:t>体</w:t>
            </w:r>
          </w:p>
          <w:p>
            <w:pPr>
              <w:adjustRightInd w:val="0"/>
              <w:spacing w:line="300" w:lineRule="exact"/>
              <w:jc w:val="center"/>
              <w:rPr>
                <w:rFonts w:ascii="Times New Roman" w:hAnsi="Times New Roman" w:eastAsia="黑体"/>
                <w:sz w:val="24"/>
                <w:szCs w:val="24"/>
              </w:rPr>
            </w:pPr>
            <w:r>
              <w:rPr>
                <w:rFonts w:ascii="Times New Roman" w:hAnsi="Times New Roman" w:eastAsia="黑体"/>
                <w:sz w:val="24"/>
                <w:szCs w:val="24"/>
              </w:rPr>
              <w:t>废</w:t>
            </w:r>
          </w:p>
          <w:p>
            <w:pPr>
              <w:adjustRightInd w:val="0"/>
              <w:spacing w:line="300" w:lineRule="exact"/>
              <w:jc w:val="center"/>
              <w:rPr>
                <w:rFonts w:ascii="Times New Roman" w:hAnsi="Times New Roman"/>
                <w:sz w:val="24"/>
                <w:szCs w:val="24"/>
              </w:rPr>
            </w:pPr>
            <w:r>
              <w:rPr>
                <w:rFonts w:ascii="Times New Roman" w:hAnsi="Times New Roman" w:eastAsia="黑体"/>
                <w:sz w:val="24"/>
                <w:szCs w:val="24"/>
              </w:rPr>
              <w:t>物</w:t>
            </w:r>
          </w:p>
        </w:tc>
        <w:tc>
          <w:tcPr>
            <w:tcW w:w="1910"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跳汰机</w:t>
            </w:r>
          </w:p>
        </w:tc>
        <w:tc>
          <w:tcPr>
            <w:tcW w:w="911"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煤矸石</w:t>
            </w:r>
          </w:p>
        </w:tc>
        <w:tc>
          <w:tcPr>
            <w:tcW w:w="2552" w:type="dxa"/>
            <w:gridSpan w:val="2"/>
            <w:tcBorders>
              <w:tl2br w:val="nil"/>
              <w:tr2bl w:val="nil"/>
            </w:tcBorders>
            <w:vAlign w:val="center"/>
          </w:tcPr>
          <w:p>
            <w:pPr>
              <w:adjustRightInd w:val="0"/>
              <w:spacing w:line="300" w:lineRule="exact"/>
              <w:jc w:val="center"/>
              <w:rPr>
                <w:rFonts w:ascii="Times New Roman" w:hAnsi="Times New Roman"/>
                <w:snapToGrid w:val="0"/>
                <w:sz w:val="24"/>
                <w:szCs w:val="24"/>
              </w:rPr>
            </w:pPr>
            <w:r>
              <w:rPr>
                <w:rFonts w:hint="eastAsia" w:ascii="Times New Roman" w:hAnsi="Times New Roman"/>
                <w:snapToGrid w:val="0"/>
                <w:sz w:val="24"/>
                <w:szCs w:val="24"/>
                <w:lang w:val="en-US" w:eastAsia="zh-CN"/>
              </w:rPr>
              <w:t>24</w:t>
            </w:r>
            <w:r>
              <w:rPr>
                <w:rFonts w:ascii="Times New Roman" w:hAnsi="Times New Roman"/>
                <w:snapToGrid w:val="0"/>
                <w:sz w:val="24"/>
                <w:szCs w:val="24"/>
              </w:rPr>
              <w:t>万</w:t>
            </w:r>
            <w:r>
              <w:rPr>
                <w:rFonts w:hint="eastAsia" w:ascii="Times New Roman" w:hAnsi="Times New Roman"/>
                <w:snapToGrid w:val="0"/>
                <w:sz w:val="24"/>
                <w:szCs w:val="24"/>
              </w:rPr>
              <w:t>t/a</w:t>
            </w:r>
          </w:p>
        </w:tc>
        <w:tc>
          <w:tcPr>
            <w:tcW w:w="3195" w:type="dxa"/>
            <w:gridSpan w:val="2"/>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回用做制砖原料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restart"/>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sz w:val="24"/>
                <w:szCs w:val="24"/>
              </w:rPr>
              <w:t>布袋</w:t>
            </w:r>
            <w:r>
              <w:rPr>
                <w:rFonts w:ascii="Times New Roman" w:hAnsi="Times New Roman"/>
                <w:sz w:val="24"/>
                <w:szCs w:val="24"/>
              </w:rPr>
              <w:t>除尘器</w:t>
            </w:r>
          </w:p>
        </w:tc>
        <w:tc>
          <w:tcPr>
            <w:tcW w:w="911"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sz w:val="24"/>
                <w:szCs w:val="24"/>
                <w:lang w:eastAsia="zh-CN"/>
              </w:rPr>
              <w:t>煤粉</w:t>
            </w:r>
          </w:p>
        </w:tc>
        <w:tc>
          <w:tcPr>
            <w:tcW w:w="2552" w:type="dxa"/>
            <w:gridSpan w:val="2"/>
            <w:tcBorders>
              <w:tl2br w:val="nil"/>
              <w:tr2bl w:val="nil"/>
            </w:tcBorders>
            <w:vAlign w:val="center"/>
          </w:tcPr>
          <w:p>
            <w:pPr>
              <w:snapToGrid w:val="0"/>
              <w:spacing w:line="360" w:lineRule="exact"/>
              <w:jc w:val="center"/>
              <w:rPr>
                <w:rFonts w:ascii="Times New Roman" w:hAnsi="Times New Roman"/>
                <w:sz w:val="24"/>
                <w:szCs w:val="24"/>
              </w:rPr>
            </w:pPr>
            <w:r>
              <w:rPr>
                <w:rFonts w:hint="eastAsia"/>
                <w:sz w:val="24"/>
                <w:szCs w:val="24"/>
                <w:lang w:val="en-US" w:eastAsia="zh-CN"/>
              </w:rPr>
              <w:t>296.93</w:t>
            </w:r>
            <w:r>
              <w:rPr>
                <w:rFonts w:hint="eastAsia" w:ascii="Times New Roman" w:hAnsi="Times New Roman"/>
                <w:snapToGrid w:val="0"/>
                <w:sz w:val="24"/>
                <w:szCs w:val="24"/>
              </w:rPr>
              <w:t>t/a</w:t>
            </w:r>
          </w:p>
        </w:tc>
        <w:tc>
          <w:tcPr>
            <w:tcW w:w="3195" w:type="dxa"/>
            <w:gridSpan w:val="2"/>
            <w:tcBorders>
              <w:tl2br w:val="nil"/>
              <w:tr2bl w:val="nil"/>
            </w:tcBorders>
            <w:vAlign w:val="center"/>
          </w:tcPr>
          <w:p>
            <w:pPr>
              <w:snapToGrid w:val="0"/>
              <w:spacing w:line="360" w:lineRule="exact"/>
              <w:jc w:val="center"/>
              <w:rPr>
                <w:rFonts w:ascii="Times New Roman" w:hAnsi="Times New Roman"/>
                <w:sz w:val="24"/>
                <w:szCs w:val="24"/>
              </w:rPr>
            </w:pPr>
            <w:r>
              <w:rPr>
                <w:rFonts w:hint="eastAsia"/>
                <w:sz w:val="24"/>
                <w:szCs w:val="24"/>
                <w:lang w:eastAsia="zh-CN"/>
              </w:rPr>
              <w:t>与煤泥混合后外售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continue"/>
            <w:tcBorders>
              <w:tl2br w:val="nil"/>
              <w:tr2bl w:val="nil"/>
            </w:tcBorders>
            <w:vAlign w:val="center"/>
          </w:tcPr>
          <w:p>
            <w:pPr>
              <w:adjustRightInd w:val="0"/>
              <w:spacing w:line="300" w:lineRule="exact"/>
              <w:jc w:val="center"/>
              <w:rPr>
                <w:rFonts w:hint="eastAsia" w:ascii="Times New Roman" w:hAnsi="Times New Roman"/>
                <w:sz w:val="24"/>
                <w:szCs w:val="24"/>
              </w:rPr>
            </w:pPr>
          </w:p>
        </w:tc>
        <w:tc>
          <w:tcPr>
            <w:tcW w:w="911"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sz w:val="24"/>
                <w:szCs w:val="24"/>
                <w:lang w:eastAsia="zh-CN"/>
              </w:rPr>
              <w:t>煤矸石粉</w:t>
            </w:r>
          </w:p>
        </w:tc>
        <w:tc>
          <w:tcPr>
            <w:tcW w:w="2552" w:type="dxa"/>
            <w:gridSpan w:val="2"/>
            <w:tcBorders>
              <w:tl2br w:val="nil"/>
              <w:tr2bl w:val="nil"/>
            </w:tcBorders>
            <w:vAlign w:val="center"/>
          </w:tcPr>
          <w:p>
            <w:pPr>
              <w:snapToGrid w:val="0"/>
              <w:spacing w:line="360" w:lineRule="exact"/>
              <w:jc w:val="center"/>
              <w:rPr>
                <w:rFonts w:hint="eastAsia" w:ascii="Times New Roman" w:hAnsi="Times New Roman"/>
                <w:snapToGrid w:val="0"/>
                <w:sz w:val="24"/>
                <w:szCs w:val="24"/>
                <w:lang w:val="en-US" w:eastAsia="zh-CN"/>
              </w:rPr>
            </w:pPr>
            <w:r>
              <w:rPr>
                <w:rFonts w:hint="eastAsia"/>
                <w:sz w:val="24"/>
                <w:szCs w:val="24"/>
                <w:lang w:val="en-US" w:eastAsia="zh-CN"/>
              </w:rPr>
              <w:t>22.10</w:t>
            </w:r>
            <w:r>
              <w:rPr>
                <w:rFonts w:hint="eastAsia" w:ascii="Times New Roman" w:hAnsi="Times New Roman"/>
                <w:snapToGrid w:val="0"/>
                <w:sz w:val="24"/>
                <w:szCs w:val="24"/>
              </w:rPr>
              <w:t>t/a</w:t>
            </w:r>
          </w:p>
        </w:tc>
        <w:tc>
          <w:tcPr>
            <w:tcW w:w="3195" w:type="dxa"/>
            <w:gridSpan w:val="2"/>
            <w:tcBorders>
              <w:tl2br w:val="nil"/>
              <w:tr2bl w:val="nil"/>
            </w:tcBorders>
            <w:vAlign w:val="center"/>
          </w:tcPr>
          <w:p>
            <w:pPr>
              <w:snapToGrid w:val="0"/>
              <w:spacing w:line="360" w:lineRule="exact"/>
              <w:jc w:val="center"/>
              <w:rPr>
                <w:rFonts w:ascii="Times New Roman" w:hAnsi="Times New Roman"/>
                <w:sz w:val="24"/>
                <w:szCs w:val="24"/>
              </w:rPr>
            </w:pPr>
            <w:r>
              <w:rPr>
                <w:rFonts w:hint="eastAsia"/>
                <w:sz w:val="24"/>
                <w:szCs w:val="24"/>
                <w:lang w:eastAsia="zh-CN"/>
              </w:rPr>
              <w:t>回用制砖生产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restart"/>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制砖</w:t>
            </w:r>
          </w:p>
        </w:tc>
        <w:tc>
          <w:tcPr>
            <w:tcW w:w="911"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边角料</w:t>
            </w:r>
          </w:p>
        </w:tc>
        <w:tc>
          <w:tcPr>
            <w:tcW w:w="2552" w:type="dxa"/>
            <w:gridSpan w:val="2"/>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w:t>
            </w:r>
          </w:p>
        </w:tc>
        <w:tc>
          <w:tcPr>
            <w:tcW w:w="3195" w:type="dxa"/>
            <w:gridSpan w:val="2"/>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回用制砖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continue"/>
            <w:tcBorders>
              <w:tl2br w:val="nil"/>
              <w:tr2bl w:val="nil"/>
            </w:tcBorders>
            <w:vAlign w:val="center"/>
          </w:tcPr>
          <w:p>
            <w:pPr>
              <w:adjustRightInd w:val="0"/>
              <w:spacing w:line="300" w:lineRule="exact"/>
              <w:jc w:val="center"/>
              <w:rPr>
                <w:rFonts w:hint="eastAsia" w:ascii="Times New Roman" w:hAnsi="Times New Roman"/>
                <w:sz w:val="24"/>
                <w:szCs w:val="24"/>
                <w:lang w:eastAsia="zh-CN"/>
              </w:rPr>
            </w:pPr>
          </w:p>
        </w:tc>
        <w:tc>
          <w:tcPr>
            <w:tcW w:w="911" w:type="dxa"/>
            <w:tcBorders>
              <w:tl2br w:val="nil"/>
              <w:tr2bl w:val="nil"/>
            </w:tcBorders>
            <w:vAlign w:val="center"/>
          </w:tcPr>
          <w:p>
            <w:pPr>
              <w:adjustRightInd w:val="0"/>
              <w:spacing w:line="300" w:lineRule="exact"/>
              <w:jc w:val="center"/>
              <w:rPr>
                <w:rFonts w:hint="eastAsia" w:ascii="Times New Roman" w:hAnsi="Times New Roman"/>
                <w:sz w:val="24"/>
                <w:szCs w:val="24"/>
                <w:lang w:eastAsia="zh-CN"/>
              </w:rPr>
            </w:pPr>
            <w:r>
              <w:rPr>
                <w:rFonts w:hint="eastAsia"/>
                <w:sz w:val="24"/>
                <w:szCs w:val="24"/>
                <w:lang w:eastAsia="zh-CN"/>
              </w:rPr>
              <w:t>损坏产品</w:t>
            </w:r>
          </w:p>
        </w:tc>
        <w:tc>
          <w:tcPr>
            <w:tcW w:w="2552" w:type="dxa"/>
            <w:gridSpan w:val="2"/>
            <w:tcBorders>
              <w:tl2br w:val="nil"/>
              <w:tr2bl w:val="nil"/>
            </w:tcBorders>
            <w:vAlign w:val="center"/>
          </w:tcPr>
          <w:p>
            <w:pPr>
              <w:adjustRightInd w:val="0"/>
              <w:spacing w:line="300" w:lineRule="exact"/>
              <w:jc w:val="center"/>
              <w:rPr>
                <w:rFonts w:hint="eastAsia" w:ascii="Times New Roman" w:hAnsi="Times New Roman"/>
                <w:sz w:val="24"/>
                <w:szCs w:val="24"/>
                <w:lang w:val="en-US" w:eastAsia="zh-CN"/>
              </w:rPr>
            </w:pPr>
            <w:r>
              <w:rPr>
                <w:rFonts w:hint="eastAsia"/>
                <w:sz w:val="24"/>
                <w:szCs w:val="24"/>
                <w:lang w:val="en-US" w:eastAsia="zh-CN"/>
              </w:rPr>
              <w:t>24t/a</w:t>
            </w:r>
          </w:p>
        </w:tc>
        <w:tc>
          <w:tcPr>
            <w:tcW w:w="3195" w:type="dxa"/>
            <w:gridSpan w:val="2"/>
            <w:tcBorders>
              <w:tl2br w:val="nil"/>
              <w:tr2bl w:val="nil"/>
            </w:tcBorders>
            <w:vAlign w:val="center"/>
          </w:tcPr>
          <w:p>
            <w:pPr>
              <w:adjustRightInd w:val="0"/>
              <w:spacing w:line="300" w:lineRule="exact"/>
              <w:jc w:val="center"/>
              <w:rPr>
                <w:rFonts w:hint="eastAsia" w:ascii="Times New Roman" w:hAnsi="Times New Roman"/>
                <w:sz w:val="24"/>
                <w:szCs w:val="24"/>
                <w:lang w:eastAsia="zh-CN"/>
              </w:rPr>
            </w:pPr>
            <w:r>
              <w:rPr>
                <w:rFonts w:hint="eastAsia"/>
                <w:sz w:val="24"/>
                <w:szCs w:val="24"/>
                <w:lang w:eastAsia="zh-CN"/>
              </w:rPr>
              <w:t>破碎回用制砖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restart"/>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职工</w:t>
            </w:r>
          </w:p>
        </w:tc>
        <w:tc>
          <w:tcPr>
            <w:tcW w:w="911"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废油脂</w:t>
            </w:r>
          </w:p>
        </w:tc>
        <w:tc>
          <w:tcPr>
            <w:tcW w:w="2552" w:type="dxa"/>
            <w:gridSpan w:val="2"/>
            <w:tcBorders>
              <w:tl2br w:val="nil"/>
              <w:tr2bl w:val="nil"/>
            </w:tcBorders>
            <w:vAlign w:val="center"/>
          </w:tcPr>
          <w:p>
            <w:pPr>
              <w:adjustRightInd w:val="0"/>
              <w:spacing w:line="30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1.26</w:t>
            </w:r>
            <w:r>
              <w:rPr>
                <w:rFonts w:hint="eastAsia" w:ascii="Times New Roman" w:hAnsi="Times New Roman"/>
                <w:snapToGrid w:val="0"/>
                <w:sz w:val="24"/>
                <w:szCs w:val="24"/>
              </w:rPr>
              <w:t>t/a</w:t>
            </w:r>
          </w:p>
        </w:tc>
        <w:tc>
          <w:tcPr>
            <w:tcW w:w="3195" w:type="dxa"/>
            <w:gridSpan w:val="2"/>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委托有资质单位转运处置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911"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生活</w:t>
            </w:r>
            <w:r>
              <w:rPr>
                <w:rFonts w:hint="eastAsia"/>
                <w:sz w:val="24"/>
                <w:szCs w:val="24"/>
                <w:lang w:eastAsia="zh-CN"/>
              </w:rPr>
              <w:t>、餐饮</w:t>
            </w:r>
            <w:r>
              <w:rPr>
                <w:rFonts w:ascii="Times New Roman" w:hAnsi="Times New Roman"/>
                <w:sz w:val="24"/>
                <w:szCs w:val="24"/>
              </w:rPr>
              <w:t>垃圾</w:t>
            </w:r>
          </w:p>
        </w:tc>
        <w:tc>
          <w:tcPr>
            <w:tcW w:w="2552"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hint="eastAsia"/>
                <w:sz w:val="24"/>
                <w:szCs w:val="24"/>
                <w:lang w:val="en-US" w:eastAsia="zh-CN"/>
              </w:rPr>
              <w:t>69.6</w:t>
            </w:r>
            <w:r>
              <w:rPr>
                <w:rFonts w:ascii="Times New Roman" w:hAnsi="Times New Roman"/>
                <w:sz w:val="24"/>
                <w:szCs w:val="24"/>
              </w:rPr>
              <w:t>t/a</w:t>
            </w:r>
          </w:p>
        </w:tc>
        <w:tc>
          <w:tcPr>
            <w:tcW w:w="3195"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在厂内分类收集</w:t>
            </w:r>
            <w:r>
              <w:rPr>
                <w:rFonts w:hint="eastAsia"/>
                <w:sz w:val="24"/>
                <w:szCs w:val="24"/>
                <w:lang w:eastAsia="zh-CN"/>
              </w:rPr>
              <w:t>，委托环卫部门清运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20" w:type="dxa"/>
            <w:vMerge w:val="continue"/>
            <w:tcBorders>
              <w:tl2br w:val="nil"/>
              <w:tr2bl w:val="nil"/>
            </w:tcBorders>
            <w:vAlign w:val="center"/>
          </w:tcPr>
          <w:p>
            <w:pPr>
              <w:adjustRightInd w:val="0"/>
              <w:spacing w:line="300" w:lineRule="exact"/>
              <w:jc w:val="center"/>
              <w:rPr>
                <w:rFonts w:ascii="Times New Roman" w:hAnsi="Times New Roman"/>
                <w:sz w:val="24"/>
                <w:szCs w:val="24"/>
              </w:rPr>
            </w:pPr>
          </w:p>
        </w:tc>
        <w:tc>
          <w:tcPr>
            <w:tcW w:w="1910" w:type="dxa"/>
            <w:gridSpan w:val="2"/>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sz w:val="24"/>
                <w:szCs w:val="24"/>
                <w:lang w:eastAsia="zh-CN"/>
              </w:rPr>
              <w:t>设备维护</w:t>
            </w:r>
          </w:p>
        </w:tc>
        <w:tc>
          <w:tcPr>
            <w:tcW w:w="911" w:type="dxa"/>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sz w:val="24"/>
                <w:szCs w:val="24"/>
                <w:lang w:eastAsia="zh-CN"/>
              </w:rPr>
              <w:t>废机油</w:t>
            </w:r>
          </w:p>
        </w:tc>
        <w:tc>
          <w:tcPr>
            <w:tcW w:w="2552" w:type="dxa"/>
            <w:gridSpan w:val="2"/>
            <w:tcBorders>
              <w:tl2br w:val="nil"/>
              <w:tr2bl w:val="nil"/>
            </w:tcBorders>
            <w:vAlign w:val="center"/>
          </w:tcPr>
          <w:p>
            <w:pPr>
              <w:adjustRightInd w:val="0"/>
              <w:spacing w:line="300" w:lineRule="exact"/>
              <w:jc w:val="center"/>
              <w:rPr>
                <w:rFonts w:hint="eastAsia"/>
                <w:sz w:val="24"/>
                <w:szCs w:val="24"/>
                <w:lang w:val="en-US" w:eastAsia="zh-CN"/>
              </w:rPr>
            </w:pPr>
            <w:r>
              <w:rPr>
                <w:rFonts w:hint="eastAsia"/>
                <w:sz w:val="24"/>
                <w:szCs w:val="24"/>
                <w:lang w:val="en-US" w:eastAsia="zh-CN"/>
              </w:rPr>
              <w:t>0.1</w:t>
            </w:r>
            <w:r>
              <w:rPr>
                <w:rFonts w:ascii="Times New Roman" w:hAnsi="Times New Roman"/>
                <w:sz w:val="24"/>
                <w:szCs w:val="24"/>
              </w:rPr>
              <w:t>t/a</w:t>
            </w:r>
          </w:p>
        </w:tc>
        <w:tc>
          <w:tcPr>
            <w:tcW w:w="3195" w:type="dxa"/>
            <w:gridSpan w:val="2"/>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sz w:val="24"/>
                <w:szCs w:val="24"/>
                <w:lang w:eastAsia="zh-CN"/>
              </w:rPr>
              <w:t>定点收集存放于危废暂存间内，定期委托有资质单位处置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20" w:type="dxa"/>
            <w:tcBorders>
              <w:tl2br w:val="nil"/>
              <w:tr2bl w:val="nil"/>
            </w:tcBorders>
            <w:vAlign w:val="center"/>
          </w:tcPr>
          <w:p>
            <w:pPr>
              <w:adjustRightInd w:val="0"/>
              <w:spacing w:line="300" w:lineRule="exact"/>
              <w:jc w:val="center"/>
              <w:rPr>
                <w:rFonts w:ascii="Times New Roman" w:hAnsi="Times New Roman" w:eastAsia="黑体"/>
                <w:sz w:val="24"/>
                <w:szCs w:val="24"/>
              </w:rPr>
            </w:pPr>
            <w:r>
              <w:rPr>
                <w:rFonts w:ascii="Times New Roman" w:hAnsi="Times New Roman" w:eastAsia="黑体"/>
                <w:sz w:val="24"/>
                <w:szCs w:val="24"/>
              </w:rPr>
              <w:t>噪</w:t>
            </w:r>
          </w:p>
          <w:p>
            <w:pPr>
              <w:adjustRightInd w:val="0"/>
              <w:spacing w:line="300" w:lineRule="exact"/>
              <w:jc w:val="center"/>
              <w:rPr>
                <w:rFonts w:ascii="Times New Roman" w:hAnsi="Times New Roman"/>
                <w:sz w:val="24"/>
                <w:szCs w:val="24"/>
              </w:rPr>
            </w:pPr>
            <w:r>
              <w:rPr>
                <w:rFonts w:ascii="Times New Roman" w:hAnsi="Times New Roman" w:eastAsia="黑体"/>
                <w:sz w:val="24"/>
                <w:szCs w:val="24"/>
              </w:rPr>
              <w:t>声</w:t>
            </w:r>
          </w:p>
        </w:tc>
        <w:tc>
          <w:tcPr>
            <w:tcW w:w="1910" w:type="dxa"/>
            <w:gridSpan w:val="2"/>
            <w:tcBorders>
              <w:tl2br w:val="nil"/>
              <w:tr2bl w:val="nil"/>
            </w:tcBorders>
            <w:vAlign w:val="center"/>
          </w:tcPr>
          <w:p>
            <w:pPr>
              <w:adjustRightInd w:val="0"/>
              <w:spacing w:line="30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机械设备</w:t>
            </w:r>
          </w:p>
        </w:tc>
        <w:tc>
          <w:tcPr>
            <w:tcW w:w="911" w:type="dxa"/>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噪声</w:t>
            </w:r>
          </w:p>
        </w:tc>
        <w:tc>
          <w:tcPr>
            <w:tcW w:w="5747" w:type="dxa"/>
            <w:gridSpan w:val="4"/>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8</w:t>
            </w:r>
            <w:r>
              <w:rPr>
                <w:rFonts w:hint="eastAsia"/>
                <w:sz w:val="24"/>
                <w:szCs w:val="24"/>
                <w:lang w:val="en-US" w:eastAsia="zh-CN"/>
              </w:rPr>
              <w:t>0</w:t>
            </w:r>
            <w:r>
              <w:rPr>
                <w:rFonts w:ascii="Times New Roman" w:hAnsi="Times New Roman"/>
                <w:sz w:val="24"/>
                <w:szCs w:val="24"/>
              </w:rPr>
              <w:t>-95dB(A)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0" w:type="dxa"/>
            <w:tcBorders>
              <w:tl2br w:val="nil"/>
              <w:tr2bl w:val="nil"/>
            </w:tcBorders>
            <w:vAlign w:val="center"/>
          </w:tcPr>
          <w:p>
            <w:pPr>
              <w:adjustRightInd w:val="0"/>
              <w:spacing w:line="300" w:lineRule="exact"/>
              <w:jc w:val="center"/>
              <w:rPr>
                <w:rFonts w:hint="eastAsia" w:ascii="Times New Roman" w:hAnsi="Times New Roman"/>
                <w:sz w:val="24"/>
                <w:szCs w:val="24"/>
              </w:rPr>
            </w:pPr>
            <w:r>
              <w:rPr>
                <w:rFonts w:hint="eastAsia" w:ascii="Times New Roman" w:hAnsi="Times New Roman" w:eastAsia="黑体"/>
                <w:sz w:val="24"/>
                <w:szCs w:val="24"/>
              </w:rPr>
              <w:t>生态</w:t>
            </w:r>
          </w:p>
        </w:tc>
        <w:tc>
          <w:tcPr>
            <w:tcW w:w="1910" w:type="dxa"/>
            <w:gridSpan w:val="2"/>
            <w:tcBorders>
              <w:tl2br w:val="nil"/>
              <w:tr2bl w:val="nil"/>
            </w:tcBorders>
            <w:vAlign w:val="center"/>
          </w:tcPr>
          <w:p>
            <w:pPr>
              <w:adjustRightInd w:val="0"/>
              <w:spacing w:line="300" w:lineRule="exact"/>
              <w:jc w:val="center"/>
              <w:rPr>
                <w:rFonts w:ascii="Times New Roman" w:hAnsi="Times New Roman"/>
                <w:sz w:val="24"/>
                <w:szCs w:val="24"/>
              </w:rPr>
            </w:pPr>
            <w:r>
              <w:rPr>
                <w:rFonts w:ascii="Times New Roman" w:hAnsi="Times New Roman"/>
                <w:sz w:val="24"/>
                <w:szCs w:val="24"/>
              </w:rPr>
              <w:t>绿化</w:t>
            </w:r>
          </w:p>
        </w:tc>
        <w:tc>
          <w:tcPr>
            <w:tcW w:w="6658" w:type="dxa"/>
            <w:gridSpan w:val="5"/>
            <w:tcBorders>
              <w:tl2br w:val="nil"/>
              <w:tr2bl w:val="nil"/>
            </w:tcBorders>
            <w:vAlign w:val="center"/>
          </w:tcPr>
          <w:p>
            <w:pPr>
              <w:adjustRightInd w:val="0"/>
              <w:spacing w:line="300" w:lineRule="exact"/>
              <w:jc w:val="center"/>
              <w:rPr>
                <w:rFonts w:ascii="Times New Roman" w:hAnsi="Times New Roman"/>
                <w:sz w:val="24"/>
                <w:szCs w:val="24"/>
              </w:rPr>
            </w:pPr>
            <w:r>
              <w:rPr>
                <w:rFonts w:hint="eastAsia" w:ascii="Times New Roman" w:hAnsi="Times New Roman"/>
                <w:bCs/>
                <w:sz w:val="24"/>
                <w:szCs w:val="24"/>
              </w:rPr>
              <w:t>绿化</w:t>
            </w:r>
            <w:r>
              <w:rPr>
                <w:rFonts w:ascii="Times New Roman" w:hAnsi="Times New Roman"/>
                <w:bCs/>
                <w:sz w:val="24"/>
                <w:szCs w:val="24"/>
              </w:rPr>
              <w:t>面积</w:t>
            </w:r>
            <w:r>
              <w:rPr>
                <w:rFonts w:hint="eastAsia"/>
                <w:sz w:val="24"/>
                <w:szCs w:val="24"/>
                <w:lang w:val="en-US" w:eastAsia="zh-CN"/>
              </w:rPr>
              <w:t>8000</w:t>
            </w:r>
            <w:r>
              <w:rPr>
                <w:rFonts w:ascii="Times New Roman" w:hAnsi="Times New Roman"/>
                <w:bCs/>
                <w:sz w:val="24"/>
                <w:szCs w:val="24"/>
              </w:rPr>
              <w:t>m</w:t>
            </w:r>
            <w:r>
              <w:rPr>
                <w:rFonts w:ascii="Times New Roman" w:hAnsi="Times New Roman"/>
                <w:bCs/>
                <w:sz w:val="24"/>
                <w:szCs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trPr>
        <w:tc>
          <w:tcPr>
            <w:tcW w:w="9288" w:type="dxa"/>
            <w:gridSpan w:val="8"/>
            <w:tcBorders>
              <w:tl2br w:val="nil"/>
              <w:tr2bl w:val="nil"/>
            </w:tcBorders>
            <w:vAlign w:val="top"/>
          </w:tcPr>
          <w:p>
            <w:pPr>
              <w:adjustRightInd w:val="0"/>
              <w:spacing w:line="360" w:lineRule="auto"/>
              <w:rPr>
                <w:rFonts w:ascii="Times New Roman" w:hAnsi="Times New Roman"/>
                <w:b/>
                <w:bCs/>
                <w:sz w:val="24"/>
                <w:szCs w:val="24"/>
              </w:rPr>
            </w:pPr>
            <w:r>
              <w:rPr>
                <w:rFonts w:ascii="Times New Roman" w:hAnsi="Times New Roman"/>
                <w:b/>
                <w:bCs/>
                <w:sz w:val="24"/>
                <w:szCs w:val="24"/>
              </w:rPr>
              <w:t>主要生态影响（不够时可附另页）</w:t>
            </w:r>
          </w:p>
          <w:p>
            <w:pPr>
              <w:autoSpaceDN w:val="0"/>
              <w:spacing w:line="360" w:lineRule="auto"/>
              <w:ind w:firstLine="480" w:firstLineChars="200"/>
              <w:rPr>
                <w:rFonts w:hint="eastAsia"/>
                <w:sz w:val="24"/>
              </w:rPr>
            </w:pPr>
            <w:r>
              <w:rPr>
                <w:rFonts w:ascii="Times New Roman" w:hAnsi="Times New Roman"/>
                <w:sz w:val="24"/>
                <w:szCs w:val="24"/>
              </w:rPr>
              <w:t>工程施工期生态影响主要表现为水土流失和植被破坏</w:t>
            </w:r>
            <w:r>
              <w:rPr>
                <w:rFonts w:hint="eastAsia" w:ascii="Times New Roman" w:hAnsi="Times New Roman"/>
                <w:sz w:val="24"/>
                <w:szCs w:val="24"/>
              </w:rPr>
              <w:t>，</w:t>
            </w:r>
            <w:r>
              <w:rPr>
                <w:rFonts w:hint="eastAsia"/>
                <w:sz w:val="24"/>
              </w:rPr>
              <w:t>项目施工将改变原有地表形态及土地结构，若弃土堆渣不及时清理或无任何遮挡、覆盖等措施，在暴雨季节，将会导致水土流失。项目建成后，随着项目区生态恢复，以及对项目区四周、内外空地和道路两侧环境绿化措施实施，对周围的生态环境将产生一定恢复作用。</w:t>
            </w:r>
          </w:p>
          <w:p>
            <w:pPr>
              <w:pStyle w:val="21"/>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pStyle w:val="8"/>
              <w:rPr>
                <w:rFonts w:hint="eastAsia"/>
                <w:sz w:val="24"/>
              </w:rPr>
            </w:pPr>
          </w:p>
          <w:p>
            <w:pPr>
              <w:adjustRightInd w:val="0"/>
              <w:spacing w:line="360" w:lineRule="auto"/>
              <w:rPr>
                <w:rFonts w:ascii="Times New Roman" w:hAnsi="Times New Roman"/>
                <w:sz w:val="24"/>
                <w:szCs w:val="24"/>
              </w:rPr>
            </w:pPr>
          </w:p>
        </w:tc>
      </w:tr>
    </w:tbl>
    <w:p>
      <w:pPr>
        <w:pStyle w:val="3"/>
        <w:ind w:firstLine="321"/>
        <w:jc w:val="left"/>
        <w:rPr>
          <w:rFonts w:ascii="Times New Roman" w:eastAsia="宋体"/>
          <w:b/>
          <w:sz w:val="32"/>
          <w:szCs w:val="32"/>
        </w:rPr>
      </w:pPr>
      <w:r>
        <w:rPr>
          <w:rFonts w:ascii="Times New Roman" w:eastAsia="宋体"/>
          <w:b/>
          <w:sz w:val="32"/>
          <w:szCs w:val="32"/>
        </w:rPr>
        <w:t>环境影响分析</w:t>
      </w:r>
      <w:bookmarkEnd w:id="11"/>
    </w:p>
    <w:tbl>
      <w:tblPr>
        <w:tblStyle w:val="34"/>
        <w:tblW w:w="92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71" w:hRule="atLeast"/>
          <w:jc w:val="center"/>
        </w:trPr>
        <w:tc>
          <w:tcPr>
            <w:tcW w:w="9200" w:type="dxa"/>
          </w:tcPr>
          <w:p>
            <w:pPr>
              <w:adjustRightInd w:val="0"/>
              <w:snapToGrid w:val="0"/>
              <w:spacing w:line="360" w:lineRule="auto"/>
              <w:ind w:firstLine="281"/>
              <w:rPr>
                <w:b/>
                <w:sz w:val="28"/>
                <w:szCs w:val="28"/>
              </w:rPr>
            </w:pPr>
            <w:r>
              <w:rPr>
                <w:b/>
                <w:sz w:val="28"/>
                <w:szCs w:val="28"/>
              </w:rPr>
              <w:t>施工期影响分析</w:t>
            </w:r>
          </w:p>
          <w:p>
            <w:pPr>
              <w:spacing w:line="360" w:lineRule="auto"/>
              <w:rPr>
                <w:rFonts w:ascii="Times New Roman" w:hAnsi="Times New Roman"/>
                <w:sz w:val="24"/>
                <w:szCs w:val="22"/>
              </w:rPr>
            </w:pPr>
            <w:r>
              <w:rPr>
                <w:rFonts w:ascii="Times New Roman" w:hAnsi="Times New Roman"/>
                <w:sz w:val="24"/>
                <w:szCs w:val="22"/>
              </w:rPr>
              <w:t>施工期环境影响分析：</w:t>
            </w:r>
          </w:p>
          <w:p>
            <w:pPr>
              <w:autoSpaceDN w:val="0"/>
              <w:spacing w:line="360" w:lineRule="auto"/>
              <w:ind w:firstLine="480" w:firstLineChars="200"/>
              <w:rPr>
                <w:rFonts w:eastAsia="黑体"/>
                <w:bCs/>
                <w:sz w:val="24"/>
              </w:rPr>
            </w:pPr>
            <w:r>
              <w:rPr>
                <w:rFonts w:hint="eastAsia" w:eastAsia="黑体"/>
                <w:bCs/>
                <w:sz w:val="24"/>
              </w:rPr>
              <w:t>1、环境空气影响分析</w:t>
            </w:r>
          </w:p>
          <w:p>
            <w:pPr>
              <w:autoSpaceDN w:val="0"/>
              <w:spacing w:line="360" w:lineRule="auto"/>
              <w:ind w:firstLine="480" w:firstLineChars="200"/>
              <w:rPr>
                <w:sz w:val="24"/>
              </w:rPr>
            </w:pPr>
            <w:r>
              <w:rPr>
                <w:rFonts w:hint="eastAsia"/>
                <w:sz w:val="24"/>
              </w:rPr>
              <w:t>项目</w:t>
            </w:r>
            <w:r>
              <w:rPr>
                <w:sz w:val="24"/>
              </w:rPr>
              <w:t>施工期间对环境空气的污染主要来自施工扬尘</w:t>
            </w:r>
            <w:r>
              <w:rPr>
                <w:rFonts w:hint="eastAsia"/>
                <w:sz w:val="24"/>
              </w:rPr>
              <w:t>、</w:t>
            </w:r>
            <w:r>
              <w:rPr>
                <w:sz w:val="24"/>
              </w:rPr>
              <w:t>施工</w:t>
            </w:r>
            <w:r>
              <w:rPr>
                <w:rFonts w:hint="eastAsia"/>
                <w:sz w:val="24"/>
              </w:rPr>
              <w:t>机械</w:t>
            </w:r>
            <w:r>
              <w:rPr>
                <w:sz w:val="24"/>
              </w:rPr>
              <w:t>废气</w:t>
            </w:r>
            <w:r>
              <w:rPr>
                <w:rFonts w:hint="eastAsia"/>
                <w:sz w:val="24"/>
              </w:rPr>
              <w:t>及装修油漆废气</w:t>
            </w:r>
            <w:r>
              <w:rPr>
                <w:sz w:val="24"/>
              </w:rPr>
              <w:t>。</w:t>
            </w:r>
          </w:p>
          <w:p>
            <w:pPr>
              <w:autoSpaceDN w:val="0"/>
              <w:spacing w:line="360" w:lineRule="auto"/>
              <w:ind w:firstLine="480" w:firstLineChars="200"/>
              <w:rPr>
                <w:sz w:val="24"/>
              </w:rPr>
            </w:pPr>
            <w:r>
              <w:rPr>
                <w:rFonts w:hint="eastAsia"/>
                <w:sz w:val="24"/>
              </w:rPr>
              <w:t>（1）</w:t>
            </w:r>
            <w:r>
              <w:rPr>
                <w:sz w:val="24"/>
              </w:rPr>
              <w:t>施工扬尘影响分析</w:t>
            </w:r>
          </w:p>
          <w:p>
            <w:pPr>
              <w:pStyle w:val="140"/>
              <w:widowControl w:val="0"/>
              <w:autoSpaceDN w:val="0"/>
              <w:spacing w:line="360" w:lineRule="auto"/>
              <w:ind w:firstLine="480"/>
              <w:rPr>
                <w:bCs/>
                <w:sz w:val="24"/>
              </w:rPr>
            </w:pPr>
            <w:r>
              <w:rPr>
                <w:rFonts w:eastAsia="宋体"/>
                <w:bCs/>
                <w:sz w:val="24"/>
                <w:szCs w:val="24"/>
                <w:lang w:val="en-US"/>
              </w:rPr>
              <w:t>主体施工期间，场区</w:t>
            </w:r>
            <w:r>
              <w:rPr>
                <w:rFonts w:hint="eastAsia" w:ascii="宋体" w:eastAsia="宋体"/>
                <w:sz w:val="24"/>
              </w:rPr>
              <w:t>平整、</w:t>
            </w:r>
            <w:r>
              <w:rPr>
                <w:rFonts w:eastAsia="宋体"/>
                <w:bCs/>
                <w:sz w:val="24"/>
                <w:szCs w:val="24"/>
                <w:lang w:val="en-US"/>
              </w:rPr>
              <w:t>土石方开挖建设过程会破坏地表结构，场区建筑材料砂石装卸、转运、运输均会造成地面扬尘污染环境，其扬尘量大小与施工现场条件、施工管理水平、机械化程度高低及施工季节、时间长短，以及土质结构、天气条件等诸多因素关系密切，是一个复杂难于定量的问题。</w:t>
            </w:r>
          </w:p>
          <w:p>
            <w:pPr>
              <w:numPr>
                <w:ilvl w:val="0"/>
                <w:numId w:val="6"/>
              </w:numPr>
              <w:autoSpaceDN w:val="0"/>
              <w:spacing w:line="360" w:lineRule="auto"/>
              <w:rPr>
                <w:bCs/>
                <w:sz w:val="24"/>
              </w:rPr>
            </w:pPr>
            <w:r>
              <w:rPr>
                <w:bCs/>
                <w:sz w:val="24"/>
              </w:rPr>
              <w:t>裸露地面扬尘</w:t>
            </w:r>
          </w:p>
          <w:p>
            <w:pPr>
              <w:widowControl/>
              <w:spacing w:line="360" w:lineRule="auto"/>
              <w:ind w:firstLine="480" w:firstLineChars="200"/>
              <w:rPr>
                <w:sz w:val="24"/>
              </w:rPr>
            </w:pPr>
            <w:r>
              <w:rPr>
                <w:sz w:val="24"/>
              </w:rPr>
              <w:t>施工活动产生的扬尘包括场地平整、基础开挖，机械挖掘作业、土石方装运、堆置等产生的扬尘；主体结构、装修施工中的建筑材料堆放、搬运、使用产生的扬尘；裸露地表风蚀产生的扬尘等，均是由于施工过程破坏了地表结构，泥土发生松动、破碎，以及建筑材料使用被扰动等形成。</w:t>
            </w:r>
          </w:p>
          <w:p>
            <w:pPr>
              <w:widowControl/>
              <w:spacing w:line="360" w:lineRule="auto"/>
              <w:ind w:firstLine="480" w:firstLineChars="200"/>
              <w:rPr>
                <w:sz w:val="24"/>
              </w:rPr>
            </w:pPr>
            <w:r>
              <w:rPr>
                <w:rFonts w:hint="eastAsia"/>
                <w:sz w:val="24"/>
              </w:rPr>
              <w:t>建议</w:t>
            </w:r>
            <w:r>
              <w:rPr>
                <w:sz w:val="24"/>
              </w:rPr>
              <w:t>施工过程中在施工场地上设置专人负责建筑垃圾处置、清运，不允许现场乱堆放。及时清理场地，改善施工场地的环境。</w:t>
            </w:r>
          </w:p>
          <w:p>
            <w:pPr>
              <w:numPr>
                <w:ilvl w:val="0"/>
                <w:numId w:val="6"/>
              </w:numPr>
              <w:autoSpaceDN w:val="0"/>
              <w:spacing w:line="360" w:lineRule="auto"/>
              <w:rPr>
                <w:bCs/>
                <w:sz w:val="24"/>
              </w:rPr>
            </w:pPr>
            <w:r>
              <w:rPr>
                <w:bCs/>
                <w:sz w:val="24"/>
              </w:rPr>
              <w:t>粗放施工造成的建筑扬尘</w:t>
            </w:r>
          </w:p>
          <w:p>
            <w:pPr>
              <w:widowControl/>
              <w:spacing w:line="360" w:lineRule="auto"/>
              <w:ind w:firstLine="480"/>
              <w:rPr>
                <w:kern w:val="0"/>
                <w:sz w:val="24"/>
              </w:rPr>
            </w:pPr>
            <w:r>
              <w:rPr>
                <w:kern w:val="0"/>
                <w:sz w:val="24"/>
              </w:rPr>
              <w:t>施工期的扬尘属无组织排放，其产生量与施工范围、方式方法、土壤干湿度、气象等诸多因素有关，是一个复杂较难定量的问题。本项目采用类比方法对环境空气影响进行分析。</w:t>
            </w:r>
          </w:p>
          <w:p>
            <w:pPr>
              <w:widowControl/>
              <w:spacing w:line="360" w:lineRule="auto"/>
              <w:ind w:firstLine="480"/>
              <w:rPr>
                <w:kern w:val="0"/>
                <w:sz w:val="24"/>
              </w:rPr>
            </w:pPr>
            <w:r>
              <w:rPr>
                <w:kern w:val="0"/>
                <w:sz w:val="24"/>
              </w:rPr>
              <w:t>借助风力，扬尘在施工现场使空气环境中的总悬浮颗粒物（TSP）增加，造成一定范围内环境空气总悬浮颗粒物的超标。根据北京市环境科学研究院曾对7个建筑工程工地施工扬尘进行的测定，以及其它同类建筑施工现场扬尘污染实测资料表明：①当风速为2.4m/s时，建筑施工扬尘污染严重，工地内TSP浓度为上风向对照点的1.5~2.3倍，平均1.88倍，相当于GB3095-2002《环境空气质量标准》中二级标准限值的1.4~2.5倍，平均1.98倍；②建筑施工扬尘的影响范围为其下风向150m之内，被影响地区的TSP浓度平均值为0.491mg/m</w:t>
            </w:r>
            <w:r>
              <w:rPr>
                <w:kern w:val="0"/>
                <w:sz w:val="24"/>
                <w:vertAlign w:val="superscript"/>
              </w:rPr>
              <w:t>3</w:t>
            </w:r>
            <w:r>
              <w:rPr>
                <w:kern w:val="0"/>
                <w:sz w:val="24"/>
              </w:rPr>
              <w:t>，为上风向对照点的1.5倍，相当于GB3095-2002《环境空气质量标准》中二级标准限值的1.6倍。</w:t>
            </w:r>
          </w:p>
          <w:p>
            <w:pPr>
              <w:autoSpaceDN w:val="0"/>
              <w:spacing w:line="360" w:lineRule="auto"/>
              <w:ind w:firstLine="480" w:firstLineChars="200"/>
              <w:rPr>
                <w:color w:val="auto"/>
                <w:kern w:val="0"/>
                <w:sz w:val="24"/>
              </w:rPr>
            </w:pPr>
            <w:r>
              <w:rPr>
                <w:color w:val="auto"/>
                <w:kern w:val="0"/>
                <w:sz w:val="24"/>
              </w:rPr>
              <w:t>根据</w:t>
            </w:r>
            <w:r>
              <w:rPr>
                <w:rFonts w:hint="eastAsia"/>
                <w:color w:val="auto"/>
                <w:kern w:val="0"/>
                <w:sz w:val="24"/>
                <w:lang w:eastAsia="zh-CN"/>
              </w:rPr>
              <w:t>铜川市</w:t>
            </w:r>
            <w:r>
              <w:rPr>
                <w:color w:val="auto"/>
                <w:kern w:val="0"/>
                <w:sz w:val="24"/>
              </w:rPr>
              <w:t>气象资料，</w:t>
            </w:r>
            <w:r>
              <w:rPr>
                <w:rFonts w:hint="eastAsia"/>
                <w:color w:val="auto"/>
                <w:kern w:val="0"/>
                <w:sz w:val="24"/>
                <w:lang w:eastAsia="zh-CN"/>
              </w:rPr>
              <w:t>宜君县</w:t>
            </w:r>
            <w:r>
              <w:rPr>
                <w:color w:val="auto"/>
                <w:kern w:val="0"/>
                <w:sz w:val="24"/>
              </w:rPr>
              <w:t>年平均风速为</w:t>
            </w:r>
            <w:r>
              <w:rPr>
                <w:rFonts w:hint="eastAsia"/>
                <w:color w:val="auto"/>
                <w:kern w:val="0"/>
                <w:sz w:val="24"/>
                <w:lang w:val="en-US" w:eastAsia="zh-CN"/>
              </w:rPr>
              <w:t>2.5</w:t>
            </w:r>
            <w:r>
              <w:rPr>
                <w:color w:val="auto"/>
                <w:kern w:val="0"/>
                <w:sz w:val="24"/>
              </w:rPr>
              <w:t>m/s。本项目施工现场产生的扬尘影响类似于北京市建筑工地，影响范围一般在项目区周边100~150m。</w:t>
            </w:r>
            <w:r>
              <w:rPr>
                <w:rFonts w:hint="eastAsia"/>
                <w:color w:val="auto"/>
                <w:kern w:val="0"/>
                <w:sz w:val="24"/>
                <w:lang w:eastAsia="zh-CN"/>
              </w:rPr>
              <w:t>距离本项目最近敏感点为项目东侧</w:t>
            </w:r>
            <w:r>
              <w:rPr>
                <w:rFonts w:hint="eastAsia"/>
                <w:color w:val="auto"/>
                <w:kern w:val="0"/>
                <w:sz w:val="24"/>
                <w:lang w:val="en-US" w:eastAsia="zh-CN"/>
              </w:rPr>
              <w:t>400m处石管子村，距离项目地较远，因此本项目对敏感点影响较小</w:t>
            </w:r>
            <w:r>
              <w:rPr>
                <w:color w:val="auto"/>
                <w:kern w:val="0"/>
                <w:sz w:val="24"/>
              </w:rPr>
              <w:t>。</w:t>
            </w:r>
          </w:p>
          <w:p>
            <w:pPr>
              <w:autoSpaceDN w:val="0"/>
              <w:spacing w:line="360" w:lineRule="auto"/>
              <w:ind w:firstLine="480" w:firstLineChars="200"/>
              <w:rPr>
                <w:bCs/>
                <w:sz w:val="24"/>
              </w:rPr>
            </w:pPr>
            <w:r>
              <w:rPr>
                <w:rFonts w:hint="eastAsia"/>
                <w:bCs/>
                <w:sz w:val="24"/>
                <w:lang w:eastAsia="zh-CN"/>
              </w:rPr>
              <w:t>③</w:t>
            </w:r>
            <w:r>
              <w:rPr>
                <w:bCs/>
                <w:sz w:val="24"/>
              </w:rPr>
              <w:t>道路扬尘</w:t>
            </w:r>
          </w:p>
          <w:p>
            <w:pPr>
              <w:autoSpaceDN w:val="0"/>
              <w:spacing w:line="360" w:lineRule="auto"/>
              <w:ind w:firstLine="480" w:firstLineChars="200"/>
              <w:rPr>
                <w:bCs/>
                <w:sz w:val="24"/>
              </w:rPr>
            </w:pPr>
            <w:r>
              <w:rPr>
                <w:bCs/>
                <w:sz w:val="24"/>
              </w:rPr>
              <w:t>物料运输过程中车辆沿途洒落于道路上的沙、土、灰、渣和建筑垃圾，以及沉积在道路上其它排放源排放的颗粒物，经来往车辆碾压后也会导致粒径较小的颗粒物进入空气，形成二次扬尘。据调查，一般施工场地道路往往为临时道路，如不及时采取路面硬化等措施，在施工物料、土石方运输过程会造成路面沉积颗粒物反复扬起、沉降，极易造成新的污染。</w:t>
            </w:r>
          </w:p>
          <w:p>
            <w:pPr>
              <w:autoSpaceDN w:val="0"/>
              <w:spacing w:line="360" w:lineRule="auto"/>
              <w:ind w:firstLine="480" w:firstLineChars="200"/>
              <w:rPr>
                <w:bCs/>
                <w:sz w:val="24"/>
              </w:rPr>
            </w:pPr>
            <w:r>
              <w:rPr>
                <w:bCs/>
                <w:sz w:val="24"/>
              </w:rPr>
              <w:t>有关调查资料显示，施工工地扬尘主要产生在运输车辆行驶过程，约占扬尘总量的60%，在完全干燥情况下，</w:t>
            </w:r>
            <w:r>
              <w:rPr>
                <w:kern w:val="0"/>
                <w:sz w:val="24"/>
              </w:rPr>
              <w:t>一辆10t卡车通过一段长度为1km路面时，不同路面清洁程度，不同行驶速度下的扬尘量</w:t>
            </w:r>
            <w:r>
              <w:rPr>
                <w:bCs/>
                <w:sz w:val="24"/>
              </w:rPr>
              <w:t>见表</w:t>
            </w:r>
            <w:r>
              <w:rPr>
                <w:rFonts w:hint="eastAsia"/>
                <w:bCs/>
                <w:sz w:val="24"/>
                <w:lang w:val="en-US" w:eastAsia="zh-CN"/>
              </w:rPr>
              <w:t>18</w:t>
            </w:r>
            <w:r>
              <w:rPr>
                <w:bCs/>
                <w:sz w:val="24"/>
              </w:rPr>
              <w:t>。</w:t>
            </w:r>
          </w:p>
          <w:p>
            <w:pPr>
              <w:pStyle w:val="10"/>
              <w:autoSpaceDN w:val="0"/>
              <w:ind w:left="-4" w:leftChars="-2" w:firstLine="361" w:firstLineChars="150"/>
              <w:jc w:val="center"/>
              <w:rPr>
                <w:b/>
                <w:sz w:val="24"/>
                <w:szCs w:val="32"/>
              </w:rPr>
            </w:pPr>
            <w:r>
              <w:rPr>
                <w:b/>
                <w:sz w:val="24"/>
                <w:szCs w:val="32"/>
              </w:rPr>
              <w:t>表</w:t>
            </w:r>
            <w:r>
              <w:rPr>
                <w:rFonts w:hint="eastAsia"/>
                <w:b/>
                <w:sz w:val="24"/>
                <w:szCs w:val="32"/>
                <w:lang w:val="en-US" w:eastAsia="zh-CN"/>
              </w:rPr>
              <w:t>18</w:t>
            </w:r>
            <w:r>
              <w:rPr>
                <w:b/>
                <w:sz w:val="24"/>
                <w:szCs w:val="32"/>
              </w:rPr>
              <w:t xml:space="preserve">  不同车速和地面清洁程度的汽车扬尘  单位：kg/辆·km</w:t>
            </w:r>
          </w:p>
          <w:tbl>
            <w:tblPr>
              <w:tblStyle w:val="34"/>
              <w:tblW w:w="8984"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898"/>
              <w:gridCol w:w="1180"/>
              <w:gridCol w:w="1181"/>
              <w:gridCol w:w="1181"/>
              <w:gridCol w:w="1182"/>
              <w:gridCol w:w="1181"/>
              <w:gridCol w:w="118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80" w:hRule="atLeast"/>
              </w:trPr>
              <w:tc>
                <w:tcPr>
                  <w:tcW w:w="1898" w:type="dxa"/>
                  <w:tcBorders>
                    <w:top w:val="single" w:color="auto" w:sz="12" w:space="0"/>
                    <w:bottom w:val="single" w:color="auto" w:sz="2" w:space="0"/>
                    <w:tl2br w:val="single" w:color="auto" w:sz="2" w:space="0"/>
                  </w:tcBorders>
                  <w:vAlign w:val="center"/>
                </w:tcPr>
                <w:p>
                  <w:pPr>
                    <w:autoSpaceDN w:val="0"/>
                    <w:spacing w:line="280" w:lineRule="exact"/>
                    <w:ind w:firstLine="630" w:firstLineChars="300"/>
                    <w:rPr>
                      <w:kern w:val="0"/>
                      <w:szCs w:val="21"/>
                    </w:rPr>
                  </w:pPr>
                  <w:r>
                    <w:rPr>
                      <w:kern w:val="0"/>
                      <w:szCs w:val="21"/>
                    </w:rPr>
                    <w:t>路表粉尘量</w:t>
                  </w:r>
                </w:p>
                <w:p>
                  <w:pPr>
                    <w:autoSpaceDN w:val="0"/>
                    <w:spacing w:line="280" w:lineRule="exact"/>
                    <w:rPr>
                      <w:kern w:val="0"/>
                      <w:szCs w:val="21"/>
                    </w:rPr>
                  </w:pPr>
                  <w:r>
                    <w:rPr>
                      <w:kern w:val="0"/>
                      <w:szCs w:val="21"/>
                    </w:rPr>
                    <w:t>车速</w:t>
                  </w:r>
                </w:p>
              </w:tc>
              <w:tc>
                <w:tcPr>
                  <w:tcW w:w="1180" w:type="dxa"/>
                  <w:vAlign w:val="center"/>
                </w:tcPr>
                <w:p>
                  <w:pPr>
                    <w:autoSpaceDN w:val="0"/>
                    <w:spacing w:line="280" w:lineRule="exact"/>
                    <w:jc w:val="center"/>
                    <w:rPr>
                      <w:kern w:val="0"/>
                      <w:szCs w:val="21"/>
                    </w:rPr>
                  </w:pPr>
                  <w:r>
                    <w:rPr>
                      <w:kern w:val="0"/>
                      <w:szCs w:val="21"/>
                    </w:rPr>
                    <w:t>0.1</w:t>
                  </w:r>
                </w:p>
                <w:p>
                  <w:pPr>
                    <w:autoSpaceDN w:val="0"/>
                    <w:spacing w:line="280" w:lineRule="exact"/>
                    <w:jc w:val="center"/>
                    <w:rPr>
                      <w:kern w:val="0"/>
                      <w:szCs w:val="21"/>
                    </w:rPr>
                  </w:pPr>
                  <w:r>
                    <w:rPr>
                      <w:kern w:val="0"/>
                      <w:szCs w:val="21"/>
                    </w:rPr>
                    <w:t>(kg/m</w:t>
                  </w:r>
                  <w:r>
                    <w:rPr>
                      <w:kern w:val="0"/>
                      <w:szCs w:val="21"/>
                      <w:vertAlign w:val="superscript"/>
                    </w:rPr>
                    <w:t>2</w:t>
                  </w:r>
                  <w:r>
                    <w:rPr>
                      <w:kern w:val="0"/>
                      <w:szCs w:val="21"/>
                    </w:rPr>
                    <w:t>)</w:t>
                  </w:r>
                </w:p>
              </w:tc>
              <w:tc>
                <w:tcPr>
                  <w:tcW w:w="1181" w:type="dxa"/>
                  <w:vAlign w:val="center"/>
                </w:tcPr>
                <w:p>
                  <w:pPr>
                    <w:autoSpaceDN w:val="0"/>
                    <w:spacing w:line="280" w:lineRule="exact"/>
                    <w:jc w:val="center"/>
                    <w:rPr>
                      <w:kern w:val="0"/>
                      <w:szCs w:val="21"/>
                    </w:rPr>
                  </w:pPr>
                  <w:r>
                    <w:rPr>
                      <w:kern w:val="0"/>
                      <w:szCs w:val="21"/>
                    </w:rPr>
                    <w:t>0.2</w:t>
                  </w:r>
                </w:p>
                <w:p>
                  <w:pPr>
                    <w:autoSpaceDN w:val="0"/>
                    <w:spacing w:line="280" w:lineRule="exact"/>
                    <w:jc w:val="center"/>
                    <w:rPr>
                      <w:kern w:val="0"/>
                      <w:szCs w:val="21"/>
                    </w:rPr>
                  </w:pPr>
                  <w:r>
                    <w:rPr>
                      <w:kern w:val="0"/>
                      <w:szCs w:val="21"/>
                    </w:rPr>
                    <w:t>(kg/m</w:t>
                  </w:r>
                  <w:r>
                    <w:rPr>
                      <w:kern w:val="0"/>
                      <w:szCs w:val="21"/>
                      <w:vertAlign w:val="superscript"/>
                    </w:rPr>
                    <w:t>2</w:t>
                  </w:r>
                  <w:r>
                    <w:rPr>
                      <w:kern w:val="0"/>
                      <w:szCs w:val="21"/>
                    </w:rPr>
                    <w:t>)</w:t>
                  </w:r>
                </w:p>
              </w:tc>
              <w:tc>
                <w:tcPr>
                  <w:tcW w:w="1181" w:type="dxa"/>
                  <w:vAlign w:val="center"/>
                </w:tcPr>
                <w:p>
                  <w:pPr>
                    <w:autoSpaceDN w:val="0"/>
                    <w:spacing w:line="280" w:lineRule="exact"/>
                    <w:jc w:val="center"/>
                    <w:rPr>
                      <w:kern w:val="0"/>
                      <w:szCs w:val="21"/>
                    </w:rPr>
                  </w:pPr>
                  <w:r>
                    <w:rPr>
                      <w:kern w:val="0"/>
                      <w:szCs w:val="21"/>
                    </w:rPr>
                    <w:t>0.3</w:t>
                  </w:r>
                </w:p>
                <w:p>
                  <w:pPr>
                    <w:autoSpaceDN w:val="0"/>
                    <w:spacing w:line="280" w:lineRule="exact"/>
                    <w:jc w:val="center"/>
                    <w:rPr>
                      <w:kern w:val="0"/>
                      <w:szCs w:val="21"/>
                    </w:rPr>
                  </w:pPr>
                  <w:r>
                    <w:rPr>
                      <w:kern w:val="0"/>
                      <w:szCs w:val="21"/>
                    </w:rPr>
                    <w:t>(kg/m</w:t>
                  </w:r>
                  <w:r>
                    <w:rPr>
                      <w:kern w:val="0"/>
                      <w:szCs w:val="21"/>
                      <w:vertAlign w:val="superscript"/>
                    </w:rPr>
                    <w:t>2</w:t>
                  </w:r>
                  <w:r>
                    <w:rPr>
                      <w:kern w:val="0"/>
                      <w:szCs w:val="21"/>
                    </w:rPr>
                    <w:t>)</w:t>
                  </w:r>
                </w:p>
              </w:tc>
              <w:tc>
                <w:tcPr>
                  <w:tcW w:w="1182" w:type="dxa"/>
                  <w:vAlign w:val="center"/>
                </w:tcPr>
                <w:p>
                  <w:pPr>
                    <w:autoSpaceDN w:val="0"/>
                    <w:spacing w:line="280" w:lineRule="exact"/>
                    <w:jc w:val="center"/>
                    <w:rPr>
                      <w:kern w:val="0"/>
                      <w:szCs w:val="21"/>
                    </w:rPr>
                  </w:pPr>
                  <w:r>
                    <w:rPr>
                      <w:kern w:val="0"/>
                      <w:szCs w:val="21"/>
                    </w:rPr>
                    <w:t>0.4</w:t>
                  </w:r>
                </w:p>
                <w:p>
                  <w:pPr>
                    <w:autoSpaceDN w:val="0"/>
                    <w:spacing w:line="280" w:lineRule="exact"/>
                    <w:jc w:val="center"/>
                    <w:rPr>
                      <w:kern w:val="0"/>
                      <w:szCs w:val="21"/>
                    </w:rPr>
                  </w:pPr>
                  <w:r>
                    <w:rPr>
                      <w:kern w:val="0"/>
                      <w:szCs w:val="21"/>
                    </w:rPr>
                    <w:t>(kg/m</w:t>
                  </w:r>
                  <w:r>
                    <w:rPr>
                      <w:kern w:val="0"/>
                      <w:szCs w:val="21"/>
                      <w:vertAlign w:val="superscript"/>
                    </w:rPr>
                    <w:t>2</w:t>
                  </w:r>
                  <w:r>
                    <w:rPr>
                      <w:kern w:val="0"/>
                      <w:szCs w:val="21"/>
                    </w:rPr>
                    <w:t>)</w:t>
                  </w:r>
                </w:p>
              </w:tc>
              <w:tc>
                <w:tcPr>
                  <w:tcW w:w="1181" w:type="dxa"/>
                  <w:vAlign w:val="center"/>
                </w:tcPr>
                <w:p>
                  <w:pPr>
                    <w:autoSpaceDN w:val="0"/>
                    <w:spacing w:line="280" w:lineRule="exact"/>
                    <w:jc w:val="center"/>
                    <w:rPr>
                      <w:kern w:val="0"/>
                      <w:szCs w:val="21"/>
                    </w:rPr>
                  </w:pPr>
                  <w:r>
                    <w:rPr>
                      <w:kern w:val="0"/>
                      <w:szCs w:val="21"/>
                    </w:rPr>
                    <w:t>0.5</w:t>
                  </w:r>
                </w:p>
                <w:p>
                  <w:pPr>
                    <w:autoSpaceDN w:val="0"/>
                    <w:spacing w:line="280" w:lineRule="exact"/>
                    <w:jc w:val="center"/>
                    <w:rPr>
                      <w:kern w:val="0"/>
                      <w:szCs w:val="21"/>
                    </w:rPr>
                  </w:pPr>
                  <w:r>
                    <w:rPr>
                      <w:kern w:val="0"/>
                      <w:szCs w:val="21"/>
                    </w:rPr>
                    <w:t>(kg/m</w:t>
                  </w:r>
                  <w:r>
                    <w:rPr>
                      <w:kern w:val="0"/>
                      <w:szCs w:val="21"/>
                      <w:vertAlign w:val="superscript"/>
                    </w:rPr>
                    <w:t>2</w:t>
                  </w:r>
                  <w:r>
                    <w:rPr>
                      <w:kern w:val="0"/>
                      <w:szCs w:val="21"/>
                    </w:rPr>
                    <w:t>)</w:t>
                  </w:r>
                </w:p>
              </w:tc>
              <w:tc>
                <w:tcPr>
                  <w:tcW w:w="1181" w:type="dxa"/>
                  <w:vAlign w:val="center"/>
                </w:tcPr>
                <w:p>
                  <w:pPr>
                    <w:autoSpaceDN w:val="0"/>
                    <w:spacing w:line="280" w:lineRule="exact"/>
                    <w:jc w:val="center"/>
                    <w:rPr>
                      <w:kern w:val="0"/>
                      <w:szCs w:val="21"/>
                    </w:rPr>
                  </w:pPr>
                  <w:r>
                    <w:rPr>
                      <w:kern w:val="0"/>
                      <w:szCs w:val="21"/>
                    </w:rPr>
                    <w:t>1.0</w:t>
                  </w:r>
                </w:p>
                <w:p>
                  <w:pPr>
                    <w:autoSpaceDN w:val="0"/>
                    <w:spacing w:line="280" w:lineRule="exact"/>
                    <w:jc w:val="center"/>
                    <w:rPr>
                      <w:kern w:val="0"/>
                      <w:szCs w:val="21"/>
                    </w:rPr>
                  </w:pPr>
                  <w:r>
                    <w:rPr>
                      <w:kern w:val="0"/>
                      <w:szCs w:val="21"/>
                    </w:rPr>
                    <w:t>(kg/m</w:t>
                  </w:r>
                  <w:r>
                    <w:rPr>
                      <w:kern w:val="0"/>
                      <w:szCs w:val="21"/>
                      <w:vertAlign w:val="superscript"/>
                    </w:rPr>
                    <w:t>2</w:t>
                  </w:r>
                  <w:r>
                    <w:rPr>
                      <w:kern w:val="0"/>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110" w:hRule="atLeast"/>
              </w:trPr>
              <w:tc>
                <w:tcPr>
                  <w:tcW w:w="1898" w:type="dxa"/>
                  <w:tcBorders>
                    <w:top w:val="single" w:color="auto" w:sz="2" w:space="0"/>
                  </w:tcBorders>
                  <w:vAlign w:val="center"/>
                </w:tcPr>
                <w:p>
                  <w:pPr>
                    <w:autoSpaceDN w:val="0"/>
                    <w:spacing w:line="280" w:lineRule="exact"/>
                    <w:jc w:val="center"/>
                    <w:rPr>
                      <w:kern w:val="0"/>
                      <w:szCs w:val="21"/>
                    </w:rPr>
                  </w:pPr>
                  <w:r>
                    <w:rPr>
                      <w:kern w:val="0"/>
                      <w:szCs w:val="21"/>
                    </w:rPr>
                    <w:t>5</w:t>
                  </w:r>
                  <w:r>
                    <w:rPr>
                      <w:kern w:val="0"/>
                      <w:szCs w:val="21"/>
                      <w:lang w:val="en-GB"/>
                    </w:rPr>
                    <w:t>（</w:t>
                  </w:r>
                  <w:r>
                    <w:rPr>
                      <w:kern w:val="0"/>
                      <w:szCs w:val="21"/>
                    </w:rPr>
                    <w:t>km/h</w:t>
                  </w:r>
                  <w:r>
                    <w:rPr>
                      <w:kern w:val="0"/>
                      <w:szCs w:val="21"/>
                      <w:lang w:val="en-GB"/>
                    </w:rPr>
                    <w:t>）</w:t>
                  </w:r>
                </w:p>
              </w:tc>
              <w:tc>
                <w:tcPr>
                  <w:tcW w:w="1180" w:type="dxa"/>
                  <w:vAlign w:val="center"/>
                </w:tcPr>
                <w:p>
                  <w:pPr>
                    <w:autoSpaceDN w:val="0"/>
                    <w:spacing w:line="280" w:lineRule="exact"/>
                    <w:jc w:val="center"/>
                    <w:rPr>
                      <w:kern w:val="0"/>
                      <w:szCs w:val="21"/>
                    </w:rPr>
                  </w:pPr>
                  <w:r>
                    <w:rPr>
                      <w:kern w:val="0"/>
                      <w:szCs w:val="21"/>
                    </w:rPr>
                    <w:t>0.051</w:t>
                  </w:r>
                </w:p>
              </w:tc>
              <w:tc>
                <w:tcPr>
                  <w:tcW w:w="1181" w:type="dxa"/>
                  <w:vAlign w:val="center"/>
                </w:tcPr>
                <w:p>
                  <w:pPr>
                    <w:autoSpaceDN w:val="0"/>
                    <w:spacing w:line="280" w:lineRule="exact"/>
                    <w:jc w:val="center"/>
                    <w:rPr>
                      <w:kern w:val="0"/>
                      <w:szCs w:val="21"/>
                    </w:rPr>
                  </w:pPr>
                  <w:r>
                    <w:rPr>
                      <w:kern w:val="0"/>
                      <w:szCs w:val="21"/>
                    </w:rPr>
                    <w:t>0.086</w:t>
                  </w:r>
                </w:p>
              </w:tc>
              <w:tc>
                <w:tcPr>
                  <w:tcW w:w="1181" w:type="dxa"/>
                  <w:vAlign w:val="center"/>
                </w:tcPr>
                <w:p>
                  <w:pPr>
                    <w:autoSpaceDN w:val="0"/>
                    <w:spacing w:line="280" w:lineRule="exact"/>
                    <w:jc w:val="center"/>
                    <w:rPr>
                      <w:kern w:val="0"/>
                      <w:szCs w:val="21"/>
                    </w:rPr>
                  </w:pPr>
                  <w:r>
                    <w:rPr>
                      <w:kern w:val="0"/>
                      <w:szCs w:val="21"/>
                    </w:rPr>
                    <w:t>0.116</w:t>
                  </w:r>
                </w:p>
              </w:tc>
              <w:tc>
                <w:tcPr>
                  <w:tcW w:w="1182" w:type="dxa"/>
                  <w:vAlign w:val="center"/>
                </w:tcPr>
                <w:p>
                  <w:pPr>
                    <w:autoSpaceDN w:val="0"/>
                    <w:spacing w:line="280" w:lineRule="exact"/>
                    <w:jc w:val="center"/>
                    <w:rPr>
                      <w:kern w:val="0"/>
                      <w:szCs w:val="21"/>
                    </w:rPr>
                  </w:pPr>
                  <w:r>
                    <w:rPr>
                      <w:kern w:val="0"/>
                      <w:szCs w:val="21"/>
                    </w:rPr>
                    <w:t>0.144</w:t>
                  </w:r>
                </w:p>
              </w:tc>
              <w:tc>
                <w:tcPr>
                  <w:tcW w:w="1181" w:type="dxa"/>
                  <w:vAlign w:val="center"/>
                </w:tcPr>
                <w:p>
                  <w:pPr>
                    <w:autoSpaceDN w:val="0"/>
                    <w:spacing w:line="280" w:lineRule="exact"/>
                    <w:jc w:val="center"/>
                    <w:rPr>
                      <w:kern w:val="0"/>
                      <w:szCs w:val="21"/>
                    </w:rPr>
                  </w:pPr>
                  <w:r>
                    <w:rPr>
                      <w:kern w:val="0"/>
                      <w:szCs w:val="21"/>
                    </w:rPr>
                    <w:t>0.171</w:t>
                  </w:r>
                </w:p>
              </w:tc>
              <w:tc>
                <w:tcPr>
                  <w:tcW w:w="1181" w:type="dxa"/>
                  <w:vAlign w:val="center"/>
                </w:tcPr>
                <w:p>
                  <w:pPr>
                    <w:autoSpaceDN w:val="0"/>
                    <w:spacing w:line="280" w:lineRule="exact"/>
                    <w:jc w:val="center"/>
                    <w:rPr>
                      <w:kern w:val="0"/>
                      <w:szCs w:val="21"/>
                    </w:rPr>
                  </w:pPr>
                  <w:r>
                    <w:rPr>
                      <w:kern w:val="0"/>
                      <w:szCs w:val="21"/>
                    </w:rPr>
                    <w:t>0.287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110" w:hRule="atLeast"/>
              </w:trPr>
              <w:tc>
                <w:tcPr>
                  <w:tcW w:w="1898" w:type="dxa"/>
                  <w:vAlign w:val="center"/>
                </w:tcPr>
                <w:p>
                  <w:pPr>
                    <w:autoSpaceDN w:val="0"/>
                    <w:spacing w:line="280" w:lineRule="exact"/>
                    <w:jc w:val="center"/>
                    <w:rPr>
                      <w:kern w:val="0"/>
                      <w:szCs w:val="21"/>
                    </w:rPr>
                  </w:pPr>
                  <w:r>
                    <w:rPr>
                      <w:kern w:val="0"/>
                      <w:szCs w:val="21"/>
                    </w:rPr>
                    <w:t>10</w:t>
                  </w:r>
                  <w:r>
                    <w:rPr>
                      <w:kern w:val="0"/>
                      <w:szCs w:val="21"/>
                      <w:lang w:val="en-GB"/>
                    </w:rPr>
                    <w:t>（</w:t>
                  </w:r>
                  <w:r>
                    <w:rPr>
                      <w:kern w:val="0"/>
                      <w:szCs w:val="21"/>
                    </w:rPr>
                    <w:t>km/h</w:t>
                  </w:r>
                  <w:r>
                    <w:rPr>
                      <w:kern w:val="0"/>
                      <w:szCs w:val="21"/>
                      <w:lang w:val="en-GB"/>
                    </w:rPr>
                    <w:t>）</w:t>
                  </w:r>
                </w:p>
              </w:tc>
              <w:tc>
                <w:tcPr>
                  <w:tcW w:w="1180" w:type="dxa"/>
                  <w:vAlign w:val="center"/>
                </w:tcPr>
                <w:p>
                  <w:pPr>
                    <w:autoSpaceDN w:val="0"/>
                    <w:spacing w:line="280" w:lineRule="exact"/>
                    <w:jc w:val="center"/>
                    <w:rPr>
                      <w:kern w:val="0"/>
                      <w:szCs w:val="21"/>
                    </w:rPr>
                  </w:pPr>
                  <w:r>
                    <w:rPr>
                      <w:kern w:val="0"/>
                      <w:szCs w:val="21"/>
                    </w:rPr>
                    <w:t>0.102</w:t>
                  </w:r>
                </w:p>
              </w:tc>
              <w:tc>
                <w:tcPr>
                  <w:tcW w:w="1181" w:type="dxa"/>
                  <w:vAlign w:val="center"/>
                </w:tcPr>
                <w:p>
                  <w:pPr>
                    <w:autoSpaceDN w:val="0"/>
                    <w:spacing w:line="280" w:lineRule="exact"/>
                    <w:jc w:val="center"/>
                    <w:rPr>
                      <w:kern w:val="0"/>
                      <w:szCs w:val="21"/>
                    </w:rPr>
                  </w:pPr>
                  <w:r>
                    <w:rPr>
                      <w:kern w:val="0"/>
                      <w:szCs w:val="21"/>
                    </w:rPr>
                    <w:t>0.172</w:t>
                  </w:r>
                </w:p>
              </w:tc>
              <w:tc>
                <w:tcPr>
                  <w:tcW w:w="1181" w:type="dxa"/>
                  <w:vAlign w:val="center"/>
                </w:tcPr>
                <w:p>
                  <w:pPr>
                    <w:autoSpaceDN w:val="0"/>
                    <w:spacing w:line="280" w:lineRule="exact"/>
                    <w:jc w:val="center"/>
                    <w:rPr>
                      <w:kern w:val="0"/>
                      <w:szCs w:val="21"/>
                    </w:rPr>
                  </w:pPr>
                  <w:r>
                    <w:rPr>
                      <w:kern w:val="0"/>
                      <w:szCs w:val="21"/>
                    </w:rPr>
                    <w:t>0.233</w:t>
                  </w:r>
                </w:p>
              </w:tc>
              <w:tc>
                <w:tcPr>
                  <w:tcW w:w="1182" w:type="dxa"/>
                  <w:vAlign w:val="center"/>
                </w:tcPr>
                <w:p>
                  <w:pPr>
                    <w:autoSpaceDN w:val="0"/>
                    <w:spacing w:line="280" w:lineRule="exact"/>
                    <w:jc w:val="center"/>
                    <w:rPr>
                      <w:kern w:val="0"/>
                      <w:szCs w:val="21"/>
                    </w:rPr>
                  </w:pPr>
                  <w:r>
                    <w:rPr>
                      <w:kern w:val="0"/>
                      <w:szCs w:val="21"/>
                    </w:rPr>
                    <w:t>0.289</w:t>
                  </w:r>
                </w:p>
              </w:tc>
              <w:tc>
                <w:tcPr>
                  <w:tcW w:w="1181" w:type="dxa"/>
                  <w:vAlign w:val="center"/>
                </w:tcPr>
                <w:p>
                  <w:pPr>
                    <w:autoSpaceDN w:val="0"/>
                    <w:spacing w:line="280" w:lineRule="exact"/>
                    <w:jc w:val="center"/>
                    <w:rPr>
                      <w:kern w:val="0"/>
                      <w:szCs w:val="21"/>
                    </w:rPr>
                  </w:pPr>
                  <w:r>
                    <w:rPr>
                      <w:kern w:val="0"/>
                      <w:szCs w:val="21"/>
                    </w:rPr>
                    <w:t>0.341</w:t>
                  </w:r>
                </w:p>
              </w:tc>
              <w:tc>
                <w:tcPr>
                  <w:tcW w:w="1181" w:type="dxa"/>
                  <w:vAlign w:val="center"/>
                </w:tcPr>
                <w:p>
                  <w:pPr>
                    <w:autoSpaceDN w:val="0"/>
                    <w:spacing w:line="280" w:lineRule="exact"/>
                    <w:jc w:val="center"/>
                    <w:rPr>
                      <w:kern w:val="0"/>
                      <w:szCs w:val="21"/>
                    </w:rPr>
                  </w:pPr>
                  <w:r>
                    <w:rPr>
                      <w:kern w:val="0"/>
                      <w:szCs w:val="21"/>
                    </w:rPr>
                    <w:t>0.574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137" w:hRule="atLeast"/>
              </w:trPr>
              <w:tc>
                <w:tcPr>
                  <w:tcW w:w="1898" w:type="dxa"/>
                  <w:vAlign w:val="center"/>
                </w:tcPr>
                <w:p>
                  <w:pPr>
                    <w:autoSpaceDN w:val="0"/>
                    <w:spacing w:line="280" w:lineRule="exact"/>
                    <w:jc w:val="center"/>
                    <w:rPr>
                      <w:kern w:val="0"/>
                      <w:szCs w:val="21"/>
                    </w:rPr>
                  </w:pPr>
                  <w:r>
                    <w:rPr>
                      <w:kern w:val="0"/>
                      <w:szCs w:val="21"/>
                    </w:rPr>
                    <w:t>15</w:t>
                  </w:r>
                  <w:r>
                    <w:rPr>
                      <w:kern w:val="0"/>
                      <w:szCs w:val="21"/>
                      <w:lang w:val="en-GB"/>
                    </w:rPr>
                    <w:t>（</w:t>
                  </w:r>
                  <w:r>
                    <w:rPr>
                      <w:kern w:val="0"/>
                      <w:szCs w:val="21"/>
                    </w:rPr>
                    <w:t>km/h</w:t>
                  </w:r>
                  <w:r>
                    <w:rPr>
                      <w:kern w:val="0"/>
                      <w:szCs w:val="21"/>
                      <w:lang w:val="en-GB"/>
                    </w:rPr>
                    <w:t>）</w:t>
                  </w:r>
                </w:p>
              </w:tc>
              <w:tc>
                <w:tcPr>
                  <w:tcW w:w="1180" w:type="dxa"/>
                  <w:vAlign w:val="center"/>
                </w:tcPr>
                <w:p>
                  <w:pPr>
                    <w:autoSpaceDN w:val="0"/>
                    <w:spacing w:line="280" w:lineRule="exact"/>
                    <w:jc w:val="center"/>
                    <w:rPr>
                      <w:kern w:val="0"/>
                      <w:szCs w:val="21"/>
                    </w:rPr>
                  </w:pPr>
                  <w:r>
                    <w:rPr>
                      <w:kern w:val="0"/>
                      <w:szCs w:val="21"/>
                    </w:rPr>
                    <w:t>0.153</w:t>
                  </w:r>
                </w:p>
              </w:tc>
              <w:tc>
                <w:tcPr>
                  <w:tcW w:w="1181" w:type="dxa"/>
                  <w:vAlign w:val="center"/>
                </w:tcPr>
                <w:p>
                  <w:pPr>
                    <w:autoSpaceDN w:val="0"/>
                    <w:spacing w:line="280" w:lineRule="exact"/>
                    <w:jc w:val="center"/>
                    <w:rPr>
                      <w:kern w:val="0"/>
                      <w:szCs w:val="21"/>
                    </w:rPr>
                  </w:pPr>
                  <w:r>
                    <w:rPr>
                      <w:kern w:val="0"/>
                      <w:szCs w:val="21"/>
                    </w:rPr>
                    <w:t>0.258</w:t>
                  </w:r>
                </w:p>
              </w:tc>
              <w:tc>
                <w:tcPr>
                  <w:tcW w:w="1181" w:type="dxa"/>
                  <w:vAlign w:val="center"/>
                </w:tcPr>
                <w:p>
                  <w:pPr>
                    <w:autoSpaceDN w:val="0"/>
                    <w:spacing w:line="280" w:lineRule="exact"/>
                    <w:jc w:val="center"/>
                    <w:rPr>
                      <w:kern w:val="0"/>
                      <w:szCs w:val="21"/>
                    </w:rPr>
                  </w:pPr>
                  <w:r>
                    <w:rPr>
                      <w:kern w:val="0"/>
                      <w:szCs w:val="21"/>
                    </w:rPr>
                    <w:t>0.349</w:t>
                  </w:r>
                </w:p>
              </w:tc>
              <w:tc>
                <w:tcPr>
                  <w:tcW w:w="1182" w:type="dxa"/>
                  <w:vAlign w:val="center"/>
                </w:tcPr>
                <w:p>
                  <w:pPr>
                    <w:autoSpaceDN w:val="0"/>
                    <w:spacing w:line="280" w:lineRule="exact"/>
                    <w:jc w:val="center"/>
                    <w:rPr>
                      <w:kern w:val="0"/>
                      <w:szCs w:val="21"/>
                    </w:rPr>
                  </w:pPr>
                  <w:r>
                    <w:rPr>
                      <w:kern w:val="0"/>
                      <w:szCs w:val="21"/>
                    </w:rPr>
                    <w:t>0.433</w:t>
                  </w:r>
                </w:p>
              </w:tc>
              <w:tc>
                <w:tcPr>
                  <w:tcW w:w="1181" w:type="dxa"/>
                  <w:vAlign w:val="center"/>
                </w:tcPr>
                <w:p>
                  <w:pPr>
                    <w:autoSpaceDN w:val="0"/>
                    <w:spacing w:line="280" w:lineRule="exact"/>
                    <w:jc w:val="center"/>
                    <w:rPr>
                      <w:kern w:val="0"/>
                      <w:szCs w:val="21"/>
                    </w:rPr>
                  </w:pPr>
                  <w:r>
                    <w:rPr>
                      <w:kern w:val="0"/>
                      <w:szCs w:val="21"/>
                    </w:rPr>
                    <w:t>0.512</w:t>
                  </w:r>
                </w:p>
              </w:tc>
              <w:tc>
                <w:tcPr>
                  <w:tcW w:w="1181" w:type="dxa"/>
                  <w:vAlign w:val="center"/>
                </w:tcPr>
                <w:p>
                  <w:pPr>
                    <w:autoSpaceDN w:val="0"/>
                    <w:spacing w:line="280" w:lineRule="exact"/>
                    <w:jc w:val="center"/>
                    <w:rPr>
                      <w:kern w:val="0"/>
                      <w:szCs w:val="21"/>
                    </w:rPr>
                  </w:pPr>
                  <w:r>
                    <w:rPr>
                      <w:kern w:val="0"/>
                      <w:szCs w:val="21"/>
                    </w:rPr>
                    <w:t>0.861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137" w:hRule="atLeast"/>
              </w:trPr>
              <w:tc>
                <w:tcPr>
                  <w:tcW w:w="1898" w:type="dxa"/>
                  <w:vAlign w:val="center"/>
                </w:tcPr>
                <w:p>
                  <w:pPr>
                    <w:autoSpaceDN w:val="0"/>
                    <w:spacing w:line="280" w:lineRule="exact"/>
                    <w:jc w:val="center"/>
                    <w:rPr>
                      <w:kern w:val="0"/>
                      <w:szCs w:val="21"/>
                    </w:rPr>
                  </w:pPr>
                  <w:r>
                    <w:rPr>
                      <w:kern w:val="0"/>
                      <w:szCs w:val="21"/>
                    </w:rPr>
                    <w:t>25</w:t>
                  </w:r>
                  <w:r>
                    <w:rPr>
                      <w:kern w:val="0"/>
                      <w:szCs w:val="21"/>
                      <w:lang w:val="en-GB"/>
                    </w:rPr>
                    <w:t>（</w:t>
                  </w:r>
                  <w:r>
                    <w:rPr>
                      <w:kern w:val="0"/>
                      <w:szCs w:val="21"/>
                    </w:rPr>
                    <w:t>km/h</w:t>
                  </w:r>
                  <w:r>
                    <w:rPr>
                      <w:kern w:val="0"/>
                      <w:szCs w:val="21"/>
                      <w:lang w:val="en-GB"/>
                    </w:rPr>
                    <w:t>）</w:t>
                  </w:r>
                </w:p>
              </w:tc>
              <w:tc>
                <w:tcPr>
                  <w:tcW w:w="1180" w:type="dxa"/>
                  <w:vAlign w:val="center"/>
                </w:tcPr>
                <w:p>
                  <w:pPr>
                    <w:autoSpaceDN w:val="0"/>
                    <w:spacing w:line="280" w:lineRule="exact"/>
                    <w:jc w:val="center"/>
                    <w:rPr>
                      <w:kern w:val="0"/>
                      <w:szCs w:val="21"/>
                    </w:rPr>
                  </w:pPr>
                  <w:r>
                    <w:rPr>
                      <w:kern w:val="0"/>
                      <w:szCs w:val="21"/>
                    </w:rPr>
                    <w:t>0.255</w:t>
                  </w:r>
                </w:p>
              </w:tc>
              <w:tc>
                <w:tcPr>
                  <w:tcW w:w="1181" w:type="dxa"/>
                  <w:vAlign w:val="center"/>
                </w:tcPr>
                <w:p>
                  <w:pPr>
                    <w:autoSpaceDN w:val="0"/>
                    <w:spacing w:line="280" w:lineRule="exact"/>
                    <w:jc w:val="center"/>
                    <w:rPr>
                      <w:kern w:val="0"/>
                      <w:szCs w:val="21"/>
                    </w:rPr>
                  </w:pPr>
                  <w:r>
                    <w:rPr>
                      <w:kern w:val="0"/>
                      <w:szCs w:val="21"/>
                    </w:rPr>
                    <w:t>0.429</w:t>
                  </w:r>
                </w:p>
              </w:tc>
              <w:tc>
                <w:tcPr>
                  <w:tcW w:w="1181" w:type="dxa"/>
                  <w:vAlign w:val="center"/>
                </w:tcPr>
                <w:p>
                  <w:pPr>
                    <w:autoSpaceDN w:val="0"/>
                    <w:spacing w:line="280" w:lineRule="exact"/>
                    <w:jc w:val="center"/>
                    <w:rPr>
                      <w:kern w:val="0"/>
                      <w:szCs w:val="21"/>
                    </w:rPr>
                  </w:pPr>
                  <w:r>
                    <w:rPr>
                      <w:kern w:val="0"/>
                      <w:szCs w:val="21"/>
                    </w:rPr>
                    <w:t>0.582</w:t>
                  </w:r>
                </w:p>
              </w:tc>
              <w:tc>
                <w:tcPr>
                  <w:tcW w:w="1182" w:type="dxa"/>
                  <w:vAlign w:val="center"/>
                </w:tcPr>
                <w:p>
                  <w:pPr>
                    <w:autoSpaceDN w:val="0"/>
                    <w:spacing w:line="280" w:lineRule="exact"/>
                    <w:jc w:val="center"/>
                    <w:rPr>
                      <w:kern w:val="0"/>
                      <w:szCs w:val="21"/>
                    </w:rPr>
                  </w:pPr>
                  <w:r>
                    <w:rPr>
                      <w:kern w:val="0"/>
                      <w:szCs w:val="21"/>
                    </w:rPr>
                    <w:t>0.722</w:t>
                  </w:r>
                </w:p>
              </w:tc>
              <w:tc>
                <w:tcPr>
                  <w:tcW w:w="1181" w:type="dxa"/>
                  <w:vAlign w:val="center"/>
                </w:tcPr>
                <w:p>
                  <w:pPr>
                    <w:autoSpaceDN w:val="0"/>
                    <w:spacing w:line="280" w:lineRule="exact"/>
                    <w:jc w:val="center"/>
                    <w:rPr>
                      <w:kern w:val="0"/>
                      <w:szCs w:val="21"/>
                    </w:rPr>
                  </w:pPr>
                  <w:r>
                    <w:rPr>
                      <w:kern w:val="0"/>
                      <w:szCs w:val="21"/>
                    </w:rPr>
                    <w:t>0.854</w:t>
                  </w:r>
                </w:p>
              </w:tc>
              <w:tc>
                <w:tcPr>
                  <w:tcW w:w="1181" w:type="dxa"/>
                  <w:vAlign w:val="center"/>
                </w:tcPr>
                <w:p>
                  <w:pPr>
                    <w:autoSpaceDN w:val="0"/>
                    <w:spacing w:line="280" w:lineRule="exact"/>
                    <w:jc w:val="center"/>
                    <w:rPr>
                      <w:kern w:val="0"/>
                      <w:szCs w:val="21"/>
                    </w:rPr>
                  </w:pPr>
                  <w:r>
                    <w:rPr>
                      <w:kern w:val="0"/>
                      <w:szCs w:val="21"/>
                    </w:rPr>
                    <w:t>1.436</w:t>
                  </w:r>
                </w:p>
              </w:tc>
            </w:tr>
          </w:tbl>
          <w:p>
            <w:pPr>
              <w:pStyle w:val="58"/>
              <w:spacing w:line="360" w:lineRule="auto"/>
              <w:ind w:firstLine="480"/>
              <w:rPr>
                <w:sz w:val="24"/>
                <w:szCs w:val="24"/>
              </w:rPr>
            </w:pPr>
            <w:r>
              <w:rPr>
                <w:sz w:val="24"/>
              </w:rPr>
              <w:t>由此可见，在同样路面清洁程度条件下，车速越快，扬尘量越大；而在同样车速情况下，路面越脏，则扬尘量更大。</w:t>
            </w:r>
            <w:r>
              <w:rPr>
                <w:sz w:val="24"/>
                <w:szCs w:val="24"/>
              </w:rPr>
              <w:t>据此，本项目在后续的施工中，所有临时道路均需清洁、湿润，并加强管理，对施工车辆必须实施限速，车辆运输路线选取尽量避开</w:t>
            </w:r>
            <w:r>
              <w:rPr>
                <w:rFonts w:hint="eastAsia"/>
                <w:sz w:val="24"/>
                <w:szCs w:val="24"/>
              </w:rPr>
              <w:t>敏感点</w:t>
            </w:r>
            <w:r>
              <w:rPr>
                <w:sz w:val="24"/>
                <w:szCs w:val="24"/>
              </w:rPr>
              <w:t>，同时加强场地洒水，在场地出入口设置洗车装置对出入车辆进行清洗，车辆运输建筑材料及建筑垃圾时必须加盖封闭运输，减少抛洒，采取上述措施后，减少运输工程中扬尘的产生量。</w:t>
            </w:r>
          </w:p>
          <w:p>
            <w:pPr>
              <w:autoSpaceDN w:val="0"/>
              <w:spacing w:line="360" w:lineRule="auto"/>
              <w:ind w:firstLine="480" w:firstLineChars="200"/>
              <w:rPr>
                <w:rFonts w:hint="eastAsia"/>
                <w:sz w:val="24"/>
              </w:rPr>
            </w:pPr>
            <w:r>
              <w:rPr>
                <w:sz w:val="24"/>
              </w:rPr>
              <w:t>因此</w:t>
            </w:r>
            <w:r>
              <w:rPr>
                <w:rFonts w:hint="eastAsia"/>
                <w:sz w:val="24"/>
              </w:rPr>
              <w:t>项目采用上述措施，项目道路扬尘排放对周围环境和敏感点</w:t>
            </w:r>
            <w:r>
              <w:rPr>
                <w:rFonts w:hint="eastAsia"/>
                <w:sz w:val="24"/>
                <w:lang w:eastAsia="zh-CN"/>
              </w:rPr>
              <w:t>影响</w:t>
            </w:r>
            <w:r>
              <w:rPr>
                <w:rFonts w:hint="eastAsia"/>
                <w:sz w:val="24"/>
              </w:rPr>
              <w:t>较小。</w:t>
            </w:r>
          </w:p>
          <w:p>
            <w:pPr>
              <w:autoSpaceDN w:val="0"/>
              <w:spacing w:line="360" w:lineRule="auto"/>
              <w:ind w:firstLine="480" w:firstLineChars="200"/>
              <w:rPr>
                <w:sz w:val="24"/>
              </w:rPr>
            </w:pPr>
            <w:r>
              <w:rPr>
                <w:rFonts w:hint="eastAsia"/>
                <w:sz w:val="24"/>
                <w:lang w:eastAsia="zh-CN"/>
              </w:rPr>
              <w:t>④</w:t>
            </w:r>
            <w:r>
              <w:rPr>
                <w:sz w:val="24"/>
              </w:rPr>
              <w:t>施工机械废气影响分析</w:t>
            </w:r>
          </w:p>
          <w:p>
            <w:pPr>
              <w:autoSpaceDN w:val="0"/>
              <w:spacing w:line="360" w:lineRule="auto"/>
              <w:ind w:firstLine="480" w:firstLineChars="200"/>
              <w:rPr>
                <w:sz w:val="24"/>
              </w:rPr>
            </w:pPr>
            <w:r>
              <w:rPr>
                <w:rFonts w:hint="eastAsia"/>
                <w:sz w:val="24"/>
                <w:lang w:val="en-US" w:eastAsia="zh-CN"/>
              </w:rPr>
              <w:t>1、</w:t>
            </w:r>
            <w:r>
              <w:rPr>
                <w:sz w:val="24"/>
              </w:rPr>
              <w:t>废气主要来源</w:t>
            </w:r>
          </w:p>
          <w:p>
            <w:pPr>
              <w:autoSpaceDN w:val="0"/>
              <w:spacing w:line="360" w:lineRule="auto"/>
              <w:ind w:firstLine="480" w:firstLineChars="200"/>
              <w:rPr>
                <w:sz w:val="24"/>
              </w:rPr>
            </w:pPr>
            <w:r>
              <w:rPr>
                <w:sz w:val="24"/>
              </w:rPr>
              <w:t>施工建设期间，废气主要来自施工机械排放废气、各种物料运输车辆排放汽车尾气等对环境空气的影响。</w:t>
            </w:r>
          </w:p>
          <w:p>
            <w:pPr>
              <w:autoSpaceDN w:val="0"/>
              <w:spacing w:line="360" w:lineRule="auto"/>
              <w:ind w:left="560"/>
              <w:rPr>
                <w:sz w:val="24"/>
              </w:rPr>
            </w:pPr>
            <w:r>
              <w:rPr>
                <w:rFonts w:hint="eastAsia"/>
                <w:sz w:val="24"/>
                <w:lang w:val="en-US" w:eastAsia="zh-CN"/>
              </w:rPr>
              <w:t>2、</w:t>
            </w:r>
            <w:r>
              <w:rPr>
                <w:sz w:val="24"/>
              </w:rPr>
              <w:t>车辆尾气环境影响分析</w:t>
            </w:r>
          </w:p>
          <w:p>
            <w:pPr>
              <w:autoSpaceDN w:val="0"/>
              <w:spacing w:line="360" w:lineRule="auto"/>
              <w:ind w:firstLine="480" w:firstLineChars="200"/>
              <w:rPr>
                <w:color w:val="auto"/>
                <w:kern w:val="0"/>
                <w:sz w:val="24"/>
              </w:rPr>
            </w:pPr>
            <w:r>
              <w:rPr>
                <w:sz w:val="24"/>
              </w:rPr>
              <w:t>车辆尾气中主要污染物为CO、NO</w:t>
            </w:r>
            <w:r>
              <w:rPr>
                <w:sz w:val="24"/>
                <w:vertAlign w:val="subscript"/>
              </w:rPr>
              <w:t>x</w:t>
            </w:r>
            <w:r>
              <w:rPr>
                <w:sz w:val="24"/>
              </w:rPr>
              <w:t>及THC等，间断运行，工程在加强施工车辆运行管理与维护保养情况下，可减少尾气排放对环境的污染，对环境影响小。</w:t>
            </w:r>
          </w:p>
          <w:p>
            <w:pPr>
              <w:pStyle w:val="58"/>
              <w:spacing w:line="500" w:lineRule="atLeast"/>
              <w:ind w:firstLine="540"/>
              <w:rPr>
                <w:sz w:val="24"/>
                <w:szCs w:val="24"/>
                <w:highlight w:val="none"/>
              </w:rPr>
            </w:pPr>
            <w:r>
              <w:rPr>
                <w:sz w:val="24"/>
                <w:highlight w:val="none"/>
              </w:rPr>
              <w:t>（</w:t>
            </w:r>
            <w:r>
              <w:rPr>
                <w:rFonts w:hint="eastAsia"/>
                <w:sz w:val="24"/>
                <w:highlight w:val="none"/>
                <w:lang w:val="en-US" w:eastAsia="zh-CN"/>
              </w:rPr>
              <w:t>2</w:t>
            </w:r>
            <w:r>
              <w:rPr>
                <w:sz w:val="24"/>
                <w:highlight w:val="none"/>
              </w:rPr>
              <w:t>）施工扬尘污染防治措施</w:t>
            </w:r>
          </w:p>
          <w:p>
            <w:pPr>
              <w:pStyle w:val="58"/>
              <w:spacing w:line="500" w:lineRule="atLeast"/>
              <w:ind w:firstLine="540"/>
              <w:rPr>
                <w:sz w:val="24"/>
                <w:szCs w:val="24"/>
                <w:highlight w:val="none"/>
              </w:rPr>
            </w:pPr>
            <w:r>
              <w:rPr>
                <w:sz w:val="24"/>
                <w:szCs w:val="24"/>
                <w:highlight w:val="none"/>
              </w:rPr>
              <w:t>为了避免建设期扬尘对区域空气环境质量产生影响，</w:t>
            </w:r>
            <w:r>
              <w:rPr>
                <w:sz w:val="24"/>
                <w:highlight w:val="none"/>
              </w:rPr>
              <w:t>在施工中必须采取一定的措施减轻扬尘影响，</w:t>
            </w:r>
            <w:r>
              <w:rPr>
                <w:sz w:val="24"/>
                <w:szCs w:val="24"/>
                <w:highlight w:val="none"/>
              </w:rPr>
              <w:t>根据</w:t>
            </w:r>
            <w:r>
              <w:rPr>
                <w:rFonts w:hint="eastAsia"/>
                <w:sz w:val="24"/>
                <w:szCs w:val="24"/>
                <w:highlight w:val="none"/>
              </w:rPr>
              <w:t>《陕西省“铁腕治霾•保卫蓝天”2017年工作方案》 (陕政办发〔2017〕12号)</w:t>
            </w:r>
            <w:r>
              <w:rPr>
                <w:sz w:val="24"/>
                <w:szCs w:val="24"/>
                <w:highlight w:val="none"/>
              </w:rPr>
              <w:t>、</w:t>
            </w:r>
            <w:r>
              <w:rPr>
                <w:rFonts w:hint="eastAsia"/>
                <w:sz w:val="24"/>
                <w:szCs w:val="24"/>
                <w:highlight w:val="none"/>
              </w:rPr>
              <w:t>《陕西省扬尘污染专项整治行动方案》</w:t>
            </w:r>
            <w:r>
              <w:rPr>
                <w:rFonts w:hint="eastAsia"/>
                <w:sz w:val="24"/>
                <w:szCs w:val="24"/>
                <w:highlight w:val="none"/>
                <w:lang w:eastAsia="zh-CN"/>
              </w:rPr>
              <w:t>、《陕西省建筑施工扬尘治理措施16条》，《铜川市2017年铁腕治霾“1+7”行动方案》</w:t>
            </w:r>
            <w:r>
              <w:rPr>
                <w:sz w:val="24"/>
                <w:szCs w:val="24"/>
                <w:highlight w:val="none"/>
              </w:rPr>
              <w:t>施工废气污染防治要求如下：</w:t>
            </w:r>
          </w:p>
          <w:p>
            <w:pPr>
              <w:pStyle w:val="58"/>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1、水泥必须设置水泥</w:t>
            </w:r>
            <w:r>
              <w:rPr>
                <w:rFonts w:hint="eastAsia" w:cs="Times New Roman"/>
                <w:sz w:val="24"/>
                <w:szCs w:val="24"/>
                <w:lang w:eastAsia="zh-CN"/>
              </w:rPr>
              <w:t>筒仓，不得使用袋装水泥</w:t>
            </w:r>
            <w:r>
              <w:rPr>
                <w:rFonts w:hint="default" w:ascii="Times New Roman" w:hAnsi="Times New Roman" w:cs="Times New Roman"/>
                <w:sz w:val="24"/>
                <w:szCs w:val="24"/>
                <w:lang w:eastAsia="zh-CN"/>
              </w:rPr>
              <w:t>。</w:t>
            </w:r>
          </w:p>
          <w:p>
            <w:pPr>
              <w:pStyle w:val="58"/>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2、回填土施工时，拌合白灰与回填土时、禁止抛散，以免产生扬尘。</w:t>
            </w:r>
          </w:p>
          <w:p>
            <w:pPr>
              <w:pStyle w:val="58"/>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3、施工现场松散材料堆放处及时清理，以减少扬尘。</w:t>
            </w:r>
          </w:p>
          <w:p>
            <w:pPr>
              <w:pStyle w:val="58"/>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4、根据实际进度确定松散材料进场时间，不得进场过早。</w:t>
            </w:r>
          </w:p>
          <w:p>
            <w:pPr>
              <w:pStyle w:val="58"/>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施工过程中降尘管理措施</w:t>
            </w:r>
          </w:p>
          <w:p>
            <w:pPr>
              <w:pStyle w:val="58"/>
              <w:numPr>
                <w:ilvl w:val="0"/>
                <w:numId w:val="7"/>
              </w:numPr>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施工现场制定清扫、洒水制度，配备洒水设备，并派专人负责洒水、清扫。</w:t>
            </w:r>
          </w:p>
          <w:p>
            <w:pPr>
              <w:pStyle w:val="58"/>
              <w:numPr>
                <w:ilvl w:val="0"/>
                <w:numId w:val="7"/>
              </w:numPr>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楼层内的施工垃圾必须用袋装好，然后用升降机运至楼下垃圾点，不得从楼上或升降机内直接向楼下抛洒。</w:t>
            </w:r>
          </w:p>
          <w:p>
            <w:pPr>
              <w:pStyle w:val="58"/>
              <w:numPr>
                <w:ilvl w:val="0"/>
                <w:numId w:val="7"/>
              </w:numPr>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四级级以上大风天气，禁止产生扬尘的作业施工。</w:t>
            </w:r>
          </w:p>
          <w:p>
            <w:pPr>
              <w:pStyle w:val="58"/>
              <w:numPr>
                <w:ilvl w:val="0"/>
                <w:numId w:val="7"/>
              </w:numPr>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回填土施工时，掺拌白灰的回填土禁止抛洒，以免产生扬尘。</w:t>
            </w:r>
          </w:p>
          <w:p>
            <w:pPr>
              <w:pStyle w:val="58"/>
              <w:numPr>
                <w:ilvl w:val="0"/>
                <w:numId w:val="7"/>
              </w:numPr>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土方铲、运、卸等环节设专人洒水降尘，运土方、渣土及散粒材料时必须使用防尘专用车辆，以防沿途遗洒扬尘。</w:t>
            </w:r>
          </w:p>
          <w:p>
            <w:pPr>
              <w:pStyle w:val="58"/>
              <w:numPr>
                <w:ilvl w:val="0"/>
                <w:numId w:val="7"/>
              </w:numPr>
              <w:spacing w:line="500" w:lineRule="atLeast"/>
              <w:ind w:firstLine="54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楼内清理时，提前一天</w:t>
            </w:r>
            <w:r>
              <w:rPr>
                <w:rFonts w:hint="eastAsia" w:cs="Times New Roman"/>
                <w:sz w:val="24"/>
                <w:szCs w:val="24"/>
                <w:lang w:eastAsia="zh-CN"/>
              </w:rPr>
              <w:t>将</w:t>
            </w:r>
            <w:r>
              <w:rPr>
                <w:rFonts w:hint="default" w:ascii="Times New Roman" w:hAnsi="Times New Roman" w:cs="Times New Roman"/>
                <w:sz w:val="24"/>
                <w:szCs w:val="24"/>
                <w:lang w:eastAsia="zh-CN"/>
              </w:rPr>
              <w:t>楼内地面洒水湿润，尽量减少浮灰飞扬，避免污染空气，也便于清扫。</w:t>
            </w:r>
          </w:p>
          <w:p>
            <w:pPr>
              <w:pStyle w:val="58"/>
              <w:numPr>
                <w:ilvl w:val="0"/>
                <w:numId w:val="0"/>
              </w:numPr>
              <w:spacing w:line="500" w:lineRule="atLeast"/>
              <w:ind w:firstLine="48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现场道路硬化管理措施</w:t>
            </w:r>
          </w:p>
          <w:p>
            <w:pPr>
              <w:pStyle w:val="58"/>
              <w:numPr>
                <w:ilvl w:val="0"/>
                <w:numId w:val="8"/>
              </w:numPr>
              <w:spacing w:line="360" w:lineRule="auto"/>
              <w:ind w:firstLine="48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施工现场主要道路、材料堆放区采用混凝土硬化，混凝土路面厚度250mm，强度等级C30。</w:t>
            </w:r>
          </w:p>
          <w:p>
            <w:pPr>
              <w:pStyle w:val="58"/>
              <w:numPr>
                <w:ilvl w:val="0"/>
                <w:numId w:val="8"/>
              </w:numPr>
              <w:spacing w:line="360" w:lineRule="auto"/>
              <w:ind w:firstLine="48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基坑</w:t>
            </w:r>
            <w:r>
              <w:rPr>
                <w:rFonts w:hint="eastAsia" w:ascii="Times New Roman" w:hAnsi="Times New Roman" w:cs="Times New Roman"/>
                <w:sz w:val="24"/>
                <w:szCs w:val="24"/>
                <w:lang w:eastAsia="zh-CN"/>
              </w:rPr>
              <w:t>附近</w:t>
            </w:r>
            <w:r>
              <w:rPr>
                <w:rFonts w:hint="default" w:ascii="Times New Roman" w:hAnsi="Times New Roman" w:cs="Times New Roman"/>
                <w:sz w:val="24"/>
                <w:szCs w:val="24"/>
                <w:lang w:eastAsia="zh-CN"/>
              </w:rPr>
              <w:t>通行道路，采用混凝土将其临时硬化，混凝土路面厚度200mm，强度等级C20。</w:t>
            </w:r>
          </w:p>
          <w:p>
            <w:pPr>
              <w:pStyle w:val="58"/>
              <w:numPr>
                <w:ilvl w:val="0"/>
                <w:numId w:val="8"/>
              </w:numPr>
              <w:spacing w:line="360" w:lineRule="auto"/>
              <w:ind w:firstLine="48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施工现场主出入口设置</w:t>
            </w:r>
            <w:r>
              <w:rPr>
                <w:rFonts w:hint="eastAsia" w:cs="Times New Roman"/>
                <w:sz w:val="24"/>
                <w:szCs w:val="24"/>
                <w:lang w:eastAsia="zh-CN"/>
              </w:rPr>
              <w:t>洗车台</w:t>
            </w:r>
            <w:r>
              <w:rPr>
                <w:rFonts w:hint="default" w:ascii="Times New Roman" w:hAnsi="Times New Roman" w:cs="Times New Roman"/>
                <w:sz w:val="24"/>
                <w:szCs w:val="24"/>
                <w:lang w:eastAsia="zh-CN"/>
              </w:rPr>
              <w:t>，以免泥土带入或带出现场。</w:t>
            </w:r>
          </w:p>
          <w:p>
            <w:pPr>
              <w:pStyle w:val="58"/>
              <w:numPr>
                <w:ilvl w:val="0"/>
                <w:numId w:val="0"/>
              </w:numPr>
              <w:spacing w:line="360" w:lineRule="auto"/>
              <w:ind w:firstLine="48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现场打围措施</w:t>
            </w:r>
          </w:p>
          <w:p>
            <w:pPr>
              <w:pStyle w:val="58"/>
              <w:numPr>
                <w:ilvl w:val="0"/>
                <w:numId w:val="9"/>
              </w:numPr>
              <w:spacing w:line="360" w:lineRule="auto"/>
              <w:ind w:firstLine="48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施工现场必须设置围挡，封闭作业；</w:t>
            </w:r>
          </w:p>
          <w:p>
            <w:pPr>
              <w:pStyle w:val="58"/>
              <w:numPr>
                <w:ilvl w:val="0"/>
                <w:numId w:val="9"/>
              </w:numPr>
              <w:spacing w:line="360" w:lineRule="auto"/>
              <w:ind w:firstLine="48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主出入口采用折叠式大门，门内侧设置组合岗亭；</w:t>
            </w:r>
          </w:p>
          <w:p>
            <w:pPr>
              <w:pStyle w:val="58"/>
              <w:numPr>
                <w:ilvl w:val="0"/>
                <w:numId w:val="9"/>
              </w:numPr>
              <w:spacing w:line="360" w:lineRule="auto"/>
              <w:ind w:firstLine="48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本工程工期长，采用固定式围挡；</w:t>
            </w:r>
          </w:p>
          <w:p>
            <w:pPr>
              <w:pStyle w:val="58"/>
              <w:spacing w:line="360" w:lineRule="auto"/>
              <w:ind w:firstLine="540"/>
              <w:jc w:val="both"/>
              <w:rPr>
                <w:sz w:val="24"/>
                <w:szCs w:val="24"/>
              </w:rPr>
            </w:pPr>
            <w:r>
              <w:rPr>
                <w:sz w:val="24"/>
                <w:szCs w:val="24"/>
              </w:rPr>
              <w:t>项目施工扬尘通过采用上述措施，项目施工扬尘排放对周围环境</w:t>
            </w:r>
            <w:r>
              <w:rPr>
                <w:rFonts w:hint="eastAsia"/>
                <w:sz w:val="24"/>
                <w:szCs w:val="24"/>
                <w:lang w:eastAsia="zh-CN"/>
              </w:rPr>
              <w:t>影响</w:t>
            </w:r>
            <w:r>
              <w:rPr>
                <w:sz w:val="24"/>
                <w:szCs w:val="24"/>
              </w:rPr>
              <w:t>较小。</w:t>
            </w:r>
          </w:p>
          <w:p>
            <w:pPr>
              <w:autoSpaceDN w:val="0"/>
              <w:spacing w:line="360" w:lineRule="auto"/>
              <w:ind w:firstLine="480" w:firstLineChars="200"/>
              <w:jc w:val="both"/>
              <w:rPr>
                <w:rFonts w:eastAsia="黑体"/>
                <w:bCs/>
                <w:sz w:val="24"/>
              </w:rPr>
            </w:pPr>
            <w:r>
              <w:rPr>
                <w:rFonts w:hint="eastAsia" w:eastAsia="黑体"/>
                <w:bCs/>
                <w:sz w:val="24"/>
              </w:rPr>
              <w:t>2、水环境影响分析</w:t>
            </w:r>
          </w:p>
          <w:p>
            <w:pPr>
              <w:autoSpaceDN w:val="0"/>
              <w:spacing w:line="360" w:lineRule="auto"/>
              <w:ind w:firstLine="480" w:firstLineChars="200"/>
              <w:jc w:val="both"/>
              <w:rPr>
                <w:sz w:val="24"/>
              </w:rPr>
            </w:pPr>
            <w:r>
              <w:rPr>
                <w:sz w:val="24"/>
              </w:rPr>
              <w:t>施工期的废水主要</w:t>
            </w:r>
            <w:r>
              <w:rPr>
                <w:rFonts w:hint="eastAsia"/>
                <w:sz w:val="24"/>
              </w:rPr>
              <w:t>包括少量</w:t>
            </w:r>
            <w:r>
              <w:rPr>
                <w:sz w:val="24"/>
              </w:rPr>
              <w:t>生产废水和</w:t>
            </w:r>
            <w:r>
              <w:rPr>
                <w:rFonts w:hint="eastAsia"/>
                <w:sz w:val="24"/>
              </w:rPr>
              <w:t>施工人员</w:t>
            </w:r>
            <w:r>
              <w:rPr>
                <w:sz w:val="24"/>
              </w:rPr>
              <w:t>生活污水。</w:t>
            </w:r>
          </w:p>
          <w:p>
            <w:pPr>
              <w:autoSpaceDN w:val="0"/>
              <w:spacing w:line="360" w:lineRule="auto"/>
              <w:ind w:firstLine="360" w:firstLineChars="150"/>
              <w:jc w:val="both"/>
              <w:rPr>
                <w:sz w:val="24"/>
              </w:rPr>
            </w:pPr>
            <w:r>
              <w:rPr>
                <w:rFonts w:hint="eastAsia"/>
                <w:sz w:val="24"/>
              </w:rPr>
              <w:t>（1）</w:t>
            </w:r>
            <w:r>
              <w:rPr>
                <w:sz w:val="24"/>
              </w:rPr>
              <w:t>生产废水</w:t>
            </w:r>
          </w:p>
          <w:p>
            <w:pPr>
              <w:autoSpaceDN w:val="0"/>
              <w:spacing w:line="360" w:lineRule="auto"/>
              <w:ind w:firstLine="480" w:firstLineChars="200"/>
              <w:jc w:val="both"/>
              <w:rPr>
                <w:sz w:val="24"/>
              </w:rPr>
            </w:pPr>
            <w:r>
              <w:rPr>
                <w:sz w:val="24"/>
              </w:rPr>
              <w:t>主要包括土石方阶段排水，结构阶段混凝土养护排水及各种车辆冲洗水。生产废水产生量较小，主要污染物为COD、SS、</w:t>
            </w:r>
            <w:r>
              <w:rPr>
                <w:rFonts w:hint="eastAsia"/>
                <w:sz w:val="24"/>
              </w:rPr>
              <w:t>氨氮、</w:t>
            </w:r>
            <w:r>
              <w:rPr>
                <w:sz w:val="24"/>
              </w:rPr>
              <w:t>石油类等</w:t>
            </w:r>
            <w:r>
              <w:rPr>
                <w:rFonts w:hint="eastAsia"/>
                <w:sz w:val="24"/>
              </w:rPr>
              <w:t>，</w:t>
            </w:r>
            <w:r>
              <w:rPr>
                <w:sz w:val="24"/>
              </w:rPr>
              <w:t>为避免施工废水肆意排放对环境</w:t>
            </w:r>
            <w:r>
              <w:rPr>
                <w:rFonts w:hint="eastAsia"/>
                <w:sz w:val="24"/>
              </w:rPr>
              <w:t>产生</w:t>
            </w:r>
            <w:r>
              <w:rPr>
                <w:sz w:val="24"/>
              </w:rPr>
              <w:t>不良影响，</w:t>
            </w:r>
            <w:r>
              <w:rPr>
                <w:rFonts w:hint="eastAsia"/>
                <w:sz w:val="24"/>
              </w:rPr>
              <w:t>环评</w:t>
            </w:r>
            <w:r>
              <w:rPr>
                <w:sz w:val="24"/>
              </w:rPr>
              <w:t>要求在施工现场设简易的沉淀池处理，废水</w:t>
            </w:r>
            <w:r>
              <w:rPr>
                <w:rFonts w:hint="eastAsia"/>
                <w:sz w:val="24"/>
              </w:rPr>
              <w:t>经</w:t>
            </w:r>
            <w:r>
              <w:rPr>
                <w:sz w:val="24"/>
              </w:rPr>
              <w:t>沉淀处理后循环使用</w:t>
            </w:r>
            <w:r>
              <w:rPr>
                <w:rFonts w:hint="eastAsia"/>
                <w:sz w:val="24"/>
              </w:rPr>
              <w:t>，回用</w:t>
            </w:r>
            <w:r>
              <w:rPr>
                <w:rFonts w:hint="eastAsia"/>
                <w:sz w:val="24"/>
                <w:lang w:eastAsia="zh-CN"/>
              </w:rPr>
              <w:t>于</w:t>
            </w:r>
            <w:r>
              <w:rPr>
                <w:rFonts w:hint="eastAsia"/>
                <w:sz w:val="24"/>
              </w:rPr>
              <w:t>道路、场地洒水降尘等，不对外排放，对周围水环境影响较小</w:t>
            </w:r>
            <w:r>
              <w:rPr>
                <w:sz w:val="24"/>
              </w:rPr>
              <w:t>。</w:t>
            </w:r>
          </w:p>
          <w:p>
            <w:pPr>
              <w:autoSpaceDN w:val="0"/>
              <w:spacing w:line="360" w:lineRule="auto"/>
              <w:ind w:firstLine="360" w:firstLineChars="150"/>
              <w:rPr>
                <w:sz w:val="24"/>
              </w:rPr>
            </w:pPr>
            <w:r>
              <w:rPr>
                <w:rFonts w:hint="eastAsia"/>
                <w:sz w:val="24"/>
              </w:rPr>
              <w:t>（2）</w:t>
            </w:r>
            <w:r>
              <w:rPr>
                <w:sz w:val="24"/>
              </w:rPr>
              <w:t>施工人员生活</w:t>
            </w:r>
            <w:r>
              <w:rPr>
                <w:rFonts w:hint="eastAsia"/>
                <w:sz w:val="24"/>
              </w:rPr>
              <w:t>污水</w:t>
            </w:r>
          </w:p>
          <w:p>
            <w:pPr>
              <w:pStyle w:val="7"/>
              <w:autoSpaceDN w:val="0"/>
              <w:spacing w:line="360" w:lineRule="auto"/>
              <w:ind w:firstLine="480" w:firstLineChars="200"/>
              <w:jc w:val="both"/>
              <w:rPr>
                <w:rFonts w:eastAsia="黑体"/>
                <w:bCs/>
                <w:sz w:val="24"/>
              </w:rPr>
            </w:pPr>
            <w:r>
              <w:rPr>
                <w:rFonts w:hint="eastAsia"/>
                <w:sz w:val="24"/>
                <w:szCs w:val="24"/>
              </w:rPr>
              <w:t>项目在现场不设施工营地，施工人员大部分为附近村民，</w:t>
            </w:r>
            <w:r>
              <w:rPr>
                <w:sz w:val="24"/>
                <w:szCs w:val="24"/>
              </w:rPr>
              <w:t>施工人员用水量按40L/人·d，污水产出系数0.</w:t>
            </w:r>
            <w:r>
              <w:rPr>
                <w:rFonts w:hint="eastAsia"/>
                <w:sz w:val="24"/>
                <w:szCs w:val="24"/>
              </w:rPr>
              <w:t>8</w:t>
            </w:r>
            <w:r>
              <w:rPr>
                <w:sz w:val="24"/>
                <w:szCs w:val="24"/>
              </w:rPr>
              <w:t>，施工高峰人员</w:t>
            </w:r>
            <w:r>
              <w:rPr>
                <w:rFonts w:hint="eastAsia"/>
                <w:sz w:val="24"/>
                <w:szCs w:val="24"/>
                <w:lang w:val="en-US" w:eastAsia="zh-CN"/>
              </w:rPr>
              <w:t>30</w:t>
            </w:r>
            <w:r>
              <w:rPr>
                <w:sz w:val="24"/>
                <w:szCs w:val="24"/>
              </w:rPr>
              <w:t>人/d计，则生活污水排放量约</w:t>
            </w:r>
            <w:r>
              <w:rPr>
                <w:rFonts w:hint="eastAsia"/>
                <w:sz w:val="24"/>
                <w:szCs w:val="24"/>
                <w:lang w:val="en-US" w:eastAsia="zh-CN"/>
              </w:rPr>
              <w:t>0.96</w:t>
            </w:r>
            <w:r>
              <w:rPr>
                <w:sz w:val="24"/>
                <w:szCs w:val="24"/>
              </w:rPr>
              <w:t>m</w:t>
            </w:r>
            <w:r>
              <w:rPr>
                <w:sz w:val="24"/>
                <w:szCs w:val="24"/>
                <w:vertAlign w:val="superscript"/>
              </w:rPr>
              <w:t>3</w:t>
            </w:r>
            <w:r>
              <w:rPr>
                <w:sz w:val="24"/>
                <w:szCs w:val="24"/>
              </w:rPr>
              <w:t>/d，主要污染物有COD、SS、氨氮、动植物油等</w:t>
            </w:r>
            <w:r>
              <w:rPr>
                <w:rFonts w:hint="eastAsia"/>
                <w:sz w:val="24"/>
                <w:szCs w:val="24"/>
                <w:lang w:eastAsia="zh-CN"/>
              </w:rPr>
              <w:t>，项目设置临时防渗厕所，收集的生活污水定期清运肥田，</w:t>
            </w:r>
            <w:r>
              <w:rPr>
                <w:sz w:val="24"/>
                <w:szCs w:val="24"/>
              </w:rPr>
              <w:t>施工期废水对地表水环境影响较小。</w:t>
            </w:r>
          </w:p>
          <w:p>
            <w:pPr>
              <w:autoSpaceDN w:val="0"/>
              <w:spacing w:line="360" w:lineRule="auto"/>
              <w:ind w:firstLine="480" w:firstLineChars="200"/>
              <w:rPr>
                <w:rFonts w:eastAsia="黑体"/>
                <w:bCs/>
                <w:sz w:val="24"/>
              </w:rPr>
            </w:pPr>
            <w:r>
              <w:rPr>
                <w:rFonts w:hint="eastAsia" w:eastAsia="黑体"/>
                <w:bCs/>
                <w:sz w:val="24"/>
              </w:rPr>
              <w:t>3、声环境影响分析</w:t>
            </w:r>
          </w:p>
          <w:p>
            <w:pPr>
              <w:autoSpaceDN w:val="0"/>
              <w:spacing w:line="360" w:lineRule="auto"/>
              <w:ind w:firstLine="480" w:firstLineChars="200"/>
              <w:rPr>
                <w:sz w:val="24"/>
              </w:rPr>
            </w:pPr>
            <w:r>
              <w:rPr>
                <w:sz w:val="24"/>
              </w:rPr>
              <w:t>施工期噪</w:t>
            </w:r>
            <w:r>
              <w:rPr>
                <w:rFonts w:hint="eastAsia"/>
                <w:sz w:val="24"/>
              </w:rPr>
              <w:t>声</w:t>
            </w:r>
            <w:r>
              <w:rPr>
                <w:sz w:val="24"/>
              </w:rPr>
              <w:t>主要</w:t>
            </w:r>
            <w:r>
              <w:rPr>
                <w:rFonts w:hint="eastAsia"/>
                <w:sz w:val="24"/>
              </w:rPr>
              <w:t>包括来自</w:t>
            </w:r>
            <w:r>
              <w:rPr>
                <w:sz w:val="24"/>
              </w:rPr>
              <w:t>施工机械设备噪声</w:t>
            </w:r>
            <w:r>
              <w:rPr>
                <w:rFonts w:hint="eastAsia"/>
                <w:sz w:val="24"/>
              </w:rPr>
              <w:t>、</w:t>
            </w:r>
            <w:r>
              <w:rPr>
                <w:sz w:val="24"/>
              </w:rPr>
              <w:t>运输车辆运行噪声</w:t>
            </w:r>
            <w:r>
              <w:rPr>
                <w:rFonts w:hint="eastAsia"/>
                <w:sz w:val="24"/>
              </w:rPr>
              <w:t>和装修噪声</w:t>
            </w:r>
            <w:r>
              <w:rPr>
                <w:sz w:val="24"/>
              </w:rPr>
              <w:t>。</w:t>
            </w:r>
          </w:p>
          <w:p>
            <w:pPr>
              <w:autoSpaceDN w:val="0"/>
              <w:spacing w:line="360" w:lineRule="auto"/>
              <w:ind w:firstLine="360" w:firstLineChars="150"/>
              <w:rPr>
                <w:sz w:val="24"/>
              </w:rPr>
            </w:pPr>
            <w:r>
              <w:rPr>
                <w:rFonts w:hint="eastAsia"/>
                <w:sz w:val="24"/>
              </w:rPr>
              <w:t>（1）施工机械设备噪声</w:t>
            </w:r>
          </w:p>
          <w:p>
            <w:pPr>
              <w:autoSpaceDN w:val="0"/>
              <w:spacing w:line="360" w:lineRule="auto"/>
              <w:ind w:firstLine="480" w:firstLineChars="200"/>
              <w:rPr>
                <w:rFonts w:hint="default" w:ascii="Times New Roman" w:hAnsi="Times New Roman" w:eastAsia="宋体" w:cs="Times New Roman"/>
                <w:b/>
                <w:sz w:val="24"/>
              </w:rPr>
            </w:pPr>
            <w:r>
              <w:rPr>
                <w:sz w:val="24"/>
              </w:rPr>
              <w:t>施工机械噪声值及</w:t>
            </w:r>
            <w:r>
              <w:rPr>
                <w:rFonts w:hint="eastAsia"/>
                <w:sz w:val="24"/>
              </w:rPr>
              <w:t>《</w:t>
            </w:r>
            <w:r>
              <w:rPr>
                <w:sz w:val="24"/>
              </w:rPr>
              <w:t>建筑施工场界</w:t>
            </w:r>
            <w:r>
              <w:rPr>
                <w:sz w:val="24"/>
                <w:szCs w:val="24"/>
              </w:rPr>
              <w:t>环境</w:t>
            </w:r>
            <w:r>
              <w:rPr>
                <w:sz w:val="24"/>
              </w:rPr>
              <w:t>噪声排放标准</w:t>
            </w:r>
            <w:r>
              <w:rPr>
                <w:rFonts w:hint="eastAsia"/>
                <w:sz w:val="24"/>
              </w:rPr>
              <w:t>》</w:t>
            </w:r>
            <w:r>
              <w:rPr>
                <w:sz w:val="24"/>
              </w:rPr>
              <w:t>（GB12523-</w:t>
            </w:r>
            <w:r>
              <w:rPr>
                <w:rFonts w:hint="eastAsia"/>
                <w:sz w:val="24"/>
              </w:rPr>
              <w:t>2011</w:t>
            </w:r>
            <w:r>
              <w:rPr>
                <w:sz w:val="24"/>
              </w:rPr>
              <w:t>）</w:t>
            </w:r>
            <w:r>
              <w:rPr>
                <w:rFonts w:hint="eastAsia"/>
                <w:sz w:val="24"/>
              </w:rPr>
              <w:t>中</w:t>
            </w:r>
            <w:r>
              <w:rPr>
                <w:sz w:val="24"/>
              </w:rPr>
              <w:t>相应限值见表</w:t>
            </w:r>
            <w:r>
              <w:rPr>
                <w:rFonts w:hint="eastAsia"/>
                <w:sz w:val="24"/>
                <w:lang w:val="en-US" w:eastAsia="zh-CN"/>
              </w:rPr>
              <w:t>19</w:t>
            </w:r>
            <w:r>
              <w:rPr>
                <w:sz w:val="24"/>
              </w:rPr>
              <w:t>。</w:t>
            </w:r>
          </w:p>
          <w:p>
            <w:pPr>
              <w:pStyle w:val="18"/>
              <w:autoSpaceDN w:val="0"/>
              <w:spacing w:line="240" w:lineRule="auto"/>
              <w:ind w:firstLine="0" w:firstLineChars="0"/>
              <w:jc w:val="center"/>
              <w:rPr>
                <w:rFonts w:hint="default" w:ascii="Times New Roman" w:hAnsi="Times New Roman" w:eastAsia="宋体" w:cs="Times New Roman"/>
                <w:b/>
                <w:sz w:val="24"/>
              </w:rPr>
            </w:pPr>
            <w:r>
              <w:rPr>
                <w:rFonts w:hint="default" w:ascii="Times New Roman" w:hAnsi="Times New Roman" w:eastAsia="宋体" w:cs="Times New Roman"/>
                <w:b/>
                <w:sz w:val="24"/>
              </w:rPr>
              <w:t>表</w:t>
            </w:r>
            <w:r>
              <w:rPr>
                <w:rFonts w:hint="eastAsia" w:eastAsia="宋体" w:cs="Times New Roman"/>
                <w:b/>
                <w:sz w:val="24"/>
                <w:lang w:val="en-US" w:eastAsia="zh-CN"/>
              </w:rPr>
              <w:t>19</w:t>
            </w:r>
            <w:r>
              <w:rPr>
                <w:rFonts w:hint="default" w:ascii="Times New Roman" w:hAnsi="Times New Roman" w:eastAsia="宋体" w:cs="Times New Roman"/>
                <w:b/>
                <w:sz w:val="24"/>
                <w:lang w:val="en-US" w:eastAsia="zh-CN"/>
              </w:rPr>
              <w:t xml:space="preserve">  </w:t>
            </w:r>
            <w:r>
              <w:rPr>
                <w:rFonts w:hint="default" w:ascii="Times New Roman" w:hAnsi="Times New Roman" w:eastAsia="宋体" w:cs="Times New Roman"/>
                <w:b/>
                <w:sz w:val="24"/>
              </w:rPr>
              <w:t>施工机械噪声值及相应限值表  单位：dB(A)</w:t>
            </w:r>
          </w:p>
          <w:tbl>
            <w:tblPr>
              <w:tblStyle w:val="34"/>
              <w:tblW w:w="898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08"/>
              <w:gridCol w:w="633"/>
              <w:gridCol w:w="634"/>
              <w:gridCol w:w="633"/>
              <w:gridCol w:w="633"/>
              <w:gridCol w:w="633"/>
              <w:gridCol w:w="634"/>
              <w:gridCol w:w="633"/>
              <w:gridCol w:w="636"/>
              <w:gridCol w:w="1036"/>
              <w:gridCol w:w="10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933" w:type="dxa"/>
                  <w:vMerge w:val="restart"/>
                  <w:tcBorders>
                    <w:tl2br w:val="nil"/>
                    <w:tr2bl w:val="nil"/>
                  </w:tcBorders>
                  <w:vAlign w:val="center"/>
                </w:tcPr>
                <w:p>
                  <w:pPr>
                    <w:pStyle w:val="141"/>
                  </w:pPr>
                  <w:r>
                    <w:t>设备名称</w:t>
                  </w:r>
                </w:p>
              </w:tc>
              <w:tc>
                <w:tcPr>
                  <w:tcW w:w="908" w:type="dxa"/>
                  <w:vMerge w:val="restart"/>
                  <w:tcBorders>
                    <w:tl2br w:val="nil"/>
                    <w:tr2bl w:val="nil"/>
                  </w:tcBorders>
                  <w:vAlign w:val="center"/>
                </w:tcPr>
                <w:p>
                  <w:pPr>
                    <w:pStyle w:val="141"/>
                  </w:pPr>
                  <w:r>
                    <w:t>源强（1m）</w:t>
                  </w:r>
                </w:p>
              </w:tc>
              <w:tc>
                <w:tcPr>
                  <w:tcW w:w="633" w:type="dxa"/>
                  <w:vMerge w:val="restart"/>
                  <w:tcBorders>
                    <w:tl2br w:val="nil"/>
                    <w:tr2bl w:val="nil"/>
                  </w:tcBorders>
                  <w:vAlign w:val="center"/>
                </w:tcPr>
                <w:p>
                  <w:pPr>
                    <w:pStyle w:val="141"/>
                  </w:pPr>
                  <w:r>
                    <w:t>10</w:t>
                  </w:r>
                </w:p>
              </w:tc>
              <w:tc>
                <w:tcPr>
                  <w:tcW w:w="634" w:type="dxa"/>
                  <w:vMerge w:val="restart"/>
                  <w:tcBorders>
                    <w:tl2br w:val="nil"/>
                    <w:tr2bl w:val="nil"/>
                  </w:tcBorders>
                  <w:vAlign w:val="center"/>
                </w:tcPr>
                <w:p>
                  <w:pPr>
                    <w:pStyle w:val="141"/>
                  </w:pPr>
                  <w:r>
                    <w:t>25</w:t>
                  </w:r>
                </w:p>
              </w:tc>
              <w:tc>
                <w:tcPr>
                  <w:tcW w:w="633" w:type="dxa"/>
                  <w:vMerge w:val="restart"/>
                  <w:tcBorders>
                    <w:tl2br w:val="nil"/>
                    <w:tr2bl w:val="nil"/>
                  </w:tcBorders>
                  <w:vAlign w:val="center"/>
                </w:tcPr>
                <w:p>
                  <w:pPr>
                    <w:pStyle w:val="141"/>
                  </w:pPr>
                  <w:r>
                    <w:t>50</w:t>
                  </w:r>
                </w:p>
              </w:tc>
              <w:tc>
                <w:tcPr>
                  <w:tcW w:w="633" w:type="dxa"/>
                  <w:vMerge w:val="restart"/>
                  <w:tcBorders>
                    <w:tl2br w:val="nil"/>
                    <w:tr2bl w:val="nil"/>
                  </w:tcBorders>
                  <w:vAlign w:val="center"/>
                </w:tcPr>
                <w:p>
                  <w:pPr>
                    <w:pStyle w:val="141"/>
                  </w:pPr>
                  <w:r>
                    <w:t>60</w:t>
                  </w:r>
                </w:p>
              </w:tc>
              <w:tc>
                <w:tcPr>
                  <w:tcW w:w="633" w:type="dxa"/>
                  <w:vMerge w:val="restart"/>
                  <w:tcBorders>
                    <w:tl2br w:val="nil"/>
                    <w:tr2bl w:val="nil"/>
                  </w:tcBorders>
                  <w:vAlign w:val="center"/>
                </w:tcPr>
                <w:p>
                  <w:pPr>
                    <w:pStyle w:val="141"/>
                  </w:pPr>
                  <w:r>
                    <w:t>100</w:t>
                  </w:r>
                </w:p>
              </w:tc>
              <w:tc>
                <w:tcPr>
                  <w:tcW w:w="634" w:type="dxa"/>
                  <w:vMerge w:val="restart"/>
                  <w:tcBorders>
                    <w:tl2br w:val="nil"/>
                    <w:tr2bl w:val="nil"/>
                  </w:tcBorders>
                  <w:vAlign w:val="center"/>
                </w:tcPr>
                <w:p>
                  <w:pPr>
                    <w:pStyle w:val="141"/>
                  </w:pPr>
                  <w:r>
                    <w:t>150</w:t>
                  </w:r>
                </w:p>
              </w:tc>
              <w:tc>
                <w:tcPr>
                  <w:tcW w:w="633" w:type="dxa"/>
                  <w:vMerge w:val="restart"/>
                  <w:tcBorders>
                    <w:tl2br w:val="nil"/>
                    <w:tr2bl w:val="nil"/>
                  </w:tcBorders>
                  <w:vAlign w:val="center"/>
                </w:tcPr>
                <w:p>
                  <w:pPr>
                    <w:pStyle w:val="141"/>
                  </w:pPr>
                  <w:r>
                    <w:t>200</w:t>
                  </w:r>
                </w:p>
              </w:tc>
              <w:tc>
                <w:tcPr>
                  <w:tcW w:w="636" w:type="dxa"/>
                  <w:vMerge w:val="restart"/>
                  <w:tcBorders>
                    <w:tl2br w:val="nil"/>
                    <w:tr2bl w:val="nil"/>
                  </w:tcBorders>
                  <w:vAlign w:val="center"/>
                </w:tcPr>
                <w:p>
                  <w:pPr>
                    <w:pStyle w:val="141"/>
                  </w:pPr>
                  <w:r>
                    <w:t>250</w:t>
                  </w:r>
                </w:p>
              </w:tc>
              <w:tc>
                <w:tcPr>
                  <w:tcW w:w="2074" w:type="dxa"/>
                  <w:gridSpan w:val="2"/>
                  <w:tcBorders>
                    <w:tl2br w:val="nil"/>
                    <w:tr2bl w:val="nil"/>
                  </w:tcBorders>
                  <w:vAlign w:val="center"/>
                </w:tcPr>
                <w:p>
                  <w:pPr>
                    <w:pStyle w:val="141"/>
                  </w:pPr>
                  <w:r>
                    <w:rPr>
                      <w:szCs w:val="21"/>
                    </w:rPr>
                    <w:t>施工场界噪声限值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933" w:type="dxa"/>
                  <w:vMerge w:val="continue"/>
                  <w:tcBorders>
                    <w:tl2br w:val="nil"/>
                    <w:tr2bl w:val="nil"/>
                  </w:tcBorders>
                  <w:vAlign w:val="center"/>
                </w:tcPr>
                <w:p>
                  <w:pPr>
                    <w:pStyle w:val="141"/>
                  </w:pPr>
                </w:p>
              </w:tc>
              <w:tc>
                <w:tcPr>
                  <w:tcW w:w="908" w:type="dxa"/>
                  <w:vMerge w:val="continue"/>
                  <w:tcBorders>
                    <w:tl2br w:val="nil"/>
                    <w:tr2bl w:val="nil"/>
                  </w:tcBorders>
                  <w:vAlign w:val="center"/>
                </w:tcPr>
                <w:p>
                  <w:pPr>
                    <w:pStyle w:val="141"/>
                  </w:pPr>
                </w:p>
              </w:tc>
              <w:tc>
                <w:tcPr>
                  <w:tcW w:w="633" w:type="dxa"/>
                  <w:vMerge w:val="continue"/>
                  <w:tcBorders>
                    <w:tl2br w:val="nil"/>
                    <w:tr2bl w:val="nil"/>
                  </w:tcBorders>
                  <w:vAlign w:val="center"/>
                </w:tcPr>
                <w:p>
                  <w:pPr>
                    <w:pStyle w:val="141"/>
                  </w:pPr>
                </w:p>
              </w:tc>
              <w:tc>
                <w:tcPr>
                  <w:tcW w:w="634" w:type="dxa"/>
                  <w:vMerge w:val="continue"/>
                  <w:tcBorders>
                    <w:tl2br w:val="nil"/>
                    <w:tr2bl w:val="nil"/>
                  </w:tcBorders>
                  <w:vAlign w:val="center"/>
                </w:tcPr>
                <w:p>
                  <w:pPr>
                    <w:pStyle w:val="141"/>
                  </w:pPr>
                </w:p>
              </w:tc>
              <w:tc>
                <w:tcPr>
                  <w:tcW w:w="633" w:type="dxa"/>
                  <w:vMerge w:val="continue"/>
                  <w:tcBorders>
                    <w:tl2br w:val="nil"/>
                    <w:tr2bl w:val="nil"/>
                  </w:tcBorders>
                  <w:vAlign w:val="center"/>
                </w:tcPr>
                <w:p>
                  <w:pPr>
                    <w:pStyle w:val="141"/>
                  </w:pPr>
                </w:p>
              </w:tc>
              <w:tc>
                <w:tcPr>
                  <w:tcW w:w="633" w:type="dxa"/>
                  <w:vMerge w:val="continue"/>
                  <w:tcBorders>
                    <w:tl2br w:val="nil"/>
                    <w:tr2bl w:val="nil"/>
                  </w:tcBorders>
                  <w:vAlign w:val="center"/>
                </w:tcPr>
                <w:p>
                  <w:pPr>
                    <w:pStyle w:val="141"/>
                  </w:pPr>
                </w:p>
              </w:tc>
              <w:tc>
                <w:tcPr>
                  <w:tcW w:w="633" w:type="dxa"/>
                  <w:vMerge w:val="continue"/>
                  <w:tcBorders>
                    <w:tl2br w:val="nil"/>
                    <w:tr2bl w:val="nil"/>
                  </w:tcBorders>
                  <w:vAlign w:val="center"/>
                </w:tcPr>
                <w:p>
                  <w:pPr>
                    <w:pStyle w:val="141"/>
                  </w:pPr>
                </w:p>
              </w:tc>
              <w:tc>
                <w:tcPr>
                  <w:tcW w:w="634" w:type="dxa"/>
                  <w:vMerge w:val="continue"/>
                  <w:tcBorders>
                    <w:tl2br w:val="nil"/>
                    <w:tr2bl w:val="nil"/>
                  </w:tcBorders>
                  <w:vAlign w:val="center"/>
                </w:tcPr>
                <w:p>
                  <w:pPr>
                    <w:pStyle w:val="141"/>
                  </w:pPr>
                </w:p>
              </w:tc>
              <w:tc>
                <w:tcPr>
                  <w:tcW w:w="633" w:type="dxa"/>
                  <w:vMerge w:val="continue"/>
                  <w:tcBorders>
                    <w:tl2br w:val="nil"/>
                    <w:tr2bl w:val="nil"/>
                  </w:tcBorders>
                  <w:vAlign w:val="center"/>
                </w:tcPr>
                <w:p>
                  <w:pPr>
                    <w:pStyle w:val="141"/>
                  </w:pPr>
                </w:p>
              </w:tc>
              <w:tc>
                <w:tcPr>
                  <w:tcW w:w="636" w:type="dxa"/>
                  <w:vMerge w:val="continue"/>
                  <w:tcBorders>
                    <w:tl2br w:val="nil"/>
                    <w:tr2bl w:val="nil"/>
                  </w:tcBorders>
                  <w:vAlign w:val="center"/>
                </w:tcPr>
                <w:p>
                  <w:pPr>
                    <w:pStyle w:val="141"/>
                  </w:pPr>
                </w:p>
              </w:tc>
              <w:tc>
                <w:tcPr>
                  <w:tcW w:w="1036" w:type="dxa"/>
                  <w:tcBorders>
                    <w:tl2br w:val="nil"/>
                    <w:tr2bl w:val="nil"/>
                  </w:tcBorders>
                  <w:vAlign w:val="center"/>
                </w:tcPr>
                <w:p>
                  <w:pPr>
                    <w:pStyle w:val="141"/>
                  </w:pPr>
                  <w:r>
                    <w:rPr>
                      <w:rFonts w:hint="eastAsia"/>
                    </w:rPr>
                    <w:t>昼间</w:t>
                  </w:r>
                </w:p>
              </w:tc>
              <w:tc>
                <w:tcPr>
                  <w:tcW w:w="1038" w:type="dxa"/>
                  <w:tcBorders>
                    <w:tl2br w:val="nil"/>
                    <w:tr2bl w:val="nil"/>
                  </w:tcBorders>
                  <w:vAlign w:val="center"/>
                </w:tcPr>
                <w:p>
                  <w:pPr>
                    <w:pStyle w:val="141"/>
                    <w:rPr>
                      <w:szCs w:val="21"/>
                    </w:rPr>
                  </w:pPr>
                  <w:r>
                    <w:rPr>
                      <w:rFonts w:hint="eastAsia"/>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挖掘机</w:t>
                  </w:r>
                </w:p>
              </w:tc>
              <w:tc>
                <w:tcPr>
                  <w:tcW w:w="908" w:type="dxa"/>
                  <w:tcBorders>
                    <w:tl2br w:val="nil"/>
                    <w:tr2bl w:val="nil"/>
                  </w:tcBorders>
                  <w:vAlign w:val="center"/>
                </w:tcPr>
                <w:p>
                  <w:pPr>
                    <w:pStyle w:val="141"/>
                  </w:pPr>
                  <w:r>
                    <w:t>85</w:t>
                  </w:r>
                </w:p>
              </w:tc>
              <w:tc>
                <w:tcPr>
                  <w:tcW w:w="633" w:type="dxa"/>
                  <w:tcBorders>
                    <w:tl2br w:val="nil"/>
                    <w:tr2bl w:val="nil"/>
                  </w:tcBorders>
                  <w:vAlign w:val="center"/>
                </w:tcPr>
                <w:p>
                  <w:pPr>
                    <w:pStyle w:val="141"/>
                  </w:pPr>
                  <w:r>
                    <w:t>65</w:t>
                  </w:r>
                </w:p>
              </w:tc>
              <w:tc>
                <w:tcPr>
                  <w:tcW w:w="634" w:type="dxa"/>
                  <w:tcBorders>
                    <w:tl2br w:val="nil"/>
                    <w:tr2bl w:val="nil"/>
                  </w:tcBorders>
                  <w:vAlign w:val="center"/>
                </w:tcPr>
                <w:p>
                  <w:pPr>
                    <w:pStyle w:val="141"/>
                  </w:pPr>
                  <w:r>
                    <w:t>57</w:t>
                  </w:r>
                </w:p>
              </w:tc>
              <w:tc>
                <w:tcPr>
                  <w:tcW w:w="633" w:type="dxa"/>
                  <w:tcBorders>
                    <w:tl2br w:val="nil"/>
                    <w:tr2bl w:val="nil"/>
                  </w:tcBorders>
                  <w:vAlign w:val="center"/>
                </w:tcPr>
                <w:p>
                  <w:pPr>
                    <w:pStyle w:val="141"/>
                  </w:pPr>
                  <w:r>
                    <w:t>51</w:t>
                  </w:r>
                </w:p>
              </w:tc>
              <w:tc>
                <w:tcPr>
                  <w:tcW w:w="633" w:type="dxa"/>
                  <w:tcBorders>
                    <w:tl2br w:val="nil"/>
                    <w:tr2bl w:val="nil"/>
                  </w:tcBorders>
                  <w:vAlign w:val="center"/>
                </w:tcPr>
                <w:p>
                  <w:pPr>
                    <w:pStyle w:val="141"/>
                  </w:pPr>
                  <w:r>
                    <w:t>49.4</w:t>
                  </w:r>
                </w:p>
              </w:tc>
              <w:tc>
                <w:tcPr>
                  <w:tcW w:w="633" w:type="dxa"/>
                  <w:tcBorders>
                    <w:tl2br w:val="nil"/>
                    <w:tr2bl w:val="nil"/>
                  </w:tcBorders>
                  <w:vAlign w:val="center"/>
                </w:tcPr>
                <w:p>
                  <w:pPr>
                    <w:pStyle w:val="141"/>
                  </w:pPr>
                  <w:r>
                    <w:t>45</w:t>
                  </w:r>
                </w:p>
              </w:tc>
              <w:tc>
                <w:tcPr>
                  <w:tcW w:w="634" w:type="dxa"/>
                  <w:tcBorders>
                    <w:tl2br w:val="nil"/>
                    <w:tr2bl w:val="nil"/>
                  </w:tcBorders>
                  <w:vAlign w:val="center"/>
                </w:tcPr>
                <w:p>
                  <w:pPr>
                    <w:pStyle w:val="141"/>
                  </w:pPr>
                  <w:r>
                    <w:t>41.5</w:t>
                  </w:r>
                </w:p>
              </w:tc>
              <w:tc>
                <w:tcPr>
                  <w:tcW w:w="633" w:type="dxa"/>
                  <w:tcBorders>
                    <w:tl2br w:val="nil"/>
                    <w:tr2bl w:val="nil"/>
                  </w:tcBorders>
                  <w:vAlign w:val="center"/>
                </w:tcPr>
                <w:p>
                  <w:pPr>
                    <w:pStyle w:val="141"/>
                  </w:pPr>
                  <w:r>
                    <w:t>39</w:t>
                  </w:r>
                </w:p>
              </w:tc>
              <w:tc>
                <w:tcPr>
                  <w:tcW w:w="636" w:type="dxa"/>
                  <w:tcBorders>
                    <w:tl2br w:val="nil"/>
                    <w:tr2bl w:val="nil"/>
                  </w:tcBorders>
                  <w:vAlign w:val="center"/>
                </w:tcPr>
                <w:p>
                  <w:pPr>
                    <w:pStyle w:val="141"/>
                  </w:pPr>
                  <w:r>
                    <w:t>37</w:t>
                  </w:r>
                </w:p>
              </w:tc>
              <w:tc>
                <w:tcPr>
                  <w:tcW w:w="1036" w:type="dxa"/>
                  <w:vMerge w:val="restart"/>
                  <w:tcBorders>
                    <w:tl2br w:val="nil"/>
                    <w:tr2bl w:val="nil"/>
                  </w:tcBorders>
                  <w:vAlign w:val="center"/>
                </w:tcPr>
                <w:p>
                  <w:pPr>
                    <w:pStyle w:val="141"/>
                  </w:pPr>
                  <w:r>
                    <w:rPr>
                      <w:rFonts w:hint="eastAsia"/>
                    </w:rPr>
                    <w:t>70</w:t>
                  </w:r>
                </w:p>
              </w:tc>
              <w:tc>
                <w:tcPr>
                  <w:tcW w:w="1038" w:type="dxa"/>
                  <w:vMerge w:val="restart"/>
                  <w:tcBorders>
                    <w:tl2br w:val="nil"/>
                    <w:tr2bl w:val="nil"/>
                  </w:tcBorders>
                  <w:vAlign w:val="center"/>
                </w:tcPr>
                <w:p>
                  <w:pPr>
                    <w:pStyle w:val="141"/>
                  </w:pPr>
                  <w:r>
                    <w:rPr>
                      <w:rFonts w:hint="eastAsia"/>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推土机</w:t>
                  </w:r>
                </w:p>
              </w:tc>
              <w:tc>
                <w:tcPr>
                  <w:tcW w:w="908" w:type="dxa"/>
                  <w:tcBorders>
                    <w:tl2br w:val="nil"/>
                    <w:tr2bl w:val="nil"/>
                  </w:tcBorders>
                  <w:vAlign w:val="center"/>
                </w:tcPr>
                <w:p>
                  <w:pPr>
                    <w:pStyle w:val="141"/>
                  </w:pPr>
                  <w:r>
                    <w:t>95</w:t>
                  </w:r>
                </w:p>
              </w:tc>
              <w:tc>
                <w:tcPr>
                  <w:tcW w:w="633" w:type="dxa"/>
                  <w:tcBorders>
                    <w:tl2br w:val="nil"/>
                    <w:tr2bl w:val="nil"/>
                  </w:tcBorders>
                  <w:vAlign w:val="center"/>
                </w:tcPr>
                <w:p>
                  <w:pPr>
                    <w:pStyle w:val="141"/>
                  </w:pPr>
                  <w:r>
                    <w:t>75</w:t>
                  </w:r>
                </w:p>
              </w:tc>
              <w:tc>
                <w:tcPr>
                  <w:tcW w:w="634" w:type="dxa"/>
                  <w:tcBorders>
                    <w:tl2br w:val="nil"/>
                    <w:tr2bl w:val="nil"/>
                  </w:tcBorders>
                  <w:vAlign w:val="center"/>
                </w:tcPr>
                <w:p>
                  <w:pPr>
                    <w:pStyle w:val="141"/>
                  </w:pPr>
                  <w:r>
                    <w:t>67</w:t>
                  </w:r>
                </w:p>
              </w:tc>
              <w:tc>
                <w:tcPr>
                  <w:tcW w:w="633" w:type="dxa"/>
                  <w:tcBorders>
                    <w:tl2br w:val="nil"/>
                    <w:tr2bl w:val="nil"/>
                  </w:tcBorders>
                  <w:vAlign w:val="center"/>
                </w:tcPr>
                <w:p>
                  <w:pPr>
                    <w:pStyle w:val="141"/>
                  </w:pPr>
                  <w:r>
                    <w:t>61</w:t>
                  </w:r>
                </w:p>
              </w:tc>
              <w:tc>
                <w:tcPr>
                  <w:tcW w:w="633" w:type="dxa"/>
                  <w:tcBorders>
                    <w:tl2br w:val="nil"/>
                    <w:tr2bl w:val="nil"/>
                  </w:tcBorders>
                  <w:vAlign w:val="center"/>
                </w:tcPr>
                <w:p>
                  <w:pPr>
                    <w:pStyle w:val="141"/>
                  </w:pPr>
                  <w:r>
                    <w:t>59.4</w:t>
                  </w:r>
                </w:p>
              </w:tc>
              <w:tc>
                <w:tcPr>
                  <w:tcW w:w="633" w:type="dxa"/>
                  <w:tcBorders>
                    <w:tl2br w:val="nil"/>
                    <w:tr2bl w:val="nil"/>
                  </w:tcBorders>
                  <w:vAlign w:val="center"/>
                </w:tcPr>
                <w:p>
                  <w:pPr>
                    <w:pStyle w:val="141"/>
                  </w:pPr>
                  <w:r>
                    <w:t>55</w:t>
                  </w:r>
                </w:p>
              </w:tc>
              <w:tc>
                <w:tcPr>
                  <w:tcW w:w="634" w:type="dxa"/>
                  <w:tcBorders>
                    <w:tl2br w:val="nil"/>
                    <w:tr2bl w:val="nil"/>
                  </w:tcBorders>
                  <w:vAlign w:val="center"/>
                </w:tcPr>
                <w:p>
                  <w:pPr>
                    <w:pStyle w:val="141"/>
                  </w:pPr>
                  <w:r>
                    <w:t>51.5</w:t>
                  </w:r>
                </w:p>
              </w:tc>
              <w:tc>
                <w:tcPr>
                  <w:tcW w:w="633" w:type="dxa"/>
                  <w:tcBorders>
                    <w:tl2br w:val="nil"/>
                    <w:tr2bl w:val="nil"/>
                  </w:tcBorders>
                  <w:vAlign w:val="center"/>
                </w:tcPr>
                <w:p>
                  <w:pPr>
                    <w:pStyle w:val="141"/>
                  </w:pPr>
                  <w:r>
                    <w:t>49</w:t>
                  </w:r>
                </w:p>
              </w:tc>
              <w:tc>
                <w:tcPr>
                  <w:tcW w:w="636" w:type="dxa"/>
                  <w:tcBorders>
                    <w:tl2br w:val="nil"/>
                    <w:tr2bl w:val="nil"/>
                  </w:tcBorders>
                  <w:vAlign w:val="center"/>
                </w:tcPr>
                <w:p>
                  <w:pPr>
                    <w:pStyle w:val="141"/>
                  </w:pPr>
                  <w:r>
                    <w:t>47</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混凝土输送泵</w:t>
                  </w:r>
                </w:p>
              </w:tc>
              <w:tc>
                <w:tcPr>
                  <w:tcW w:w="908" w:type="dxa"/>
                  <w:tcBorders>
                    <w:tl2br w:val="nil"/>
                    <w:tr2bl w:val="nil"/>
                  </w:tcBorders>
                  <w:vAlign w:val="center"/>
                </w:tcPr>
                <w:p>
                  <w:pPr>
                    <w:pStyle w:val="141"/>
                  </w:pPr>
                  <w:r>
                    <w:t>105</w:t>
                  </w:r>
                </w:p>
              </w:tc>
              <w:tc>
                <w:tcPr>
                  <w:tcW w:w="633" w:type="dxa"/>
                  <w:tcBorders>
                    <w:tl2br w:val="nil"/>
                    <w:tr2bl w:val="nil"/>
                  </w:tcBorders>
                  <w:vAlign w:val="center"/>
                </w:tcPr>
                <w:p>
                  <w:pPr>
                    <w:pStyle w:val="141"/>
                  </w:pPr>
                  <w:r>
                    <w:t>85</w:t>
                  </w:r>
                </w:p>
              </w:tc>
              <w:tc>
                <w:tcPr>
                  <w:tcW w:w="634" w:type="dxa"/>
                  <w:tcBorders>
                    <w:tl2br w:val="nil"/>
                    <w:tr2bl w:val="nil"/>
                  </w:tcBorders>
                  <w:vAlign w:val="center"/>
                </w:tcPr>
                <w:p>
                  <w:pPr>
                    <w:pStyle w:val="141"/>
                  </w:pPr>
                  <w:r>
                    <w:t>77</w:t>
                  </w:r>
                </w:p>
              </w:tc>
              <w:tc>
                <w:tcPr>
                  <w:tcW w:w="633" w:type="dxa"/>
                  <w:tcBorders>
                    <w:tl2br w:val="nil"/>
                    <w:tr2bl w:val="nil"/>
                  </w:tcBorders>
                  <w:vAlign w:val="center"/>
                </w:tcPr>
                <w:p>
                  <w:pPr>
                    <w:pStyle w:val="141"/>
                  </w:pPr>
                  <w:r>
                    <w:t>71</w:t>
                  </w:r>
                </w:p>
              </w:tc>
              <w:tc>
                <w:tcPr>
                  <w:tcW w:w="633" w:type="dxa"/>
                  <w:tcBorders>
                    <w:tl2br w:val="nil"/>
                    <w:tr2bl w:val="nil"/>
                  </w:tcBorders>
                  <w:vAlign w:val="center"/>
                </w:tcPr>
                <w:p>
                  <w:pPr>
                    <w:pStyle w:val="141"/>
                  </w:pPr>
                  <w:r>
                    <w:t>69.4</w:t>
                  </w:r>
                </w:p>
              </w:tc>
              <w:tc>
                <w:tcPr>
                  <w:tcW w:w="633" w:type="dxa"/>
                  <w:tcBorders>
                    <w:tl2br w:val="nil"/>
                    <w:tr2bl w:val="nil"/>
                  </w:tcBorders>
                  <w:vAlign w:val="center"/>
                </w:tcPr>
                <w:p>
                  <w:pPr>
                    <w:pStyle w:val="141"/>
                  </w:pPr>
                  <w:r>
                    <w:t>65</w:t>
                  </w:r>
                </w:p>
              </w:tc>
              <w:tc>
                <w:tcPr>
                  <w:tcW w:w="634" w:type="dxa"/>
                  <w:tcBorders>
                    <w:tl2br w:val="nil"/>
                    <w:tr2bl w:val="nil"/>
                  </w:tcBorders>
                  <w:vAlign w:val="center"/>
                </w:tcPr>
                <w:p>
                  <w:pPr>
                    <w:pStyle w:val="141"/>
                  </w:pPr>
                  <w:r>
                    <w:t>61.5</w:t>
                  </w:r>
                </w:p>
              </w:tc>
              <w:tc>
                <w:tcPr>
                  <w:tcW w:w="633" w:type="dxa"/>
                  <w:tcBorders>
                    <w:tl2br w:val="nil"/>
                    <w:tr2bl w:val="nil"/>
                  </w:tcBorders>
                  <w:vAlign w:val="center"/>
                </w:tcPr>
                <w:p>
                  <w:pPr>
                    <w:pStyle w:val="141"/>
                  </w:pPr>
                  <w:r>
                    <w:t>59</w:t>
                  </w:r>
                </w:p>
              </w:tc>
              <w:tc>
                <w:tcPr>
                  <w:tcW w:w="636" w:type="dxa"/>
                  <w:tcBorders>
                    <w:tl2br w:val="nil"/>
                    <w:tr2bl w:val="nil"/>
                  </w:tcBorders>
                  <w:vAlign w:val="center"/>
                </w:tcPr>
                <w:p>
                  <w:pPr>
                    <w:pStyle w:val="141"/>
                  </w:pPr>
                  <w:r>
                    <w:t>57</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升降机</w:t>
                  </w:r>
                </w:p>
              </w:tc>
              <w:tc>
                <w:tcPr>
                  <w:tcW w:w="908" w:type="dxa"/>
                  <w:tcBorders>
                    <w:tl2br w:val="nil"/>
                    <w:tr2bl w:val="nil"/>
                  </w:tcBorders>
                  <w:vAlign w:val="center"/>
                </w:tcPr>
                <w:p>
                  <w:pPr>
                    <w:pStyle w:val="141"/>
                  </w:pPr>
                  <w:r>
                    <w:t>80</w:t>
                  </w:r>
                </w:p>
              </w:tc>
              <w:tc>
                <w:tcPr>
                  <w:tcW w:w="633" w:type="dxa"/>
                  <w:tcBorders>
                    <w:tl2br w:val="nil"/>
                    <w:tr2bl w:val="nil"/>
                  </w:tcBorders>
                  <w:vAlign w:val="center"/>
                </w:tcPr>
                <w:p>
                  <w:pPr>
                    <w:pStyle w:val="141"/>
                  </w:pPr>
                  <w:r>
                    <w:t>60</w:t>
                  </w:r>
                </w:p>
              </w:tc>
              <w:tc>
                <w:tcPr>
                  <w:tcW w:w="634" w:type="dxa"/>
                  <w:tcBorders>
                    <w:tl2br w:val="nil"/>
                    <w:tr2bl w:val="nil"/>
                  </w:tcBorders>
                  <w:vAlign w:val="center"/>
                </w:tcPr>
                <w:p>
                  <w:pPr>
                    <w:pStyle w:val="141"/>
                  </w:pPr>
                  <w:r>
                    <w:t>52</w:t>
                  </w:r>
                </w:p>
              </w:tc>
              <w:tc>
                <w:tcPr>
                  <w:tcW w:w="633" w:type="dxa"/>
                  <w:tcBorders>
                    <w:tl2br w:val="nil"/>
                    <w:tr2bl w:val="nil"/>
                  </w:tcBorders>
                  <w:vAlign w:val="center"/>
                </w:tcPr>
                <w:p>
                  <w:pPr>
                    <w:pStyle w:val="141"/>
                  </w:pPr>
                  <w:r>
                    <w:t>46</w:t>
                  </w:r>
                </w:p>
              </w:tc>
              <w:tc>
                <w:tcPr>
                  <w:tcW w:w="633" w:type="dxa"/>
                  <w:tcBorders>
                    <w:tl2br w:val="nil"/>
                    <w:tr2bl w:val="nil"/>
                  </w:tcBorders>
                  <w:vAlign w:val="center"/>
                </w:tcPr>
                <w:p>
                  <w:pPr>
                    <w:pStyle w:val="141"/>
                  </w:pPr>
                  <w:r>
                    <w:t>44.4</w:t>
                  </w:r>
                </w:p>
              </w:tc>
              <w:tc>
                <w:tcPr>
                  <w:tcW w:w="633" w:type="dxa"/>
                  <w:tcBorders>
                    <w:tl2br w:val="nil"/>
                    <w:tr2bl w:val="nil"/>
                  </w:tcBorders>
                  <w:vAlign w:val="center"/>
                </w:tcPr>
                <w:p>
                  <w:pPr>
                    <w:pStyle w:val="141"/>
                  </w:pPr>
                  <w:r>
                    <w:t>40</w:t>
                  </w:r>
                </w:p>
              </w:tc>
              <w:tc>
                <w:tcPr>
                  <w:tcW w:w="634" w:type="dxa"/>
                  <w:tcBorders>
                    <w:tl2br w:val="nil"/>
                    <w:tr2bl w:val="nil"/>
                  </w:tcBorders>
                  <w:vAlign w:val="center"/>
                </w:tcPr>
                <w:p>
                  <w:pPr>
                    <w:pStyle w:val="141"/>
                  </w:pPr>
                  <w:r>
                    <w:t>36.5</w:t>
                  </w:r>
                </w:p>
              </w:tc>
              <w:tc>
                <w:tcPr>
                  <w:tcW w:w="633" w:type="dxa"/>
                  <w:tcBorders>
                    <w:tl2br w:val="nil"/>
                    <w:tr2bl w:val="nil"/>
                  </w:tcBorders>
                  <w:vAlign w:val="center"/>
                </w:tcPr>
                <w:p>
                  <w:pPr>
                    <w:pStyle w:val="141"/>
                  </w:pPr>
                  <w:r>
                    <w:t>34</w:t>
                  </w:r>
                </w:p>
              </w:tc>
              <w:tc>
                <w:tcPr>
                  <w:tcW w:w="636" w:type="dxa"/>
                  <w:tcBorders>
                    <w:tl2br w:val="nil"/>
                    <w:tr2bl w:val="nil"/>
                  </w:tcBorders>
                  <w:vAlign w:val="center"/>
                </w:tcPr>
                <w:p>
                  <w:pPr>
                    <w:pStyle w:val="141"/>
                  </w:pPr>
                  <w:r>
                    <w:t>32</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自卸汽车（5t）</w:t>
                  </w:r>
                </w:p>
              </w:tc>
              <w:tc>
                <w:tcPr>
                  <w:tcW w:w="908" w:type="dxa"/>
                  <w:tcBorders>
                    <w:tl2br w:val="nil"/>
                    <w:tr2bl w:val="nil"/>
                  </w:tcBorders>
                  <w:vAlign w:val="center"/>
                </w:tcPr>
                <w:p>
                  <w:pPr>
                    <w:pStyle w:val="141"/>
                  </w:pPr>
                  <w:r>
                    <w:t>90</w:t>
                  </w:r>
                </w:p>
              </w:tc>
              <w:tc>
                <w:tcPr>
                  <w:tcW w:w="633" w:type="dxa"/>
                  <w:tcBorders>
                    <w:tl2br w:val="nil"/>
                    <w:tr2bl w:val="nil"/>
                  </w:tcBorders>
                  <w:vAlign w:val="center"/>
                </w:tcPr>
                <w:p>
                  <w:pPr>
                    <w:pStyle w:val="141"/>
                  </w:pPr>
                  <w:r>
                    <w:t>70</w:t>
                  </w:r>
                </w:p>
              </w:tc>
              <w:tc>
                <w:tcPr>
                  <w:tcW w:w="634" w:type="dxa"/>
                  <w:tcBorders>
                    <w:tl2br w:val="nil"/>
                    <w:tr2bl w:val="nil"/>
                  </w:tcBorders>
                  <w:vAlign w:val="center"/>
                </w:tcPr>
                <w:p>
                  <w:pPr>
                    <w:pStyle w:val="141"/>
                  </w:pPr>
                  <w:r>
                    <w:t>62</w:t>
                  </w:r>
                </w:p>
              </w:tc>
              <w:tc>
                <w:tcPr>
                  <w:tcW w:w="633" w:type="dxa"/>
                  <w:tcBorders>
                    <w:tl2br w:val="nil"/>
                    <w:tr2bl w:val="nil"/>
                  </w:tcBorders>
                  <w:vAlign w:val="center"/>
                </w:tcPr>
                <w:p>
                  <w:pPr>
                    <w:pStyle w:val="141"/>
                  </w:pPr>
                  <w:r>
                    <w:t>56</w:t>
                  </w:r>
                </w:p>
              </w:tc>
              <w:tc>
                <w:tcPr>
                  <w:tcW w:w="633" w:type="dxa"/>
                  <w:tcBorders>
                    <w:tl2br w:val="nil"/>
                    <w:tr2bl w:val="nil"/>
                  </w:tcBorders>
                  <w:vAlign w:val="center"/>
                </w:tcPr>
                <w:p>
                  <w:pPr>
                    <w:pStyle w:val="141"/>
                  </w:pPr>
                  <w:r>
                    <w:t>54.4</w:t>
                  </w:r>
                </w:p>
              </w:tc>
              <w:tc>
                <w:tcPr>
                  <w:tcW w:w="633" w:type="dxa"/>
                  <w:tcBorders>
                    <w:tl2br w:val="nil"/>
                    <w:tr2bl w:val="nil"/>
                  </w:tcBorders>
                  <w:vAlign w:val="center"/>
                </w:tcPr>
                <w:p>
                  <w:pPr>
                    <w:pStyle w:val="141"/>
                  </w:pPr>
                  <w:r>
                    <w:t>50</w:t>
                  </w:r>
                </w:p>
              </w:tc>
              <w:tc>
                <w:tcPr>
                  <w:tcW w:w="634" w:type="dxa"/>
                  <w:tcBorders>
                    <w:tl2br w:val="nil"/>
                    <w:tr2bl w:val="nil"/>
                  </w:tcBorders>
                  <w:vAlign w:val="center"/>
                </w:tcPr>
                <w:p>
                  <w:pPr>
                    <w:pStyle w:val="141"/>
                  </w:pPr>
                  <w:r>
                    <w:t>46.5</w:t>
                  </w:r>
                </w:p>
              </w:tc>
              <w:tc>
                <w:tcPr>
                  <w:tcW w:w="633" w:type="dxa"/>
                  <w:tcBorders>
                    <w:tl2br w:val="nil"/>
                    <w:tr2bl w:val="nil"/>
                  </w:tcBorders>
                  <w:vAlign w:val="center"/>
                </w:tcPr>
                <w:p>
                  <w:pPr>
                    <w:pStyle w:val="141"/>
                  </w:pPr>
                  <w:r>
                    <w:t>44</w:t>
                  </w:r>
                </w:p>
              </w:tc>
              <w:tc>
                <w:tcPr>
                  <w:tcW w:w="636" w:type="dxa"/>
                  <w:tcBorders>
                    <w:tl2br w:val="nil"/>
                    <w:tr2bl w:val="nil"/>
                  </w:tcBorders>
                  <w:vAlign w:val="center"/>
                </w:tcPr>
                <w:p>
                  <w:pPr>
                    <w:pStyle w:val="141"/>
                  </w:pPr>
                  <w:r>
                    <w:t>42</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自卸汽车（10-12.5t）</w:t>
                  </w:r>
                </w:p>
              </w:tc>
              <w:tc>
                <w:tcPr>
                  <w:tcW w:w="908" w:type="dxa"/>
                  <w:tcBorders>
                    <w:tl2br w:val="nil"/>
                    <w:tr2bl w:val="nil"/>
                  </w:tcBorders>
                  <w:vAlign w:val="center"/>
                </w:tcPr>
                <w:p>
                  <w:pPr>
                    <w:pStyle w:val="141"/>
                  </w:pPr>
                  <w:r>
                    <w:t>92</w:t>
                  </w:r>
                </w:p>
              </w:tc>
              <w:tc>
                <w:tcPr>
                  <w:tcW w:w="633" w:type="dxa"/>
                  <w:tcBorders>
                    <w:tl2br w:val="nil"/>
                    <w:tr2bl w:val="nil"/>
                  </w:tcBorders>
                  <w:vAlign w:val="center"/>
                </w:tcPr>
                <w:p>
                  <w:pPr>
                    <w:pStyle w:val="141"/>
                  </w:pPr>
                  <w:r>
                    <w:t>72</w:t>
                  </w:r>
                </w:p>
              </w:tc>
              <w:tc>
                <w:tcPr>
                  <w:tcW w:w="634" w:type="dxa"/>
                  <w:tcBorders>
                    <w:tl2br w:val="nil"/>
                    <w:tr2bl w:val="nil"/>
                  </w:tcBorders>
                  <w:vAlign w:val="center"/>
                </w:tcPr>
                <w:p>
                  <w:pPr>
                    <w:pStyle w:val="141"/>
                  </w:pPr>
                  <w:r>
                    <w:t>64</w:t>
                  </w:r>
                </w:p>
              </w:tc>
              <w:tc>
                <w:tcPr>
                  <w:tcW w:w="633" w:type="dxa"/>
                  <w:tcBorders>
                    <w:tl2br w:val="nil"/>
                    <w:tr2bl w:val="nil"/>
                  </w:tcBorders>
                  <w:vAlign w:val="center"/>
                </w:tcPr>
                <w:p>
                  <w:pPr>
                    <w:pStyle w:val="141"/>
                  </w:pPr>
                  <w:r>
                    <w:t>58</w:t>
                  </w:r>
                </w:p>
              </w:tc>
              <w:tc>
                <w:tcPr>
                  <w:tcW w:w="633" w:type="dxa"/>
                  <w:tcBorders>
                    <w:tl2br w:val="nil"/>
                    <w:tr2bl w:val="nil"/>
                  </w:tcBorders>
                  <w:vAlign w:val="center"/>
                </w:tcPr>
                <w:p>
                  <w:pPr>
                    <w:pStyle w:val="141"/>
                  </w:pPr>
                  <w:r>
                    <w:t>56.4</w:t>
                  </w:r>
                </w:p>
              </w:tc>
              <w:tc>
                <w:tcPr>
                  <w:tcW w:w="633" w:type="dxa"/>
                  <w:tcBorders>
                    <w:tl2br w:val="nil"/>
                    <w:tr2bl w:val="nil"/>
                  </w:tcBorders>
                  <w:vAlign w:val="center"/>
                </w:tcPr>
                <w:p>
                  <w:pPr>
                    <w:pStyle w:val="141"/>
                  </w:pPr>
                  <w:r>
                    <w:t>52</w:t>
                  </w:r>
                </w:p>
              </w:tc>
              <w:tc>
                <w:tcPr>
                  <w:tcW w:w="634" w:type="dxa"/>
                  <w:tcBorders>
                    <w:tl2br w:val="nil"/>
                    <w:tr2bl w:val="nil"/>
                  </w:tcBorders>
                  <w:vAlign w:val="center"/>
                </w:tcPr>
                <w:p>
                  <w:pPr>
                    <w:pStyle w:val="141"/>
                  </w:pPr>
                  <w:r>
                    <w:t>48.5</w:t>
                  </w:r>
                </w:p>
              </w:tc>
              <w:tc>
                <w:tcPr>
                  <w:tcW w:w="633" w:type="dxa"/>
                  <w:tcBorders>
                    <w:tl2br w:val="nil"/>
                    <w:tr2bl w:val="nil"/>
                  </w:tcBorders>
                  <w:vAlign w:val="center"/>
                </w:tcPr>
                <w:p>
                  <w:pPr>
                    <w:pStyle w:val="141"/>
                  </w:pPr>
                  <w:r>
                    <w:t>46</w:t>
                  </w:r>
                </w:p>
              </w:tc>
              <w:tc>
                <w:tcPr>
                  <w:tcW w:w="636" w:type="dxa"/>
                  <w:tcBorders>
                    <w:tl2br w:val="nil"/>
                    <w:tr2bl w:val="nil"/>
                  </w:tcBorders>
                  <w:vAlign w:val="center"/>
                </w:tcPr>
                <w:p>
                  <w:pPr>
                    <w:pStyle w:val="141"/>
                  </w:pPr>
                  <w:r>
                    <w:t>44</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电锯</w:t>
                  </w:r>
                </w:p>
              </w:tc>
              <w:tc>
                <w:tcPr>
                  <w:tcW w:w="908" w:type="dxa"/>
                  <w:tcBorders>
                    <w:tl2br w:val="nil"/>
                    <w:tr2bl w:val="nil"/>
                  </w:tcBorders>
                  <w:vAlign w:val="center"/>
                </w:tcPr>
                <w:p>
                  <w:pPr>
                    <w:pStyle w:val="141"/>
                  </w:pPr>
                  <w:r>
                    <w:t>100</w:t>
                  </w:r>
                </w:p>
              </w:tc>
              <w:tc>
                <w:tcPr>
                  <w:tcW w:w="633" w:type="dxa"/>
                  <w:tcBorders>
                    <w:tl2br w:val="nil"/>
                    <w:tr2bl w:val="nil"/>
                  </w:tcBorders>
                  <w:vAlign w:val="center"/>
                </w:tcPr>
                <w:p>
                  <w:pPr>
                    <w:pStyle w:val="141"/>
                  </w:pPr>
                  <w:r>
                    <w:t>80</w:t>
                  </w:r>
                </w:p>
              </w:tc>
              <w:tc>
                <w:tcPr>
                  <w:tcW w:w="634" w:type="dxa"/>
                  <w:tcBorders>
                    <w:tl2br w:val="nil"/>
                    <w:tr2bl w:val="nil"/>
                  </w:tcBorders>
                  <w:vAlign w:val="center"/>
                </w:tcPr>
                <w:p>
                  <w:pPr>
                    <w:pStyle w:val="141"/>
                  </w:pPr>
                  <w:r>
                    <w:t>72</w:t>
                  </w:r>
                </w:p>
              </w:tc>
              <w:tc>
                <w:tcPr>
                  <w:tcW w:w="633" w:type="dxa"/>
                  <w:tcBorders>
                    <w:tl2br w:val="nil"/>
                    <w:tr2bl w:val="nil"/>
                  </w:tcBorders>
                  <w:vAlign w:val="center"/>
                </w:tcPr>
                <w:p>
                  <w:pPr>
                    <w:pStyle w:val="141"/>
                  </w:pPr>
                  <w:r>
                    <w:t>66</w:t>
                  </w:r>
                </w:p>
              </w:tc>
              <w:tc>
                <w:tcPr>
                  <w:tcW w:w="633" w:type="dxa"/>
                  <w:tcBorders>
                    <w:tl2br w:val="nil"/>
                    <w:tr2bl w:val="nil"/>
                  </w:tcBorders>
                  <w:vAlign w:val="center"/>
                </w:tcPr>
                <w:p>
                  <w:pPr>
                    <w:pStyle w:val="141"/>
                  </w:pPr>
                  <w:r>
                    <w:t>64.4</w:t>
                  </w:r>
                </w:p>
              </w:tc>
              <w:tc>
                <w:tcPr>
                  <w:tcW w:w="633" w:type="dxa"/>
                  <w:tcBorders>
                    <w:tl2br w:val="nil"/>
                    <w:tr2bl w:val="nil"/>
                  </w:tcBorders>
                  <w:vAlign w:val="center"/>
                </w:tcPr>
                <w:p>
                  <w:pPr>
                    <w:pStyle w:val="141"/>
                  </w:pPr>
                  <w:r>
                    <w:t>60</w:t>
                  </w:r>
                </w:p>
              </w:tc>
              <w:tc>
                <w:tcPr>
                  <w:tcW w:w="634" w:type="dxa"/>
                  <w:tcBorders>
                    <w:tl2br w:val="nil"/>
                    <w:tr2bl w:val="nil"/>
                  </w:tcBorders>
                  <w:vAlign w:val="center"/>
                </w:tcPr>
                <w:p>
                  <w:pPr>
                    <w:pStyle w:val="141"/>
                  </w:pPr>
                  <w:r>
                    <w:t>56.5</w:t>
                  </w:r>
                </w:p>
              </w:tc>
              <w:tc>
                <w:tcPr>
                  <w:tcW w:w="633" w:type="dxa"/>
                  <w:tcBorders>
                    <w:tl2br w:val="nil"/>
                    <w:tr2bl w:val="nil"/>
                  </w:tcBorders>
                  <w:vAlign w:val="center"/>
                </w:tcPr>
                <w:p>
                  <w:pPr>
                    <w:pStyle w:val="141"/>
                  </w:pPr>
                  <w:r>
                    <w:t>54</w:t>
                  </w:r>
                </w:p>
              </w:tc>
              <w:tc>
                <w:tcPr>
                  <w:tcW w:w="636" w:type="dxa"/>
                  <w:tcBorders>
                    <w:tl2br w:val="nil"/>
                    <w:tr2bl w:val="nil"/>
                  </w:tcBorders>
                  <w:vAlign w:val="center"/>
                </w:tcPr>
                <w:p>
                  <w:pPr>
                    <w:pStyle w:val="141"/>
                  </w:pPr>
                  <w:r>
                    <w:t>52</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振捣棒</w:t>
                  </w:r>
                </w:p>
              </w:tc>
              <w:tc>
                <w:tcPr>
                  <w:tcW w:w="908" w:type="dxa"/>
                  <w:tcBorders>
                    <w:tl2br w:val="nil"/>
                    <w:tr2bl w:val="nil"/>
                  </w:tcBorders>
                  <w:vAlign w:val="center"/>
                </w:tcPr>
                <w:p>
                  <w:pPr>
                    <w:pStyle w:val="141"/>
                  </w:pPr>
                  <w:r>
                    <w:t>105</w:t>
                  </w:r>
                </w:p>
              </w:tc>
              <w:tc>
                <w:tcPr>
                  <w:tcW w:w="633" w:type="dxa"/>
                  <w:tcBorders>
                    <w:tl2br w:val="nil"/>
                    <w:tr2bl w:val="nil"/>
                  </w:tcBorders>
                  <w:vAlign w:val="center"/>
                </w:tcPr>
                <w:p>
                  <w:pPr>
                    <w:pStyle w:val="141"/>
                  </w:pPr>
                  <w:r>
                    <w:t>85</w:t>
                  </w:r>
                </w:p>
              </w:tc>
              <w:tc>
                <w:tcPr>
                  <w:tcW w:w="634" w:type="dxa"/>
                  <w:tcBorders>
                    <w:tl2br w:val="nil"/>
                    <w:tr2bl w:val="nil"/>
                  </w:tcBorders>
                  <w:vAlign w:val="center"/>
                </w:tcPr>
                <w:p>
                  <w:pPr>
                    <w:pStyle w:val="141"/>
                  </w:pPr>
                  <w:r>
                    <w:t>77</w:t>
                  </w:r>
                </w:p>
              </w:tc>
              <w:tc>
                <w:tcPr>
                  <w:tcW w:w="633" w:type="dxa"/>
                  <w:tcBorders>
                    <w:tl2br w:val="nil"/>
                    <w:tr2bl w:val="nil"/>
                  </w:tcBorders>
                  <w:vAlign w:val="center"/>
                </w:tcPr>
                <w:p>
                  <w:pPr>
                    <w:pStyle w:val="141"/>
                  </w:pPr>
                  <w:r>
                    <w:t>71</w:t>
                  </w:r>
                </w:p>
              </w:tc>
              <w:tc>
                <w:tcPr>
                  <w:tcW w:w="633" w:type="dxa"/>
                  <w:tcBorders>
                    <w:tl2br w:val="nil"/>
                    <w:tr2bl w:val="nil"/>
                  </w:tcBorders>
                  <w:vAlign w:val="center"/>
                </w:tcPr>
                <w:p>
                  <w:pPr>
                    <w:pStyle w:val="141"/>
                  </w:pPr>
                  <w:r>
                    <w:t>69.4</w:t>
                  </w:r>
                </w:p>
              </w:tc>
              <w:tc>
                <w:tcPr>
                  <w:tcW w:w="633" w:type="dxa"/>
                  <w:tcBorders>
                    <w:tl2br w:val="nil"/>
                    <w:tr2bl w:val="nil"/>
                  </w:tcBorders>
                  <w:vAlign w:val="center"/>
                </w:tcPr>
                <w:p>
                  <w:pPr>
                    <w:pStyle w:val="141"/>
                  </w:pPr>
                  <w:r>
                    <w:t>65</w:t>
                  </w:r>
                </w:p>
              </w:tc>
              <w:tc>
                <w:tcPr>
                  <w:tcW w:w="634" w:type="dxa"/>
                  <w:tcBorders>
                    <w:tl2br w:val="nil"/>
                    <w:tr2bl w:val="nil"/>
                  </w:tcBorders>
                  <w:vAlign w:val="center"/>
                </w:tcPr>
                <w:p>
                  <w:pPr>
                    <w:pStyle w:val="141"/>
                  </w:pPr>
                  <w:r>
                    <w:t>61.5</w:t>
                  </w:r>
                </w:p>
              </w:tc>
              <w:tc>
                <w:tcPr>
                  <w:tcW w:w="633" w:type="dxa"/>
                  <w:tcBorders>
                    <w:tl2br w:val="nil"/>
                    <w:tr2bl w:val="nil"/>
                  </w:tcBorders>
                  <w:vAlign w:val="center"/>
                </w:tcPr>
                <w:p>
                  <w:pPr>
                    <w:pStyle w:val="141"/>
                  </w:pPr>
                  <w:r>
                    <w:t>59</w:t>
                  </w:r>
                </w:p>
              </w:tc>
              <w:tc>
                <w:tcPr>
                  <w:tcW w:w="636" w:type="dxa"/>
                  <w:tcBorders>
                    <w:tl2br w:val="nil"/>
                    <w:tr2bl w:val="nil"/>
                  </w:tcBorders>
                  <w:vAlign w:val="center"/>
                </w:tcPr>
                <w:p>
                  <w:pPr>
                    <w:pStyle w:val="141"/>
                  </w:pPr>
                  <w:r>
                    <w:t>57</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电焊机</w:t>
                  </w:r>
                </w:p>
              </w:tc>
              <w:tc>
                <w:tcPr>
                  <w:tcW w:w="908" w:type="dxa"/>
                  <w:tcBorders>
                    <w:tl2br w:val="nil"/>
                    <w:tr2bl w:val="nil"/>
                  </w:tcBorders>
                  <w:vAlign w:val="center"/>
                </w:tcPr>
                <w:p>
                  <w:pPr>
                    <w:pStyle w:val="141"/>
                  </w:pPr>
                  <w:r>
                    <w:t>95</w:t>
                  </w:r>
                </w:p>
              </w:tc>
              <w:tc>
                <w:tcPr>
                  <w:tcW w:w="633" w:type="dxa"/>
                  <w:tcBorders>
                    <w:tl2br w:val="nil"/>
                    <w:tr2bl w:val="nil"/>
                  </w:tcBorders>
                  <w:vAlign w:val="center"/>
                </w:tcPr>
                <w:p>
                  <w:pPr>
                    <w:pStyle w:val="141"/>
                  </w:pPr>
                  <w:r>
                    <w:t>75</w:t>
                  </w:r>
                </w:p>
              </w:tc>
              <w:tc>
                <w:tcPr>
                  <w:tcW w:w="634" w:type="dxa"/>
                  <w:tcBorders>
                    <w:tl2br w:val="nil"/>
                    <w:tr2bl w:val="nil"/>
                  </w:tcBorders>
                  <w:vAlign w:val="center"/>
                </w:tcPr>
                <w:p>
                  <w:pPr>
                    <w:pStyle w:val="141"/>
                  </w:pPr>
                  <w:r>
                    <w:t>67</w:t>
                  </w:r>
                </w:p>
              </w:tc>
              <w:tc>
                <w:tcPr>
                  <w:tcW w:w="633" w:type="dxa"/>
                  <w:tcBorders>
                    <w:tl2br w:val="nil"/>
                    <w:tr2bl w:val="nil"/>
                  </w:tcBorders>
                  <w:vAlign w:val="center"/>
                </w:tcPr>
                <w:p>
                  <w:pPr>
                    <w:pStyle w:val="141"/>
                  </w:pPr>
                  <w:r>
                    <w:t>61</w:t>
                  </w:r>
                </w:p>
              </w:tc>
              <w:tc>
                <w:tcPr>
                  <w:tcW w:w="633" w:type="dxa"/>
                  <w:tcBorders>
                    <w:tl2br w:val="nil"/>
                    <w:tr2bl w:val="nil"/>
                  </w:tcBorders>
                  <w:vAlign w:val="center"/>
                </w:tcPr>
                <w:p>
                  <w:pPr>
                    <w:pStyle w:val="141"/>
                  </w:pPr>
                  <w:r>
                    <w:t>59.4</w:t>
                  </w:r>
                </w:p>
              </w:tc>
              <w:tc>
                <w:tcPr>
                  <w:tcW w:w="633" w:type="dxa"/>
                  <w:tcBorders>
                    <w:tl2br w:val="nil"/>
                    <w:tr2bl w:val="nil"/>
                  </w:tcBorders>
                  <w:vAlign w:val="center"/>
                </w:tcPr>
                <w:p>
                  <w:pPr>
                    <w:pStyle w:val="141"/>
                  </w:pPr>
                  <w:r>
                    <w:t>55</w:t>
                  </w:r>
                </w:p>
              </w:tc>
              <w:tc>
                <w:tcPr>
                  <w:tcW w:w="634" w:type="dxa"/>
                  <w:tcBorders>
                    <w:tl2br w:val="nil"/>
                    <w:tr2bl w:val="nil"/>
                  </w:tcBorders>
                  <w:vAlign w:val="center"/>
                </w:tcPr>
                <w:p>
                  <w:pPr>
                    <w:pStyle w:val="141"/>
                  </w:pPr>
                  <w:r>
                    <w:t>51.5</w:t>
                  </w:r>
                </w:p>
              </w:tc>
              <w:tc>
                <w:tcPr>
                  <w:tcW w:w="633" w:type="dxa"/>
                  <w:tcBorders>
                    <w:tl2br w:val="nil"/>
                    <w:tr2bl w:val="nil"/>
                  </w:tcBorders>
                  <w:vAlign w:val="center"/>
                </w:tcPr>
                <w:p>
                  <w:pPr>
                    <w:pStyle w:val="141"/>
                  </w:pPr>
                  <w:r>
                    <w:t>49</w:t>
                  </w:r>
                </w:p>
              </w:tc>
              <w:tc>
                <w:tcPr>
                  <w:tcW w:w="636" w:type="dxa"/>
                  <w:tcBorders>
                    <w:tl2br w:val="nil"/>
                    <w:tr2bl w:val="nil"/>
                  </w:tcBorders>
                  <w:vAlign w:val="center"/>
                </w:tcPr>
                <w:p>
                  <w:pPr>
                    <w:pStyle w:val="141"/>
                  </w:pPr>
                  <w:r>
                    <w:t>47</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吊车</w:t>
                  </w:r>
                </w:p>
              </w:tc>
              <w:tc>
                <w:tcPr>
                  <w:tcW w:w="908" w:type="dxa"/>
                  <w:tcBorders>
                    <w:tl2br w:val="nil"/>
                    <w:tr2bl w:val="nil"/>
                  </w:tcBorders>
                  <w:vAlign w:val="center"/>
                </w:tcPr>
                <w:p>
                  <w:pPr>
                    <w:pStyle w:val="141"/>
                  </w:pPr>
                  <w:r>
                    <w:t>80</w:t>
                  </w:r>
                </w:p>
              </w:tc>
              <w:tc>
                <w:tcPr>
                  <w:tcW w:w="633" w:type="dxa"/>
                  <w:tcBorders>
                    <w:tl2br w:val="nil"/>
                    <w:tr2bl w:val="nil"/>
                  </w:tcBorders>
                  <w:vAlign w:val="center"/>
                </w:tcPr>
                <w:p>
                  <w:pPr>
                    <w:pStyle w:val="141"/>
                  </w:pPr>
                  <w:r>
                    <w:t>60</w:t>
                  </w:r>
                </w:p>
              </w:tc>
              <w:tc>
                <w:tcPr>
                  <w:tcW w:w="634" w:type="dxa"/>
                  <w:tcBorders>
                    <w:tl2br w:val="nil"/>
                    <w:tr2bl w:val="nil"/>
                  </w:tcBorders>
                  <w:vAlign w:val="center"/>
                </w:tcPr>
                <w:p>
                  <w:pPr>
                    <w:pStyle w:val="141"/>
                  </w:pPr>
                  <w:r>
                    <w:t>52</w:t>
                  </w:r>
                </w:p>
              </w:tc>
              <w:tc>
                <w:tcPr>
                  <w:tcW w:w="633" w:type="dxa"/>
                  <w:tcBorders>
                    <w:tl2br w:val="nil"/>
                    <w:tr2bl w:val="nil"/>
                  </w:tcBorders>
                  <w:vAlign w:val="center"/>
                </w:tcPr>
                <w:p>
                  <w:pPr>
                    <w:pStyle w:val="141"/>
                  </w:pPr>
                  <w:r>
                    <w:t>46</w:t>
                  </w:r>
                </w:p>
              </w:tc>
              <w:tc>
                <w:tcPr>
                  <w:tcW w:w="633" w:type="dxa"/>
                  <w:tcBorders>
                    <w:tl2br w:val="nil"/>
                    <w:tr2bl w:val="nil"/>
                  </w:tcBorders>
                  <w:vAlign w:val="center"/>
                </w:tcPr>
                <w:p>
                  <w:pPr>
                    <w:pStyle w:val="141"/>
                  </w:pPr>
                  <w:r>
                    <w:t>44.4</w:t>
                  </w:r>
                </w:p>
              </w:tc>
              <w:tc>
                <w:tcPr>
                  <w:tcW w:w="633" w:type="dxa"/>
                  <w:tcBorders>
                    <w:tl2br w:val="nil"/>
                    <w:tr2bl w:val="nil"/>
                  </w:tcBorders>
                  <w:vAlign w:val="center"/>
                </w:tcPr>
                <w:p>
                  <w:pPr>
                    <w:pStyle w:val="141"/>
                  </w:pPr>
                  <w:r>
                    <w:t>40</w:t>
                  </w:r>
                </w:p>
              </w:tc>
              <w:tc>
                <w:tcPr>
                  <w:tcW w:w="634" w:type="dxa"/>
                  <w:tcBorders>
                    <w:tl2br w:val="nil"/>
                    <w:tr2bl w:val="nil"/>
                  </w:tcBorders>
                  <w:vAlign w:val="center"/>
                </w:tcPr>
                <w:p>
                  <w:pPr>
                    <w:pStyle w:val="141"/>
                  </w:pPr>
                  <w:r>
                    <w:t>36.5</w:t>
                  </w:r>
                </w:p>
              </w:tc>
              <w:tc>
                <w:tcPr>
                  <w:tcW w:w="633" w:type="dxa"/>
                  <w:tcBorders>
                    <w:tl2br w:val="nil"/>
                    <w:tr2bl w:val="nil"/>
                  </w:tcBorders>
                  <w:vAlign w:val="center"/>
                </w:tcPr>
                <w:p>
                  <w:pPr>
                    <w:pStyle w:val="141"/>
                  </w:pPr>
                  <w:r>
                    <w:t>34</w:t>
                  </w:r>
                </w:p>
              </w:tc>
              <w:tc>
                <w:tcPr>
                  <w:tcW w:w="636" w:type="dxa"/>
                  <w:tcBorders>
                    <w:tl2br w:val="nil"/>
                    <w:tr2bl w:val="nil"/>
                  </w:tcBorders>
                  <w:vAlign w:val="center"/>
                </w:tcPr>
                <w:p>
                  <w:pPr>
                    <w:pStyle w:val="141"/>
                  </w:pPr>
                  <w:r>
                    <w:t>32</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空压机</w:t>
                  </w:r>
                </w:p>
              </w:tc>
              <w:tc>
                <w:tcPr>
                  <w:tcW w:w="908" w:type="dxa"/>
                  <w:tcBorders>
                    <w:tl2br w:val="nil"/>
                    <w:tr2bl w:val="nil"/>
                  </w:tcBorders>
                  <w:vAlign w:val="center"/>
                </w:tcPr>
                <w:p>
                  <w:pPr>
                    <w:pStyle w:val="141"/>
                  </w:pPr>
                  <w:r>
                    <w:t>85</w:t>
                  </w:r>
                </w:p>
              </w:tc>
              <w:tc>
                <w:tcPr>
                  <w:tcW w:w="633" w:type="dxa"/>
                  <w:tcBorders>
                    <w:tl2br w:val="nil"/>
                    <w:tr2bl w:val="nil"/>
                  </w:tcBorders>
                  <w:vAlign w:val="center"/>
                </w:tcPr>
                <w:p>
                  <w:pPr>
                    <w:pStyle w:val="141"/>
                  </w:pPr>
                  <w:r>
                    <w:t>65</w:t>
                  </w:r>
                </w:p>
              </w:tc>
              <w:tc>
                <w:tcPr>
                  <w:tcW w:w="634" w:type="dxa"/>
                  <w:tcBorders>
                    <w:tl2br w:val="nil"/>
                    <w:tr2bl w:val="nil"/>
                  </w:tcBorders>
                  <w:vAlign w:val="center"/>
                </w:tcPr>
                <w:p>
                  <w:pPr>
                    <w:pStyle w:val="141"/>
                  </w:pPr>
                  <w:r>
                    <w:t>57</w:t>
                  </w:r>
                </w:p>
              </w:tc>
              <w:tc>
                <w:tcPr>
                  <w:tcW w:w="633" w:type="dxa"/>
                  <w:tcBorders>
                    <w:tl2br w:val="nil"/>
                    <w:tr2bl w:val="nil"/>
                  </w:tcBorders>
                  <w:vAlign w:val="center"/>
                </w:tcPr>
                <w:p>
                  <w:pPr>
                    <w:pStyle w:val="141"/>
                  </w:pPr>
                  <w:r>
                    <w:t>51</w:t>
                  </w:r>
                </w:p>
              </w:tc>
              <w:tc>
                <w:tcPr>
                  <w:tcW w:w="633" w:type="dxa"/>
                  <w:tcBorders>
                    <w:tl2br w:val="nil"/>
                    <w:tr2bl w:val="nil"/>
                  </w:tcBorders>
                  <w:vAlign w:val="center"/>
                </w:tcPr>
                <w:p>
                  <w:pPr>
                    <w:pStyle w:val="141"/>
                  </w:pPr>
                  <w:r>
                    <w:t>49.4</w:t>
                  </w:r>
                </w:p>
              </w:tc>
              <w:tc>
                <w:tcPr>
                  <w:tcW w:w="633" w:type="dxa"/>
                  <w:tcBorders>
                    <w:tl2br w:val="nil"/>
                    <w:tr2bl w:val="nil"/>
                  </w:tcBorders>
                  <w:vAlign w:val="center"/>
                </w:tcPr>
                <w:p>
                  <w:pPr>
                    <w:pStyle w:val="141"/>
                  </w:pPr>
                  <w:r>
                    <w:t>45</w:t>
                  </w:r>
                </w:p>
              </w:tc>
              <w:tc>
                <w:tcPr>
                  <w:tcW w:w="634" w:type="dxa"/>
                  <w:tcBorders>
                    <w:tl2br w:val="nil"/>
                    <w:tr2bl w:val="nil"/>
                  </w:tcBorders>
                  <w:vAlign w:val="center"/>
                </w:tcPr>
                <w:p>
                  <w:pPr>
                    <w:pStyle w:val="141"/>
                  </w:pPr>
                  <w:r>
                    <w:t>41.5</w:t>
                  </w:r>
                </w:p>
              </w:tc>
              <w:tc>
                <w:tcPr>
                  <w:tcW w:w="633" w:type="dxa"/>
                  <w:tcBorders>
                    <w:tl2br w:val="nil"/>
                    <w:tr2bl w:val="nil"/>
                  </w:tcBorders>
                  <w:vAlign w:val="center"/>
                </w:tcPr>
                <w:p>
                  <w:pPr>
                    <w:pStyle w:val="141"/>
                  </w:pPr>
                  <w:r>
                    <w:t>39</w:t>
                  </w:r>
                </w:p>
              </w:tc>
              <w:tc>
                <w:tcPr>
                  <w:tcW w:w="636" w:type="dxa"/>
                  <w:tcBorders>
                    <w:tl2br w:val="nil"/>
                    <w:tr2bl w:val="nil"/>
                  </w:tcBorders>
                  <w:vAlign w:val="center"/>
                </w:tcPr>
                <w:p>
                  <w:pPr>
                    <w:pStyle w:val="141"/>
                  </w:pPr>
                  <w:r>
                    <w:t>37</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电钻</w:t>
                  </w:r>
                </w:p>
              </w:tc>
              <w:tc>
                <w:tcPr>
                  <w:tcW w:w="908" w:type="dxa"/>
                  <w:tcBorders>
                    <w:tl2br w:val="nil"/>
                    <w:tr2bl w:val="nil"/>
                  </w:tcBorders>
                  <w:vAlign w:val="center"/>
                </w:tcPr>
                <w:p>
                  <w:pPr>
                    <w:pStyle w:val="141"/>
                  </w:pPr>
                  <w:r>
                    <w:t>105</w:t>
                  </w:r>
                </w:p>
              </w:tc>
              <w:tc>
                <w:tcPr>
                  <w:tcW w:w="633" w:type="dxa"/>
                  <w:tcBorders>
                    <w:tl2br w:val="nil"/>
                    <w:tr2bl w:val="nil"/>
                  </w:tcBorders>
                  <w:vAlign w:val="center"/>
                </w:tcPr>
                <w:p>
                  <w:pPr>
                    <w:pStyle w:val="141"/>
                  </w:pPr>
                  <w:r>
                    <w:t>85</w:t>
                  </w:r>
                </w:p>
              </w:tc>
              <w:tc>
                <w:tcPr>
                  <w:tcW w:w="634" w:type="dxa"/>
                  <w:tcBorders>
                    <w:tl2br w:val="nil"/>
                    <w:tr2bl w:val="nil"/>
                  </w:tcBorders>
                  <w:vAlign w:val="center"/>
                </w:tcPr>
                <w:p>
                  <w:pPr>
                    <w:pStyle w:val="141"/>
                  </w:pPr>
                  <w:r>
                    <w:t>77</w:t>
                  </w:r>
                </w:p>
              </w:tc>
              <w:tc>
                <w:tcPr>
                  <w:tcW w:w="633" w:type="dxa"/>
                  <w:tcBorders>
                    <w:tl2br w:val="nil"/>
                    <w:tr2bl w:val="nil"/>
                  </w:tcBorders>
                  <w:vAlign w:val="center"/>
                </w:tcPr>
                <w:p>
                  <w:pPr>
                    <w:pStyle w:val="141"/>
                  </w:pPr>
                  <w:r>
                    <w:t>71</w:t>
                  </w:r>
                </w:p>
              </w:tc>
              <w:tc>
                <w:tcPr>
                  <w:tcW w:w="633" w:type="dxa"/>
                  <w:tcBorders>
                    <w:tl2br w:val="nil"/>
                    <w:tr2bl w:val="nil"/>
                  </w:tcBorders>
                  <w:vAlign w:val="center"/>
                </w:tcPr>
                <w:p>
                  <w:pPr>
                    <w:pStyle w:val="141"/>
                  </w:pPr>
                  <w:r>
                    <w:t>69.4</w:t>
                  </w:r>
                </w:p>
              </w:tc>
              <w:tc>
                <w:tcPr>
                  <w:tcW w:w="633" w:type="dxa"/>
                  <w:tcBorders>
                    <w:tl2br w:val="nil"/>
                    <w:tr2bl w:val="nil"/>
                  </w:tcBorders>
                  <w:vAlign w:val="center"/>
                </w:tcPr>
                <w:p>
                  <w:pPr>
                    <w:pStyle w:val="141"/>
                  </w:pPr>
                  <w:r>
                    <w:t>65</w:t>
                  </w:r>
                </w:p>
              </w:tc>
              <w:tc>
                <w:tcPr>
                  <w:tcW w:w="634" w:type="dxa"/>
                  <w:tcBorders>
                    <w:tl2br w:val="nil"/>
                    <w:tr2bl w:val="nil"/>
                  </w:tcBorders>
                  <w:vAlign w:val="center"/>
                </w:tcPr>
                <w:p>
                  <w:pPr>
                    <w:pStyle w:val="141"/>
                  </w:pPr>
                  <w:r>
                    <w:t>61.5</w:t>
                  </w:r>
                </w:p>
              </w:tc>
              <w:tc>
                <w:tcPr>
                  <w:tcW w:w="633" w:type="dxa"/>
                  <w:tcBorders>
                    <w:tl2br w:val="nil"/>
                    <w:tr2bl w:val="nil"/>
                  </w:tcBorders>
                  <w:vAlign w:val="center"/>
                </w:tcPr>
                <w:p>
                  <w:pPr>
                    <w:pStyle w:val="141"/>
                  </w:pPr>
                  <w:r>
                    <w:t>59</w:t>
                  </w:r>
                </w:p>
              </w:tc>
              <w:tc>
                <w:tcPr>
                  <w:tcW w:w="636" w:type="dxa"/>
                  <w:tcBorders>
                    <w:tl2br w:val="nil"/>
                    <w:tr2bl w:val="nil"/>
                  </w:tcBorders>
                  <w:vAlign w:val="center"/>
                </w:tcPr>
                <w:p>
                  <w:pPr>
                    <w:pStyle w:val="141"/>
                  </w:pPr>
                  <w:r>
                    <w:t>57</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3" w:type="dxa"/>
                  <w:tcBorders>
                    <w:tl2br w:val="nil"/>
                    <w:tr2bl w:val="nil"/>
                  </w:tcBorders>
                  <w:vAlign w:val="center"/>
                </w:tcPr>
                <w:p>
                  <w:pPr>
                    <w:pStyle w:val="141"/>
                  </w:pPr>
                  <w:r>
                    <w:t>多功能木工刨</w:t>
                  </w:r>
                </w:p>
              </w:tc>
              <w:tc>
                <w:tcPr>
                  <w:tcW w:w="908" w:type="dxa"/>
                  <w:tcBorders>
                    <w:tl2br w:val="nil"/>
                    <w:tr2bl w:val="nil"/>
                  </w:tcBorders>
                  <w:vAlign w:val="center"/>
                </w:tcPr>
                <w:p>
                  <w:pPr>
                    <w:pStyle w:val="141"/>
                  </w:pPr>
                  <w:r>
                    <w:t>100</w:t>
                  </w:r>
                </w:p>
              </w:tc>
              <w:tc>
                <w:tcPr>
                  <w:tcW w:w="633" w:type="dxa"/>
                  <w:tcBorders>
                    <w:tl2br w:val="nil"/>
                    <w:tr2bl w:val="nil"/>
                  </w:tcBorders>
                  <w:vAlign w:val="center"/>
                </w:tcPr>
                <w:p>
                  <w:pPr>
                    <w:pStyle w:val="141"/>
                  </w:pPr>
                  <w:r>
                    <w:t>80</w:t>
                  </w:r>
                </w:p>
              </w:tc>
              <w:tc>
                <w:tcPr>
                  <w:tcW w:w="634" w:type="dxa"/>
                  <w:tcBorders>
                    <w:tl2br w:val="nil"/>
                    <w:tr2bl w:val="nil"/>
                  </w:tcBorders>
                  <w:vAlign w:val="center"/>
                </w:tcPr>
                <w:p>
                  <w:pPr>
                    <w:pStyle w:val="141"/>
                  </w:pPr>
                  <w:r>
                    <w:t>72</w:t>
                  </w:r>
                </w:p>
              </w:tc>
              <w:tc>
                <w:tcPr>
                  <w:tcW w:w="633" w:type="dxa"/>
                  <w:tcBorders>
                    <w:tl2br w:val="nil"/>
                    <w:tr2bl w:val="nil"/>
                  </w:tcBorders>
                  <w:vAlign w:val="center"/>
                </w:tcPr>
                <w:p>
                  <w:pPr>
                    <w:pStyle w:val="141"/>
                  </w:pPr>
                  <w:r>
                    <w:t>66</w:t>
                  </w:r>
                </w:p>
              </w:tc>
              <w:tc>
                <w:tcPr>
                  <w:tcW w:w="633" w:type="dxa"/>
                  <w:tcBorders>
                    <w:tl2br w:val="nil"/>
                    <w:tr2bl w:val="nil"/>
                  </w:tcBorders>
                  <w:vAlign w:val="center"/>
                </w:tcPr>
                <w:p>
                  <w:pPr>
                    <w:pStyle w:val="141"/>
                  </w:pPr>
                  <w:r>
                    <w:t>64.4</w:t>
                  </w:r>
                </w:p>
              </w:tc>
              <w:tc>
                <w:tcPr>
                  <w:tcW w:w="633" w:type="dxa"/>
                  <w:tcBorders>
                    <w:tl2br w:val="nil"/>
                    <w:tr2bl w:val="nil"/>
                  </w:tcBorders>
                  <w:vAlign w:val="center"/>
                </w:tcPr>
                <w:p>
                  <w:pPr>
                    <w:pStyle w:val="141"/>
                  </w:pPr>
                  <w:r>
                    <w:t>60</w:t>
                  </w:r>
                </w:p>
              </w:tc>
              <w:tc>
                <w:tcPr>
                  <w:tcW w:w="634" w:type="dxa"/>
                  <w:tcBorders>
                    <w:tl2br w:val="nil"/>
                    <w:tr2bl w:val="nil"/>
                  </w:tcBorders>
                  <w:vAlign w:val="center"/>
                </w:tcPr>
                <w:p>
                  <w:pPr>
                    <w:pStyle w:val="141"/>
                  </w:pPr>
                  <w:r>
                    <w:t>56.5</w:t>
                  </w:r>
                </w:p>
              </w:tc>
              <w:tc>
                <w:tcPr>
                  <w:tcW w:w="633" w:type="dxa"/>
                  <w:tcBorders>
                    <w:tl2br w:val="nil"/>
                    <w:tr2bl w:val="nil"/>
                  </w:tcBorders>
                  <w:vAlign w:val="center"/>
                </w:tcPr>
                <w:p>
                  <w:pPr>
                    <w:pStyle w:val="141"/>
                  </w:pPr>
                  <w:r>
                    <w:t>54</w:t>
                  </w:r>
                </w:p>
              </w:tc>
              <w:tc>
                <w:tcPr>
                  <w:tcW w:w="636" w:type="dxa"/>
                  <w:tcBorders>
                    <w:tl2br w:val="nil"/>
                    <w:tr2bl w:val="nil"/>
                  </w:tcBorders>
                  <w:vAlign w:val="center"/>
                </w:tcPr>
                <w:p>
                  <w:pPr>
                    <w:pStyle w:val="141"/>
                  </w:pPr>
                  <w:r>
                    <w:t>52</w:t>
                  </w:r>
                </w:p>
              </w:tc>
              <w:tc>
                <w:tcPr>
                  <w:tcW w:w="1036" w:type="dxa"/>
                  <w:vMerge w:val="continue"/>
                  <w:tcBorders>
                    <w:tl2br w:val="nil"/>
                    <w:tr2bl w:val="nil"/>
                  </w:tcBorders>
                  <w:vAlign w:val="center"/>
                </w:tcPr>
                <w:p>
                  <w:pPr>
                    <w:pStyle w:val="141"/>
                  </w:pPr>
                </w:p>
              </w:tc>
              <w:tc>
                <w:tcPr>
                  <w:tcW w:w="1038" w:type="dxa"/>
                  <w:vMerge w:val="continue"/>
                  <w:tcBorders>
                    <w:tl2br w:val="nil"/>
                    <w:tr2bl w:val="nil"/>
                  </w:tcBorders>
                  <w:vAlign w:val="center"/>
                </w:tcPr>
                <w:p>
                  <w:pPr>
                    <w:pStyle w:val="141"/>
                  </w:pPr>
                </w:p>
              </w:tc>
            </w:tr>
          </w:tbl>
          <w:p>
            <w:pPr>
              <w:spacing w:line="360" w:lineRule="auto"/>
              <w:ind w:firstLine="480" w:firstLineChars="200"/>
              <w:rPr>
                <w:highlight w:val="none"/>
              </w:rPr>
            </w:pPr>
            <w:r>
              <w:rPr>
                <w:sz w:val="24"/>
              </w:rPr>
              <w:t>表</w:t>
            </w:r>
            <w:r>
              <w:rPr>
                <w:rFonts w:hint="eastAsia"/>
                <w:sz w:val="24"/>
              </w:rPr>
              <w:t>1</w:t>
            </w:r>
            <w:r>
              <w:rPr>
                <w:rFonts w:hint="eastAsia"/>
                <w:sz w:val="24"/>
                <w:lang w:val="en-US" w:eastAsia="zh-CN"/>
              </w:rPr>
              <w:t>9</w:t>
            </w:r>
            <w:r>
              <w:t>为</w:t>
            </w:r>
            <w:r>
              <w:rPr>
                <w:kern w:val="0"/>
                <w:sz w:val="24"/>
              </w:rPr>
              <w:t>主要施工设备噪声未做任何减噪措施，经距离衰减后的情况。由表可知，施工机械噪声在空旷地带的传播距离较远，施工机械噪声较高，昼间施工在距声源60m处达到GB12523-2011《建筑施工场界环境噪声排放标准》。项目在施工期间建有围墙，经过围墙阻隔，估计噪声衰减量为6dB。由表可知，施工机械于围墙距离大于30m时噪声排放可以做到场界达标；夜间施工噪声在距声源60m范围内出现超标情况。通过合理布局施工机械，项目施工期昼间噪声排放可达到GB12523-2011《建筑施工场界</w:t>
            </w:r>
            <w:r>
              <w:rPr>
                <w:kern w:val="0"/>
                <w:sz w:val="24"/>
                <w:highlight w:val="none"/>
              </w:rPr>
              <w:t>环境噪声排放标准》，对周围环境影响较小；</w:t>
            </w:r>
            <w:bookmarkStart w:id="12" w:name="OLE_LINK9"/>
            <w:r>
              <w:rPr>
                <w:rFonts w:hint="eastAsia"/>
                <w:kern w:val="0"/>
                <w:sz w:val="24"/>
                <w:highlight w:val="none"/>
                <w:lang w:eastAsia="zh-CN"/>
              </w:rPr>
              <w:t>项目严禁夜间进行施工</w:t>
            </w:r>
            <w:bookmarkEnd w:id="12"/>
            <w:r>
              <w:rPr>
                <w:kern w:val="0"/>
                <w:sz w:val="24"/>
                <w:highlight w:val="none"/>
              </w:rPr>
              <w:t>。</w:t>
            </w:r>
          </w:p>
          <w:p>
            <w:pPr>
              <w:numPr>
                <w:ilvl w:val="0"/>
                <w:numId w:val="0"/>
              </w:numPr>
              <w:spacing w:line="360" w:lineRule="auto"/>
              <w:ind w:firstLine="480" w:firstLineChars="200"/>
              <w:jc w:val="both"/>
              <w:rPr>
                <w:sz w:val="24"/>
                <w:szCs w:val="32"/>
                <w:highlight w:val="none"/>
              </w:rPr>
            </w:pPr>
            <w:r>
              <w:rPr>
                <w:rFonts w:hint="eastAsia"/>
                <w:sz w:val="24"/>
                <w:szCs w:val="32"/>
                <w:highlight w:val="none"/>
                <w:lang w:eastAsia="zh-CN"/>
              </w:rPr>
              <w:t>（</w:t>
            </w:r>
            <w:r>
              <w:rPr>
                <w:rFonts w:hint="eastAsia"/>
                <w:sz w:val="24"/>
                <w:szCs w:val="32"/>
                <w:highlight w:val="none"/>
                <w:lang w:val="en-US" w:eastAsia="zh-CN"/>
              </w:rPr>
              <w:t>2</w:t>
            </w:r>
            <w:r>
              <w:rPr>
                <w:rFonts w:hint="eastAsia"/>
                <w:sz w:val="24"/>
                <w:szCs w:val="32"/>
                <w:highlight w:val="none"/>
                <w:lang w:eastAsia="zh-CN"/>
              </w:rPr>
              <w:t>）</w:t>
            </w:r>
            <w:r>
              <w:rPr>
                <w:sz w:val="24"/>
                <w:szCs w:val="32"/>
                <w:highlight w:val="none"/>
              </w:rPr>
              <w:t>施工噪声对环境保护目标的影响</w:t>
            </w:r>
          </w:p>
          <w:p>
            <w:pPr>
              <w:spacing w:line="360" w:lineRule="auto"/>
              <w:ind w:firstLine="480" w:firstLineChars="200"/>
              <w:rPr>
                <w:b/>
                <w:color w:val="auto"/>
                <w:sz w:val="24"/>
              </w:rPr>
            </w:pPr>
            <w:r>
              <w:rPr>
                <w:sz w:val="24"/>
                <w:szCs w:val="32"/>
                <w:highlight w:val="none"/>
              </w:rPr>
              <w:t>根据施工现场调查，该</w:t>
            </w:r>
            <w:r>
              <w:rPr>
                <w:sz w:val="24"/>
                <w:highlight w:val="none"/>
              </w:rPr>
              <w:t>项目</w:t>
            </w:r>
            <w:r>
              <w:rPr>
                <w:rFonts w:hint="eastAsia"/>
                <w:sz w:val="24"/>
                <w:highlight w:val="none"/>
                <w:lang w:eastAsia="zh-CN"/>
              </w:rPr>
              <w:t>最近敏感点为项目东侧</w:t>
            </w:r>
            <w:r>
              <w:rPr>
                <w:rFonts w:hint="eastAsia"/>
                <w:sz w:val="24"/>
                <w:highlight w:val="none"/>
                <w:lang w:val="en-US" w:eastAsia="zh-CN"/>
              </w:rPr>
              <w:t>400m处石管子村，项目施工期噪声影响范围主要为项目地200m范围内，</w:t>
            </w:r>
            <w:r>
              <w:rPr>
                <w:rFonts w:hint="eastAsia"/>
                <w:sz w:val="24"/>
                <w:highlight w:val="none"/>
                <w:lang w:eastAsia="zh-CN"/>
              </w:rPr>
              <w:t>因此项目施工期噪声对敏感点影响较小。</w:t>
            </w:r>
          </w:p>
          <w:p>
            <w:pPr>
              <w:autoSpaceDN w:val="0"/>
              <w:spacing w:line="360" w:lineRule="auto"/>
              <w:ind w:firstLine="480" w:firstLineChars="200"/>
              <w:rPr>
                <w:sz w:val="24"/>
              </w:rPr>
            </w:pPr>
            <w:r>
              <w:rPr>
                <w:rFonts w:hint="eastAsia"/>
                <w:sz w:val="24"/>
              </w:rPr>
              <w:t>（3）施工噪声防治措施</w:t>
            </w:r>
          </w:p>
          <w:p>
            <w:pPr>
              <w:autoSpaceDN w:val="0"/>
              <w:spacing w:line="360" w:lineRule="auto"/>
              <w:ind w:firstLine="480" w:firstLineChars="200"/>
              <w:rPr>
                <w:sz w:val="24"/>
                <w:highlight w:val="none"/>
              </w:rPr>
            </w:pPr>
            <w:r>
              <w:rPr>
                <w:rFonts w:hint="eastAsia"/>
                <w:sz w:val="24"/>
                <w:highlight w:val="none"/>
              </w:rPr>
              <w:t>①合理安排施工计划和施工机械设备组合以及施工时间，在不影响施工的前提下，尽量避开高噪声设备的同时施工，对固定的机械设备尽量入棚操作。施工单位严格执行《建筑施工场界环境噪声排放标准》（GB12523-2011）的要求，在施工过程中，尽量减少运行动力机械设备的数量，尽可能使动力机械设备均匀使用。</w:t>
            </w:r>
            <w:r>
              <w:rPr>
                <w:rFonts w:hint="eastAsia"/>
                <w:kern w:val="0"/>
                <w:sz w:val="24"/>
                <w:highlight w:val="none"/>
                <w:lang w:eastAsia="zh-CN"/>
              </w:rPr>
              <w:t>项目严禁夜间进行施工</w:t>
            </w:r>
            <w:r>
              <w:rPr>
                <w:rFonts w:hint="eastAsia"/>
                <w:sz w:val="24"/>
                <w:highlight w:val="none"/>
              </w:rPr>
              <w:t>。</w:t>
            </w:r>
          </w:p>
          <w:p>
            <w:pPr>
              <w:autoSpaceDN w:val="0"/>
              <w:spacing w:line="360" w:lineRule="auto"/>
              <w:ind w:firstLine="480" w:firstLineChars="200"/>
              <w:rPr>
                <w:sz w:val="24"/>
                <w:highlight w:val="none"/>
              </w:rPr>
            </w:pPr>
            <w:r>
              <w:rPr>
                <w:rFonts w:hint="eastAsia"/>
                <w:sz w:val="24"/>
                <w:highlight w:val="none"/>
              </w:rPr>
              <w:t>②尽量选用低噪声设备或带隔声、消声的设备和采取隔振降噪声措施。</w:t>
            </w:r>
          </w:p>
          <w:p>
            <w:pPr>
              <w:autoSpaceDN w:val="0"/>
              <w:spacing w:line="360" w:lineRule="auto"/>
              <w:ind w:firstLine="480" w:firstLineChars="200"/>
              <w:rPr>
                <w:sz w:val="24"/>
                <w:highlight w:val="none"/>
              </w:rPr>
            </w:pPr>
            <w:r>
              <w:rPr>
                <w:rFonts w:hint="eastAsia"/>
                <w:sz w:val="24"/>
                <w:highlight w:val="none"/>
              </w:rPr>
              <w:t>③加强施工现场运输管理，对施工车辆造成的噪声影响要加强管理，运输车辆尽量采用较低声级的喇叭，并在所经过的道路禁止鸣笛，以免影响沿途居民的正常生活。</w:t>
            </w:r>
          </w:p>
          <w:p>
            <w:pPr>
              <w:autoSpaceDN w:val="0"/>
              <w:spacing w:line="360" w:lineRule="auto"/>
              <w:ind w:firstLine="480" w:firstLineChars="200"/>
              <w:rPr>
                <w:sz w:val="24"/>
                <w:highlight w:val="none"/>
              </w:rPr>
            </w:pPr>
            <w:r>
              <w:rPr>
                <w:rFonts w:hint="eastAsia"/>
                <w:sz w:val="24"/>
                <w:highlight w:val="none"/>
              </w:rPr>
              <w:t>④使用商品混凝土，避免混凝土搅拌机等噪声的影响。</w:t>
            </w:r>
          </w:p>
          <w:p>
            <w:pPr>
              <w:autoSpaceDN w:val="0"/>
              <w:spacing w:line="360" w:lineRule="auto"/>
              <w:ind w:firstLine="480" w:firstLineChars="200"/>
              <w:rPr>
                <w:sz w:val="24"/>
                <w:highlight w:val="none"/>
              </w:rPr>
            </w:pPr>
            <w:r>
              <w:rPr>
                <w:rFonts w:hint="eastAsia"/>
                <w:sz w:val="24"/>
                <w:highlight w:val="none"/>
              </w:rPr>
              <w:t>⑤项目地块场地周围设置</w:t>
            </w:r>
            <w:r>
              <w:rPr>
                <w:rFonts w:hint="eastAsia"/>
                <w:sz w:val="24"/>
                <w:highlight w:val="none"/>
                <w:lang w:eastAsia="zh-CN"/>
              </w:rPr>
              <w:t>实体围墙</w:t>
            </w:r>
            <w:r>
              <w:rPr>
                <w:rFonts w:hint="eastAsia"/>
                <w:sz w:val="24"/>
                <w:highlight w:val="none"/>
              </w:rPr>
              <w:t>，减少施工机械的噪声影响。</w:t>
            </w:r>
          </w:p>
          <w:p>
            <w:pPr>
              <w:autoSpaceDN w:val="0"/>
              <w:spacing w:line="360" w:lineRule="auto"/>
              <w:ind w:firstLine="480" w:firstLineChars="200"/>
              <w:rPr>
                <w:sz w:val="24"/>
                <w:highlight w:val="none"/>
              </w:rPr>
            </w:pPr>
            <w:r>
              <w:rPr>
                <w:rFonts w:hint="eastAsia"/>
                <w:sz w:val="24"/>
                <w:highlight w:val="none"/>
              </w:rPr>
              <w:t>通过严格的施工管理，尽可能的使施工场界噪声达到标准限值，以减少对周围居民生活的影响。施工期的噪声影响是暂时性的，并随着施工期的结束而消失，对环境的影响不大。</w:t>
            </w:r>
          </w:p>
          <w:p>
            <w:pPr>
              <w:autoSpaceDN w:val="0"/>
              <w:spacing w:line="360" w:lineRule="auto"/>
              <w:ind w:firstLine="480" w:firstLineChars="200"/>
              <w:rPr>
                <w:sz w:val="24"/>
              </w:rPr>
            </w:pPr>
            <w:r>
              <w:rPr>
                <w:rFonts w:hint="eastAsia"/>
                <w:sz w:val="24"/>
              </w:rPr>
              <w:t>（3）</w:t>
            </w:r>
            <w:r>
              <w:rPr>
                <w:sz w:val="24"/>
              </w:rPr>
              <w:t>运输车辆运行噪声</w:t>
            </w:r>
          </w:p>
          <w:p>
            <w:pPr>
              <w:autoSpaceDN w:val="0"/>
              <w:spacing w:line="360" w:lineRule="auto"/>
              <w:ind w:firstLine="480" w:firstLineChars="200"/>
              <w:rPr>
                <w:sz w:val="24"/>
              </w:rPr>
            </w:pPr>
            <w:r>
              <w:rPr>
                <w:sz w:val="24"/>
              </w:rPr>
              <w:t>施工期间运输建筑材料车辆增多，将加重沿线交通噪声污染。运输车辆噪声级一般在</w:t>
            </w:r>
            <w:r>
              <w:rPr>
                <w:rFonts w:hint="eastAsia"/>
                <w:sz w:val="24"/>
              </w:rPr>
              <w:t>80</w:t>
            </w:r>
            <w:r>
              <w:rPr>
                <w:sz w:val="24"/>
              </w:rPr>
              <w:t>~</w:t>
            </w:r>
            <w:r>
              <w:rPr>
                <w:rFonts w:hint="eastAsia"/>
                <w:sz w:val="24"/>
              </w:rPr>
              <w:t>90</w:t>
            </w:r>
            <w:r>
              <w:rPr>
                <w:sz w:val="24"/>
              </w:rPr>
              <w:t>dB</w:t>
            </w:r>
            <w:r>
              <w:rPr>
                <w:rFonts w:hint="eastAsia"/>
                <w:sz w:val="24"/>
              </w:rPr>
              <w:t>(A)</w:t>
            </w:r>
            <w:r>
              <w:rPr>
                <w:sz w:val="24"/>
              </w:rPr>
              <w:t>，属间接运行，且运输量有限，加上车辆禁止午休</w:t>
            </w:r>
            <w:r>
              <w:rPr>
                <w:rFonts w:hint="eastAsia"/>
                <w:sz w:val="24"/>
              </w:rPr>
              <w:t>（12:00-14:00）及</w:t>
            </w:r>
            <w:r>
              <w:rPr>
                <w:sz w:val="24"/>
              </w:rPr>
              <w:t>夜间（22</w:t>
            </w:r>
            <w:r>
              <w:rPr>
                <w:rFonts w:hint="eastAsia"/>
                <w:sz w:val="24"/>
              </w:rPr>
              <w:t>:</w:t>
            </w:r>
            <w:r>
              <w:rPr>
                <w:sz w:val="24"/>
              </w:rPr>
              <w:t>00</w:t>
            </w:r>
            <w:r>
              <w:rPr>
                <w:rFonts w:hint="eastAsia"/>
                <w:sz w:val="24"/>
              </w:rPr>
              <w:t>~</w:t>
            </w:r>
            <w:r>
              <w:rPr>
                <w:sz w:val="24"/>
              </w:rPr>
              <w:t>06</w:t>
            </w:r>
            <w:r>
              <w:rPr>
                <w:rFonts w:hint="eastAsia"/>
                <w:sz w:val="24"/>
              </w:rPr>
              <w:t>:</w:t>
            </w:r>
            <w:r>
              <w:rPr>
                <w:sz w:val="24"/>
              </w:rPr>
              <w:t>00）鸣笛，因此施工期间运输车辆产生噪声污染是短暂的，不会对沿线居民生活造成大的影响。</w:t>
            </w:r>
          </w:p>
          <w:p>
            <w:pPr>
              <w:autoSpaceDN w:val="0"/>
              <w:spacing w:line="360" w:lineRule="auto"/>
              <w:ind w:firstLine="480" w:firstLineChars="200"/>
              <w:rPr>
                <w:sz w:val="24"/>
              </w:rPr>
            </w:pPr>
            <w:r>
              <w:rPr>
                <w:rFonts w:hint="eastAsia"/>
                <w:sz w:val="24"/>
              </w:rPr>
              <w:t>（4）装修噪声</w:t>
            </w:r>
          </w:p>
          <w:p>
            <w:pPr>
              <w:pStyle w:val="142"/>
              <w:ind w:firstLine="480"/>
              <w:rPr>
                <w:color w:val="auto"/>
              </w:rPr>
            </w:pPr>
            <w:r>
              <w:rPr>
                <w:color w:val="auto"/>
              </w:rPr>
              <w:t>装修期使用的机械设备主要有电钻、磨光机、电锤、手工钻等，大部分机械设备噪声源特征值见表</w:t>
            </w:r>
            <w:r>
              <w:rPr>
                <w:rFonts w:hint="eastAsia"/>
                <w:color w:val="auto"/>
                <w:lang w:val="en-US" w:eastAsia="zh-CN"/>
              </w:rPr>
              <w:t>20</w:t>
            </w:r>
            <w:r>
              <w:rPr>
                <w:color w:val="auto"/>
              </w:rPr>
              <w:t>。</w:t>
            </w:r>
          </w:p>
          <w:p>
            <w:pPr>
              <w:pStyle w:val="142"/>
              <w:spacing w:line="240" w:lineRule="auto"/>
              <w:ind w:firstLine="482"/>
              <w:jc w:val="center"/>
              <w:rPr>
                <w:b/>
                <w:color w:val="auto"/>
              </w:rPr>
            </w:pPr>
            <w:r>
              <w:rPr>
                <w:b/>
                <w:color w:val="auto"/>
              </w:rPr>
              <w:t>表</w:t>
            </w:r>
            <w:r>
              <w:rPr>
                <w:rFonts w:hint="eastAsia"/>
                <w:b/>
                <w:color w:val="auto"/>
                <w:lang w:val="en-US" w:eastAsia="zh-CN"/>
              </w:rPr>
              <w:t xml:space="preserve">20  </w:t>
            </w:r>
            <w:r>
              <w:rPr>
                <w:b/>
                <w:color w:val="auto"/>
              </w:rPr>
              <w:t>装修阶段主要设备噪声级</w:t>
            </w:r>
          </w:p>
          <w:tbl>
            <w:tblPr>
              <w:tblStyle w:val="34"/>
              <w:tblW w:w="89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019"/>
              <w:gridCol w:w="30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910" w:type="dxa"/>
                  <w:vAlign w:val="center"/>
                </w:tcPr>
                <w:p>
                  <w:pPr>
                    <w:autoSpaceDN w:val="0"/>
                    <w:jc w:val="center"/>
                    <w:rPr>
                      <w:szCs w:val="21"/>
                    </w:rPr>
                  </w:pPr>
                  <w:r>
                    <w:rPr>
                      <w:szCs w:val="21"/>
                    </w:rPr>
                    <w:t>施工阶段</w:t>
                  </w:r>
                </w:p>
              </w:tc>
              <w:tc>
                <w:tcPr>
                  <w:tcW w:w="3019" w:type="dxa"/>
                  <w:vAlign w:val="center"/>
                </w:tcPr>
                <w:p>
                  <w:pPr>
                    <w:autoSpaceDN w:val="0"/>
                    <w:jc w:val="center"/>
                    <w:rPr>
                      <w:szCs w:val="21"/>
                    </w:rPr>
                  </w:pPr>
                  <w:r>
                    <w:rPr>
                      <w:szCs w:val="21"/>
                    </w:rPr>
                    <w:t>声源</w:t>
                  </w:r>
                </w:p>
              </w:tc>
              <w:tc>
                <w:tcPr>
                  <w:tcW w:w="3055" w:type="dxa"/>
                  <w:vAlign w:val="center"/>
                </w:tcPr>
                <w:p>
                  <w:pPr>
                    <w:autoSpaceDN w:val="0"/>
                    <w:jc w:val="center"/>
                    <w:rPr>
                      <w:szCs w:val="21"/>
                    </w:rPr>
                  </w:pPr>
                  <w:r>
                    <w:rPr>
                      <w:szCs w:val="21"/>
                    </w:rPr>
                    <w:t>声级/dB(</w:t>
                  </w:r>
                  <w:r>
                    <w:rPr>
                      <w:rFonts w:hint="eastAsia"/>
                      <w:szCs w:val="21"/>
                    </w:rPr>
                    <w:t>A</w:t>
                  </w: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atLeast"/>
                <w:jc w:val="center"/>
              </w:trPr>
              <w:tc>
                <w:tcPr>
                  <w:tcW w:w="2910" w:type="dxa"/>
                  <w:vMerge w:val="restart"/>
                  <w:vAlign w:val="center"/>
                </w:tcPr>
                <w:p>
                  <w:pPr>
                    <w:autoSpaceDN w:val="0"/>
                    <w:jc w:val="center"/>
                    <w:rPr>
                      <w:szCs w:val="21"/>
                    </w:rPr>
                  </w:pPr>
                  <w:r>
                    <w:rPr>
                      <w:szCs w:val="21"/>
                    </w:rPr>
                    <w:t>装修、安装阶段</w:t>
                  </w:r>
                </w:p>
              </w:tc>
              <w:tc>
                <w:tcPr>
                  <w:tcW w:w="3019" w:type="dxa"/>
                  <w:vAlign w:val="center"/>
                </w:tcPr>
                <w:p>
                  <w:pPr>
                    <w:autoSpaceDN w:val="0"/>
                    <w:jc w:val="center"/>
                    <w:rPr>
                      <w:szCs w:val="21"/>
                    </w:rPr>
                  </w:pPr>
                  <w:r>
                    <w:rPr>
                      <w:szCs w:val="21"/>
                    </w:rPr>
                    <w:t>电钻</w:t>
                  </w:r>
                </w:p>
              </w:tc>
              <w:tc>
                <w:tcPr>
                  <w:tcW w:w="3055" w:type="dxa"/>
                  <w:vAlign w:val="center"/>
                </w:tcPr>
                <w:p>
                  <w:pPr>
                    <w:autoSpaceDN w:val="0"/>
                    <w:jc w:val="center"/>
                    <w:rPr>
                      <w:szCs w:val="21"/>
                    </w:rPr>
                  </w:pPr>
                  <w:r>
                    <w:rPr>
                      <w:szCs w:val="21"/>
                    </w:rPr>
                    <w:t>90-115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2910" w:type="dxa"/>
                  <w:vMerge w:val="continue"/>
                  <w:vAlign w:val="center"/>
                </w:tcPr>
                <w:p/>
              </w:tc>
              <w:tc>
                <w:tcPr>
                  <w:tcW w:w="3019" w:type="dxa"/>
                  <w:vAlign w:val="center"/>
                </w:tcPr>
                <w:p>
                  <w:pPr>
                    <w:autoSpaceDN w:val="0"/>
                    <w:jc w:val="center"/>
                    <w:rPr>
                      <w:szCs w:val="21"/>
                    </w:rPr>
                  </w:pPr>
                  <w:r>
                    <w:rPr>
                      <w:szCs w:val="21"/>
                    </w:rPr>
                    <w:t>电锤</w:t>
                  </w:r>
                  <w:r>
                    <w:rPr>
                      <w:rFonts w:hint="eastAsia"/>
                      <w:szCs w:val="21"/>
                    </w:rPr>
                    <w:t>、</w:t>
                  </w:r>
                  <w:r>
                    <w:rPr>
                      <w:szCs w:val="21"/>
                    </w:rPr>
                    <w:t>手工钻</w:t>
                  </w:r>
                  <w:r>
                    <w:rPr>
                      <w:rFonts w:hint="eastAsia"/>
                      <w:szCs w:val="21"/>
                    </w:rPr>
                    <w:t>、</w:t>
                  </w:r>
                  <w:r>
                    <w:rPr>
                      <w:szCs w:val="21"/>
                    </w:rPr>
                    <w:t>角向磨光机</w:t>
                  </w:r>
                </w:p>
              </w:tc>
              <w:tc>
                <w:tcPr>
                  <w:tcW w:w="3055" w:type="dxa"/>
                  <w:vAlign w:val="center"/>
                </w:tcPr>
                <w:p>
                  <w:pPr>
                    <w:autoSpaceDN w:val="0"/>
                    <w:jc w:val="center"/>
                    <w:rPr>
                      <w:szCs w:val="21"/>
                    </w:rPr>
                  </w:pPr>
                  <w:r>
                    <w:rPr>
                      <w:szCs w:val="21"/>
                    </w:rPr>
                    <w:t>100-105</w:t>
                  </w:r>
                </w:p>
              </w:tc>
            </w:tr>
          </w:tbl>
          <w:p>
            <w:pPr>
              <w:pStyle w:val="142"/>
              <w:ind w:firstLine="480"/>
              <w:rPr>
                <w:color w:val="auto"/>
              </w:rPr>
            </w:pPr>
            <w:r>
              <w:rPr>
                <w:color w:val="auto"/>
              </w:rPr>
              <w:t>为减小装修施工噪声对声环境的影响，环评要求：①建设单位合理安排装修计划并采取较严格的管理措施，将噪声所造成的影响减少到最低程度；②严禁其在午休（12:00-14:00）及夜间（22:00~06:00）等时段进行装修施工。</w:t>
            </w:r>
          </w:p>
          <w:p>
            <w:pPr>
              <w:autoSpaceDN w:val="0"/>
              <w:spacing w:line="360" w:lineRule="auto"/>
              <w:ind w:firstLine="480" w:firstLineChars="200"/>
              <w:rPr>
                <w:sz w:val="24"/>
              </w:rPr>
            </w:pPr>
            <w:r>
              <w:rPr>
                <w:rFonts w:hint="eastAsia"/>
                <w:sz w:val="24"/>
              </w:rPr>
              <w:t>采取以上相应防噪措施后，施工期噪声对周围敏感点影响较小。</w:t>
            </w:r>
          </w:p>
          <w:p>
            <w:pPr>
              <w:autoSpaceDN w:val="0"/>
              <w:spacing w:line="360" w:lineRule="auto"/>
              <w:ind w:firstLine="480" w:firstLineChars="200"/>
              <w:rPr>
                <w:rFonts w:eastAsia="黑体"/>
                <w:bCs/>
                <w:sz w:val="24"/>
              </w:rPr>
            </w:pPr>
            <w:r>
              <w:rPr>
                <w:rFonts w:hint="eastAsia" w:eastAsia="黑体"/>
                <w:bCs/>
                <w:sz w:val="24"/>
              </w:rPr>
              <w:t>4、固体废物影响分析</w:t>
            </w:r>
          </w:p>
          <w:p>
            <w:pPr>
              <w:autoSpaceDN w:val="0"/>
              <w:spacing w:line="360" w:lineRule="auto"/>
              <w:ind w:firstLine="480" w:firstLineChars="200"/>
              <w:rPr>
                <w:sz w:val="24"/>
              </w:rPr>
            </w:pPr>
            <w:r>
              <w:rPr>
                <w:sz w:val="24"/>
              </w:rPr>
              <w:t>施工期固体废物主要包括施工渣土</w:t>
            </w:r>
            <w:r>
              <w:rPr>
                <w:rFonts w:hint="eastAsia"/>
                <w:sz w:val="24"/>
              </w:rPr>
              <w:t>、</w:t>
            </w:r>
            <w:r>
              <w:rPr>
                <w:sz w:val="24"/>
              </w:rPr>
              <w:t>施工人员的生活垃圾</w:t>
            </w:r>
            <w:r>
              <w:rPr>
                <w:rFonts w:hint="eastAsia"/>
                <w:sz w:val="24"/>
              </w:rPr>
              <w:t>。</w:t>
            </w:r>
          </w:p>
          <w:p>
            <w:pPr>
              <w:autoSpaceDN w:val="0"/>
              <w:spacing w:line="360" w:lineRule="auto"/>
              <w:ind w:firstLine="480" w:firstLineChars="200"/>
              <w:rPr>
                <w:sz w:val="24"/>
              </w:rPr>
            </w:pPr>
            <w:r>
              <w:rPr>
                <w:rFonts w:hint="eastAsia"/>
                <w:sz w:val="24"/>
              </w:rPr>
              <w:t>（1）</w:t>
            </w:r>
            <w:r>
              <w:rPr>
                <w:sz w:val="24"/>
              </w:rPr>
              <w:t>施工渣土</w:t>
            </w:r>
          </w:p>
          <w:p>
            <w:pPr>
              <w:tabs>
                <w:tab w:val="left" w:pos="1960"/>
              </w:tabs>
              <w:autoSpaceDN w:val="0"/>
              <w:spacing w:line="360" w:lineRule="auto"/>
              <w:ind w:firstLine="480" w:firstLineChars="200"/>
              <w:rPr>
                <w:sz w:val="24"/>
              </w:rPr>
            </w:pPr>
            <w:r>
              <w:rPr>
                <w:sz w:val="24"/>
              </w:rPr>
              <w:t>施工渣土主要包括建筑垃圾和施工弃土</w:t>
            </w:r>
            <w:r>
              <w:rPr>
                <w:rFonts w:hint="eastAsia"/>
                <w:sz w:val="24"/>
              </w:rPr>
              <w:t>两</w:t>
            </w:r>
            <w:r>
              <w:rPr>
                <w:sz w:val="24"/>
              </w:rPr>
              <w:t>部分。根据新建建筑的建筑垃圾产生量计算方法，</w:t>
            </w:r>
            <w:r>
              <w:rPr>
                <w:rFonts w:hint="eastAsia"/>
                <w:sz w:val="24"/>
              </w:rPr>
              <w:t>即</w:t>
            </w:r>
            <w:r>
              <w:rPr>
                <w:rFonts w:hint="eastAsia"/>
                <w:sz w:val="24"/>
                <w:lang w:val="en-US" w:eastAsia="zh-CN"/>
              </w:rPr>
              <w:t>30</w:t>
            </w:r>
            <w:r>
              <w:rPr>
                <w:sz w:val="24"/>
              </w:rPr>
              <w:t>kg/m</w:t>
            </w:r>
            <w:r>
              <w:rPr>
                <w:sz w:val="24"/>
                <w:vertAlign w:val="superscript"/>
              </w:rPr>
              <w:t>2</w:t>
            </w:r>
            <w:r>
              <w:rPr>
                <w:rFonts w:hint="eastAsia"/>
                <w:sz w:val="24"/>
              </w:rPr>
              <w:t>，</w:t>
            </w:r>
            <w:r>
              <w:rPr>
                <w:sz w:val="24"/>
              </w:rPr>
              <w:t>项目建筑面积约</w:t>
            </w:r>
            <w:r>
              <w:rPr>
                <w:rFonts w:hint="eastAsia"/>
                <w:sz w:val="24"/>
                <w:lang w:val="en-US" w:eastAsia="zh-CN"/>
              </w:rPr>
              <w:t>3600</w:t>
            </w:r>
            <w:r>
              <w:rPr>
                <w:sz w:val="24"/>
              </w:rPr>
              <w:t>m</w:t>
            </w:r>
            <w:r>
              <w:rPr>
                <w:sz w:val="24"/>
                <w:vertAlign w:val="superscript"/>
              </w:rPr>
              <w:t>2</w:t>
            </w:r>
            <w:r>
              <w:rPr>
                <w:sz w:val="24"/>
              </w:rPr>
              <w:t>，建筑垃圾产生量约</w:t>
            </w:r>
            <w:r>
              <w:rPr>
                <w:rFonts w:hint="eastAsia"/>
                <w:sz w:val="24"/>
                <w:lang w:val="en-US" w:eastAsia="zh-CN"/>
              </w:rPr>
              <w:t>108</w:t>
            </w:r>
            <w:r>
              <w:rPr>
                <w:sz w:val="24"/>
              </w:rPr>
              <w:t>t</w:t>
            </w:r>
            <w:r>
              <w:rPr>
                <w:rFonts w:hint="eastAsia"/>
                <w:sz w:val="24"/>
              </w:rPr>
              <w:t>；</w:t>
            </w:r>
            <w:r>
              <w:rPr>
                <w:sz w:val="24"/>
              </w:rPr>
              <w:t>统一收集后运至当地建筑垃圾填埋场处置。</w:t>
            </w:r>
            <w:r>
              <w:rPr>
                <w:rFonts w:hint="eastAsia"/>
                <w:sz w:val="24"/>
              </w:rPr>
              <w:t>施工过程产生的所有挖方均回填于项目低矮处，挖填方达到平衡状态，无剩余挖方</w:t>
            </w:r>
            <w:r>
              <w:rPr>
                <w:sz w:val="24"/>
              </w:rPr>
              <w:t>。</w:t>
            </w:r>
          </w:p>
          <w:p>
            <w:pPr>
              <w:autoSpaceDN w:val="0"/>
              <w:spacing w:line="360" w:lineRule="auto"/>
              <w:ind w:firstLine="480" w:firstLineChars="200"/>
              <w:rPr>
                <w:sz w:val="24"/>
              </w:rPr>
            </w:pPr>
            <w:r>
              <w:rPr>
                <w:rFonts w:hint="eastAsia"/>
                <w:sz w:val="24"/>
              </w:rPr>
              <w:t>（2）生活垃圾</w:t>
            </w:r>
          </w:p>
          <w:p>
            <w:pPr>
              <w:autoSpaceDN w:val="0"/>
              <w:spacing w:line="360" w:lineRule="auto"/>
              <w:ind w:firstLine="480" w:firstLineChars="200"/>
              <w:rPr>
                <w:sz w:val="24"/>
              </w:rPr>
            </w:pPr>
            <w:r>
              <w:rPr>
                <w:sz w:val="24"/>
              </w:rPr>
              <w:t>施工人员生活垃圾产生量约为</w:t>
            </w:r>
            <w:r>
              <w:rPr>
                <w:rFonts w:hint="eastAsia"/>
                <w:sz w:val="24"/>
                <w:lang w:val="en-US" w:eastAsia="zh-CN"/>
              </w:rPr>
              <w:t>15</w:t>
            </w:r>
            <w:r>
              <w:rPr>
                <w:rFonts w:hint="eastAsia"/>
                <w:sz w:val="24"/>
              </w:rPr>
              <w:t>kg/</w:t>
            </w:r>
            <w:r>
              <w:rPr>
                <w:sz w:val="24"/>
              </w:rPr>
              <w:t>d</w:t>
            </w:r>
            <w:r>
              <w:rPr>
                <w:rFonts w:hint="eastAsia"/>
                <w:sz w:val="24"/>
              </w:rPr>
              <w:t>，</w:t>
            </w:r>
            <w:r>
              <w:rPr>
                <w:sz w:val="24"/>
              </w:rPr>
              <w:t>收集后</w:t>
            </w:r>
            <w:r>
              <w:rPr>
                <w:rFonts w:hint="eastAsia"/>
                <w:sz w:val="24"/>
                <w:lang w:eastAsia="zh-CN"/>
              </w:rPr>
              <w:t>由环卫部门清运</w:t>
            </w:r>
            <w:r>
              <w:rPr>
                <w:rFonts w:hint="eastAsia"/>
                <w:sz w:val="24"/>
              </w:rPr>
              <w:t>场</w:t>
            </w:r>
            <w:r>
              <w:rPr>
                <w:sz w:val="24"/>
              </w:rPr>
              <w:t>置。</w:t>
            </w:r>
          </w:p>
          <w:p>
            <w:pPr>
              <w:autoSpaceDN w:val="0"/>
              <w:spacing w:line="360" w:lineRule="auto"/>
              <w:ind w:firstLine="480" w:firstLineChars="200"/>
              <w:rPr>
                <w:sz w:val="24"/>
                <w:lang w:val="en-GB"/>
              </w:rPr>
            </w:pPr>
            <w:r>
              <w:rPr>
                <w:sz w:val="24"/>
              </w:rPr>
              <w:t>采取上述措施后，施工期</w:t>
            </w:r>
            <w:r>
              <w:rPr>
                <w:rFonts w:hint="eastAsia"/>
                <w:sz w:val="24"/>
                <w:lang w:val="en-GB"/>
              </w:rPr>
              <w:t>固废</w:t>
            </w:r>
            <w:r>
              <w:rPr>
                <w:sz w:val="24"/>
                <w:lang w:val="en-GB"/>
              </w:rPr>
              <w:t>基本可得到妥善处置，对环境产生的影响</w:t>
            </w:r>
            <w:r>
              <w:rPr>
                <w:rFonts w:hint="eastAsia"/>
                <w:sz w:val="24"/>
                <w:lang w:val="en-GB"/>
              </w:rPr>
              <w:t>较小</w:t>
            </w:r>
            <w:r>
              <w:rPr>
                <w:sz w:val="24"/>
                <w:lang w:val="en-GB"/>
              </w:rPr>
              <w:t>。</w:t>
            </w:r>
          </w:p>
          <w:p>
            <w:pPr>
              <w:autoSpaceDN w:val="0"/>
              <w:spacing w:line="360" w:lineRule="auto"/>
              <w:ind w:firstLine="480" w:firstLineChars="200"/>
              <w:rPr>
                <w:rFonts w:eastAsia="黑体"/>
                <w:sz w:val="24"/>
              </w:rPr>
            </w:pPr>
            <w:r>
              <w:rPr>
                <w:rFonts w:hint="eastAsia" w:eastAsia="黑体"/>
                <w:bCs/>
                <w:sz w:val="24"/>
              </w:rPr>
              <w:t>5、生态环境影响分析</w:t>
            </w:r>
          </w:p>
          <w:p>
            <w:pPr>
              <w:spacing w:line="360" w:lineRule="auto"/>
              <w:ind w:firstLine="480" w:firstLineChars="200"/>
              <w:rPr>
                <w:sz w:val="24"/>
              </w:rPr>
            </w:pPr>
            <w:r>
              <w:rPr>
                <w:rFonts w:hint="eastAsia"/>
                <w:sz w:val="24"/>
              </w:rPr>
              <w:t>施工过程中生态破坏主要为对原有植被的破坏和水土流失影响。</w:t>
            </w:r>
          </w:p>
          <w:p>
            <w:pPr>
              <w:spacing w:line="360" w:lineRule="auto"/>
              <w:ind w:firstLine="480" w:firstLineChars="200"/>
              <w:rPr>
                <w:sz w:val="24"/>
              </w:rPr>
            </w:pPr>
            <w:r>
              <w:rPr>
                <w:rFonts w:hint="eastAsia"/>
                <w:sz w:val="24"/>
              </w:rPr>
              <w:t>（1）植被破坏</w:t>
            </w:r>
          </w:p>
          <w:p>
            <w:pPr>
              <w:spacing w:line="360" w:lineRule="auto"/>
              <w:ind w:firstLine="480" w:firstLineChars="200"/>
              <w:rPr>
                <w:sz w:val="24"/>
              </w:rPr>
            </w:pPr>
            <w:r>
              <w:rPr>
                <w:rFonts w:hint="eastAsia"/>
                <w:sz w:val="24"/>
              </w:rPr>
              <w:t>项目场地原有植被在项目施工中，将会对该场地进行清理，破坏了原有场地植被。本项目完成后会对项目所在区域进行绿化恢复，扩大绿化面积，项目区及周边的绿化、景观会得到进一步提升。由于施工临时占地是近期的、短暂的，且本项目包括绿化部分，会对现有地面及施工占地进行绿化，使得项目区域绿化水平提高，因此，项目对原有区域植被的生态破坏较小。</w:t>
            </w:r>
          </w:p>
          <w:p>
            <w:pPr>
              <w:spacing w:line="360" w:lineRule="auto"/>
              <w:ind w:firstLine="480" w:firstLineChars="200"/>
              <w:rPr>
                <w:sz w:val="24"/>
              </w:rPr>
            </w:pPr>
            <w:r>
              <w:rPr>
                <w:rFonts w:hint="eastAsia"/>
                <w:sz w:val="24"/>
              </w:rPr>
              <w:t>（2）水土流失</w:t>
            </w:r>
          </w:p>
          <w:p>
            <w:pPr>
              <w:spacing w:line="360" w:lineRule="auto"/>
              <w:ind w:firstLine="480" w:firstLineChars="200"/>
              <w:rPr>
                <w:sz w:val="24"/>
              </w:rPr>
            </w:pPr>
            <w:r>
              <w:rPr>
                <w:rFonts w:hint="eastAsia"/>
                <w:sz w:val="24"/>
              </w:rPr>
              <w:t>项目施工过程中，发生水土流失的环节主要是雨季施工过程，雨水将对地表土壤产生侵蚀。因此建设单位应依照“谁开发、谁保护，谁造成水土流失、谁负责治理”的原则和《开发建设项目水土保持方案技术规范》中的有关规定，必须采取切实可行的水土保持防治措施。</w:t>
            </w:r>
          </w:p>
          <w:p>
            <w:pPr>
              <w:spacing w:line="360" w:lineRule="auto"/>
              <w:ind w:firstLine="480" w:firstLineChars="200"/>
              <w:rPr>
                <w:sz w:val="24"/>
              </w:rPr>
            </w:pPr>
            <w:r>
              <w:rPr>
                <w:rFonts w:hint="eastAsia"/>
                <w:sz w:val="24"/>
              </w:rPr>
              <w:t>为降低项目施工对所在区域生态环境的影响，需要采取以下措施：1）合理配置机械设备，规划机械、车辆进出施工场地方式，避免大面积碾压地表；2）加强施工管理，施工废水妥善存放，生活垃圾集中交由环卫部门处理；3）严格规范施工方法，在某些特殊区域采用专项施工技术，减少因施工对地表植被和地貌的破坏。</w:t>
            </w:r>
          </w:p>
          <w:p>
            <w:pPr>
              <w:autoSpaceDN w:val="0"/>
              <w:spacing w:line="360" w:lineRule="auto"/>
              <w:ind w:firstLine="480" w:firstLineChars="200"/>
              <w:rPr>
                <w:sz w:val="24"/>
              </w:rPr>
            </w:pPr>
            <w:r>
              <w:rPr>
                <w:sz w:val="24"/>
              </w:rPr>
              <w:t>综上所述，施工期间虽然会对环境产生一些不利的影响，但在落实环保措施并加强施工管理的前提下，可使施工期对环境的影响降低到最小程度，且施工过程是短暂的，其影响将随着施工结束而消失</w:t>
            </w:r>
            <w:r>
              <w:rPr>
                <w:rFonts w:hint="eastAsia"/>
                <w:sz w:val="24"/>
              </w:rPr>
              <w:t>。</w:t>
            </w:r>
          </w:p>
          <w:p>
            <w:pPr>
              <w:adjustRightInd w:val="0"/>
              <w:snapToGrid w:val="0"/>
              <w:spacing w:line="360" w:lineRule="auto"/>
              <w:ind w:firstLine="281"/>
              <w:rPr>
                <w:b/>
                <w:sz w:val="28"/>
                <w:szCs w:val="28"/>
              </w:rPr>
            </w:pPr>
            <w:r>
              <w:rPr>
                <w:b/>
                <w:sz w:val="28"/>
                <w:szCs w:val="28"/>
              </w:rPr>
              <w:t>运营期影响分析</w:t>
            </w:r>
          </w:p>
          <w:p>
            <w:pPr>
              <w:numPr>
                <w:ilvl w:val="0"/>
                <w:numId w:val="10"/>
              </w:numPr>
              <w:adjustRightInd w:val="0"/>
              <w:spacing w:line="360" w:lineRule="auto"/>
              <w:ind w:firstLine="480" w:firstLineChars="200"/>
              <w:rPr>
                <w:sz w:val="24"/>
                <w:szCs w:val="24"/>
              </w:rPr>
            </w:pPr>
            <w:r>
              <w:rPr>
                <w:sz w:val="24"/>
                <w:szCs w:val="24"/>
              </w:rPr>
              <w:t>水环境影响分析</w:t>
            </w:r>
          </w:p>
          <w:p>
            <w:pPr>
              <w:numPr>
                <w:ilvl w:val="0"/>
                <w:numId w:val="0"/>
              </w:numPr>
              <w:adjustRightInd w:val="0"/>
              <w:spacing w:line="360" w:lineRule="auto"/>
              <w:ind w:firstLine="482" w:firstLineChars="200"/>
              <w:rPr>
                <w:rFonts w:hint="eastAsia"/>
                <w:b/>
                <w:bCs/>
                <w:sz w:val="24"/>
                <w:szCs w:val="24"/>
                <w:lang w:eastAsia="zh-CN"/>
              </w:rPr>
            </w:pPr>
            <w:bookmarkStart w:id="13" w:name="OLE_LINK5"/>
            <w:r>
              <w:rPr>
                <w:rFonts w:hint="eastAsia"/>
                <w:b/>
                <w:bCs/>
                <w:sz w:val="24"/>
                <w:szCs w:val="24"/>
                <w:lang w:eastAsia="zh-CN"/>
              </w:rPr>
              <w:t>地表水环境影响分析</w:t>
            </w:r>
          </w:p>
          <w:bookmarkEnd w:id="13"/>
          <w:p>
            <w:pPr>
              <w:numPr>
                <w:ilvl w:val="0"/>
                <w:numId w:val="0"/>
              </w:numPr>
              <w:adjustRightInd w:val="0"/>
              <w:spacing w:line="360" w:lineRule="auto"/>
              <w:ind w:firstLine="480"/>
              <w:rPr>
                <w:rFonts w:hint="eastAsia"/>
                <w:sz w:val="24"/>
                <w:szCs w:val="24"/>
                <w:lang w:val="en-US" w:eastAsia="zh-CN"/>
              </w:rPr>
            </w:pPr>
            <w:r>
              <w:rPr>
                <w:rFonts w:hint="eastAsia"/>
                <w:sz w:val="24"/>
                <w:szCs w:val="24"/>
                <w:lang w:val="en-US" w:eastAsia="zh-CN"/>
              </w:rPr>
              <w:t>本项目运营期产生的废水主要为员工生活污水和生产废水</w:t>
            </w:r>
          </w:p>
          <w:p>
            <w:pPr>
              <w:numPr>
                <w:ilvl w:val="0"/>
                <w:numId w:val="11"/>
              </w:numPr>
              <w:adjustRightInd w:val="0"/>
              <w:spacing w:line="360" w:lineRule="auto"/>
              <w:ind w:firstLine="480"/>
              <w:rPr>
                <w:rFonts w:hint="eastAsia"/>
                <w:sz w:val="24"/>
                <w:szCs w:val="24"/>
                <w:lang w:val="en-US" w:eastAsia="zh-CN"/>
              </w:rPr>
            </w:pPr>
            <w:r>
              <w:rPr>
                <w:rFonts w:hint="eastAsia"/>
                <w:sz w:val="24"/>
                <w:szCs w:val="24"/>
                <w:lang w:val="en-US" w:eastAsia="zh-CN"/>
              </w:rPr>
              <w:t>生活污水</w:t>
            </w:r>
          </w:p>
          <w:p>
            <w:pPr>
              <w:adjustRightInd w:val="0"/>
              <w:snapToGrid w:val="0"/>
              <w:spacing w:line="360" w:lineRule="auto"/>
              <w:ind w:firstLine="480" w:firstLineChars="200"/>
              <w:rPr>
                <w:rFonts w:hint="eastAsia"/>
                <w:sz w:val="24"/>
                <w:szCs w:val="24"/>
                <w:lang w:eastAsia="zh-CN"/>
              </w:rPr>
            </w:pPr>
            <w:r>
              <w:rPr>
                <w:rFonts w:hint="eastAsia"/>
                <w:sz w:val="24"/>
                <w:szCs w:val="24"/>
              </w:rPr>
              <w:t>项目职工共计</w:t>
            </w:r>
            <w:r>
              <w:rPr>
                <w:rFonts w:hint="eastAsia"/>
                <w:sz w:val="24"/>
                <w:szCs w:val="24"/>
                <w:lang w:val="en-US" w:eastAsia="zh-CN"/>
              </w:rPr>
              <w:t>100</w:t>
            </w:r>
            <w:r>
              <w:rPr>
                <w:rFonts w:hint="eastAsia"/>
                <w:sz w:val="24"/>
                <w:szCs w:val="24"/>
              </w:rPr>
              <w:t>人，</w:t>
            </w:r>
            <w:r>
              <w:rPr>
                <w:rFonts w:hint="eastAsia"/>
                <w:sz w:val="24"/>
                <w:szCs w:val="24"/>
                <w:lang w:eastAsia="zh-CN"/>
              </w:rPr>
              <w:t>生活污水和经过隔油的食堂废水一同排入化粪池处理，排水量</w:t>
            </w:r>
            <w:r>
              <w:rPr>
                <w:rFonts w:hint="eastAsia"/>
                <w:sz w:val="24"/>
                <w:szCs w:val="24"/>
                <w:lang w:val="en-US" w:eastAsia="zh-CN"/>
              </w:rPr>
              <w:t>1680m</w:t>
            </w:r>
            <w:r>
              <w:rPr>
                <w:rFonts w:hint="eastAsia"/>
                <w:sz w:val="24"/>
                <w:szCs w:val="24"/>
                <w:vertAlign w:val="superscript"/>
                <w:lang w:val="en-US" w:eastAsia="zh-CN"/>
              </w:rPr>
              <w:t>3</w:t>
            </w:r>
            <w:r>
              <w:rPr>
                <w:rFonts w:hint="eastAsia"/>
                <w:sz w:val="24"/>
                <w:szCs w:val="24"/>
                <w:vertAlign w:val="baseline"/>
                <w:lang w:val="en-US" w:eastAsia="zh-CN"/>
              </w:rPr>
              <w:t>/a，化粪池定期清运肥田</w:t>
            </w:r>
            <w:r>
              <w:rPr>
                <w:rFonts w:hint="eastAsia"/>
                <w:sz w:val="24"/>
                <w:szCs w:val="24"/>
              </w:rPr>
              <w:t>。</w:t>
            </w:r>
          </w:p>
          <w:p>
            <w:pPr>
              <w:numPr>
                <w:ilvl w:val="0"/>
                <w:numId w:val="11"/>
              </w:numPr>
              <w:adjustRightInd w:val="0"/>
              <w:snapToGrid w:val="0"/>
              <w:spacing w:line="360" w:lineRule="auto"/>
              <w:ind w:firstLine="480" w:firstLineChars="0"/>
              <w:rPr>
                <w:rFonts w:hint="eastAsia"/>
                <w:sz w:val="24"/>
                <w:szCs w:val="24"/>
                <w:lang w:eastAsia="zh-CN"/>
              </w:rPr>
            </w:pPr>
            <w:r>
              <w:rPr>
                <w:rFonts w:hint="eastAsia"/>
                <w:sz w:val="24"/>
                <w:szCs w:val="24"/>
                <w:lang w:eastAsia="zh-CN"/>
              </w:rPr>
              <w:t>生产废水</w:t>
            </w:r>
          </w:p>
          <w:p>
            <w:pPr>
              <w:adjustRightInd w:val="0"/>
              <w:spacing w:line="360" w:lineRule="auto"/>
              <w:ind w:firstLine="480" w:firstLineChars="200"/>
              <w:rPr>
                <w:rFonts w:hint="eastAsia"/>
                <w:sz w:val="24"/>
                <w:szCs w:val="24"/>
                <w:lang w:eastAsia="zh-CN"/>
              </w:rPr>
            </w:pPr>
            <w:r>
              <w:rPr>
                <w:rFonts w:hint="eastAsia"/>
                <w:sz w:val="24"/>
                <w:szCs w:val="24"/>
                <w:lang w:eastAsia="zh-CN"/>
              </w:rPr>
              <w:t>本项目洗煤工段产生的废水，按照《煤炭洗选工程设计规范》（</w:t>
            </w:r>
            <w:r>
              <w:rPr>
                <w:rFonts w:hint="eastAsia"/>
                <w:sz w:val="24"/>
                <w:szCs w:val="24"/>
                <w:lang w:val="en-US" w:eastAsia="zh-CN"/>
              </w:rPr>
              <w:t>BG50359-2016</w:t>
            </w:r>
            <w:r>
              <w:rPr>
                <w:rFonts w:hint="eastAsia"/>
                <w:sz w:val="24"/>
                <w:szCs w:val="24"/>
                <w:lang w:eastAsia="zh-CN"/>
              </w:rPr>
              <w:t>）中要求，洗煤厂必须实现闭路水循环。本项目共设置</w:t>
            </w:r>
            <w:r>
              <w:rPr>
                <w:rFonts w:hint="eastAsia"/>
                <w:sz w:val="24"/>
                <w:szCs w:val="24"/>
                <w:lang w:val="en-US" w:eastAsia="zh-CN"/>
              </w:rPr>
              <w:t>3条洗选煤生产线，分别设置3套相同的水处理设施，设施布置情况如下，按照</w:t>
            </w:r>
            <w:r>
              <w:rPr>
                <w:rFonts w:hint="eastAsia"/>
                <w:sz w:val="24"/>
                <w:szCs w:val="24"/>
                <w:lang w:eastAsia="zh-CN"/>
              </w:rPr>
              <w:t>《煤炭洗选工程设计规范》（</w:t>
            </w:r>
            <w:r>
              <w:rPr>
                <w:rFonts w:hint="eastAsia"/>
                <w:sz w:val="24"/>
                <w:szCs w:val="24"/>
                <w:lang w:val="en-US" w:eastAsia="zh-CN"/>
              </w:rPr>
              <w:t>BG50359-2016</w:t>
            </w:r>
            <w:r>
              <w:rPr>
                <w:rFonts w:hint="eastAsia"/>
                <w:sz w:val="24"/>
                <w:szCs w:val="24"/>
                <w:lang w:eastAsia="zh-CN"/>
              </w:rPr>
              <w:t>）要求，本项目煤泥沉淀浓缩选用高效深锥浓缩机，在浓缩机前设置混合反应设施，絮凝剂在混合反应设施内添加，絮凝剂应设有储存设施，药剂储存设施应能储存</w:t>
            </w:r>
            <w:r>
              <w:rPr>
                <w:rFonts w:hint="eastAsia"/>
                <w:sz w:val="24"/>
                <w:szCs w:val="24"/>
                <w:lang w:val="en-US" w:eastAsia="zh-CN"/>
              </w:rPr>
              <w:t>7d~15d的药剂消耗量，经过浓缩后的煤泥可通过压滤机进行处理，每条生产线设置2台压滤机（1用1备），废水</w:t>
            </w:r>
            <w:r>
              <w:rPr>
                <w:rFonts w:hint="eastAsia"/>
                <w:sz w:val="24"/>
                <w:szCs w:val="24"/>
                <w:lang w:eastAsia="zh-CN"/>
              </w:rPr>
              <w:t>通过浓缩、压滤处理后重新回用生产，</w:t>
            </w:r>
            <w:r>
              <w:rPr>
                <w:rFonts w:hint="eastAsia"/>
                <w:sz w:val="24"/>
                <w:szCs w:val="24"/>
                <w:lang w:val="en-US" w:eastAsia="zh-CN"/>
              </w:rPr>
              <w:t>按照</w:t>
            </w:r>
            <w:r>
              <w:rPr>
                <w:rFonts w:hint="eastAsia"/>
                <w:sz w:val="24"/>
                <w:szCs w:val="24"/>
                <w:lang w:eastAsia="zh-CN"/>
              </w:rPr>
              <w:t>《煤炭洗选工程设计规范》（</w:t>
            </w:r>
            <w:r>
              <w:rPr>
                <w:rFonts w:hint="eastAsia"/>
                <w:sz w:val="24"/>
                <w:szCs w:val="24"/>
                <w:lang w:val="en-US" w:eastAsia="zh-CN"/>
              </w:rPr>
              <w:t>BG50359-2016</w:t>
            </w:r>
            <w:r>
              <w:rPr>
                <w:rFonts w:hint="eastAsia"/>
                <w:sz w:val="24"/>
                <w:szCs w:val="24"/>
                <w:lang w:eastAsia="zh-CN"/>
              </w:rPr>
              <w:t>）要求洗煤厂必须设置事故煤泥水处理环节，事故煤泥水的处理设施应符合下列规定：</w:t>
            </w:r>
          </w:p>
          <w:p>
            <w:pPr>
              <w:numPr>
                <w:ilvl w:val="0"/>
                <w:numId w:val="12"/>
              </w:numPr>
              <w:adjustRightInd w:val="0"/>
              <w:spacing w:line="360" w:lineRule="auto"/>
              <w:ind w:firstLine="480" w:firstLineChars="200"/>
              <w:rPr>
                <w:rFonts w:hint="eastAsia"/>
                <w:sz w:val="24"/>
                <w:szCs w:val="24"/>
                <w:lang w:val="en-US" w:eastAsia="zh-CN"/>
              </w:rPr>
            </w:pPr>
            <w:r>
              <w:rPr>
                <w:rFonts w:hint="eastAsia"/>
                <w:sz w:val="24"/>
                <w:szCs w:val="24"/>
                <w:lang w:val="en-US" w:eastAsia="zh-CN"/>
              </w:rPr>
              <w:t>宜选用事故浓缩机，也可选用事故煤泥沉淀池。</w:t>
            </w:r>
          </w:p>
          <w:p>
            <w:pPr>
              <w:numPr>
                <w:ilvl w:val="0"/>
                <w:numId w:val="12"/>
              </w:numPr>
              <w:adjustRightInd w:val="0"/>
              <w:spacing w:line="360" w:lineRule="auto"/>
              <w:ind w:firstLine="480" w:firstLineChars="200"/>
              <w:rPr>
                <w:rFonts w:hint="eastAsia"/>
                <w:sz w:val="24"/>
                <w:szCs w:val="24"/>
                <w:lang w:val="en-US" w:eastAsia="zh-CN"/>
              </w:rPr>
            </w:pPr>
            <w:r>
              <w:rPr>
                <w:rFonts w:hint="eastAsia"/>
                <w:sz w:val="24"/>
                <w:szCs w:val="24"/>
                <w:lang w:val="en-US" w:eastAsia="zh-CN"/>
              </w:rPr>
              <w:t>事故浓缩机应与最大一台工作浓缩机同型号，并可与工作浓缩机互为备用。条件受限时，也可采用无浓缩机的事故浓缩池。</w:t>
            </w:r>
          </w:p>
          <w:p>
            <w:pPr>
              <w:numPr>
                <w:ilvl w:val="0"/>
                <w:numId w:val="12"/>
              </w:numPr>
              <w:adjustRightInd w:val="0"/>
              <w:spacing w:line="360" w:lineRule="auto"/>
              <w:ind w:firstLine="480" w:firstLineChars="200"/>
              <w:rPr>
                <w:rFonts w:hint="eastAsia"/>
                <w:sz w:val="24"/>
                <w:szCs w:val="24"/>
                <w:lang w:val="en-US" w:eastAsia="zh-CN"/>
              </w:rPr>
            </w:pPr>
            <w:r>
              <w:rPr>
                <w:rFonts w:hint="eastAsia"/>
                <w:sz w:val="24"/>
                <w:szCs w:val="24"/>
                <w:lang w:val="en-US" w:eastAsia="zh-CN"/>
              </w:rPr>
              <w:t>选用事故煤泥水池时，其有效容积应为厂内最大一台设备有效容积的1.2~1.5倍。事故煤泥水池可不设澄清水池。</w:t>
            </w:r>
          </w:p>
          <w:p>
            <w:pPr>
              <w:numPr>
                <w:ilvl w:val="0"/>
                <w:numId w:val="12"/>
              </w:numPr>
              <w:adjustRightInd w:val="0"/>
              <w:spacing w:line="360" w:lineRule="auto"/>
              <w:ind w:firstLine="480" w:firstLineChars="200"/>
              <w:rPr>
                <w:rFonts w:hint="eastAsia"/>
                <w:sz w:val="24"/>
                <w:szCs w:val="24"/>
                <w:lang w:val="en-US" w:eastAsia="zh-CN"/>
              </w:rPr>
            </w:pPr>
            <w:r>
              <w:rPr>
                <w:rFonts w:hint="eastAsia"/>
                <w:sz w:val="24"/>
                <w:szCs w:val="24"/>
                <w:lang w:val="en-US" w:eastAsia="zh-CN"/>
              </w:rPr>
              <w:t>事故煤泥水在事故处理完毕后，应能及时返回到煤泥水系统中。</w:t>
            </w:r>
          </w:p>
          <w:p>
            <w:pPr>
              <w:numPr>
                <w:ilvl w:val="0"/>
                <w:numId w:val="0"/>
              </w:numPr>
              <w:adjustRightInd w:val="0"/>
              <w:spacing w:line="360" w:lineRule="auto"/>
              <w:rPr>
                <w:rFonts w:hint="eastAsia"/>
                <w:color w:val="000000" w:themeColor="text1"/>
                <w:kern w:val="0"/>
                <w:sz w:val="24"/>
                <w:lang w:eastAsia="zh-CN"/>
                <w14:textFill>
                  <w14:solidFill>
                    <w14:schemeClr w14:val="tx1"/>
                  </w14:solidFill>
                </w14:textFill>
              </w:rPr>
            </w:pPr>
            <w:r>
              <w:rPr>
                <w:rFonts w:hint="eastAsia"/>
                <w:sz w:val="24"/>
                <w:szCs w:val="24"/>
                <w:lang w:val="en-US" w:eastAsia="zh-CN"/>
              </w:rPr>
              <w:t xml:space="preserve">    </w:t>
            </w:r>
            <w:r>
              <w:rPr>
                <w:color w:val="000000" w:themeColor="text1"/>
                <w:sz w:val="24"/>
                <w14:textFill>
                  <w14:solidFill>
                    <w14:schemeClr w14:val="tx1"/>
                  </w14:solidFill>
                </w14:textFill>
              </w:rPr>
              <w:t>根据建设单位设计，</w:t>
            </w:r>
            <w:r>
              <w:rPr>
                <w:rFonts w:hint="eastAsia"/>
                <w:color w:val="000000" w:themeColor="text1"/>
                <w:sz w:val="24"/>
                <w14:textFill>
                  <w14:solidFill>
                    <w14:schemeClr w14:val="tx1"/>
                  </w14:solidFill>
                </w14:textFill>
              </w:rPr>
              <w:t>项目浓缩机选用</w:t>
            </w:r>
            <w:r>
              <w:rPr>
                <w:color w:val="000000" w:themeColor="text1"/>
                <w:sz w:val="24"/>
                <w14:textFill>
                  <w14:solidFill>
                    <w14:schemeClr w14:val="tx1"/>
                  </w14:solidFill>
                </w14:textFill>
              </w:rPr>
              <w:t>深锥浓缩机</w:t>
            </w:r>
            <w:r>
              <w:rPr>
                <w:rFonts w:hint="eastAsia"/>
                <w:color w:val="000000" w:themeColor="text1"/>
                <w:sz w:val="24"/>
                <w14:textFill>
                  <w14:solidFill>
                    <w14:schemeClr w14:val="tx1"/>
                  </w14:solidFill>
                </w14:textFill>
              </w:rPr>
              <w:t>，是目前原煤洗选行业较为先进的设备，设备故障率低，若发生故障可以及时关停，根据项目实际情况，为了防范事故状态下的煤泥水外排，项目厂区</w:t>
            </w:r>
            <w:r>
              <w:rPr>
                <w:rFonts w:hint="eastAsia"/>
                <w:color w:val="000000" w:themeColor="text1"/>
                <w:sz w:val="24"/>
                <w:lang w:eastAsia="zh-CN"/>
                <w14:textFill>
                  <w14:solidFill>
                    <w14:schemeClr w14:val="tx1"/>
                  </w14:solidFill>
                </w14:textFill>
              </w:rPr>
              <w:t>西南部</w:t>
            </w:r>
            <w:r>
              <w:rPr>
                <w:rFonts w:hint="eastAsia"/>
                <w:color w:val="000000" w:themeColor="text1"/>
                <w:sz w:val="24"/>
                <w14:textFill>
                  <w14:solidFill>
                    <w14:schemeClr w14:val="tx1"/>
                  </w14:solidFill>
                </w14:textFill>
              </w:rPr>
              <w:t>设置事故池1座（容积</w:t>
            </w:r>
            <w:r>
              <w:rPr>
                <w:rFonts w:hint="eastAsia"/>
                <w:color w:val="000000" w:themeColor="text1"/>
                <w:sz w:val="24"/>
                <w:lang w:val="en-US" w:eastAsia="zh-CN"/>
                <w14:textFill>
                  <w14:solidFill>
                    <w14:schemeClr w14:val="tx1"/>
                  </w14:solidFill>
                </w14:textFill>
              </w:rPr>
              <w:t>300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），用于</w:t>
            </w:r>
            <w:r>
              <w:rPr>
                <w:color w:val="000000" w:themeColor="text1"/>
                <w:sz w:val="24"/>
                <w14:textFill>
                  <w14:solidFill>
                    <w14:schemeClr w14:val="tx1"/>
                  </w14:solidFill>
                </w14:textFill>
              </w:rPr>
              <w:t>事故</w:t>
            </w:r>
            <w:r>
              <w:rPr>
                <w:rFonts w:hint="eastAsia"/>
                <w:color w:val="000000" w:themeColor="text1"/>
                <w:sz w:val="24"/>
                <w14:textFill>
                  <w14:solidFill>
                    <w14:schemeClr w14:val="tx1"/>
                  </w14:solidFill>
                </w14:textFill>
              </w:rPr>
              <w:t>状态下</w:t>
            </w:r>
            <w:r>
              <w:rPr>
                <w:color w:val="000000" w:themeColor="text1"/>
                <w:sz w:val="24"/>
                <w14:textFill>
                  <w14:solidFill>
                    <w14:schemeClr w14:val="tx1"/>
                  </w14:solidFill>
                </w14:textFill>
              </w:rPr>
              <w:t>煤泥水的收集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防止煤泥水的事故排放。</w:t>
            </w:r>
            <w:r>
              <w:rPr>
                <w:rFonts w:hint="eastAsia"/>
                <w:color w:val="000000" w:themeColor="text1"/>
                <w:sz w:val="24"/>
                <w:lang w:eastAsia="zh-CN"/>
                <w14:textFill>
                  <w14:solidFill>
                    <w14:schemeClr w14:val="tx1"/>
                  </w14:solidFill>
                </w14:textFill>
              </w:rPr>
              <w:t>项目西侧蓄水池</w:t>
            </w:r>
            <w:r>
              <w:rPr>
                <w:rFonts w:hint="eastAsia"/>
                <w:color w:val="000000" w:themeColor="text1"/>
                <w:sz w:val="24"/>
                <w14:textFill>
                  <w14:solidFill>
                    <w14:schemeClr w14:val="tx1"/>
                  </w14:solidFill>
                </w14:textFill>
              </w:rPr>
              <w:t>可作为初期雨水收集池，</w:t>
            </w:r>
            <w:r>
              <w:rPr>
                <w:color w:val="000000" w:themeColor="text1"/>
                <w:sz w:val="24"/>
                <w14:textFill>
                  <w14:solidFill>
                    <w14:schemeClr w14:val="tx1"/>
                  </w14:solidFill>
                </w14:textFill>
              </w:rPr>
              <w:t>用于收集雨水，防治雨水排入西侧山沟进而污染水体，收集后的煤泥水和雨水循环用于洗煤工艺。本次</w:t>
            </w:r>
            <w:r>
              <w:rPr>
                <w:color w:val="000000" w:themeColor="text1"/>
                <w:kern w:val="0"/>
                <w:sz w:val="24"/>
                <w14:textFill>
                  <w14:solidFill>
                    <w14:schemeClr w14:val="tx1"/>
                  </w14:solidFill>
                </w14:textFill>
              </w:rPr>
              <w:t>评价要求，项目厂区地面全部硬化，厂区四周设置</w:t>
            </w:r>
            <w:r>
              <w:rPr>
                <w:rFonts w:hint="eastAsia"/>
                <w:color w:val="000000" w:themeColor="text1"/>
                <w:kern w:val="0"/>
                <w:sz w:val="24"/>
                <w14:textFill>
                  <w14:solidFill>
                    <w14:schemeClr w14:val="tx1"/>
                  </w14:solidFill>
                </w14:textFill>
              </w:rPr>
              <w:t>深1m宽0.3m</w:t>
            </w:r>
            <w:r>
              <w:rPr>
                <w:color w:val="000000" w:themeColor="text1"/>
                <w:kern w:val="0"/>
                <w:sz w:val="24"/>
                <w14:textFill>
                  <w14:solidFill>
                    <w14:schemeClr w14:val="tx1"/>
                  </w14:solidFill>
                </w14:textFill>
              </w:rPr>
              <w:t>截水沟，</w:t>
            </w:r>
            <w:r>
              <w:rPr>
                <w:rFonts w:hint="eastAsia"/>
                <w:color w:val="000000" w:themeColor="text1"/>
                <w:kern w:val="0"/>
                <w:sz w:val="24"/>
                <w14:textFill>
                  <w14:solidFill>
                    <w14:schemeClr w14:val="tx1"/>
                  </w14:solidFill>
                </w14:textFill>
              </w:rPr>
              <w:t>厂区</w:t>
            </w:r>
            <w:r>
              <w:rPr>
                <w:color w:val="000000" w:themeColor="text1"/>
                <w:kern w:val="0"/>
                <w:sz w:val="24"/>
                <w14:textFill>
                  <w14:solidFill>
                    <w14:schemeClr w14:val="tx1"/>
                  </w14:solidFill>
                </w14:textFill>
              </w:rPr>
              <w:t>西侧设置1m高硬质围墙，</w:t>
            </w:r>
            <w:r>
              <w:rPr>
                <w:rFonts w:hint="eastAsia"/>
                <w:color w:val="000000" w:themeColor="text1"/>
                <w:kern w:val="0"/>
                <w:sz w:val="24"/>
                <w14:textFill>
                  <w14:solidFill>
                    <w14:schemeClr w14:val="tx1"/>
                  </w14:solidFill>
                </w14:textFill>
              </w:rPr>
              <w:t>西侧边坡用浆砌石进行加固，高度约3~5m</w:t>
            </w:r>
            <w:r>
              <w:rPr>
                <w:rFonts w:hint="eastAsia"/>
                <w:color w:val="000000" w:themeColor="text1"/>
                <w:kern w:val="0"/>
                <w:sz w:val="24"/>
                <w:lang w:eastAsia="zh-CN"/>
                <w14:textFill>
                  <w14:solidFill>
                    <w14:schemeClr w14:val="tx1"/>
                  </w14:solidFill>
                </w14:textFill>
              </w:rPr>
              <w:t>。</w:t>
            </w:r>
          </w:p>
          <w:p>
            <w:pPr>
              <w:spacing w:line="360" w:lineRule="auto"/>
              <w:ind w:firstLine="480" w:firstLineChars="200"/>
              <w:rPr>
                <w:sz w:val="24"/>
              </w:rPr>
            </w:pPr>
            <w:r>
              <w:rPr>
                <w:sz w:val="24"/>
                <w:szCs w:val="28"/>
              </w:rPr>
              <w:t>选煤厂</w:t>
            </w:r>
            <w:r>
              <w:rPr>
                <w:sz w:val="24"/>
              </w:rPr>
              <w:t>初期雨水一般含有大量煤尘、煤泥，一旦流入地表水后，煤泥可能淤塞河道，形成煤粉尘沉淀，遮蔽水底、妨害底栖生物，同时含煤粉雨水还对水体产生染色作用，使水的透光率大大降低，影响地表水生态环境。因此，项目在厂区</w:t>
            </w:r>
            <w:r>
              <w:rPr>
                <w:rFonts w:hint="eastAsia"/>
                <w:sz w:val="24"/>
                <w:lang w:eastAsia="zh-CN"/>
              </w:rPr>
              <w:t>西</w:t>
            </w:r>
            <w:r>
              <w:rPr>
                <w:sz w:val="24"/>
              </w:rPr>
              <w:t>南侧设雨水收集池，</w:t>
            </w:r>
            <w:r>
              <w:rPr>
                <w:bCs/>
                <w:sz w:val="24"/>
              </w:rPr>
              <w:t>对初期雨水进行收集，沉淀处理后逐步泵入煤泥水处理系统，作为生产用水；项目雨水收集池设于生产厂区最低点，可以保证能全部收集各场地的雨水，且厂内堆场地面硬化防渗，厂区四周设集水渠、截水沟，由雨水收集池收集后，打入煤泥水处理系统。</w:t>
            </w:r>
          </w:p>
          <w:p>
            <w:pPr>
              <w:spacing w:line="360" w:lineRule="auto"/>
              <w:ind w:firstLine="480" w:firstLineChars="200"/>
              <w:rPr>
                <w:sz w:val="24"/>
              </w:rPr>
            </w:pPr>
            <w:r>
              <w:rPr>
                <w:sz w:val="24"/>
              </w:rPr>
              <w:t>据西北建筑工程学院采用数理统计法编制的铜川最大降雨强度公式：</w:t>
            </w:r>
          </w:p>
          <w:p>
            <w:pPr>
              <w:spacing w:line="360" w:lineRule="auto"/>
              <w:ind w:firstLine="480" w:firstLineChars="200"/>
              <w:rPr>
                <w:sz w:val="24"/>
              </w:rPr>
            </w:pPr>
            <w:r>
              <w:rPr>
                <w:position w:val="-10"/>
                <w:sz w:val="24"/>
              </w:rPr>
              <w:object>
                <v:shape id="_x0000_i1025" o:spt="75" type="#_x0000_t75" style="height:17.25pt;width:9pt;" o:ole="t" filled="f" o:preferrelative="t" stroked="f" coordsize="21600,21600">
                  <v:path/>
                  <v:fill on="f" focussize="0,0"/>
                  <v:stroke on="f"/>
                  <v:imagedata r:id="rId18" o:title=""/>
                  <o:lock v:ext="edit" grouping="f" rotation="f" text="f" aspectratio="t"/>
                  <w10:wrap type="none"/>
                  <w10:anchorlock/>
                </v:shape>
                <o:OLEObject Type="Embed" ProgID="Equation.3" ShapeID="_x0000_i1025" DrawAspect="Content" ObjectID="_1468075725" r:id="rId17">
                  <o:LockedField>false</o:LockedField>
                </o:OLEObject>
              </w:object>
            </w:r>
            <w:r>
              <w:rPr>
                <w:position w:val="-10"/>
                <w:sz w:val="24"/>
              </w:rPr>
              <w:drawing>
                <wp:inline distT="0" distB="0" distL="114300" distR="114300">
                  <wp:extent cx="914400" cy="219075"/>
                  <wp:effectExtent l="0" t="0" r="0" b="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18"/>
                          <a:stretch>
                            <a:fillRect/>
                          </a:stretch>
                        </pic:blipFill>
                        <pic:spPr>
                          <a:xfrm>
                            <a:off x="0" y="0"/>
                            <a:ext cx="914400" cy="219075"/>
                          </a:xfrm>
                          <a:prstGeom prst="rect">
                            <a:avLst/>
                          </a:prstGeom>
                          <a:noFill/>
                          <a:ln w="9525">
                            <a:noFill/>
                          </a:ln>
                        </pic:spPr>
                      </pic:pic>
                    </a:graphicData>
                  </a:graphic>
                </wp:inline>
              </w:drawing>
            </w:r>
            <w:r>
              <w:rPr>
                <w:position w:val="-30"/>
                <w:sz w:val="24"/>
              </w:rPr>
              <w:object>
                <v:shape id="_x0000_i1026" o:spt="75" type="#_x0000_t75" style="height:33.75pt;width:128pt;" o:ole="t" filled="f" o:preferrelative="t" stroked="f" coordsize="21600,21600">
                  <v:path/>
                  <v:fill on="f" focussize="0,0"/>
                  <v:stroke on="f"/>
                  <v:imagedata r:id="rId20" o:title=""/>
                  <o:lock v:ext="edit" grouping="f" rotation="f" text="f" aspectratio="t"/>
                  <w10:wrap type="none"/>
                  <w10:anchorlock/>
                </v:shape>
                <o:OLEObject Type="Embed" ProgID="Equation.3" ShapeID="_x0000_i1026" DrawAspect="Content" ObjectID="_1468075726" r:id="rId19">
                  <o:LockedField>false</o:LockedField>
                </o:OLEObject>
              </w:object>
            </w:r>
          </w:p>
          <w:p>
            <w:pPr>
              <w:spacing w:line="360" w:lineRule="auto"/>
              <w:ind w:firstLine="480" w:firstLineChars="200"/>
              <w:rPr>
                <w:sz w:val="24"/>
              </w:rPr>
            </w:pPr>
            <w:r>
              <w:rPr>
                <w:sz w:val="24"/>
              </w:rPr>
              <w:t>式中：Q—暴雨强度，L/s.hm</w:t>
            </w:r>
            <w:r>
              <w:rPr>
                <w:sz w:val="24"/>
                <w:vertAlign w:val="superscript"/>
              </w:rPr>
              <w:t>2</w:t>
            </w:r>
            <w:r>
              <w:rPr>
                <w:sz w:val="24"/>
              </w:rPr>
              <w:t>；</w:t>
            </w:r>
          </w:p>
          <w:p>
            <w:pPr>
              <w:spacing w:line="360" w:lineRule="auto"/>
              <w:ind w:firstLine="1200" w:firstLineChars="500"/>
              <w:rPr>
                <w:sz w:val="24"/>
              </w:rPr>
            </w:pPr>
            <w:r>
              <w:rPr>
                <w:sz w:val="24"/>
              </w:rPr>
              <w:t>P—设计重现期，1年；</w:t>
            </w:r>
          </w:p>
          <w:p>
            <w:pPr>
              <w:spacing w:line="360" w:lineRule="auto"/>
              <w:ind w:firstLine="1200" w:firstLineChars="500"/>
              <w:rPr>
                <w:sz w:val="24"/>
              </w:rPr>
            </w:pPr>
            <w:r>
              <w:rPr>
                <w:sz w:val="24"/>
              </w:rPr>
              <w:t>t—地面径流时间，10min</w:t>
            </w:r>
          </w:p>
          <w:p>
            <w:pPr>
              <w:spacing w:line="360" w:lineRule="auto"/>
              <w:ind w:firstLine="480" w:firstLineChars="200"/>
              <w:rPr>
                <w:rFonts w:hint="eastAsia"/>
                <w:sz w:val="24"/>
                <w:szCs w:val="24"/>
                <w:lang w:val="en-US" w:eastAsia="zh-CN"/>
              </w:rPr>
            </w:pPr>
            <w:r>
              <w:rPr>
                <w:sz w:val="24"/>
              </w:rPr>
              <w:t>取径流系数0.9，计算雨水收集池容积277m</w:t>
            </w:r>
            <w:r>
              <w:rPr>
                <w:sz w:val="24"/>
                <w:vertAlign w:val="superscript"/>
              </w:rPr>
              <w:t>3</w:t>
            </w:r>
            <w:r>
              <w:rPr>
                <w:sz w:val="24"/>
              </w:rPr>
              <w:t>。根据建设单位提供资料，项目拟</w:t>
            </w:r>
            <w:r>
              <w:rPr>
                <w:rFonts w:hint="eastAsia"/>
                <w:sz w:val="24"/>
                <w:lang w:eastAsia="zh-CN"/>
              </w:rPr>
              <w:t>在厂内西侧</w:t>
            </w:r>
            <w:r>
              <w:rPr>
                <w:sz w:val="24"/>
              </w:rPr>
              <w:t>建设</w:t>
            </w:r>
            <w:r>
              <w:rPr>
                <w:rFonts w:hint="eastAsia"/>
                <w:sz w:val="24"/>
                <w:lang w:val="en-US" w:eastAsia="zh-CN"/>
              </w:rPr>
              <w:t>13000</w:t>
            </w:r>
            <w:r>
              <w:rPr>
                <w:sz w:val="24"/>
              </w:rPr>
              <w:t>m</w:t>
            </w:r>
            <w:r>
              <w:rPr>
                <w:sz w:val="24"/>
                <w:vertAlign w:val="superscript"/>
              </w:rPr>
              <w:t>3</w:t>
            </w:r>
            <w:r>
              <w:rPr>
                <w:rFonts w:hint="eastAsia"/>
                <w:sz w:val="24"/>
                <w:lang w:eastAsia="zh-CN"/>
              </w:rPr>
              <w:t>蓄水池用以蓄积生产用水，该水池可</w:t>
            </w:r>
            <w:r>
              <w:rPr>
                <w:sz w:val="24"/>
              </w:rPr>
              <w:t>以满足项目雨水的收集。</w:t>
            </w:r>
          </w:p>
          <w:p>
            <w:pPr>
              <w:adjustRightInd w:val="0"/>
              <w:spacing w:line="360" w:lineRule="auto"/>
              <w:ind w:firstLine="480" w:firstLineChars="200"/>
              <w:rPr>
                <w:rFonts w:hint="eastAsia"/>
                <w:sz w:val="24"/>
                <w:szCs w:val="24"/>
                <w:lang w:eastAsia="zh-CN"/>
              </w:rPr>
            </w:pPr>
            <w:r>
              <w:rPr>
                <w:rFonts w:hint="eastAsia"/>
                <w:sz w:val="24"/>
                <w:szCs w:val="24"/>
                <w:lang w:eastAsia="zh-CN"/>
              </w:rPr>
              <w:t>本项目制砖工艺不产生生产废水。</w:t>
            </w:r>
          </w:p>
          <w:p>
            <w:pPr>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lang w:eastAsia="zh-CN"/>
                <w14:textFill>
                  <w14:solidFill>
                    <w14:schemeClr w14:val="tx1"/>
                  </w14:solidFill>
                </w14:textFill>
              </w:rPr>
              <w:t>通过</w:t>
            </w:r>
            <w:r>
              <w:rPr>
                <w:color w:val="000000" w:themeColor="text1"/>
                <w:kern w:val="0"/>
                <w:sz w:val="24"/>
                <w14:textFill>
                  <w14:solidFill>
                    <w14:schemeClr w14:val="tx1"/>
                  </w14:solidFill>
                </w14:textFill>
              </w:rPr>
              <w:t>采取措施和加强管理后，项目对周围地表水影响不大。</w:t>
            </w:r>
          </w:p>
          <w:p>
            <w:pPr>
              <w:numPr>
                <w:ilvl w:val="0"/>
                <w:numId w:val="0"/>
              </w:numPr>
              <w:adjustRightInd w:val="0"/>
              <w:spacing w:line="360" w:lineRule="auto"/>
              <w:ind w:firstLine="482" w:firstLineChars="200"/>
              <w:rPr>
                <w:rFonts w:hint="eastAsia"/>
                <w:b/>
                <w:bCs/>
                <w:sz w:val="24"/>
                <w:szCs w:val="24"/>
                <w:lang w:eastAsia="zh-CN"/>
              </w:rPr>
            </w:pPr>
            <w:r>
              <w:rPr>
                <w:rFonts w:hint="eastAsia"/>
                <w:b/>
                <w:bCs/>
                <w:sz w:val="24"/>
                <w:szCs w:val="24"/>
                <w:lang w:eastAsia="zh-CN"/>
              </w:rPr>
              <w:t>地下水环境影响分析</w:t>
            </w:r>
          </w:p>
          <w:p>
            <w:pPr>
              <w:spacing w:line="360" w:lineRule="auto"/>
              <w:ind w:firstLine="456" w:firstLineChars="200"/>
              <w:rPr>
                <w:rFonts w:hint="eastAsia"/>
                <w:spacing w:val="-6"/>
                <w:sz w:val="24"/>
                <w:lang w:eastAsia="zh-CN"/>
              </w:rPr>
            </w:pPr>
            <w:bookmarkStart w:id="14" w:name="_Toc422242553"/>
            <w:bookmarkStart w:id="15" w:name="_Toc308424928"/>
            <w:r>
              <w:rPr>
                <w:rFonts w:hint="eastAsia"/>
                <w:spacing w:val="-6"/>
                <w:sz w:val="24"/>
                <w:lang w:eastAsia="zh-CN"/>
              </w:rPr>
              <w:t>评价等级</w:t>
            </w:r>
          </w:p>
          <w:p>
            <w:pPr>
              <w:numPr>
                <w:ilvl w:val="0"/>
                <w:numId w:val="0"/>
              </w:numPr>
              <w:spacing w:line="360" w:lineRule="auto"/>
              <w:ind w:firstLine="432"/>
              <w:rPr>
                <w:rFonts w:hint="eastAsia" w:ascii="宋体" w:hAnsi="宋体" w:eastAsia="宋体" w:cs="宋体"/>
                <w:b/>
                <w:bCs/>
                <w:sz w:val="24"/>
                <w:szCs w:val="24"/>
              </w:rPr>
            </w:pPr>
            <w:r>
              <w:rPr>
                <w:rFonts w:hint="eastAsia"/>
                <w:spacing w:val="-6"/>
                <w:sz w:val="24"/>
                <w:lang w:val="en-US" w:eastAsia="zh-CN"/>
              </w:rPr>
              <w:t>项目所在区域无集中式饮用水水源地，也不在饮用水源地准保护区外的补给径流区，以及无特殊地下水资源保护区等环境敏感区，敏感程度属于不敏感，本项目属于III类项目，根据以上分析确定项目地下水环境影响评价为三级评价。</w:t>
            </w:r>
          </w:p>
          <w:p>
            <w:pPr>
              <w:pStyle w:val="4"/>
              <w:spacing w:before="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地下水污染途径分析</w:t>
            </w:r>
            <w:bookmarkEnd w:id="14"/>
          </w:p>
          <w:p>
            <w:pPr>
              <w:spacing w:line="360" w:lineRule="auto"/>
              <w:ind w:firstLine="480" w:firstLineChars="200"/>
              <w:rPr>
                <w:sz w:val="24"/>
              </w:rPr>
            </w:pPr>
            <w:r>
              <w:rPr>
                <w:sz w:val="24"/>
              </w:rPr>
              <w:t>评价区深、浅层地下水的补给、径流和排泄途径方式，结合本项目排放的主要污染物，分析得出对浅层孔隙水和深层孔隙水的污染途径主要为以下几种: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（1）对浅层</w:t>
            </w:r>
            <w:r>
              <w:rPr>
                <w:rFonts w:hint="eastAsia"/>
                <w:color w:val="000000" w:themeColor="text1"/>
                <w:sz w:val="24"/>
                <w:lang w:eastAsia="zh-CN"/>
                <w14:textFill>
                  <w14:solidFill>
                    <w14:schemeClr w14:val="tx1"/>
                  </w14:solidFill>
                </w14:textFill>
              </w:rPr>
              <w:t>地下</w:t>
            </w:r>
            <w:r>
              <w:rPr>
                <w:color w:val="000000" w:themeColor="text1"/>
                <w:sz w:val="24"/>
                <w14:textFill>
                  <w14:solidFill>
                    <w14:schemeClr w14:val="tx1"/>
                  </w14:solidFill>
                </w14:textFill>
              </w:rPr>
              <w:t>水的污染途径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a、厂区内废水渗漏，对厂区所在地段的浅层</w:t>
            </w:r>
            <w:r>
              <w:rPr>
                <w:rFonts w:hint="eastAsia"/>
                <w:color w:val="000000" w:themeColor="text1"/>
                <w:sz w:val="24"/>
                <w:lang w:eastAsia="zh-CN"/>
                <w14:textFill>
                  <w14:solidFill>
                    <w14:schemeClr w14:val="tx1"/>
                  </w14:solidFill>
                </w14:textFill>
              </w:rPr>
              <w:t>地下</w:t>
            </w:r>
            <w:r>
              <w:rPr>
                <w:color w:val="000000" w:themeColor="text1"/>
                <w:sz w:val="24"/>
                <w14:textFill>
                  <w14:solidFill>
                    <w14:schemeClr w14:val="tx1"/>
                  </w14:solidFill>
                </w14:textFill>
              </w:rPr>
              <w:t>水水质造成污染。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b、工程向大气排放的污染物可能由于重力沉降，雨水淋洗等作用而降落到地表，有可能被水携带渗入地下水中。</w:t>
            </w:r>
          </w:p>
          <w:p>
            <w:pPr>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c、事故状态下若项目废水进入西侧山沟可能造成</w:t>
            </w:r>
            <w:r>
              <w:rPr>
                <w:rFonts w:hint="eastAsia"/>
                <w:color w:val="000000" w:themeColor="text1"/>
                <w:sz w:val="24"/>
                <w:lang w:eastAsia="zh-CN"/>
                <w14:textFill>
                  <w14:solidFill>
                    <w14:schemeClr w14:val="tx1"/>
                  </w14:solidFill>
                </w14:textFill>
              </w:rPr>
              <w:t>地下水</w:t>
            </w:r>
            <w:r>
              <w:rPr>
                <w:color w:val="000000" w:themeColor="text1"/>
                <w:sz w:val="24"/>
                <w14:textFill>
                  <w14:solidFill>
                    <w14:schemeClr w14:val="tx1"/>
                  </w14:solidFill>
                </w14:textFill>
              </w:rPr>
              <w:t>水质恶化。</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（2）对深层</w:t>
            </w:r>
            <w:r>
              <w:rPr>
                <w:rFonts w:hint="eastAsia"/>
                <w:color w:val="000000" w:themeColor="text1"/>
                <w:sz w:val="24"/>
                <w:lang w:eastAsia="zh-CN"/>
                <w14:textFill>
                  <w14:solidFill>
                    <w14:schemeClr w14:val="tx1"/>
                  </w14:solidFill>
                </w14:textFill>
              </w:rPr>
              <w:t>地下</w:t>
            </w:r>
            <w:r>
              <w:rPr>
                <w:color w:val="000000" w:themeColor="text1"/>
                <w:sz w:val="24"/>
                <w14:textFill>
                  <w14:solidFill>
                    <w14:schemeClr w14:val="tx1"/>
                  </w14:solidFill>
                </w14:textFill>
              </w:rPr>
              <w:t>水污染途径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通过受污染的浅层孔隙水下渗污染深层孔隙水。</w:t>
            </w:r>
          </w:p>
          <w:p>
            <w:pPr>
              <w:pStyle w:val="4"/>
              <w:spacing w:before="0" w:after="0" w:line="360" w:lineRule="auto"/>
              <w:ind w:firstLine="482" w:firstLineChars="200"/>
              <w:rPr>
                <w:rFonts w:eastAsia="黑体"/>
                <w:sz w:val="24"/>
                <w:szCs w:val="24"/>
              </w:rPr>
            </w:pPr>
            <w:bookmarkStart w:id="16" w:name="_Toc422242554"/>
            <w:r>
              <w:rPr>
                <w:rFonts w:eastAsia="黑体"/>
                <w:sz w:val="24"/>
                <w:szCs w:val="24"/>
              </w:rPr>
              <w:t>环境影响分析</w:t>
            </w:r>
            <w:bookmarkEnd w:id="16"/>
          </w:p>
          <w:p>
            <w:pPr>
              <w:spacing w:line="360" w:lineRule="auto"/>
              <w:ind w:firstLine="482" w:firstLineChars="200"/>
              <w:rPr>
                <w:sz w:val="24"/>
              </w:rPr>
            </w:pPr>
            <w:bookmarkStart w:id="17" w:name="bookmark147"/>
            <w:r>
              <w:rPr>
                <w:b/>
                <w:sz w:val="24"/>
              </w:rPr>
              <w:t>（</w:t>
            </w:r>
            <w:r>
              <w:rPr>
                <w:sz w:val="24"/>
              </w:rPr>
              <w:t>1）厂区废水渗漏对浅层地下水的影响</w:t>
            </w:r>
          </w:p>
          <w:p>
            <w:pPr>
              <w:spacing w:line="360" w:lineRule="auto"/>
              <w:ind w:firstLine="480" w:firstLineChars="200"/>
              <w:rPr>
                <w:sz w:val="24"/>
              </w:rPr>
            </w:pPr>
            <w:r>
              <w:rPr>
                <w:sz w:val="24"/>
              </w:rPr>
              <w:t>本工程地下水污染环节在厂区主要是生产废水和生活污水管道破裂，从而渗入地下而对地下水造成污染。对于此类情况的预防措施，主要是选用管道输送废水和做好浓缩池防渗等，并保证对设备、管道的及时维修。</w:t>
            </w:r>
          </w:p>
          <w:p>
            <w:pPr>
              <w:spacing w:line="360" w:lineRule="auto"/>
              <w:ind w:firstLine="480" w:firstLineChars="200"/>
              <w:rPr>
                <w:rFonts w:hint="eastAsia"/>
                <w:color w:val="000000" w:themeColor="text1"/>
                <w:kern w:val="0"/>
                <w:sz w:val="24"/>
                <w14:textFill>
                  <w14:solidFill>
                    <w14:schemeClr w14:val="tx1"/>
                  </w14:solidFill>
                </w14:textFill>
              </w:rPr>
            </w:pPr>
            <w:r>
              <w:rPr>
                <w:color w:val="000000" w:themeColor="text1"/>
                <w:sz w:val="24"/>
                <w14:textFill>
                  <w14:solidFill>
                    <w14:schemeClr w14:val="tx1"/>
                  </w14:solidFill>
                </w14:textFill>
              </w:rPr>
              <w:t>项目运行期生产废水闭路循环，为了防范事故状态下的煤泥水外排，项目厂区</w:t>
            </w:r>
            <w:r>
              <w:rPr>
                <w:rFonts w:hint="eastAsia"/>
                <w:color w:val="000000" w:themeColor="text1"/>
                <w:sz w:val="24"/>
                <w:lang w:eastAsia="zh-CN"/>
                <w14:textFill>
                  <w14:solidFill>
                    <w14:schemeClr w14:val="tx1"/>
                  </w14:solidFill>
                </w14:textFill>
              </w:rPr>
              <w:t>西</w:t>
            </w:r>
            <w:r>
              <w:rPr>
                <w:color w:val="000000" w:themeColor="text1"/>
                <w:sz w:val="24"/>
                <w14:textFill>
                  <w14:solidFill>
                    <w14:schemeClr w14:val="tx1"/>
                  </w14:solidFill>
                </w14:textFill>
              </w:rPr>
              <w:t>南角设置事故池1座（容积</w:t>
            </w:r>
            <w:r>
              <w:rPr>
                <w:rFonts w:hint="eastAsia"/>
                <w:color w:val="000000" w:themeColor="text1"/>
                <w:sz w:val="24"/>
                <w:lang w:val="en-US" w:eastAsia="zh-CN"/>
                <w14:textFill>
                  <w14:solidFill>
                    <w14:schemeClr w14:val="tx1"/>
                  </w14:solidFill>
                </w14:textFill>
              </w:rPr>
              <w:t>300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），形成</w:t>
            </w:r>
            <w:r>
              <w:rPr>
                <w:bCs/>
                <w:color w:val="000000" w:themeColor="text1"/>
                <w:sz w:val="24"/>
                <w14:textFill>
                  <w14:solidFill>
                    <w14:schemeClr w14:val="tx1"/>
                  </w14:solidFill>
                </w14:textFill>
              </w:rPr>
              <w:t>完备的事故防范回收系统，确保项目生产废水不外排，杜绝生产事故排放对地表水的污染影响，同时项目对</w:t>
            </w:r>
            <w:r>
              <w:rPr>
                <w:rFonts w:hint="eastAsia"/>
                <w:color w:val="000000" w:themeColor="text1"/>
                <w:sz w:val="24"/>
                <w14:textFill>
                  <w14:solidFill>
                    <w14:schemeClr w14:val="tx1"/>
                  </w14:solidFill>
                </w14:textFill>
              </w:rPr>
              <w:t>事故池</w:t>
            </w:r>
            <w:r>
              <w:rPr>
                <w:rFonts w:hint="eastAsia"/>
                <w:color w:val="000000" w:themeColor="text1"/>
                <w:sz w:val="24"/>
                <w:lang w:eastAsia="zh-CN"/>
                <w14:textFill>
                  <w14:solidFill>
                    <w14:schemeClr w14:val="tx1"/>
                  </w14:solidFill>
                </w14:textFill>
              </w:rPr>
              <w:t>、雨水池</w:t>
            </w:r>
            <w:r>
              <w:rPr>
                <w:color w:val="000000" w:themeColor="text1"/>
                <w:sz w:val="24"/>
                <w14:textFill>
                  <w14:solidFill>
                    <w14:schemeClr w14:val="tx1"/>
                  </w14:solidFill>
                </w14:textFill>
              </w:rPr>
              <w:t>等设施采取防渗措施，</w:t>
            </w:r>
            <w:r>
              <w:rPr>
                <w:rFonts w:hint="eastAsia"/>
                <w:color w:val="000000" w:themeColor="text1"/>
                <w:sz w:val="24"/>
                <w:lang w:eastAsia="zh-CN"/>
                <w14:textFill>
                  <w14:solidFill>
                    <w14:schemeClr w14:val="tx1"/>
                  </w14:solidFill>
                </w14:textFill>
              </w:rPr>
              <w:t>水池的耐久性要求应符合《混凝土结构设计规范》（</w:t>
            </w:r>
            <w:r>
              <w:rPr>
                <w:rFonts w:hint="eastAsia"/>
                <w:color w:val="000000" w:themeColor="text1"/>
                <w:sz w:val="24"/>
                <w:lang w:val="en-US" w:eastAsia="zh-CN"/>
                <w14:textFill>
                  <w14:solidFill>
                    <w14:schemeClr w14:val="tx1"/>
                  </w14:solidFill>
                </w14:textFill>
              </w:rPr>
              <w:t>GB50010-2010</w:t>
            </w:r>
            <w:r>
              <w:rPr>
                <w:rFonts w:hint="eastAsia"/>
                <w:color w:val="000000" w:themeColor="text1"/>
                <w:sz w:val="24"/>
                <w:lang w:eastAsia="zh-CN"/>
                <w14:textFill>
                  <w14:solidFill>
                    <w14:schemeClr w14:val="tx1"/>
                  </w14:solidFill>
                </w14:textFill>
              </w:rPr>
              <w:t>）中的规定，混凝土强度不宜低于</w:t>
            </w:r>
            <w:r>
              <w:rPr>
                <w:rFonts w:hint="eastAsia"/>
                <w:color w:val="000000" w:themeColor="text1"/>
                <w:sz w:val="24"/>
                <w:lang w:val="en-US" w:eastAsia="zh-CN"/>
                <w14:textFill>
                  <w14:solidFill>
                    <w14:schemeClr w14:val="tx1"/>
                  </w14:solidFill>
                </w14:textFill>
              </w:rPr>
              <w:t>C30，结构厚度不宜小于250mm，抗渗等级不应低于P8，且水池内表面应涂刷水泥基渗透结晶型、喷涂聚脲等防水涂料，水池的所有接缝应设止水带，止水带益选用橡胶止水带和塑料止水带。通过以上措施</w:t>
            </w:r>
            <w:r>
              <w:rPr>
                <w:color w:val="000000" w:themeColor="text1"/>
                <w:sz w:val="24"/>
                <w14:textFill>
                  <w14:solidFill>
                    <w14:schemeClr w14:val="tx1"/>
                  </w14:solidFill>
                </w14:textFill>
              </w:rPr>
              <w:t>可有效防止污染物下渗对地下水造成污染。</w:t>
            </w:r>
            <w:r>
              <w:rPr>
                <w:rFonts w:hint="eastAsia"/>
                <w:color w:val="000000" w:themeColor="text1"/>
                <w:sz w:val="24"/>
                <w14:textFill>
                  <w14:solidFill>
                    <w14:schemeClr w14:val="tx1"/>
                  </w14:solidFill>
                </w14:textFill>
              </w:rPr>
              <w:t>环评要求</w:t>
            </w:r>
            <w:r>
              <w:rPr>
                <w:color w:val="000000" w:themeColor="text1"/>
                <w:kern w:val="0"/>
                <w:sz w:val="24"/>
                <w14:textFill>
                  <w14:solidFill>
                    <w14:schemeClr w14:val="tx1"/>
                  </w14:solidFill>
                </w14:textFill>
              </w:rPr>
              <w:t>项目厂区地面全部硬化，厂区四周设置</w:t>
            </w:r>
            <w:r>
              <w:rPr>
                <w:rFonts w:hint="eastAsia"/>
                <w:color w:val="000000" w:themeColor="text1"/>
                <w:kern w:val="0"/>
                <w:sz w:val="24"/>
                <w14:textFill>
                  <w14:solidFill>
                    <w14:schemeClr w14:val="tx1"/>
                  </w14:solidFill>
                </w14:textFill>
              </w:rPr>
              <w:t>深1m宽0.3m</w:t>
            </w:r>
            <w:r>
              <w:rPr>
                <w:color w:val="000000" w:themeColor="text1"/>
                <w:kern w:val="0"/>
                <w:sz w:val="24"/>
                <w14:textFill>
                  <w14:solidFill>
                    <w14:schemeClr w14:val="tx1"/>
                  </w14:solidFill>
                </w14:textFill>
              </w:rPr>
              <w:t>截水沟，</w:t>
            </w:r>
            <w:r>
              <w:rPr>
                <w:rFonts w:hint="eastAsia"/>
                <w:color w:val="000000" w:themeColor="text1"/>
                <w:kern w:val="0"/>
                <w:sz w:val="24"/>
                <w14:textFill>
                  <w14:solidFill>
                    <w14:schemeClr w14:val="tx1"/>
                  </w14:solidFill>
                </w14:textFill>
              </w:rPr>
              <w:t>厂区</w:t>
            </w:r>
            <w:r>
              <w:rPr>
                <w:color w:val="000000" w:themeColor="text1"/>
                <w:kern w:val="0"/>
                <w:sz w:val="24"/>
                <w14:textFill>
                  <w14:solidFill>
                    <w14:schemeClr w14:val="tx1"/>
                  </w14:solidFill>
                </w14:textFill>
              </w:rPr>
              <w:t>西侧设置1m高硬质围墙，</w:t>
            </w:r>
            <w:r>
              <w:rPr>
                <w:rFonts w:hint="eastAsia"/>
                <w:color w:val="000000" w:themeColor="text1"/>
                <w:kern w:val="0"/>
                <w:sz w:val="24"/>
                <w14:textFill>
                  <w14:solidFill>
                    <w14:schemeClr w14:val="tx1"/>
                  </w14:solidFill>
                </w14:textFill>
              </w:rPr>
              <w:t>西侧边坡用浆砌石进行加固，高度约3~5m，防治雨天出现滑坡，充分杜绝生产废水进入沟谷中，进而影响项目区地下水。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（2）废气对浅层地下水的影响</w:t>
            </w:r>
          </w:p>
          <w:p>
            <w:pPr>
              <w:spacing w:line="360" w:lineRule="auto"/>
              <w:ind w:firstLine="480" w:firstLineChars="200"/>
              <w:rPr>
                <w:rFonts w:ascii="Times New Roman" w:hAnsi="Times New Roman"/>
                <w:sz w:val="24"/>
              </w:rPr>
            </w:pPr>
            <w:r>
              <w:rPr>
                <w:color w:val="000000" w:themeColor="text1"/>
                <w:sz w:val="24"/>
                <w14:textFill>
                  <w14:solidFill>
                    <w14:schemeClr w14:val="tx1"/>
                  </w14:solidFill>
                </w14:textFill>
              </w:rPr>
              <w:t>对于工程中废气污染源，本工程均采用了有效治理措施，使排入大气中的粉尘等污染物得到了较好控制，均达标排放，因此本工程排放的废气随重力沉降及雨水淋洗等降落到地表，环评要求项目设置雨水收集池，用于收集厂区雨水，防</w:t>
            </w:r>
            <w:r>
              <w:rPr>
                <w:rFonts w:hint="eastAsia"/>
                <w:color w:val="000000" w:themeColor="text1"/>
                <w:sz w:val="24"/>
                <w:lang w:eastAsia="zh-CN"/>
                <w14:textFill>
                  <w14:solidFill>
                    <w14:schemeClr w14:val="tx1"/>
                  </w14:solidFill>
                </w14:textFill>
              </w:rPr>
              <w:t>止</w:t>
            </w:r>
            <w:r>
              <w:rPr>
                <w:color w:val="000000" w:themeColor="text1"/>
                <w:sz w:val="24"/>
                <w14:textFill>
                  <w14:solidFill>
                    <w14:schemeClr w14:val="tx1"/>
                  </w14:solidFill>
                </w14:textFill>
              </w:rPr>
              <w:t>排入西侧山沟</w:t>
            </w:r>
            <w:r>
              <w:rPr>
                <w:rFonts w:hint="eastAsia"/>
                <w:color w:val="000000" w:themeColor="text1"/>
                <w:sz w:val="24"/>
                <w14:textFill>
                  <w14:solidFill>
                    <w14:schemeClr w14:val="tx1"/>
                  </w14:solidFill>
                </w14:textFill>
              </w:rPr>
              <w:t>和项目周围</w:t>
            </w:r>
            <w:r>
              <w:rPr>
                <w:color w:val="000000" w:themeColor="text1"/>
                <w:sz w:val="24"/>
                <w14:textFill>
                  <w14:solidFill>
                    <w14:schemeClr w14:val="tx1"/>
                  </w14:solidFill>
                </w14:textFill>
              </w:rPr>
              <w:t>，进而污染</w:t>
            </w:r>
            <w:r>
              <w:rPr>
                <w:rFonts w:hint="eastAsia"/>
                <w:color w:val="000000" w:themeColor="text1"/>
                <w:sz w:val="24"/>
                <w:lang w:eastAsia="zh-CN"/>
                <w14:textFill>
                  <w14:solidFill>
                    <w14:schemeClr w14:val="tx1"/>
                  </w14:solidFill>
                </w14:textFill>
              </w:rPr>
              <w:t>地表水和地下水</w:t>
            </w:r>
            <w:r>
              <w:rPr>
                <w:color w:val="000000" w:themeColor="text1"/>
                <w:sz w:val="24"/>
                <w14:textFill>
                  <w14:solidFill>
                    <w14:schemeClr w14:val="tx1"/>
                  </w14:solidFill>
                </w14:textFill>
              </w:rPr>
              <w:t>。煤尘被降水淋溶到地下水中是微量的，而且通过土壤层的过滤和自净作用，对地下水体影响几率很小</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要求</w:t>
            </w:r>
            <w:r>
              <w:rPr>
                <w:rFonts w:hint="eastAsia"/>
                <w:color w:val="000000" w:themeColor="text1"/>
                <w:sz w:val="24"/>
                <w14:textFill>
                  <w14:solidFill>
                    <w14:schemeClr w14:val="tx1"/>
                  </w14:solidFill>
                </w14:textFill>
              </w:rPr>
              <w:t>企业加强管理，落实环评中提到的环保措施，项目对其基本无影响</w:t>
            </w:r>
            <w:r>
              <w:rPr>
                <w:bCs/>
                <w:color w:val="000000" w:themeColor="text1"/>
                <w:spacing w:val="6"/>
                <w:sz w:val="24"/>
                <w14:textFill>
                  <w14:solidFill>
                    <w14:schemeClr w14:val="tx1"/>
                  </w14:solidFill>
                </w14:textFill>
              </w:rPr>
              <w:t>。</w:t>
            </w:r>
          </w:p>
          <w:p>
            <w:pPr>
              <w:spacing w:line="360" w:lineRule="auto"/>
              <w:ind w:firstLine="480" w:firstLineChars="200"/>
              <w:rPr>
                <w:bCs/>
                <w:color w:val="000000" w:themeColor="text1"/>
                <w:spacing w:val="6"/>
                <w:sz w:val="24"/>
                <w14:textFill>
                  <w14:solidFill>
                    <w14:schemeClr w14:val="tx1"/>
                  </w14:solidFill>
                </w14:textFill>
              </w:rPr>
            </w:pPr>
            <w:r>
              <w:rPr>
                <w:sz w:val="24"/>
              </w:rPr>
              <w:t>（3）</w:t>
            </w:r>
            <w:r>
              <w:rPr>
                <w:bCs/>
                <w:color w:val="000000" w:themeColor="text1"/>
                <w:spacing w:val="6"/>
                <w:sz w:val="24"/>
                <w14:textFill>
                  <w14:solidFill>
                    <w14:schemeClr w14:val="tx1"/>
                  </w14:solidFill>
                </w14:textFill>
              </w:rPr>
              <w:t>事故排水对</w:t>
            </w:r>
            <w:r>
              <w:rPr>
                <w:rFonts w:hint="eastAsia"/>
                <w:bCs/>
                <w:color w:val="000000" w:themeColor="text1"/>
                <w:spacing w:val="6"/>
                <w:sz w:val="24"/>
                <w:lang w:eastAsia="zh-CN"/>
                <w14:textFill>
                  <w14:solidFill>
                    <w14:schemeClr w14:val="tx1"/>
                  </w14:solidFill>
                </w14:textFill>
              </w:rPr>
              <w:t>地下水</w:t>
            </w:r>
            <w:r>
              <w:rPr>
                <w:bCs/>
                <w:color w:val="000000" w:themeColor="text1"/>
                <w:spacing w:val="6"/>
                <w:sz w:val="24"/>
                <w14:textFill>
                  <w14:solidFill>
                    <w14:schemeClr w14:val="tx1"/>
                  </w14:solidFill>
                </w14:textFill>
              </w:rPr>
              <w:t>水质影响</w:t>
            </w:r>
          </w:p>
          <w:p>
            <w:pPr>
              <w:spacing w:line="360" w:lineRule="auto"/>
              <w:ind w:firstLine="504" w:firstLineChars="200"/>
              <w:rPr>
                <w:color w:val="000000" w:themeColor="text1"/>
                <w:kern w:val="0"/>
                <w:sz w:val="24"/>
                <w14:textFill>
                  <w14:solidFill>
                    <w14:schemeClr w14:val="tx1"/>
                  </w14:solidFill>
                </w14:textFill>
              </w:rPr>
            </w:pPr>
            <w:r>
              <w:rPr>
                <w:bCs/>
                <w:color w:val="000000" w:themeColor="text1"/>
                <w:spacing w:val="6"/>
                <w:sz w:val="24"/>
                <w14:textFill>
                  <w14:solidFill>
                    <w14:schemeClr w14:val="tx1"/>
                  </w14:solidFill>
                </w14:textFill>
              </w:rPr>
              <w:t>若事故状态下废水排入西侧山沟，会造成地下水污染。</w:t>
            </w:r>
            <w:r>
              <w:rPr>
                <w:rFonts w:hint="eastAsia"/>
                <w:color w:val="000000" w:themeColor="text1"/>
                <w:sz w:val="24"/>
                <w14:textFill>
                  <w14:solidFill>
                    <w14:schemeClr w14:val="tx1"/>
                  </w14:solidFill>
                </w14:textFill>
              </w:rPr>
              <w:t>为了防范事故状态下的煤泥水外排，项目厂区</w:t>
            </w:r>
            <w:r>
              <w:rPr>
                <w:rFonts w:hint="eastAsia"/>
                <w:color w:val="000000" w:themeColor="text1"/>
                <w:sz w:val="24"/>
                <w:lang w:eastAsia="zh-CN"/>
                <w14:textFill>
                  <w14:solidFill>
                    <w14:schemeClr w14:val="tx1"/>
                  </w14:solidFill>
                </w14:textFill>
              </w:rPr>
              <w:t>西</w:t>
            </w:r>
            <w:r>
              <w:rPr>
                <w:rFonts w:hint="eastAsia"/>
                <w:color w:val="000000" w:themeColor="text1"/>
                <w:sz w:val="24"/>
                <w14:textFill>
                  <w14:solidFill>
                    <w14:schemeClr w14:val="tx1"/>
                  </w14:solidFill>
                </w14:textFill>
              </w:rPr>
              <w:t>南角设置事故池1座（容积</w:t>
            </w:r>
            <w:r>
              <w:rPr>
                <w:rFonts w:hint="eastAsia"/>
                <w:color w:val="000000" w:themeColor="text1"/>
                <w:sz w:val="24"/>
                <w:lang w:val="en-US" w:eastAsia="zh-CN"/>
                <w14:textFill>
                  <w14:solidFill>
                    <w14:schemeClr w14:val="tx1"/>
                  </w14:solidFill>
                </w14:textFill>
              </w:rPr>
              <w:t>300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），用于</w:t>
            </w:r>
            <w:r>
              <w:rPr>
                <w:color w:val="000000" w:themeColor="text1"/>
                <w:sz w:val="24"/>
                <w14:textFill>
                  <w14:solidFill>
                    <w14:schemeClr w14:val="tx1"/>
                  </w14:solidFill>
                </w14:textFill>
              </w:rPr>
              <w:t>事故</w:t>
            </w:r>
            <w:r>
              <w:rPr>
                <w:rFonts w:hint="eastAsia"/>
                <w:color w:val="000000" w:themeColor="text1"/>
                <w:sz w:val="24"/>
                <w14:textFill>
                  <w14:solidFill>
                    <w14:schemeClr w14:val="tx1"/>
                  </w14:solidFill>
                </w14:textFill>
              </w:rPr>
              <w:t>状态下</w:t>
            </w:r>
            <w:r>
              <w:rPr>
                <w:color w:val="000000" w:themeColor="text1"/>
                <w:sz w:val="24"/>
                <w14:textFill>
                  <w14:solidFill>
                    <w14:schemeClr w14:val="tx1"/>
                  </w14:solidFill>
                </w14:textFill>
              </w:rPr>
              <w:t>煤泥水的收集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防止煤泥水的事故排放。</w:t>
            </w:r>
            <w:r>
              <w:rPr>
                <w:rFonts w:hint="eastAsia"/>
                <w:color w:val="000000" w:themeColor="text1"/>
                <w:sz w:val="24"/>
                <w:lang w:eastAsia="zh-CN"/>
                <w14:textFill>
                  <w14:solidFill>
                    <w14:schemeClr w14:val="tx1"/>
                  </w14:solidFill>
                </w14:textFill>
              </w:rPr>
              <w:t>厂区西侧蓄水池</w:t>
            </w:r>
            <w:r>
              <w:rPr>
                <w:color w:val="000000" w:themeColor="text1"/>
                <w:sz w:val="24"/>
                <w14:textFill>
                  <w14:solidFill>
                    <w14:schemeClr w14:val="tx1"/>
                  </w14:solidFill>
                </w14:textFill>
              </w:rPr>
              <w:t>用于收集雨水，防治雨水排入西侧山沟进而污染水体，收集后的煤泥水和雨水循环用于洗煤工艺。评价根据项目建设地所处位置为易滑坡地质，本次</w:t>
            </w:r>
            <w:r>
              <w:rPr>
                <w:color w:val="000000" w:themeColor="text1"/>
                <w:kern w:val="0"/>
                <w:sz w:val="24"/>
                <w14:textFill>
                  <w14:solidFill>
                    <w14:schemeClr w14:val="tx1"/>
                  </w14:solidFill>
                </w14:textFill>
              </w:rPr>
              <w:t>评价要求，项目厂区地面全部硬化，厂区四周设置</w:t>
            </w:r>
            <w:r>
              <w:rPr>
                <w:rFonts w:hint="eastAsia"/>
                <w:color w:val="000000" w:themeColor="text1"/>
                <w:kern w:val="0"/>
                <w:sz w:val="24"/>
                <w14:textFill>
                  <w14:solidFill>
                    <w14:schemeClr w14:val="tx1"/>
                  </w14:solidFill>
                </w14:textFill>
              </w:rPr>
              <w:t>深1m宽0.3m</w:t>
            </w:r>
            <w:r>
              <w:rPr>
                <w:color w:val="000000" w:themeColor="text1"/>
                <w:kern w:val="0"/>
                <w:sz w:val="24"/>
                <w14:textFill>
                  <w14:solidFill>
                    <w14:schemeClr w14:val="tx1"/>
                  </w14:solidFill>
                </w14:textFill>
              </w:rPr>
              <w:t>截水沟，</w:t>
            </w:r>
            <w:r>
              <w:rPr>
                <w:rFonts w:hint="eastAsia"/>
                <w:color w:val="000000" w:themeColor="text1"/>
                <w:kern w:val="0"/>
                <w:sz w:val="24"/>
                <w14:textFill>
                  <w14:solidFill>
                    <w14:schemeClr w14:val="tx1"/>
                  </w14:solidFill>
                </w14:textFill>
              </w:rPr>
              <w:t>厂区</w:t>
            </w:r>
            <w:r>
              <w:rPr>
                <w:color w:val="000000" w:themeColor="text1"/>
                <w:kern w:val="0"/>
                <w:sz w:val="24"/>
                <w14:textFill>
                  <w14:solidFill>
                    <w14:schemeClr w14:val="tx1"/>
                  </w14:solidFill>
                </w14:textFill>
              </w:rPr>
              <w:t>西侧设置1m高硬质围墙，</w:t>
            </w:r>
            <w:r>
              <w:rPr>
                <w:rFonts w:hint="eastAsia"/>
                <w:color w:val="000000" w:themeColor="text1"/>
                <w:kern w:val="0"/>
                <w:sz w:val="24"/>
                <w14:textFill>
                  <w14:solidFill>
                    <w14:schemeClr w14:val="tx1"/>
                  </w14:solidFill>
                </w14:textFill>
              </w:rPr>
              <w:t>西侧边坡用浆砌石进行加固，高度约3~5m，</w:t>
            </w:r>
            <w:r>
              <w:rPr>
                <w:color w:val="000000" w:themeColor="text1"/>
                <w:kern w:val="0"/>
                <w:sz w:val="24"/>
                <w14:textFill>
                  <w14:solidFill>
                    <w14:schemeClr w14:val="tx1"/>
                  </w14:solidFill>
                </w14:textFill>
              </w:rPr>
              <w:t>防治雨天出现滑坡。建设单位必须加强生产管理和煤泥浓缩池的运行管理，严禁煤泥水排入西侧山沟。</w:t>
            </w:r>
            <w:bookmarkStart w:id="24" w:name="_GoBack"/>
            <w:bookmarkEnd w:id="24"/>
          </w:p>
          <w:p>
            <w:pPr>
              <w:spacing w:line="360" w:lineRule="auto"/>
              <w:ind w:firstLine="456" w:firstLineChars="200"/>
              <w:rPr>
                <w:rFonts w:hint="eastAsia"/>
                <w:spacing w:val="-6"/>
                <w:sz w:val="24"/>
                <w:lang w:eastAsia="zh-CN"/>
              </w:rPr>
            </w:pPr>
            <w:r>
              <w:rPr>
                <w:rFonts w:hint="eastAsia"/>
                <w:spacing w:val="-6"/>
                <w:sz w:val="24"/>
                <w:lang w:eastAsia="zh-CN"/>
              </w:rPr>
              <w:t>污染监控计划</w:t>
            </w:r>
          </w:p>
          <w:p>
            <w:pPr>
              <w:spacing w:line="360" w:lineRule="auto"/>
              <w:ind w:firstLine="456" w:firstLineChars="200"/>
              <w:rPr>
                <w:rFonts w:hint="eastAsia"/>
                <w:spacing w:val="-6"/>
                <w:sz w:val="24"/>
                <w:lang w:eastAsia="zh-CN"/>
              </w:rPr>
            </w:pPr>
            <w:r>
              <w:rPr>
                <w:rFonts w:hint="eastAsia"/>
                <w:spacing w:val="-6"/>
                <w:sz w:val="24"/>
                <w:lang w:eastAsia="zh-CN"/>
              </w:rPr>
              <w:t>项目厂区范围内没有水井，环评建议在项目地下游太安镇马坊村设置一个事故地下水环境影响跟踪监测点，监测因子为</w:t>
            </w:r>
            <w:r>
              <w:rPr>
                <w:rFonts w:hint="eastAsia"/>
                <w:spacing w:val="-6"/>
                <w:sz w:val="24"/>
                <w:lang w:val="en-US" w:eastAsia="zh-CN"/>
              </w:rPr>
              <w:t>SS、COD</w:t>
            </w:r>
            <w:r>
              <w:rPr>
                <w:rFonts w:hint="eastAsia"/>
                <w:spacing w:val="-6"/>
                <w:sz w:val="24"/>
                <w:lang w:eastAsia="zh-CN"/>
              </w:rPr>
              <w:t>。此外应定期对事故池进行渗漏检查，并定期进行维护。</w:t>
            </w:r>
          </w:p>
          <w:p>
            <w:pPr>
              <w:spacing w:line="360" w:lineRule="auto"/>
              <w:ind w:firstLine="456" w:firstLineChars="200"/>
              <w:rPr>
                <w:spacing w:val="-6"/>
                <w:sz w:val="24"/>
              </w:rPr>
            </w:pPr>
            <w:r>
              <w:rPr>
                <w:spacing w:val="-6"/>
                <w:sz w:val="24"/>
              </w:rPr>
              <w:t>通过以上措施后，项目运营期不会对地下水</w:t>
            </w:r>
            <w:r>
              <w:rPr>
                <w:rFonts w:hint="eastAsia"/>
                <w:spacing w:val="-6"/>
                <w:sz w:val="24"/>
                <w:lang w:eastAsia="zh-CN"/>
              </w:rPr>
              <w:t>环境</w:t>
            </w:r>
            <w:r>
              <w:rPr>
                <w:spacing w:val="-6"/>
                <w:sz w:val="24"/>
              </w:rPr>
              <w:t>造成影响。</w:t>
            </w:r>
          </w:p>
          <w:p>
            <w:pPr>
              <w:spacing w:line="360" w:lineRule="auto"/>
              <w:ind w:firstLine="480" w:firstLineChars="200"/>
              <w:rPr>
                <w:rFonts w:hint="eastAsia"/>
                <w:lang w:eastAsia="zh-CN"/>
              </w:rPr>
            </w:pPr>
            <w:r>
              <w:rPr>
                <w:rFonts w:hint="eastAsia"/>
                <w:color w:val="000000" w:themeColor="text1"/>
                <w:sz w:val="24"/>
                <w14:textFill>
                  <w14:solidFill>
                    <w14:schemeClr w14:val="tx1"/>
                  </w14:solidFill>
                </w14:textFill>
              </w:rPr>
              <w:t>采取措施后，</w:t>
            </w:r>
            <w:r>
              <w:rPr>
                <w:color w:val="000000" w:themeColor="text1"/>
                <w:sz w:val="24"/>
                <w14:textFill>
                  <w14:solidFill>
                    <w14:schemeClr w14:val="tx1"/>
                  </w14:solidFill>
                </w14:textFill>
              </w:rPr>
              <w:t>项目建设对厂区地下水影响很小。</w:t>
            </w:r>
            <w:bookmarkEnd w:id="15"/>
            <w:bookmarkEnd w:id="17"/>
          </w:p>
          <w:p>
            <w:pPr>
              <w:adjustRightInd w:val="0"/>
              <w:spacing w:line="360" w:lineRule="auto"/>
              <w:ind w:firstLine="480" w:firstLineChars="200"/>
              <w:rPr>
                <w:sz w:val="24"/>
                <w:szCs w:val="24"/>
              </w:rPr>
            </w:pPr>
            <w:r>
              <w:rPr>
                <w:rFonts w:hint="eastAsia"/>
                <w:sz w:val="24"/>
                <w:szCs w:val="24"/>
              </w:rPr>
              <w:t>2、</w:t>
            </w:r>
            <w:r>
              <w:rPr>
                <w:sz w:val="24"/>
                <w:szCs w:val="24"/>
              </w:rPr>
              <w:t>大气环境影响分析</w:t>
            </w:r>
          </w:p>
          <w:p>
            <w:pPr>
              <w:pStyle w:val="10"/>
              <w:snapToGrid/>
              <w:spacing w:line="360" w:lineRule="auto"/>
              <w:ind w:firstLine="482"/>
              <w:rPr>
                <w:rFonts w:hint="default" w:ascii="Times New Roman" w:hAnsi="Times New Roman" w:eastAsia="宋体" w:cs="Times New Roman"/>
                <w:b/>
                <w:bCs/>
                <w:sz w:val="24"/>
                <w:szCs w:val="24"/>
              </w:rPr>
            </w:pPr>
            <w:bookmarkStart w:id="18" w:name="OLE_LINK38"/>
            <w:bookmarkStart w:id="19" w:name="OLE_LINK37"/>
            <w:r>
              <w:rPr>
                <w:rFonts w:hint="default" w:ascii="Times New Roman" w:hAnsi="Times New Roman" w:eastAsia="宋体" w:cs="Times New Roman"/>
                <w:b/>
                <w:bCs/>
                <w:sz w:val="24"/>
                <w:szCs w:val="24"/>
              </w:rPr>
              <w:t>破碎筛分环节粉尘</w:t>
            </w:r>
          </w:p>
          <w:p>
            <w:pPr>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原煤在破碎筛分过程中将产生大量煤尘，项目对破碎筛分机进行隔离封闭，物料输送全部为密闭通廊。在破碎筛分车间设集气罩+布袋除尘器，废气经除尘系统（</w:t>
            </w:r>
            <w:r>
              <w:rPr>
                <w:rFonts w:hint="eastAsia" w:cs="Times New Roman"/>
                <w:sz w:val="24"/>
                <w:szCs w:val="24"/>
                <w:lang w:eastAsia="zh-CN"/>
              </w:rPr>
              <w:t>引风机风量</w:t>
            </w:r>
            <w:r>
              <w:rPr>
                <w:rFonts w:hint="eastAsia" w:cs="Times New Roman"/>
                <w:sz w:val="24"/>
                <w:szCs w:val="24"/>
                <w:lang w:val="en-US" w:eastAsia="zh-CN"/>
              </w:rPr>
              <w:t>10000m</w:t>
            </w:r>
            <w:r>
              <w:rPr>
                <w:rFonts w:hint="eastAsia" w:cs="Times New Roman"/>
                <w:sz w:val="24"/>
                <w:szCs w:val="24"/>
                <w:vertAlign w:val="superscript"/>
                <w:lang w:val="en-US" w:eastAsia="zh-CN"/>
              </w:rPr>
              <w:t>3</w:t>
            </w:r>
            <w:r>
              <w:rPr>
                <w:rFonts w:hint="eastAsia" w:cs="Times New Roman"/>
                <w:sz w:val="24"/>
                <w:szCs w:val="24"/>
                <w:vertAlign w:val="baseline"/>
                <w:lang w:val="en-US" w:eastAsia="zh-CN"/>
              </w:rPr>
              <w:t>/h，集气罩</w:t>
            </w:r>
            <w:r>
              <w:rPr>
                <w:rFonts w:hint="eastAsia" w:cs="Times New Roman"/>
                <w:sz w:val="24"/>
                <w:szCs w:val="24"/>
                <w:lang w:eastAsia="zh-CN"/>
              </w:rPr>
              <w:t>收集效率</w:t>
            </w:r>
            <w:r>
              <w:rPr>
                <w:rFonts w:hint="eastAsia" w:cs="Times New Roman"/>
                <w:sz w:val="24"/>
                <w:szCs w:val="24"/>
                <w:lang w:val="en-US" w:eastAsia="zh-CN"/>
              </w:rPr>
              <w:t>90%，</w:t>
            </w:r>
            <w:r>
              <w:rPr>
                <w:rFonts w:hint="default" w:ascii="Times New Roman" w:hAnsi="Times New Roman" w:eastAsia="宋体" w:cs="Times New Roman"/>
                <w:sz w:val="24"/>
                <w:szCs w:val="24"/>
              </w:rPr>
              <w:t>除尘效率99%）除尘后由1根15m排气筒排放。</w:t>
            </w:r>
            <w:r>
              <w:rPr>
                <w:rFonts w:hint="eastAsia" w:cs="Times New Roman"/>
                <w:sz w:val="24"/>
                <w:szCs w:val="24"/>
                <w:lang w:eastAsia="zh-CN"/>
              </w:rPr>
              <w:t>三个车间分别设置三套独立废气处理装置，由三根排气筒排放。</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同时为了防止破碎筛分工序散溢到周围空气中的粉尘（按10%计，约为</w:t>
            </w:r>
            <w:r>
              <w:rPr>
                <w:rFonts w:hint="eastAsia" w:ascii="Times New Roman" w:hAnsi="Times New Roman" w:cs="Times New Roman"/>
                <w:sz w:val="24"/>
                <w:szCs w:val="24"/>
                <w:lang w:val="en-US" w:eastAsia="zh-CN"/>
              </w:rPr>
              <w:t>4.17</w:t>
            </w:r>
            <w:r>
              <w:rPr>
                <w:rFonts w:hint="default" w:ascii="Times New Roman" w:hAnsi="Times New Roman" w:eastAsia="宋体" w:cs="Times New Roman"/>
                <w:sz w:val="24"/>
                <w:szCs w:val="24"/>
              </w:rPr>
              <w:t>kg/h）对周围环境的影响，环评建议在产尘点设置洒水喷雾装置（除尘效率按95%计），</w:t>
            </w:r>
            <w:r>
              <w:rPr>
                <w:rFonts w:hint="eastAsia" w:ascii="Times New Roman" w:hAnsi="Times New Roman" w:cs="Times New Roman"/>
                <w:sz w:val="24"/>
                <w:szCs w:val="24"/>
                <w:lang w:eastAsia="zh-CN"/>
              </w:rPr>
              <w:t>单个</w:t>
            </w:r>
            <w:r>
              <w:rPr>
                <w:rFonts w:hint="default" w:ascii="Times New Roman" w:hAnsi="Times New Roman" w:eastAsia="宋体" w:cs="Times New Roman"/>
                <w:sz w:val="24"/>
                <w:szCs w:val="24"/>
              </w:rPr>
              <w:t>无组织粉尘排放速率约为0.</w:t>
            </w:r>
            <w:r>
              <w:rPr>
                <w:rFonts w:hint="eastAsia" w:ascii="Times New Roman" w:hAnsi="Times New Roman" w:cs="Times New Roman"/>
                <w:sz w:val="24"/>
                <w:szCs w:val="24"/>
                <w:lang w:val="en-US" w:eastAsia="zh-CN"/>
              </w:rPr>
              <w:t>21</w:t>
            </w:r>
            <w:r>
              <w:rPr>
                <w:rFonts w:hint="default" w:ascii="Times New Roman" w:hAnsi="Times New Roman" w:eastAsia="宋体" w:cs="Times New Roman"/>
                <w:sz w:val="24"/>
                <w:szCs w:val="24"/>
              </w:rPr>
              <w:t>kg/h</w:t>
            </w:r>
            <w:r>
              <w:rPr>
                <w:rFonts w:hint="eastAsia" w:ascii="Times New Roman" w:hAnsi="Times New Roman" w:cs="Times New Roman"/>
                <w:sz w:val="24"/>
                <w:szCs w:val="24"/>
                <w:lang w:eastAsia="zh-CN"/>
              </w:rPr>
              <w:t>，三个车间无组织排放</w:t>
            </w:r>
            <w:r>
              <w:rPr>
                <w:rFonts w:hint="default" w:ascii="Times New Roman" w:hAnsi="Times New Roman" w:eastAsia="宋体" w:cs="Times New Roman"/>
                <w:sz w:val="24"/>
                <w:szCs w:val="24"/>
              </w:rPr>
              <w:t>率约为0.</w:t>
            </w:r>
            <w:r>
              <w:rPr>
                <w:rFonts w:hint="eastAsia" w:cs="Times New Roman"/>
                <w:sz w:val="24"/>
                <w:szCs w:val="24"/>
                <w:lang w:val="en-US" w:eastAsia="zh-CN"/>
              </w:rPr>
              <w:t>63</w:t>
            </w:r>
            <w:r>
              <w:rPr>
                <w:rFonts w:hint="default" w:ascii="Times New Roman" w:hAnsi="Times New Roman" w:eastAsia="宋体" w:cs="Times New Roman"/>
                <w:sz w:val="24"/>
                <w:szCs w:val="24"/>
              </w:rPr>
              <w:t>kg/h。</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采取以上措施后，项目破碎筛分工序产生粉尘分别满足《煤炭工业污染物排放标准》（GB20426-2006）表4中颗粒物浓度限值小于80mg/m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及其表5中无组织排放限值低于1.0mg/m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的要求。</w:t>
            </w:r>
          </w:p>
          <w:p>
            <w:pPr>
              <w:adjustRightInd w:val="0"/>
              <w:spacing w:line="360" w:lineRule="auto"/>
              <w:ind w:firstLine="482" w:firstLineChars="200"/>
              <w:contextualSpacing/>
              <w:rPr>
                <w:rFonts w:hint="eastAsia" w:ascii="Times New Roman" w:hAnsi="Times New Roman" w:cs="Times New Roman"/>
                <w:b/>
                <w:bCs/>
                <w:sz w:val="24"/>
                <w:szCs w:val="24"/>
                <w:lang w:eastAsia="zh-CN"/>
              </w:rPr>
            </w:pPr>
            <w:r>
              <w:rPr>
                <w:rFonts w:hint="eastAsia" w:cs="Times New Roman"/>
                <w:b/>
                <w:bCs/>
                <w:sz w:val="24"/>
                <w:szCs w:val="24"/>
                <w:lang w:eastAsia="zh-CN"/>
              </w:rPr>
              <w:t>制砖</w:t>
            </w:r>
            <w:r>
              <w:rPr>
                <w:rFonts w:hint="eastAsia" w:ascii="Times New Roman" w:hAnsi="Times New Roman" w:cs="Times New Roman"/>
                <w:b/>
                <w:bCs/>
                <w:sz w:val="24"/>
                <w:szCs w:val="24"/>
                <w:lang w:eastAsia="zh-CN"/>
              </w:rPr>
              <w:t>工艺废气</w:t>
            </w:r>
          </w:p>
          <w:p>
            <w:pPr>
              <w:adjustRightInd w:val="0"/>
              <w:spacing w:line="360" w:lineRule="auto"/>
              <w:ind w:firstLine="480" w:firstLineChars="200"/>
              <w:contextualSpacing/>
              <w:rPr>
                <w:rFonts w:hint="eastAsia"/>
                <w:color w:val="auto"/>
                <w:sz w:val="24"/>
                <w:shd w:val="clear" w:color="auto" w:fill="auto"/>
                <w:lang w:val="en-US" w:eastAsia="zh-CN"/>
              </w:rPr>
            </w:pPr>
            <w:r>
              <w:rPr>
                <w:rFonts w:hint="eastAsia"/>
                <w:color w:val="auto"/>
                <w:sz w:val="24"/>
                <w:shd w:val="clear" w:color="auto" w:fill="auto"/>
                <w:lang w:val="en-US" w:eastAsia="zh-CN"/>
              </w:rPr>
              <w:t>破碎粉尘</w:t>
            </w:r>
          </w:p>
          <w:p>
            <w:pPr>
              <w:numPr>
                <w:ilvl w:val="0"/>
                <w:numId w:val="0"/>
              </w:numPr>
              <w:adjustRightInd w:val="0"/>
              <w:snapToGrid w:val="0"/>
              <w:spacing w:line="360" w:lineRule="auto"/>
              <w:ind w:firstLine="480"/>
              <w:rPr>
                <w:rFonts w:hint="eastAsia"/>
                <w:color w:val="auto"/>
                <w:kern w:val="24"/>
                <w:sz w:val="24"/>
                <w:lang w:eastAsia="zh-CN"/>
              </w:rPr>
            </w:pPr>
            <w:r>
              <w:rPr>
                <w:rFonts w:hint="eastAsia"/>
                <w:color w:val="auto"/>
                <w:sz w:val="24"/>
                <w:shd w:val="clear" w:color="auto" w:fill="auto"/>
                <w:lang w:val="en-US" w:eastAsia="zh-CN"/>
              </w:rPr>
              <w:t>项目使用圆锥破碎机对煤矸石进行破碎，破碎产生的粉尘由集气罩收集经布袋除尘器处理后由15m排气筒排放，根据计算有组织排放浓度为5.625mg/m</w:t>
            </w:r>
            <w:r>
              <w:rPr>
                <w:rFonts w:hint="eastAsia"/>
                <w:color w:val="auto"/>
                <w:sz w:val="24"/>
                <w:shd w:val="clear" w:color="auto" w:fill="auto"/>
                <w:vertAlign w:val="superscript"/>
                <w:lang w:val="en-US" w:eastAsia="zh-CN"/>
              </w:rPr>
              <w:t>3</w:t>
            </w:r>
            <w:r>
              <w:rPr>
                <w:rFonts w:hint="eastAsia"/>
                <w:color w:val="auto"/>
                <w:sz w:val="24"/>
                <w:shd w:val="clear" w:color="auto" w:fill="auto"/>
                <w:vertAlign w:val="baseline"/>
                <w:lang w:val="en-US" w:eastAsia="zh-CN"/>
              </w:rPr>
              <w:t>，无组织排放量为0.5kg/h</w:t>
            </w:r>
            <w:r>
              <w:rPr>
                <w:rFonts w:hint="eastAsia"/>
                <w:color w:val="auto"/>
                <w:sz w:val="24"/>
                <w:shd w:val="clear" w:color="auto" w:fill="auto"/>
                <w:lang w:val="en-US" w:eastAsia="zh-CN"/>
              </w:rPr>
              <w:t>。满足</w:t>
            </w:r>
            <w:r>
              <w:rPr>
                <w:rFonts w:hint="eastAsia"/>
                <w:color w:val="auto"/>
                <w:kern w:val="24"/>
                <w:sz w:val="24"/>
              </w:rPr>
              <w:t>GB16297-1996《大气污染物综合排放标准》表2中的二级标准规定</w:t>
            </w:r>
            <w:r>
              <w:rPr>
                <w:rFonts w:hint="eastAsia"/>
                <w:color w:val="auto"/>
                <w:kern w:val="24"/>
                <w:sz w:val="24"/>
                <w:lang w:eastAsia="zh-CN"/>
              </w:rPr>
              <w:t>，因此项目破碎粉尘对环境影响较小。</w:t>
            </w:r>
          </w:p>
          <w:p>
            <w:pPr>
              <w:numPr>
                <w:ilvl w:val="0"/>
                <w:numId w:val="0"/>
              </w:numPr>
              <w:adjustRightInd w:val="0"/>
              <w:snapToGrid w:val="0"/>
              <w:spacing w:line="360" w:lineRule="auto"/>
              <w:ind w:firstLine="480"/>
              <w:rPr>
                <w:rFonts w:hint="eastAsia"/>
                <w:color w:val="auto"/>
                <w:sz w:val="24"/>
                <w:shd w:val="clear" w:color="auto" w:fill="auto"/>
                <w:lang w:val="en-US" w:eastAsia="zh-CN"/>
              </w:rPr>
            </w:pPr>
            <w:r>
              <w:rPr>
                <w:rFonts w:hint="eastAsia"/>
                <w:color w:val="auto"/>
                <w:sz w:val="24"/>
                <w:shd w:val="clear" w:color="auto" w:fill="auto"/>
                <w:lang w:val="en-US" w:eastAsia="zh-CN"/>
              </w:rPr>
              <w:t>粉料贮存粉尘</w:t>
            </w:r>
          </w:p>
          <w:p>
            <w:pPr>
              <w:snapToGrid w:val="0"/>
              <w:spacing w:line="360" w:lineRule="auto"/>
              <w:ind w:firstLine="480" w:firstLineChars="200"/>
              <w:contextualSpacing/>
              <w:rPr>
                <w:rFonts w:hint="default" w:ascii="Times New Roman" w:hAnsi="Times New Roman" w:eastAsia="宋体" w:cs="Times New Roman"/>
                <w:b/>
                <w:bCs/>
                <w:color w:val="auto"/>
                <w:kern w:val="24"/>
                <w:sz w:val="24"/>
              </w:rPr>
            </w:pPr>
            <w:r>
              <w:rPr>
                <w:rFonts w:hint="eastAsia"/>
                <w:color w:val="auto"/>
                <w:sz w:val="24"/>
                <w:shd w:val="clear" w:color="auto" w:fill="auto"/>
                <w:lang w:val="en-US" w:eastAsia="zh-CN"/>
              </w:rPr>
              <w:t>项目设置四个储料罐用来储存水泥，每个储罐均安装仓顶除尘器。</w:t>
            </w:r>
            <w:r>
              <w:rPr>
                <w:rFonts w:hint="eastAsia"/>
                <w:color w:val="auto"/>
                <w:sz w:val="24"/>
                <w:lang w:eastAsia="zh-CN"/>
              </w:rPr>
              <w:t>水泥</w:t>
            </w:r>
            <w:r>
              <w:rPr>
                <w:color w:val="auto"/>
                <w:sz w:val="24"/>
              </w:rPr>
              <w:t>原料由散装罐车吹入密闭筒仓和上料过程，仓顶呼吸孔会产生一定量的粉尘</w:t>
            </w:r>
            <w:r>
              <w:rPr>
                <w:rFonts w:hint="eastAsia"/>
                <w:color w:val="auto"/>
                <w:sz w:val="24"/>
                <w:lang w:eastAsia="zh-CN"/>
              </w:rPr>
              <w:t>，</w:t>
            </w:r>
            <w:r>
              <w:rPr>
                <w:rFonts w:hint="eastAsia"/>
                <w:bCs/>
                <w:color w:val="auto"/>
                <w:sz w:val="24"/>
              </w:rPr>
              <w:t>该部分粉尘产生及排放情况见表</w:t>
            </w:r>
            <w:r>
              <w:rPr>
                <w:rFonts w:hint="eastAsia"/>
                <w:bCs/>
                <w:color w:val="auto"/>
                <w:sz w:val="24"/>
                <w:lang w:val="en-US" w:eastAsia="zh-CN"/>
              </w:rPr>
              <w:t>21</w:t>
            </w:r>
            <w:r>
              <w:rPr>
                <w:rFonts w:hint="eastAsia"/>
                <w:bCs/>
                <w:color w:val="auto"/>
                <w:sz w:val="24"/>
              </w:rPr>
              <w:t>。</w:t>
            </w:r>
          </w:p>
          <w:p>
            <w:pPr>
              <w:autoSpaceDE w:val="0"/>
              <w:autoSpaceDN w:val="0"/>
              <w:adjustRightInd w:val="0"/>
              <w:snapToGrid w:val="0"/>
              <w:spacing w:line="360" w:lineRule="auto"/>
              <w:jc w:val="center"/>
              <w:rPr>
                <w:rFonts w:hint="default" w:ascii="Times New Roman" w:hAnsi="Times New Roman" w:eastAsia="宋体" w:cs="Times New Roman"/>
                <w:b/>
                <w:bCs/>
                <w:sz w:val="24"/>
              </w:rPr>
            </w:pPr>
            <w:bookmarkStart w:id="20" w:name="OLE_LINK6"/>
            <w:r>
              <w:rPr>
                <w:rFonts w:hint="default" w:ascii="Times New Roman" w:hAnsi="Times New Roman" w:eastAsia="宋体" w:cs="Times New Roman"/>
                <w:b/>
                <w:bCs/>
                <w:color w:val="auto"/>
                <w:kern w:val="24"/>
                <w:sz w:val="24"/>
              </w:rPr>
              <w:tab/>
            </w:r>
            <w:r>
              <w:rPr>
                <w:rFonts w:hint="default" w:ascii="Times New Roman" w:hAnsi="Times New Roman" w:eastAsia="宋体" w:cs="Times New Roman"/>
                <w:b/>
                <w:bCs/>
                <w:color w:val="auto"/>
                <w:kern w:val="24"/>
                <w:sz w:val="24"/>
              </w:rPr>
              <w:t>表</w:t>
            </w:r>
            <w:r>
              <w:rPr>
                <w:rFonts w:hint="eastAsia" w:cs="Times New Roman"/>
                <w:b/>
                <w:bCs/>
                <w:color w:val="auto"/>
                <w:kern w:val="24"/>
                <w:sz w:val="24"/>
                <w:lang w:val="en-US" w:eastAsia="zh-CN"/>
              </w:rPr>
              <w:t>21</w:t>
            </w:r>
            <w:r>
              <w:rPr>
                <w:rFonts w:hint="default" w:ascii="Times New Roman" w:hAnsi="Times New Roman" w:eastAsia="宋体" w:cs="Times New Roman"/>
                <w:b/>
                <w:bCs/>
                <w:color w:val="auto"/>
                <w:kern w:val="24"/>
                <w:sz w:val="24"/>
              </w:rPr>
              <w:t xml:space="preserve">  粉料仓呼吸粉尘产生及排</w:t>
            </w:r>
            <w:r>
              <w:rPr>
                <w:rFonts w:hint="default" w:ascii="Times New Roman" w:hAnsi="Times New Roman" w:eastAsia="宋体" w:cs="Times New Roman"/>
                <w:b/>
                <w:bCs/>
                <w:kern w:val="24"/>
                <w:sz w:val="24"/>
              </w:rPr>
              <w:t>放量一览表</w:t>
            </w:r>
          </w:p>
          <w:tbl>
            <w:tblPr>
              <w:tblStyle w:val="34"/>
              <w:tblW w:w="898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97"/>
              <w:gridCol w:w="1295"/>
              <w:gridCol w:w="1117"/>
              <w:gridCol w:w="1492"/>
              <w:gridCol w:w="1195"/>
              <w:gridCol w:w="896"/>
              <w:gridCol w:w="12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843" w:type="dxa"/>
                  <w:tcBorders>
                    <w:tl2br w:val="nil"/>
                    <w:tr2bl w:val="nil"/>
                  </w:tcBorders>
                  <w:vAlign w:val="center"/>
                </w:tcPr>
                <w:p>
                  <w:pPr>
                    <w:adjustRightInd w:val="0"/>
                    <w:snapToGrid w:val="0"/>
                    <w:spacing w:line="360" w:lineRule="auto"/>
                    <w:jc w:val="center"/>
                    <w:rPr>
                      <w:szCs w:val="21"/>
                    </w:rPr>
                  </w:pPr>
                  <w:r>
                    <w:rPr>
                      <w:rFonts w:hint="eastAsia"/>
                      <w:szCs w:val="21"/>
                    </w:rPr>
                    <w:t>筒库</w:t>
                  </w:r>
                  <w:r>
                    <w:rPr>
                      <w:szCs w:val="21"/>
                    </w:rPr>
                    <w:t>数量</w:t>
                  </w:r>
                </w:p>
              </w:tc>
              <w:tc>
                <w:tcPr>
                  <w:tcW w:w="897" w:type="dxa"/>
                  <w:tcBorders>
                    <w:tl2br w:val="nil"/>
                    <w:tr2bl w:val="nil"/>
                  </w:tcBorders>
                  <w:vAlign w:val="center"/>
                </w:tcPr>
                <w:p>
                  <w:pPr>
                    <w:adjustRightInd w:val="0"/>
                    <w:snapToGrid w:val="0"/>
                    <w:spacing w:line="360" w:lineRule="auto"/>
                    <w:jc w:val="center"/>
                    <w:rPr>
                      <w:szCs w:val="21"/>
                    </w:rPr>
                  </w:pPr>
                  <w:r>
                    <w:rPr>
                      <w:szCs w:val="21"/>
                    </w:rPr>
                    <w:t>风量</w:t>
                  </w:r>
                </w:p>
                <w:p>
                  <w:pPr>
                    <w:adjustRightInd w:val="0"/>
                    <w:snapToGrid w:val="0"/>
                    <w:spacing w:line="360" w:lineRule="auto"/>
                    <w:jc w:val="center"/>
                    <w:rPr>
                      <w:szCs w:val="21"/>
                    </w:rPr>
                  </w:pPr>
                  <w:r>
                    <w:rPr>
                      <w:szCs w:val="21"/>
                    </w:rPr>
                    <w:t>m</w:t>
                  </w:r>
                  <w:r>
                    <w:rPr>
                      <w:szCs w:val="21"/>
                      <w:vertAlign w:val="superscript"/>
                    </w:rPr>
                    <w:t>3</w:t>
                  </w:r>
                  <w:r>
                    <w:rPr>
                      <w:szCs w:val="21"/>
                    </w:rPr>
                    <w:t>/h</w:t>
                  </w:r>
                </w:p>
              </w:tc>
              <w:tc>
                <w:tcPr>
                  <w:tcW w:w="1295" w:type="dxa"/>
                  <w:tcBorders>
                    <w:tl2br w:val="nil"/>
                    <w:tr2bl w:val="nil"/>
                  </w:tcBorders>
                  <w:vAlign w:val="center"/>
                </w:tcPr>
                <w:p>
                  <w:pPr>
                    <w:adjustRightInd w:val="0"/>
                    <w:snapToGrid w:val="0"/>
                    <w:spacing w:line="360" w:lineRule="auto"/>
                    <w:jc w:val="center"/>
                    <w:rPr>
                      <w:szCs w:val="21"/>
                    </w:rPr>
                  </w:pPr>
                  <w:r>
                    <w:rPr>
                      <w:szCs w:val="21"/>
                    </w:rPr>
                    <w:t>入口浓度</w:t>
                  </w:r>
                </w:p>
                <w:p>
                  <w:pPr>
                    <w:adjustRightInd w:val="0"/>
                    <w:snapToGrid w:val="0"/>
                    <w:spacing w:line="360" w:lineRule="auto"/>
                    <w:jc w:val="center"/>
                    <w:rPr>
                      <w:szCs w:val="21"/>
                    </w:rPr>
                  </w:pPr>
                  <w:r>
                    <w:rPr>
                      <w:szCs w:val="21"/>
                    </w:rPr>
                    <w:t>mg/m</w:t>
                  </w:r>
                  <w:r>
                    <w:rPr>
                      <w:szCs w:val="21"/>
                      <w:vertAlign w:val="superscript"/>
                    </w:rPr>
                    <w:t>3</w:t>
                  </w:r>
                </w:p>
              </w:tc>
              <w:tc>
                <w:tcPr>
                  <w:tcW w:w="1117" w:type="dxa"/>
                  <w:tcBorders>
                    <w:tl2br w:val="nil"/>
                    <w:tr2bl w:val="nil"/>
                  </w:tcBorders>
                  <w:vAlign w:val="center"/>
                </w:tcPr>
                <w:p>
                  <w:pPr>
                    <w:adjustRightInd w:val="0"/>
                    <w:snapToGrid w:val="0"/>
                    <w:spacing w:line="360" w:lineRule="auto"/>
                    <w:jc w:val="center"/>
                    <w:rPr>
                      <w:szCs w:val="21"/>
                    </w:rPr>
                  </w:pPr>
                  <w:r>
                    <w:rPr>
                      <w:rFonts w:hint="eastAsia"/>
                      <w:szCs w:val="21"/>
                    </w:rPr>
                    <w:t>产生量</w:t>
                  </w:r>
                </w:p>
                <w:p>
                  <w:pPr>
                    <w:adjustRightInd w:val="0"/>
                    <w:snapToGrid w:val="0"/>
                    <w:spacing w:line="360" w:lineRule="auto"/>
                    <w:jc w:val="center"/>
                    <w:rPr>
                      <w:szCs w:val="21"/>
                    </w:rPr>
                  </w:pPr>
                  <w:r>
                    <w:rPr>
                      <w:szCs w:val="21"/>
                    </w:rPr>
                    <w:t>t/a</w:t>
                  </w:r>
                </w:p>
              </w:tc>
              <w:tc>
                <w:tcPr>
                  <w:tcW w:w="1492" w:type="dxa"/>
                  <w:tcBorders>
                    <w:tl2br w:val="nil"/>
                    <w:tr2bl w:val="nil"/>
                  </w:tcBorders>
                  <w:vAlign w:val="center"/>
                </w:tcPr>
                <w:p>
                  <w:pPr>
                    <w:adjustRightInd w:val="0"/>
                    <w:snapToGrid w:val="0"/>
                    <w:spacing w:line="360" w:lineRule="auto"/>
                    <w:jc w:val="center"/>
                    <w:rPr>
                      <w:szCs w:val="21"/>
                    </w:rPr>
                  </w:pPr>
                  <w:r>
                    <w:rPr>
                      <w:szCs w:val="21"/>
                    </w:rPr>
                    <w:t>除尘设施</w:t>
                  </w:r>
                </w:p>
                <w:p>
                  <w:pPr>
                    <w:adjustRightInd w:val="0"/>
                    <w:snapToGrid w:val="0"/>
                    <w:spacing w:line="360" w:lineRule="auto"/>
                    <w:jc w:val="center"/>
                    <w:rPr>
                      <w:szCs w:val="21"/>
                    </w:rPr>
                  </w:pPr>
                  <w:r>
                    <w:rPr>
                      <w:rFonts w:hint="eastAsia"/>
                      <w:szCs w:val="21"/>
                    </w:rPr>
                    <w:t>及效率</w:t>
                  </w:r>
                </w:p>
              </w:tc>
              <w:tc>
                <w:tcPr>
                  <w:tcW w:w="1195" w:type="dxa"/>
                  <w:tcBorders>
                    <w:tl2br w:val="nil"/>
                    <w:tr2bl w:val="nil"/>
                  </w:tcBorders>
                  <w:vAlign w:val="center"/>
                </w:tcPr>
                <w:p>
                  <w:pPr>
                    <w:adjustRightInd w:val="0"/>
                    <w:snapToGrid w:val="0"/>
                    <w:spacing w:line="360" w:lineRule="auto"/>
                    <w:jc w:val="center"/>
                    <w:rPr>
                      <w:szCs w:val="21"/>
                    </w:rPr>
                  </w:pPr>
                  <w:r>
                    <w:rPr>
                      <w:szCs w:val="21"/>
                    </w:rPr>
                    <w:t>排放浓度</w:t>
                  </w:r>
                </w:p>
                <w:p>
                  <w:pPr>
                    <w:adjustRightInd w:val="0"/>
                    <w:snapToGrid w:val="0"/>
                    <w:spacing w:line="360" w:lineRule="auto"/>
                    <w:jc w:val="center"/>
                    <w:rPr>
                      <w:szCs w:val="21"/>
                    </w:rPr>
                  </w:pPr>
                  <w:r>
                    <w:rPr>
                      <w:szCs w:val="21"/>
                    </w:rPr>
                    <w:t>mg/m</w:t>
                  </w:r>
                  <w:r>
                    <w:rPr>
                      <w:szCs w:val="21"/>
                      <w:vertAlign w:val="superscript"/>
                    </w:rPr>
                    <w:t>3</w:t>
                  </w:r>
                </w:p>
              </w:tc>
              <w:tc>
                <w:tcPr>
                  <w:tcW w:w="896" w:type="dxa"/>
                  <w:tcBorders>
                    <w:tl2br w:val="nil"/>
                    <w:tr2bl w:val="nil"/>
                  </w:tcBorders>
                  <w:vAlign w:val="center"/>
                </w:tcPr>
                <w:p>
                  <w:pPr>
                    <w:adjustRightInd w:val="0"/>
                    <w:snapToGrid w:val="0"/>
                    <w:spacing w:line="360" w:lineRule="auto"/>
                    <w:jc w:val="center"/>
                    <w:rPr>
                      <w:szCs w:val="21"/>
                    </w:rPr>
                  </w:pPr>
                  <w:r>
                    <w:rPr>
                      <w:szCs w:val="21"/>
                    </w:rPr>
                    <w:t>排放量t/a</w:t>
                  </w:r>
                </w:p>
              </w:tc>
              <w:tc>
                <w:tcPr>
                  <w:tcW w:w="1249" w:type="dxa"/>
                  <w:tcBorders>
                    <w:tl2br w:val="nil"/>
                    <w:tr2bl w:val="nil"/>
                  </w:tcBorders>
                  <w:vAlign w:val="center"/>
                </w:tcPr>
                <w:p>
                  <w:pPr>
                    <w:adjustRightInd w:val="0"/>
                    <w:snapToGrid w:val="0"/>
                    <w:spacing w:line="360" w:lineRule="auto"/>
                    <w:jc w:val="center"/>
                    <w:rPr>
                      <w:szCs w:val="21"/>
                    </w:rPr>
                  </w:pPr>
                  <w:r>
                    <w:rPr>
                      <w:szCs w:val="21"/>
                    </w:rPr>
                    <w:t>排放</w:t>
                  </w:r>
                  <w:r>
                    <w:rPr>
                      <w:rFonts w:hint="eastAsia"/>
                      <w:szCs w:val="21"/>
                    </w:rPr>
                    <w:t>标准</w:t>
                  </w:r>
                </w:p>
                <w:p>
                  <w:pPr>
                    <w:adjustRightInd w:val="0"/>
                    <w:snapToGrid w:val="0"/>
                    <w:spacing w:line="360" w:lineRule="auto"/>
                    <w:jc w:val="center"/>
                    <w:rPr>
                      <w:szCs w:val="21"/>
                    </w:rPr>
                  </w:pPr>
                  <w:r>
                    <w:rPr>
                      <w:szCs w:val="21"/>
                    </w:rPr>
                    <w:t>mg/m</w:t>
                  </w:r>
                  <w:r>
                    <w:rPr>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843" w:type="dxa"/>
                  <w:tcBorders>
                    <w:tl2br w:val="nil"/>
                    <w:tr2bl w:val="nil"/>
                  </w:tcBorders>
                  <w:vAlign w:val="center"/>
                </w:tcPr>
                <w:p>
                  <w:pPr>
                    <w:adjustRightInd w:val="0"/>
                    <w:snapToGrid w:val="0"/>
                    <w:spacing w:line="360" w:lineRule="auto"/>
                    <w:jc w:val="center"/>
                    <w:rPr>
                      <w:szCs w:val="21"/>
                    </w:rPr>
                  </w:pPr>
                  <w:r>
                    <w:rPr>
                      <w:rFonts w:hint="eastAsia"/>
                      <w:szCs w:val="21"/>
                    </w:rPr>
                    <w:t>每只</w:t>
                  </w:r>
                </w:p>
              </w:tc>
              <w:tc>
                <w:tcPr>
                  <w:tcW w:w="897" w:type="dxa"/>
                  <w:tcBorders>
                    <w:tl2br w:val="nil"/>
                    <w:tr2bl w:val="nil"/>
                  </w:tcBorders>
                  <w:vAlign w:val="center"/>
                </w:tcPr>
                <w:p>
                  <w:pPr>
                    <w:adjustRightInd w:val="0"/>
                    <w:snapToGrid w:val="0"/>
                    <w:spacing w:line="360" w:lineRule="auto"/>
                    <w:jc w:val="center"/>
                    <w:rPr>
                      <w:szCs w:val="21"/>
                    </w:rPr>
                  </w:pPr>
                  <w:r>
                    <w:rPr>
                      <w:rFonts w:hint="eastAsia"/>
                      <w:szCs w:val="21"/>
                    </w:rPr>
                    <w:t>2000</w:t>
                  </w:r>
                </w:p>
              </w:tc>
              <w:tc>
                <w:tcPr>
                  <w:tcW w:w="1295"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val="en-US" w:eastAsia="zh-CN"/>
                    </w:rPr>
                    <w:t>800</w:t>
                  </w:r>
                </w:p>
              </w:tc>
              <w:tc>
                <w:tcPr>
                  <w:tcW w:w="1117" w:type="dxa"/>
                  <w:tcBorders>
                    <w:tl2br w:val="nil"/>
                    <w:tr2bl w:val="nil"/>
                  </w:tcBorders>
                  <w:vAlign w:val="center"/>
                </w:tcPr>
                <w:p>
                  <w:pPr>
                    <w:adjustRightInd w:val="0"/>
                    <w:snapToGrid w:val="0"/>
                    <w:spacing w:line="360" w:lineRule="auto"/>
                    <w:jc w:val="center"/>
                    <w:rPr>
                      <w:szCs w:val="21"/>
                    </w:rPr>
                  </w:pPr>
                  <w:r>
                    <w:rPr>
                      <w:rFonts w:hint="eastAsia"/>
                      <w:szCs w:val="21"/>
                      <w:lang w:val="en-US" w:eastAsia="zh-CN"/>
                    </w:rPr>
                    <w:t>11.52</w:t>
                  </w:r>
                  <w:r>
                    <w:rPr>
                      <w:szCs w:val="21"/>
                    </w:rPr>
                    <w:t>t/a</w:t>
                  </w:r>
                </w:p>
              </w:tc>
              <w:tc>
                <w:tcPr>
                  <w:tcW w:w="1492" w:type="dxa"/>
                  <w:tcBorders>
                    <w:tl2br w:val="nil"/>
                    <w:tr2bl w:val="nil"/>
                  </w:tcBorders>
                  <w:vAlign w:val="center"/>
                </w:tcPr>
                <w:p>
                  <w:pPr>
                    <w:adjustRightInd w:val="0"/>
                    <w:snapToGrid w:val="0"/>
                    <w:spacing w:line="360" w:lineRule="auto"/>
                    <w:jc w:val="center"/>
                    <w:rPr>
                      <w:szCs w:val="21"/>
                    </w:rPr>
                  </w:pPr>
                  <w:r>
                    <w:rPr>
                      <w:rFonts w:hint="eastAsia"/>
                      <w:szCs w:val="21"/>
                    </w:rPr>
                    <w:t>仓顶</w:t>
                  </w:r>
                  <w:r>
                    <w:rPr>
                      <w:szCs w:val="21"/>
                    </w:rPr>
                    <w:t>除尘</w:t>
                  </w:r>
                </w:p>
                <w:p>
                  <w:pPr>
                    <w:adjustRightInd w:val="0"/>
                    <w:snapToGrid w:val="0"/>
                    <w:spacing w:line="360" w:lineRule="auto"/>
                    <w:jc w:val="center"/>
                    <w:rPr>
                      <w:szCs w:val="21"/>
                    </w:rPr>
                  </w:pPr>
                  <w:r>
                    <w:rPr>
                      <w:szCs w:val="21"/>
                    </w:rPr>
                    <w:t>器</w:t>
                  </w:r>
                  <w:r>
                    <w:rPr>
                      <w:rFonts w:hint="eastAsia"/>
                      <w:szCs w:val="21"/>
                    </w:rPr>
                    <w:t>，99%</w:t>
                  </w:r>
                </w:p>
              </w:tc>
              <w:tc>
                <w:tcPr>
                  <w:tcW w:w="1195"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val="en-US" w:eastAsia="zh-CN"/>
                    </w:rPr>
                    <w:t>8</w:t>
                  </w:r>
                </w:p>
              </w:tc>
              <w:tc>
                <w:tcPr>
                  <w:tcW w:w="896" w:type="dxa"/>
                  <w:tcBorders>
                    <w:tl2br w:val="nil"/>
                    <w:tr2bl w:val="nil"/>
                  </w:tcBorders>
                  <w:vAlign w:val="center"/>
                </w:tcPr>
                <w:p>
                  <w:pPr>
                    <w:adjustRightInd w:val="0"/>
                    <w:snapToGrid w:val="0"/>
                    <w:spacing w:line="360" w:lineRule="auto"/>
                    <w:jc w:val="center"/>
                    <w:rPr>
                      <w:szCs w:val="21"/>
                    </w:rPr>
                  </w:pPr>
                  <w:r>
                    <w:rPr>
                      <w:rFonts w:hint="eastAsia"/>
                      <w:szCs w:val="21"/>
                    </w:rPr>
                    <w:t>0.</w:t>
                  </w:r>
                  <w:r>
                    <w:rPr>
                      <w:rFonts w:hint="eastAsia"/>
                      <w:szCs w:val="21"/>
                      <w:lang w:val="en-US" w:eastAsia="zh-CN"/>
                    </w:rPr>
                    <w:t>115</w:t>
                  </w:r>
                </w:p>
              </w:tc>
              <w:tc>
                <w:tcPr>
                  <w:tcW w:w="1249" w:type="dxa"/>
                  <w:tcBorders>
                    <w:tl2br w:val="nil"/>
                    <w:tr2bl w:val="nil"/>
                  </w:tcBorders>
                  <w:vAlign w:val="center"/>
                </w:tcPr>
                <w:p>
                  <w:pPr>
                    <w:adjustRightInd w:val="0"/>
                    <w:snapToGrid w:val="0"/>
                    <w:spacing w:line="360" w:lineRule="auto"/>
                    <w:jc w:val="center"/>
                    <w:rPr>
                      <w:szCs w:val="21"/>
                    </w:rPr>
                  </w:pPr>
                  <w:r>
                    <w:rPr>
                      <w:rFonts w:hint="eastAsia"/>
                      <w:szCs w:val="21"/>
                    </w:rPr>
                    <w:t>10</w:t>
                  </w:r>
                </w:p>
              </w:tc>
            </w:tr>
            <w:bookmarkEnd w:id="20"/>
          </w:tbl>
          <w:p>
            <w:pPr>
              <w:snapToGrid w:val="0"/>
              <w:spacing w:line="360" w:lineRule="auto"/>
              <w:ind w:firstLine="480" w:firstLineChars="200"/>
              <w:contextualSpacing/>
              <w:rPr>
                <w:rFonts w:hint="eastAsia"/>
                <w:bCs/>
                <w:sz w:val="24"/>
                <w:highlight w:val="none"/>
                <w:lang w:eastAsia="zh-CN"/>
              </w:rPr>
            </w:pPr>
            <w:r>
              <w:rPr>
                <w:rFonts w:hint="eastAsia"/>
                <w:bCs/>
                <w:sz w:val="24"/>
                <w:highlight w:val="none"/>
              </w:rPr>
              <w:t>根据上表，</w:t>
            </w:r>
            <w:r>
              <w:rPr>
                <w:rFonts w:hint="eastAsia"/>
                <w:bCs/>
                <w:sz w:val="24"/>
                <w:highlight w:val="none"/>
                <w:lang w:val="en-US" w:eastAsia="zh-CN"/>
              </w:rPr>
              <w:t>4</w:t>
            </w:r>
            <w:r>
              <w:rPr>
                <w:rFonts w:hint="eastAsia"/>
                <w:bCs/>
                <w:sz w:val="24"/>
                <w:highlight w:val="none"/>
              </w:rPr>
              <w:t>只粉料仓粉尘产生总量为</w:t>
            </w:r>
            <w:r>
              <w:rPr>
                <w:rFonts w:hint="eastAsia"/>
                <w:bCs/>
                <w:sz w:val="24"/>
                <w:highlight w:val="none"/>
                <w:lang w:val="en-US" w:eastAsia="zh-CN"/>
              </w:rPr>
              <w:t>11.52</w:t>
            </w:r>
            <w:r>
              <w:rPr>
                <w:bCs/>
                <w:sz w:val="24"/>
                <w:highlight w:val="none"/>
              </w:rPr>
              <w:t>t/a</w:t>
            </w:r>
            <w:r>
              <w:rPr>
                <w:rFonts w:hint="eastAsia"/>
                <w:bCs/>
                <w:sz w:val="24"/>
                <w:highlight w:val="none"/>
              </w:rPr>
              <w:t>，经处理后粉尘排放量为0.</w:t>
            </w:r>
            <w:r>
              <w:rPr>
                <w:rFonts w:hint="eastAsia"/>
                <w:bCs/>
                <w:sz w:val="24"/>
                <w:highlight w:val="none"/>
                <w:lang w:val="en-US" w:eastAsia="zh-CN"/>
              </w:rPr>
              <w:t>346</w:t>
            </w:r>
            <w:r>
              <w:rPr>
                <w:bCs/>
                <w:sz w:val="24"/>
                <w:highlight w:val="none"/>
              </w:rPr>
              <w:t>t/a</w:t>
            </w:r>
            <w:r>
              <w:rPr>
                <w:rFonts w:hint="eastAsia"/>
                <w:bCs/>
                <w:sz w:val="24"/>
                <w:highlight w:val="none"/>
              </w:rPr>
              <w:t>。呼吸口及除尘器均位于仓顶，</w:t>
            </w:r>
            <w:r>
              <w:rPr>
                <w:rFonts w:hint="eastAsia"/>
                <w:bCs/>
                <w:sz w:val="24"/>
                <w:highlight w:val="none"/>
                <w:lang w:eastAsia="zh-CN"/>
              </w:rPr>
              <w:t>排气口高于</w:t>
            </w:r>
            <w:r>
              <w:rPr>
                <w:rFonts w:hint="eastAsia"/>
                <w:bCs/>
                <w:sz w:val="24"/>
                <w:highlight w:val="none"/>
                <w:lang w:val="en-US" w:eastAsia="zh-CN"/>
              </w:rPr>
              <w:t>15m，</w:t>
            </w:r>
            <w:r>
              <w:rPr>
                <w:rFonts w:hint="eastAsia"/>
                <w:bCs/>
                <w:sz w:val="24"/>
                <w:highlight w:val="none"/>
              </w:rPr>
              <w:t>粉料仓呼吸粉尘</w:t>
            </w:r>
            <w:r>
              <w:rPr>
                <w:bCs/>
                <w:sz w:val="24"/>
                <w:highlight w:val="none"/>
              </w:rPr>
              <w:t>排放浓度为</w:t>
            </w:r>
            <w:r>
              <w:rPr>
                <w:rFonts w:hint="eastAsia"/>
                <w:bCs/>
                <w:sz w:val="24"/>
                <w:highlight w:val="none"/>
                <w:lang w:val="en-US" w:eastAsia="zh-CN"/>
              </w:rPr>
              <w:t>8</w:t>
            </w:r>
            <w:r>
              <w:rPr>
                <w:bCs/>
                <w:sz w:val="24"/>
                <w:highlight w:val="none"/>
              </w:rPr>
              <w:t>mg/m</w:t>
            </w:r>
            <w:r>
              <w:rPr>
                <w:bCs/>
                <w:sz w:val="24"/>
                <w:highlight w:val="none"/>
                <w:vertAlign w:val="superscript"/>
              </w:rPr>
              <w:t>3</w:t>
            </w:r>
            <w:r>
              <w:rPr>
                <w:bCs/>
                <w:sz w:val="24"/>
                <w:highlight w:val="none"/>
              </w:rPr>
              <w:t>，</w:t>
            </w:r>
            <w:r>
              <w:rPr>
                <w:rFonts w:hint="eastAsia"/>
                <w:bCs/>
                <w:sz w:val="24"/>
                <w:highlight w:val="none"/>
                <w:lang w:eastAsia="zh-CN"/>
              </w:rPr>
              <w:t>满足</w:t>
            </w:r>
            <w:r>
              <w:rPr>
                <w:rFonts w:hint="eastAsia"/>
                <w:bCs/>
                <w:sz w:val="24"/>
                <w:highlight w:val="none"/>
              </w:rPr>
              <w:t>《关中地区重点行业大气污染物排放限值》（DB61/941-2014）中排气筒高度不低于15m及10mg/m</w:t>
            </w:r>
            <w:r>
              <w:rPr>
                <w:rFonts w:hint="eastAsia"/>
                <w:bCs/>
                <w:sz w:val="24"/>
                <w:highlight w:val="none"/>
                <w:vertAlign w:val="superscript"/>
              </w:rPr>
              <w:t>3</w:t>
            </w:r>
            <w:r>
              <w:rPr>
                <w:rFonts w:hint="eastAsia"/>
                <w:bCs/>
                <w:sz w:val="24"/>
                <w:highlight w:val="none"/>
              </w:rPr>
              <w:t>的排放浓度限值要求</w:t>
            </w:r>
            <w:r>
              <w:rPr>
                <w:rFonts w:hint="eastAsia"/>
                <w:bCs/>
                <w:sz w:val="24"/>
                <w:highlight w:val="none"/>
                <w:lang w:eastAsia="zh-CN"/>
              </w:rPr>
              <w:t>，对周边环境影响较小。</w:t>
            </w:r>
          </w:p>
          <w:p>
            <w:pPr>
              <w:snapToGrid w:val="0"/>
              <w:spacing w:line="360" w:lineRule="auto"/>
              <w:ind w:firstLine="482" w:firstLineChars="200"/>
              <w:contextualSpacing/>
              <w:rPr>
                <w:rFonts w:hint="eastAsia" w:ascii="Times New Roman" w:hAnsi="Times New Roman" w:cs="Times New Roman"/>
                <w:b/>
                <w:bCs/>
                <w:sz w:val="24"/>
                <w:szCs w:val="24"/>
                <w:lang w:eastAsia="zh-CN"/>
              </w:rPr>
            </w:pPr>
            <w:r>
              <w:rPr>
                <w:rFonts w:hint="eastAsia" w:cs="Times New Roman"/>
                <w:b/>
                <w:bCs/>
                <w:sz w:val="24"/>
                <w:szCs w:val="24"/>
                <w:lang w:eastAsia="zh-CN"/>
              </w:rPr>
              <w:t>食堂</w:t>
            </w:r>
            <w:r>
              <w:rPr>
                <w:rFonts w:hint="eastAsia" w:ascii="Times New Roman" w:hAnsi="Times New Roman" w:cs="Times New Roman"/>
                <w:b/>
                <w:bCs/>
                <w:sz w:val="24"/>
                <w:szCs w:val="24"/>
                <w:lang w:eastAsia="zh-CN"/>
              </w:rPr>
              <w:t>废气</w:t>
            </w:r>
          </w:p>
          <w:p>
            <w:pPr>
              <w:spacing w:line="360" w:lineRule="auto"/>
              <w:ind w:firstLine="480" w:firstLineChars="200"/>
              <w:rPr>
                <w:rFonts w:hint="eastAsia"/>
                <w:sz w:val="24"/>
              </w:rPr>
            </w:pPr>
            <w:r>
              <w:rPr>
                <w:rFonts w:hint="eastAsia"/>
                <w:strike w:val="0"/>
                <w:dstrike w:val="0"/>
                <w:color w:val="auto"/>
                <w:sz w:val="24"/>
                <w:highlight w:val="none"/>
                <w:shd w:val="clear" w:color="auto" w:fill="auto"/>
              </w:rPr>
              <w:t>食物在烹饪</w:t>
            </w:r>
            <w:r>
              <w:rPr>
                <w:rFonts w:hint="eastAsia"/>
                <w:color w:val="auto"/>
                <w:sz w:val="24"/>
                <w:shd w:val="clear" w:color="auto" w:fill="auto"/>
              </w:rPr>
              <w:t>、</w:t>
            </w:r>
            <w:r>
              <w:rPr>
                <w:rFonts w:hint="eastAsia"/>
                <w:sz w:val="24"/>
              </w:rPr>
              <w:t>加工过程中将会发出油脂、有机质及热分解或裂解产物，从而产生油烟废气。项目食堂内设</w:t>
            </w:r>
            <w:r>
              <w:rPr>
                <w:rFonts w:hint="eastAsia"/>
                <w:sz w:val="24"/>
                <w:lang w:val="en-US" w:eastAsia="zh-CN"/>
              </w:rPr>
              <w:t>5</w:t>
            </w:r>
            <w:r>
              <w:rPr>
                <w:rFonts w:hint="eastAsia"/>
                <w:sz w:val="24"/>
              </w:rPr>
              <w:t>个灶头，规模属于</w:t>
            </w:r>
            <w:r>
              <w:rPr>
                <w:rFonts w:hint="eastAsia"/>
                <w:sz w:val="24"/>
                <w:lang w:eastAsia="zh-CN"/>
              </w:rPr>
              <w:t>中</w:t>
            </w:r>
            <w:r>
              <w:rPr>
                <w:rFonts w:hint="eastAsia"/>
                <w:sz w:val="24"/>
              </w:rPr>
              <w:t>型食堂，厨房油烟产生量约为0.0</w:t>
            </w:r>
            <w:r>
              <w:rPr>
                <w:rFonts w:hint="eastAsia"/>
                <w:sz w:val="24"/>
                <w:lang w:val="en-US" w:eastAsia="zh-CN"/>
              </w:rPr>
              <w:t>3</w:t>
            </w:r>
            <w:r>
              <w:rPr>
                <w:rFonts w:hint="eastAsia"/>
                <w:sz w:val="24"/>
              </w:rPr>
              <w:t>t/a。产生浓度为1.</w:t>
            </w:r>
            <w:r>
              <w:rPr>
                <w:rFonts w:hint="eastAsia"/>
                <w:sz w:val="24"/>
                <w:lang w:val="en-US" w:eastAsia="zh-CN"/>
              </w:rPr>
              <w:t>7</w:t>
            </w:r>
            <w:r>
              <w:rPr>
                <w:rFonts w:hint="eastAsia"/>
                <w:sz w:val="24"/>
              </w:rPr>
              <w:t>mg/m</w:t>
            </w:r>
            <w:r>
              <w:rPr>
                <w:rFonts w:hint="eastAsia"/>
                <w:sz w:val="24"/>
                <w:vertAlign w:val="superscript"/>
              </w:rPr>
              <w:t>3</w:t>
            </w:r>
            <w:r>
              <w:rPr>
                <w:rFonts w:hint="eastAsia"/>
                <w:sz w:val="24"/>
              </w:rPr>
              <w:t>。食堂拟安装去除效率不低于</w:t>
            </w:r>
            <w:r>
              <w:rPr>
                <w:rFonts w:hint="eastAsia"/>
                <w:sz w:val="24"/>
                <w:lang w:val="en-US" w:eastAsia="zh-CN"/>
              </w:rPr>
              <w:t>75</w:t>
            </w:r>
            <w:r>
              <w:rPr>
                <w:rFonts w:hint="eastAsia"/>
                <w:sz w:val="24"/>
              </w:rPr>
              <w:t>%的油烟净化装置，以处理效率为</w:t>
            </w:r>
            <w:r>
              <w:rPr>
                <w:rFonts w:hint="eastAsia"/>
                <w:sz w:val="24"/>
                <w:lang w:val="en-US" w:eastAsia="zh-CN"/>
              </w:rPr>
              <w:t>75</w:t>
            </w:r>
            <w:r>
              <w:rPr>
                <w:rFonts w:hint="eastAsia"/>
                <w:sz w:val="24"/>
              </w:rPr>
              <w:t>%计算，则油烟排放浓度为0.</w:t>
            </w:r>
            <w:r>
              <w:rPr>
                <w:rFonts w:hint="eastAsia"/>
                <w:sz w:val="24"/>
                <w:lang w:val="en-US" w:eastAsia="zh-CN"/>
              </w:rPr>
              <w:t>425</w:t>
            </w:r>
            <w:r>
              <w:rPr>
                <w:rFonts w:hint="eastAsia"/>
                <w:sz w:val="24"/>
              </w:rPr>
              <w:t>mg/m</w:t>
            </w:r>
            <w:r>
              <w:rPr>
                <w:rFonts w:hint="eastAsia"/>
                <w:sz w:val="24"/>
                <w:vertAlign w:val="superscript"/>
              </w:rPr>
              <w:t>3</w:t>
            </w:r>
            <w:r>
              <w:rPr>
                <w:rFonts w:hint="eastAsia"/>
                <w:sz w:val="24"/>
              </w:rPr>
              <w:t>，排放量为0.0</w:t>
            </w:r>
            <w:r>
              <w:rPr>
                <w:rFonts w:hint="eastAsia"/>
                <w:sz w:val="24"/>
                <w:lang w:val="en-US" w:eastAsia="zh-CN"/>
              </w:rPr>
              <w:t>06</w:t>
            </w:r>
            <w:r>
              <w:rPr>
                <w:rFonts w:hint="eastAsia"/>
                <w:sz w:val="24"/>
              </w:rPr>
              <w:t>t/a。油烟经净化设施处理达标后，排气筒引至楼顶排放。</w:t>
            </w:r>
          </w:p>
          <w:p>
            <w:pPr>
              <w:pStyle w:val="21"/>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项目油烟排放满足</w:t>
            </w:r>
            <w:r>
              <w:rPr>
                <w:rFonts w:hint="default" w:ascii="Times New Roman" w:hAnsi="Times New Roman" w:eastAsia="宋体" w:cs="Times New Roman"/>
                <w:sz w:val="24"/>
                <w:szCs w:val="24"/>
              </w:rPr>
              <w:t>《饮食业油烟排放标准》（GB18483-2001）</w:t>
            </w:r>
            <w:r>
              <w:rPr>
                <w:rFonts w:hint="default" w:ascii="Times New Roman" w:hAnsi="Times New Roman" w:eastAsia="宋体" w:cs="Times New Roman"/>
                <w:sz w:val="24"/>
                <w:szCs w:val="24"/>
                <w:lang w:eastAsia="zh-CN"/>
              </w:rPr>
              <w:t>中中型食堂标准要求，对周边环境影响较小。</w:t>
            </w:r>
          </w:p>
          <w:p>
            <w:pPr>
              <w:spacing w:line="360" w:lineRule="auto"/>
              <w:ind w:firstLine="482" w:firstLineChars="200"/>
              <w:rPr>
                <w:b/>
                <w:bCs/>
                <w:sz w:val="24"/>
              </w:rPr>
            </w:pPr>
            <w:r>
              <w:rPr>
                <w:rFonts w:hint="eastAsia"/>
                <w:b/>
                <w:bCs/>
                <w:sz w:val="24"/>
              </w:rPr>
              <w:t>粉尘无组织排放源分析</w:t>
            </w:r>
          </w:p>
          <w:p>
            <w:pPr>
              <w:spacing w:line="360" w:lineRule="auto"/>
              <w:ind w:firstLine="480" w:firstLineChars="200"/>
              <w:rPr>
                <w:rFonts w:hint="eastAsia" w:cs="宋体"/>
                <w:sz w:val="24"/>
              </w:rPr>
            </w:pPr>
            <w:r>
              <w:rPr>
                <w:rFonts w:hint="eastAsia"/>
                <w:sz w:val="24"/>
              </w:rPr>
              <w:t>项目无组织源主要为</w:t>
            </w:r>
            <w:r>
              <w:rPr>
                <w:rFonts w:hint="eastAsia"/>
                <w:sz w:val="24"/>
                <w:lang w:eastAsia="zh-CN"/>
              </w:rPr>
              <w:t>原料</w:t>
            </w:r>
            <w:r>
              <w:rPr>
                <w:rFonts w:hint="eastAsia"/>
                <w:sz w:val="24"/>
              </w:rPr>
              <w:t>输送、装卸、车运输过程会产生一定量的扬尘及少量未收集的粉尘。环评要求对厂区内地面进行定时</w:t>
            </w:r>
            <w:r>
              <w:rPr>
                <w:rFonts w:hint="eastAsia"/>
                <w:sz w:val="24"/>
                <w:lang w:eastAsia="zh-CN"/>
              </w:rPr>
              <w:t>清扫洒水</w:t>
            </w:r>
            <w:r>
              <w:rPr>
                <w:rFonts w:hint="eastAsia"/>
                <w:sz w:val="24"/>
              </w:rPr>
              <w:t>，减少道路扬尘。</w:t>
            </w:r>
            <w:bookmarkEnd w:id="18"/>
            <w:bookmarkEnd w:id="19"/>
            <w:r>
              <w:rPr>
                <w:rFonts w:hint="eastAsia" w:cs="宋体"/>
                <w:sz w:val="24"/>
              </w:rPr>
              <w:t>原料提升、入库、出料口及输送过程会产生一定量的无组织粉尘。生产过程中应保持输送设备密闭良好，杜绝跑冒滴漏</w:t>
            </w:r>
            <w:r>
              <w:rPr>
                <w:rFonts w:hint="eastAsia" w:cs="宋体"/>
                <w:sz w:val="24"/>
                <w:lang w:eastAsia="zh-CN"/>
              </w:rPr>
              <w:t>，且本项目原料及成品均位于密闭厂房内，并设置洒水降尘措施且地面进行硬化防渗处理</w:t>
            </w:r>
            <w:r>
              <w:rPr>
                <w:rFonts w:hint="eastAsia" w:cs="宋体"/>
                <w:sz w:val="24"/>
              </w:rPr>
              <w:t>；物料输送道路做到</w:t>
            </w:r>
            <w:r>
              <w:rPr>
                <w:rFonts w:hint="eastAsia" w:cs="宋体"/>
                <w:sz w:val="24"/>
                <w:lang w:eastAsia="zh-CN"/>
              </w:rPr>
              <w:t>道路全面硬化处理，</w:t>
            </w:r>
            <w:r>
              <w:rPr>
                <w:rFonts w:hint="eastAsia" w:cs="宋体"/>
                <w:sz w:val="24"/>
              </w:rPr>
              <w:t>定期洒水降尘</w:t>
            </w:r>
            <w:r>
              <w:rPr>
                <w:rFonts w:hint="eastAsia" w:cs="宋体"/>
                <w:sz w:val="24"/>
                <w:lang w:eastAsia="zh-CN"/>
              </w:rPr>
              <w:t>，保持路面湿润</w:t>
            </w:r>
            <w:r>
              <w:rPr>
                <w:rFonts w:hint="eastAsia" w:cs="宋体"/>
                <w:sz w:val="24"/>
              </w:rPr>
              <w:t>。</w:t>
            </w:r>
          </w:p>
          <w:p>
            <w:pPr>
              <w:pStyle w:val="2"/>
              <w:spacing w:line="360" w:lineRule="auto"/>
              <w:ind w:firstLine="480"/>
              <w:rPr>
                <w:rFonts w:hint="eastAsia" w:eastAsia="宋体" w:cs="宋体"/>
                <w:spacing w:val="0"/>
                <w:kern w:val="2"/>
                <w:sz w:val="24"/>
                <w:lang w:val="en-US" w:eastAsia="zh-CN" w:bidi="ar-SA"/>
              </w:rPr>
            </w:pPr>
            <w:r>
              <w:rPr>
                <w:rFonts w:hint="eastAsia" w:eastAsia="宋体" w:cs="宋体"/>
                <w:spacing w:val="0"/>
                <w:kern w:val="2"/>
                <w:sz w:val="24"/>
                <w:lang w:val="en-US" w:eastAsia="zh-CN" w:bidi="ar-SA"/>
              </w:rPr>
              <w:t>使用Screen3Model进行无组织估算，估算结果见下表。</w:t>
            </w:r>
          </w:p>
          <w:p>
            <w:pPr>
              <w:autoSpaceDE w:val="0"/>
              <w:autoSpaceDN w:val="0"/>
              <w:adjustRightInd w:val="0"/>
              <w:snapToGrid w:val="0"/>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color w:val="auto"/>
                <w:kern w:val="24"/>
                <w:sz w:val="24"/>
              </w:rPr>
              <w:tab/>
            </w:r>
            <w:r>
              <w:rPr>
                <w:rFonts w:hint="default" w:ascii="Times New Roman" w:hAnsi="Times New Roman" w:eastAsia="宋体" w:cs="Times New Roman"/>
                <w:b/>
                <w:bCs/>
                <w:color w:val="auto"/>
                <w:kern w:val="24"/>
                <w:sz w:val="24"/>
              </w:rPr>
              <w:t>表</w:t>
            </w:r>
            <w:r>
              <w:rPr>
                <w:rFonts w:hint="eastAsia" w:cs="Times New Roman"/>
                <w:b/>
                <w:bCs/>
                <w:color w:val="auto"/>
                <w:kern w:val="24"/>
                <w:sz w:val="24"/>
                <w:lang w:val="en-US" w:eastAsia="zh-CN"/>
              </w:rPr>
              <w:t>22</w:t>
            </w:r>
            <w:r>
              <w:rPr>
                <w:rFonts w:hint="default" w:ascii="Times New Roman" w:hAnsi="Times New Roman" w:eastAsia="宋体" w:cs="Times New Roman"/>
                <w:b/>
                <w:bCs/>
                <w:color w:val="auto"/>
                <w:kern w:val="24"/>
                <w:sz w:val="24"/>
              </w:rPr>
              <w:t xml:space="preserve">  </w:t>
            </w:r>
            <w:r>
              <w:rPr>
                <w:rFonts w:hint="eastAsia" w:cs="Times New Roman"/>
                <w:b/>
                <w:bCs/>
                <w:color w:val="auto"/>
                <w:kern w:val="24"/>
                <w:sz w:val="24"/>
                <w:lang w:eastAsia="zh-CN"/>
              </w:rPr>
              <w:t>无组织排放估算结果</w:t>
            </w:r>
            <w:r>
              <w:rPr>
                <w:rFonts w:hint="default" w:ascii="Times New Roman" w:hAnsi="Times New Roman" w:eastAsia="宋体" w:cs="Times New Roman"/>
                <w:b/>
                <w:bCs/>
                <w:kern w:val="24"/>
                <w:sz w:val="24"/>
              </w:rPr>
              <w:t>一览表</w:t>
            </w:r>
          </w:p>
          <w:tbl>
            <w:tblPr>
              <w:tblStyle w:val="34"/>
              <w:tblW w:w="898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941"/>
              <w:gridCol w:w="2802"/>
              <w:gridCol w:w="24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824"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eastAsia="zh-CN"/>
                    </w:rPr>
                    <w:t>因子</w:t>
                  </w:r>
                </w:p>
              </w:tc>
              <w:tc>
                <w:tcPr>
                  <w:tcW w:w="1941"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eastAsia="zh-CN"/>
                    </w:rPr>
                    <w:t>最大落地浓度（</w:t>
                  </w:r>
                  <w:r>
                    <w:rPr>
                      <w:rFonts w:hint="eastAsia"/>
                      <w:szCs w:val="21"/>
                      <w:lang w:val="en-US" w:eastAsia="zh-CN"/>
                    </w:rPr>
                    <w:t>mg/m</w:t>
                  </w:r>
                  <w:r>
                    <w:rPr>
                      <w:rFonts w:hint="eastAsia"/>
                      <w:szCs w:val="21"/>
                      <w:vertAlign w:val="superscript"/>
                      <w:lang w:val="en-US" w:eastAsia="zh-CN"/>
                    </w:rPr>
                    <w:t>3</w:t>
                  </w:r>
                  <w:r>
                    <w:rPr>
                      <w:rFonts w:hint="eastAsia"/>
                      <w:szCs w:val="21"/>
                      <w:lang w:eastAsia="zh-CN"/>
                    </w:rPr>
                    <w:t>）</w:t>
                  </w:r>
                </w:p>
              </w:tc>
              <w:tc>
                <w:tcPr>
                  <w:tcW w:w="2802"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eastAsia="zh-CN"/>
                    </w:rPr>
                    <w:t>占标率</w:t>
                  </w:r>
                  <w:r>
                    <w:rPr>
                      <w:rFonts w:hint="eastAsia"/>
                      <w:szCs w:val="21"/>
                      <w:lang w:val="en-US" w:eastAsia="zh-CN"/>
                    </w:rPr>
                    <w:t>%</w:t>
                  </w:r>
                </w:p>
              </w:tc>
              <w:tc>
                <w:tcPr>
                  <w:tcW w:w="2417"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eastAsia="zh-CN"/>
                    </w:rPr>
                    <w:t>距离（</w:t>
                  </w:r>
                  <w:r>
                    <w:rPr>
                      <w:rFonts w:hint="eastAsia"/>
                      <w:szCs w:val="21"/>
                      <w:lang w:val="en-US" w:eastAsia="zh-CN"/>
                    </w:rPr>
                    <w:t>m</w:t>
                  </w:r>
                  <w:r>
                    <w:rPr>
                      <w:rFonts w:hint="eastAsia"/>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824"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val="en-US" w:eastAsia="zh-CN"/>
                    </w:rPr>
                    <w:t>TSP</w:t>
                  </w:r>
                </w:p>
              </w:tc>
              <w:tc>
                <w:tcPr>
                  <w:tcW w:w="1941"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val="en-US" w:eastAsia="zh-CN"/>
                    </w:rPr>
                    <w:t>0.03941</w:t>
                  </w:r>
                </w:p>
              </w:tc>
              <w:tc>
                <w:tcPr>
                  <w:tcW w:w="2802"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val="en-US" w:eastAsia="zh-CN"/>
                    </w:rPr>
                    <w:t>4.38</w:t>
                  </w:r>
                </w:p>
              </w:tc>
              <w:tc>
                <w:tcPr>
                  <w:tcW w:w="2417" w:type="dxa"/>
                  <w:tcBorders>
                    <w:tl2br w:val="nil"/>
                    <w:tr2bl w:val="nil"/>
                  </w:tcBorders>
                  <w:vAlign w:val="center"/>
                </w:tcPr>
                <w:p>
                  <w:pPr>
                    <w:adjustRightInd w:val="0"/>
                    <w:snapToGrid w:val="0"/>
                    <w:spacing w:line="360" w:lineRule="auto"/>
                    <w:jc w:val="center"/>
                    <w:rPr>
                      <w:szCs w:val="21"/>
                    </w:rPr>
                  </w:pPr>
                  <w:r>
                    <w:rPr>
                      <w:rFonts w:hint="eastAsia"/>
                      <w:szCs w:val="21"/>
                      <w:lang w:val="en-US" w:eastAsia="zh-CN"/>
                    </w:rPr>
                    <w:t>539</w:t>
                  </w:r>
                </w:p>
              </w:tc>
            </w:tr>
          </w:tbl>
          <w:p>
            <w:pPr>
              <w:autoSpaceDN w:val="0"/>
              <w:spacing w:line="360" w:lineRule="auto"/>
              <w:ind w:firstLine="470" w:firstLineChars="196"/>
              <w:rPr>
                <w:sz w:val="24"/>
              </w:rPr>
            </w:pPr>
            <w:r>
              <w:rPr>
                <w:rFonts w:hint="eastAsia"/>
                <w:sz w:val="24"/>
              </w:rPr>
              <w:t>防治措施</w:t>
            </w:r>
          </w:p>
          <w:p>
            <w:pPr>
              <w:autoSpaceDN w:val="0"/>
              <w:spacing w:line="360" w:lineRule="auto"/>
              <w:ind w:firstLine="480" w:firstLineChars="200"/>
              <w:rPr>
                <w:sz w:val="24"/>
              </w:rPr>
            </w:pPr>
            <w:r>
              <w:rPr>
                <w:rFonts w:hint="eastAsia" w:ascii="宋体" w:cs="宋体"/>
                <w:sz w:val="24"/>
              </w:rPr>
              <w:t>①</w:t>
            </w:r>
            <w:r>
              <w:rPr>
                <w:sz w:val="24"/>
              </w:rPr>
              <w:t>对</w:t>
            </w:r>
            <w:r>
              <w:rPr>
                <w:rFonts w:hint="eastAsia"/>
                <w:sz w:val="24"/>
              </w:rPr>
              <w:t>厂区定期</w:t>
            </w:r>
            <w:r>
              <w:rPr>
                <w:sz w:val="24"/>
              </w:rPr>
              <w:t>进行洒水降尘，尤其在大风天气，加多洒水次数，以最大限度地减少扬尘污染；</w:t>
            </w:r>
          </w:p>
          <w:p>
            <w:pPr>
              <w:autoSpaceDN w:val="0"/>
              <w:spacing w:line="360" w:lineRule="auto"/>
              <w:ind w:firstLine="480" w:firstLineChars="200"/>
              <w:rPr>
                <w:rFonts w:hint="eastAsia" w:ascii="宋体" w:cs="宋体"/>
                <w:sz w:val="24"/>
              </w:rPr>
            </w:pPr>
            <w:r>
              <w:rPr>
                <w:rFonts w:hint="eastAsia" w:ascii="宋体" w:cs="宋体"/>
                <w:sz w:val="24"/>
              </w:rPr>
              <w:t>②</w:t>
            </w:r>
            <w:r>
              <w:rPr>
                <w:rFonts w:hint="eastAsia" w:ascii="宋体" w:cs="宋体"/>
                <w:sz w:val="24"/>
                <w:lang w:eastAsia="zh-CN"/>
              </w:rPr>
              <w:t>储罐</w:t>
            </w:r>
            <w:r>
              <w:rPr>
                <w:rFonts w:hint="eastAsia"/>
                <w:sz w:val="24"/>
                <w:lang w:eastAsia="zh-CN"/>
              </w:rPr>
              <w:t>顶</w:t>
            </w:r>
            <w:r>
              <w:rPr>
                <w:sz w:val="24"/>
              </w:rPr>
              <w:t>安装的布袋除尘器应与其对应的生产工艺设备同步运转；</w:t>
            </w:r>
          </w:p>
          <w:p>
            <w:pPr>
              <w:autoSpaceDN w:val="0"/>
              <w:spacing w:line="360" w:lineRule="auto"/>
              <w:ind w:firstLine="480" w:firstLineChars="200"/>
              <w:rPr>
                <w:rFonts w:hint="eastAsia" w:ascii="宋体" w:cs="宋体"/>
                <w:sz w:val="24"/>
              </w:rPr>
            </w:pPr>
            <w:r>
              <w:rPr>
                <w:rFonts w:hint="eastAsia" w:ascii="宋体" w:cs="宋体"/>
                <w:sz w:val="24"/>
              </w:rPr>
              <w:t>③</w:t>
            </w:r>
            <w:r>
              <w:rPr>
                <w:sz w:val="24"/>
              </w:rPr>
              <w:t>加强对布袋除尘器的管理，确保除尘效率；</w:t>
            </w:r>
          </w:p>
          <w:p>
            <w:pPr>
              <w:autoSpaceDN w:val="0"/>
              <w:spacing w:line="360" w:lineRule="auto"/>
              <w:ind w:firstLine="480" w:firstLineChars="200"/>
              <w:rPr>
                <w:sz w:val="24"/>
              </w:rPr>
            </w:pPr>
            <w:r>
              <w:rPr>
                <w:rFonts w:hint="eastAsia" w:ascii="宋体" w:cs="宋体"/>
                <w:sz w:val="24"/>
              </w:rPr>
              <w:t>④</w:t>
            </w:r>
            <w:r>
              <w:rPr>
                <w:sz w:val="24"/>
              </w:rPr>
              <w:t>厂区道路应</w:t>
            </w:r>
            <w:r>
              <w:rPr>
                <w:rFonts w:hint="eastAsia"/>
                <w:sz w:val="24"/>
                <w:lang w:eastAsia="zh-CN"/>
              </w:rPr>
              <w:t>全部硬化并保持</w:t>
            </w:r>
            <w:r>
              <w:rPr>
                <w:sz w:val="24"/>
              </w:rPr>
              <w:t>完好无损、清洁，车辆行驶时应无扬尘；</w:t>
            </w:r>
          </w:p>
          <w:p>
            <w:pPr>
              <w:autoSpaceDN w:val="0"/>
              <w:spacing w:line="360" w:lineRule="auto"/>
              <w:ind w:firstLine="480" w:firstLineChars="200"/>
              <w:rPr>
                <w:color w:val="000000"/>
                <w:sz w:val="24"/>
              </w:rPr>
            </w:pPr>
            <w:r>
              <w:rPr>
                <w:rFonts w:hint="eastAsia" w:ascii="宋体" w:cs="宋体"/>
                <w:sz w:val="24"/>
              </w:rPr>
              <w:t>⑤</w:t>
            </w:r>
            <w:r>
              <w:rPr>
                <w:color w:val="000000"/>
                <w:sz w:val="24"/>
              </w:rPr>
              <w:t>建设单位须明确厂内扬尘管理责任人，定期进行洒水、清扫，确保无扬尘无杂物，做到厂内清洁整齐，厂容文明；</w:t>
            </w:r>
          </w:p>
          <w:p>
            <w:pPr>
              <w:autoSpaceDN w:val="0"/>
              <w:spacing w:line="360" w:lineRule="auto"/>
              <w:ind w:firstLine="480" w:firstLineChars="200"/>
              <w:rPr>
                <w:color w:val="000000"/>
                <w:sz w:val="24"/>
              </w:rPr>
            </w:pPr>
            <w:r>
              <w:rPr>
                <w:rFonts w:hint="eastAsia" w:ascii="宋体" w:cs="宋体"/>
                <w:color w:val="000000"/>
                <w:sz w:val="24"/>
              </w:rPr>
              <w:t>⑥</w:t>
            </w:r>
            <w:r>
              <w:rPr>
                <w:color w:val="000000"/>
                <w:sz w:val="24"/>
              </w:rPr>
              <w:t>加强厂区绿化，充分发挥绿化带隔</w:t>
            </w:r>
            <w:r>
              <w:rPr>
                <w:rFonts w:hint="eastAsia"/>
                <w:color w:val="000000"/>
                <w:sz w:val="24"/>
              </w:rPr>
              <w:t>声</w:t>
            </w:r>
            <w:r>
              <w:rPr>
                <w:color w:val="000000"/>
                <w:sz w:val="24"/>
              </w:rPr>
              <w:t>、除尘的作用，减少粉尘（尤其无组织排放）对厂外的影响</w:t>
            </w:r>
            <w:r>
              <w:rPr>
                <w:rFonts w:hint="eastAsia"/>
                <w:color w:val="000000"/>
                <w:sz w:val="24"/>
                <w:lang w:eastAsia="zh-CN"/>
              </w:rPr>
              <w:t>；</w:t>
            </w:r>
          </w:p>
          <w:p>
            <w:pPr>
              <w:autoSpaceDN w:val="0"/>
              <w:spacing w:line="360" w:lineRule="auto"/>
              <w:ind w:firstLine="480" w:firstLineChars="200"/>
              <w:rPr>
                <w:color w:val="auto"/>
                <w:sz w:val="24"/>
              </w:rPr>
            </w:pPr>
            <w:r>
              <w:rPr>
                <w:rFonts w:hint="eastAsia" w:ascii="宋体" w:cs="宋体"/>
                <w:color w:val="000000"/>
                <w:sz w:val="24"/>
              </w:rPr>
              <w:t>⑦</w:t>
            </w:r>
            <w:r>
              <w:rPr>
                <w:rFonts w:hint="eastAsia" w:hAnsi="宋体"/>
                <w:sz w:val="24"/>
              </w:rPr>
              <w:t>各种专用运输车辆在驶离生产厂区前应进行冲洗，确保车容整洁、车体外观无粘结</w:t>
            </w:r>
            <w:r>
              <w:rPr>
                <w:rFonts w:hint="eastAsia" w:hAnsi="宋体"/>
                <w:color w:val="auto"/>
                <w:sz w:val="24"/>
              </w:rPr>
              <w:t>物，车轮未带泥沙，覆盖严密</w:t>
            </w:r>
            <w:r>
              <w:rPr>
                <w:rFonts w:hint="eastAsia" w:hAnsi="宋体"/>
                <w:color w:val="auto"/>
                <w:sz w:val="24"/>
                <w:lang w:eastAsia="zh-CN"/>
              </w:rPr>
              <w:t>，运输过程</w:t>
            </w:r>
            <w:r>
              <w:rPr>
                <w:rFonts w:hint="eastAsia" w:hAnsi="宋体"/>
                <w:color w:val="auto"/>
                <w:sz w:val="24"/>
              </w:rPr>
              <w:t>无抛洒</w:t>
            </w:r>
            <w:r>
              <w:rPr>
                <w:rFonts w:hint="eastAsia" w:hAnsi="宋体"/>
                <w:color w:val="auto"/>
                <w:sz w:val="24"/>
                <w:lang w:eastAsia="zh-CN"/>
              </w:rPr>
              <w:t>。严格按照车辆载重能力装载货物，做到不超载、不超高、不超宽、不超速。本项目出厂运输路线主要为烈店路，要求运输车辆在经过沿路敏感点时减速通过，</w:t>
            </w:r>
            <w:r>
              <w:rPr>
                <w:rFonts w:hint="eastAsia" w:hAnsi="宋体"/>
                <w:color w:val="auto"/>
                <w:sz w:val="24"/>
              </w:rPr>
              <w:t>以最大限度地减少</w:t>
            </w:r>
            <w:r>
              <w:rPr>
                <w:rFonts w:hint="eastAsia" w:hAnsi="宋体"/>
                <w:color w:val="auto"/>
                <w:sz w:val="24"/>
                <w:lang w:eastAsia="zh-CN"/>
              </w:rPr>
              <w:t>产生的</w:t>
            </w:r>
            <w:r>
              <w:rPr>
                <w:rFonts w:hint="eastAsia" w:hAnsi="宋体"/>
                <w:color w:val="auto"/>
                <w:sz w:val="24"/>
              </w:rPr>
              <w:t>道路扬尘</w:t>
            </w:r>
            <w:r>
              <w:rPr>
                <w:rFonts w:hint="eastAsia" w:hAnsi="宋体"/>
                <w:color w:val="auto"/>
                <w:sz w:val="24"/>
                <w:lang w:eastAsia="zh-CN"/>
              </w:rPr>
              <w:t>对运输路线沿途敏感点的影响。要求建设单位保持本项目接入烈店路路口两侧</w:t>
            </w:r>
            <w:r>
              <w:rPr>
                <w:rFonts w:hint="eastAsia" w:hAnsi="宋体"/>
                <w:color w:val="auto"/>
                <w:sz w:val="24"/>
                <w:lang w:val="en-US" w:eastAsia="zh-CN"/>
              </w:rPr>
              <w:t>100m范围内道路清洁，做到定期洒扫，路面无泥块、煤块等杂物。</w:t>
            </w:r>
          </w:p>
          <w:p>
            <w:pPr>
              <w:spacing w:line="360" w:lineRule="auto"/>
              <w:ind w:firstLine="480" w:firstLineChars="200"/>
              <w:rPr>
                <w:color w:val="auto"/>
                <w:sz w:val="24"/>
                <w:szCs w:val="24"/>
              </w:rPr>
            </w:pPr>
            <w:r>
              <w:rPr>
                <w:rFonts w:hint="eastAsia"/>
                <w:color w:val="auto"/>
                <w:sz w:val="24"/>
                <w:szCs w:val="24"/>
              </w:rPr>
              <w:t>3</w:t>
            </w:r>
            <w:r>
              <w:rPr>
                <w:color w:val="auto"/>
                <w:sz w:val="24"/>
                <w:szCs w:val="24"/>
              </w:rPr>
              <w:t>、声环境影响分析</w:t>
            </w:r>
          </w:p>
          <w:p>
            <w:pPr>
              <w:spacing w:line="360" w:lineRule="auto"/>
              <w:ind w:firstLine="482"/>
              <w:rPr>
                <w:color w:val="auto"/>
                <w:sz w:val="24"/>
              </w:rPr>
            </w:pPr>
            <w:r>
              <w:rPr>
                <w:rFonts w:hint="eastAsia"/>
                <w:color w:val="auto"/>
                <w:sz w:val="24"/>
              </w:rPr>
              <w:t>（1）噪声源强</w:t>
            </w:r>
          </w:p>
          <w:p>
            <w:pPr>
              <w:spacing w:line="360" w:lineRule="auto"/>
              <w:ind w:firstLine="482"/>
              <w:rPr>
                <w:color w:val="auto"/>
                <w:sz w:val="24"/>
                <w:szCs w:val="24"/>
              </w:rPr>
            </w:pPr>
            <w:r>
              <w:rPr>
                <w:color w:val="auto"/>
                <w:sz w:val="24"/>
              </w:rPr>
              <w:t>本项目噪声污染源主要为</w:t>
            </w:r>
            <w:r>
              <w:rPr>
                <w:rFonts w:hint="eastAsia"/>
                <w:color w:val="auto"/>
                <w:sz w:val="24"/>
              </w:rPr>
              <w:t>各种</w:t>
            </w:r>
            <w:r>
              <w:rPr>
                <w:color w:val="auto"/>
                <w:sz w:val="24"/>
              </w:rPr>
              <w:t>设备运转时产生的噪声</w:t>
            </w:r>
            <w:r>
              <w:rPr>
                <w:color w:val="auto"/>
                <w:sz w:val="24"/>
                <w:szCs w:val="24"/>
              </w:rPr>
              <w:t>。</w:t>
            </w:r>
          </w:p>
          <w:p>
            <w:pPr>
              <w:spacing w:line="360" w:lineRule="auto"/>
              <w:ind w:firstLine="482"/>
              <w:rPr>
                <w:color w:val="auto"/>
                <w:sz w:val="24"/>
              </w:rPr>
            </w:pPr>
            <w:r>
              <w:rPr>
                <w:rFonts w:hint="eastAsia"/>
                <w:color w:val="auto"/>
                <w:sz w:val="24"/>
              </w:rPr>
              <w:t>为降低企业厂界噪声对周围声环境影响，本评价提出</w:t>
            </w:r>
            <w:r>
              <w:rPr>
                <w:color w:val="auto"/>
                <w:sz w:val="24"/>
              </w:rPr>
              <w:t>以下噪声防治措施：</w:t>
            </w:r>
          </w:p>
          <w:p>
            <w:pPr>
              <w:spacing w:line="360" w:lineRule="auto"/>
              <w:ind w:firstLine="480" w:firstLineChars="200"/>
              <w:rPr>
                <w:color w:val="auto"/>
                <w:sz w:val="24"/>
              </w:rPr>
            </w:pPr>
            <w:r>
              <w:rPr>
                <w:rFonts w:hint="eastAsia" w:ascii="宋体" w:hAnsi="宋体"/>
                <w:color w:val="auto"/>
                <w:sz w:val="24"/>
              </w:rPr>
              <w:t>①</w:t>
            </w:r>
            <w:r>
              <w:rPr>
                <w:rFonts w:hint="eastAsia"/>
                <w:color w:val="auto"/>
                <w:sz w:val="24"/>
              </w:rPr>
              <w:t>建议在设计和设备采购阶段，应尽可能选用技术性能优良、低噪音设备以从声源上降低设备本身噪声；</w:t>
            </w:r>
          </w:p>
          <w:p>
            <w:pPr>
              <w:spacing w:line="360" w:lineRule="auto"/>
              <w:ind w:left="480"/>
              <w:rPr>
                <w:rFonts w:ascii="宋体" w:hAnsi="宋体"/>
                <w:color w:val="auto"/>
                <w:sz w:val="24"/>
              </w:rPr>
            </w:pPr>
            <w:r>
              <w:rPr>
                <w:rFonts w:hint="eastAsia" w:ascii="宋体" w:hAnsi="宋体"/>
                <w:color w:val="auto"/>
                <w:sz w:val="24"/>
              </w:rPr>
              <w:t>②</w:t>
            </w:r>
            <w:r>
              <w:rPr>
                <w:color w:val="auto"/>
                <w:sz w:val="24"/>
              </w:rPr>
              <w:t>合理布置设备位置，将高噪音设备尽量布置在车间</w:t>
            </w:r>
            <w:r>
              <w:rPr>
                <w:rFonts w:hint="eastAsia"/>
                <w:color w:val="auto"/>
                <w:sz w:val="24"/>
              </w:rPr>
              <w:t>中央；</w:t>
            </w:r>
          </w:p>
          <w:p>
            <w:pPr>
              <w:spacing w:line="360" w:lineRule="auto"/>
              <w:ind w:firstLine="480" w:firstLineChars="200"/>
              <w:rPr>
                <w:rFonts w:ascii="Arial" w:hAnsi="Arial" w:cs="Arial"/>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3 \* GB3</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hint="eastAsia" w:ascii="宋体" w:hAnsi="宋体"/>
                <w:color w:val="auto"/>
                <w:sz w:val="24"/>
              </w:rPr>
              <w:t>为</w:t>
            </w:r>
            <w:r>
              <w:rPr>
                <w:rFonts w:hint="eastAsia" w:ascii="宋体" w:hAnsi="宋体"/>
                <w:color w:val="auto"/>
                <w:sz w:val="24"/>
                <w:lang w:eastAsia="zh-CN"/>
              </w:rPr>
              <w:t>高噪声谁被</w:t>
            </w:r>
            <w:r>
              <w:rPr>
                <w:color w:val="auto"/>
                <w:sz w:val="24"/>
              </w:rPr>
              <w:t>设置</w:t>
            </w:r>
            <w:r>
              <w:rPr>
                <w:rFonts w:hint="eastAsia"/>
                <w:color w:val="auto"/>
                <w:sz w:val="24"/>
                <w:lang w:eastAsia="zh-CN"/>
              </w:rPr>
              <w:t>在厂房内</w:t>
            </w:r>
            <w:r>
              <w:rPr>
                <w:color w:val="auto"/>
                <w:sz w:val="24"/>
              </w:rPr>
              <w:t>，</w:t>
            </w:r>
            <w:r>
              <w:rPr>
                <w:rFonts w:hint="eastAsia"/>
                <w:color w:val="auto"/>
                <w:sz w:val="24"/>
              </w:rPr>
              <w:t>机组与基础之间安装减震器；</w:t>
            </w:r>
            <w:r>
              <w:rPr>
                <w:rFonts w:ascii="Arial" w:hAnsi="Arial" w:cs="Arial"/>
                <w:color w:val="auto"/>
                <w:sz w:val="24"/>
              </w:rPr>
              <w:t>所有管道吊架，增设弹性吊钩，以减少振动；管道与吊架之间增设弹性托架；过墙管道增设弹性材料；</w:t>
            </w:r>
          </w:p>
          <w:p>
            <w:pPr>
              <w:autoSpaceDE w:val="0"/>
              <w:autoSpaceDN w:val="0"/>
              <w:adjustRightInd w:val="0"/>
              <w:spacing w:line="360" w:lineRule="auto"/>
              <w:ind w:firstLine="480" w:firstLineChars="200"/>
              <w:rPr>
                <w:rFonts w:ascii="Arial" w:hAnsi="Arial" w:cs="Arial"/>
                <w:color w:val="auto"/>
                <w:sz w:val="24"/>
              </w:rPr>
            </w:pPr>
            <w:r>
              <w:rPr>
                <w:rFonts w:hint="eastAsia" w:ascii="宋体" w:hAnsi="宋体" w:cs="Arial"/>
                <w:color w:val="auto"/>
                <w:sz w:val="24"/>
              </w:rPr>
              <w:t>④空压机</w:t>
            </w:r>
            <w:r>
              <w:rPr>
                <w:rFonts w:ascii="Arial" w:hAnsi="Arial" w:cs="Arial"/>
                <w:color w:val="auto"/>
                <w:sz w:val="24"/>
              </w:rPr>
              <w:t>加装进气消声器</w:t>
            </w:r>
            <w:r>
              <w:rPr>
                <w:rFonts w:hint="eastAsia" w:ascii="Arial" w:hAnsi="Arial" w:cs="Arial"/>
                <w:color w:val="auto"/>
                <w:sz w:val="24"/>
              </w:rPr>
              <w:t>，且设置隔声罩；</w:t>
            </w:r>
            <w:r>
              <w:rPr>
                <w:rFonts w:ascii="Arial" w:hAnsi="Arial" w:cs="Arial"/>
                <w:color w:val="auto"/>
                <w:sz w:val="24"/>
              </w:rPr>
              <w:t>采用管道包扎的办法或者将管道埋在地下的方法降低排气管道噪声，减少噪声传播</w:t>
            </w:r>
            <w:r>
              <w:rPr>
                <w:rFonts w:hint="eastAsia" w:ascii="Arial" w:hAnsi="Arial" w:cs="Arial"/>
                <w:color w:val="auto"/>
                <w:sz w:val="24"/>
              </w:rPr>
              <w:t>；空压机要设置在减震基础上；</w:t>
            </w:r>
          </w:p>
          <w:p>
            <w:pPr>
              <w:autoSpaceDE w:val="0"/>
              <w:autoSpaceDN w:val="0"/>
              <w:adjustRightInd w:val="0"/>
              <w:spacing w:line="360" w:lineRule="auto"/>
              <w:ind w:firstLine="510" w:firstLineChars="200"/>
              <w:rPr>
                <w:rFonts w:cs="宋体"/>
                <w:kern w:val="0"/>
                <w:sz w:val="24"/>
                <w:szCs w:val="23"/>
              </w:rPr>
            </w:pPr>
            <w:r>
              <w:rPr>
                <w:rFonts w:hint="eastAsia" w:ascii="宋体" w:hAnsi="宋体"/>
                <w:color w:val="auto"/>
                <w:spacing w:val="4"/>
                <w:w w:val="103"/>
                <w:kern w:val="0"/>
                <w:sz w:val="24"/>
                <w:szCs w:val="23"/>
              </w:rPr>
              <w:t>⑤</w:t>
            </w:r>
            <w:r>
              <w:rPr>
                <w:rFonts w:hint="eastAsia" w:cs="宋体"/>
                <w:color w:val="auto"/>
                <w:w w:val="103"/>
                <w:kern w:val="0"/>
                <w:sz w:val="24"/>
                <w:szCs w:val="23"/>
              </w:rPr>
              <w:t>加强</w:t>
            </w:r>
            <w:r>
              <w:rPr>
                <w:rFonts w:hint="eastAsia" w:cs="宋体"/>
                <w:color w:val="auto"/>
                <w:spacing w:val="7"/>
                <w:w w:val="103"/>
                <w:kern w:val="0"/>
                <w:sz w:val="24"/>
                <w:szCs w:val="23"/>
              </w:rPr>
              <w:t>设备</w:t>
            </w:r>
            <w:r>
              <w:rPr>
                <w:rFonts w:hint="eastAsia" w:cs="宋体"/>
                <w:color w:val="auto"/>
                <w:w w:val="103"/>
                <w:kern w:val="0"/>
                <w:sz w:val="24"/>
                <w:szCs w:val="23"/>
              </w:rPr>
              <w:t>的</w:t>
            </w:r>
            <w:r>
              <w:rPr>
                <w:rFonts w:hint="eastAsia" w:cs="宋体"/>
                <w:color w:val="auto"/>
                <w:spacing w:val="7"/>
                <w:w w:val="103"/>
                <w:kern w:val="0"/>
                <w:sz w:val="24"/>
                <w:szCs w:val="23"/>
              </w:rPr>
              <w:t>维护</w:t>
            </w:r>
            <w:r>
              <w:rPr>
                <w:rFonts w:hint="eastAsia" w:cs="宋体"/>
                <w:color w:val="auto"/>
                <w:w w:val="103"/>
                <w:kern w:val="0"/>
                <w:sz w:val="24"/>
                <w:szCs w:val="23"/>
              </w:rPr>
              <w:t>，</w:t>
            </w:r>
            <w:r>
              <w:rPr>
                <w:rFonts w:hint="eastAsia" w:cs="宋体"/>
                <w:color w:val="auto"/>
                <w:spacing w:val="7"/>
                <w:w w:val="103"/>
                <w:kern w:val="0"/>
                <w:sz w:val="24"/>
                <w:szCs w:val="23"/>
              </w:rPr>
              <w:t>确保设</w:t>
            </w:r>
            <w:r>
              <w:rPr>
                <w:rFonts w:hint="eastAsia" w:cs="宋体"/>
                <w:color w:val="auto"/>
                <w:w w:val="103"/>
                <w:kern w:val="0"/>
                <w:sz w:val="24"/>
                <w:szCs w:val="23"/>
              </w:rPr>
              <w:t>备</w:t>
            </w:r>
            <w:r>
              <w:rPr>
                <w:rFonts w:hint="eastAsia" w:cs="宋体"/>
                <w:color w:val="auto"/>
                <w:spacing w:val="7"/>
                <w:w w:val="103"/>
                <w:kern w:val="0"/>
                <w:sz w:val="24"/>
                <w:szCs w:val="23"/>
              </w:rPr>
              <w:t>处于</w:t>
            </w:r>
            <w:r>
              <w:rPr>
                <w:rFonts w:hint="eastAsia" w:cs="宋体"/>
                <w:color w:val="auto"/>
                <w:w w:val="103"/>
                <w:kern w:val="0"/>
                <w:sz w:val="24"/>
                <w:szCs w:val="23"/>
              </w:rPr>
              <w:t>良</w:t>
            </w:r>
            <w:r>
              <w:rPr>
                <w:rFonts w:hint="eastAsia" w:cs="宋体"/>
                <w:color w:val="auto"/>
                <w:spacing w:val="7"/>
                <w:w w:val="103"/>
                <w:kern w:val="0"/>
                <w:sz w:val="24"/>
                <w:szCs w:val="23"/>
              </w:rPr>
              <w:t>好的运</w:t>
            </w:r>
            <w:r>
              <w:rPr>
                <w:rFonts w:hint="eastAsia" w:cs="宋体"/>
                <w:color w:val="auto"/>
                <w:w w:val="103"/>
                <w:kern w:val="0"/>
                <w:sz w:val="24"/>
                <w:szCs w:val="23"/>
              </w:rPr>
              <w:t>转</w:t>
            </w:r>
            <w:r>
              <w:rPr>
                <w:rFonts w:hint="eastAsia" w:cs="宋体"/>
                <w:color w:val="auto"/>
                <w:spacing w:val="7"/>
                <w:w w:val="103"/>
                <w:kern w:val="0"/>
                <w:sz w:val="24"/>
                <w:szCs w:val="23"/>
              </w:rPr>
              <w:t>状</w:t>
            </w:r>
            <w:r>
              <w:rPr>
                <w:rFonts w:hint="eastAsia" w:cs="宋体"/>
                <w:spacing w:val="7"/>
                <w:w w:val="103"/>
                <w:kern w:val="0"/>
                <w:sz w:val="24"/>
                <w:szCs w:val="23"/>
              </w:rPr>
              <w:t>态</w:t>
            </w:r>
            <w:r>
              <w:rPr>
                <w:rFonts w:hint="eastAsia" w:cs="宋体"/>
                <w:w w:val="103"/>
                <w:kern w:val="0"/>
                <w:sz w:val="24"/>
                <w:szCs w:val="23"/>
              </w:rPr>
              <w:t>，</w:t>
            </w:r>
            <w:r>
              <w:rPr>
                <w:rFonts w:hint="eastAsia" w:cs="宋体"/>
                <w:spacing w:val="7"/>
                <w:w w:val="103"/>
                <w:kern w:val="0"/>
                <w:sz w:val="24"/>
                <w:szCs w:val="23"/>
              </w:rPr>
              <w:t>杜绝因</w:t>
            </w:r>
            <w:r>
              <w:rPr>
                <w:rFonts w:hint="eastAsia" w:cs="宋体"/>
                <w:w w:val="103"/>
                <w:kern w:val="0"/>
                <w:sz w:val="24"/>
                <w:szCs w:val="23"/>
              </w:rPr>
              <w:t>设</w:t>
            </w:r>
            <w:r>
              <w:rPr>
                <w:rFonts w:hint="eastAsia" w:cs="宋体"/>
                <w:spacing w:val="7"/>
                <w:w w:val="103"/>
                <w:kern w:val="0"/>
                <w:sz w:val="24"/>
                <w:szCs w:val="23"/>
              </w:rPr>
              <w:t>备不</w:t>
            </w:r>
            <w:r>
              <w:rPr>
                <w:rFonts w:hint="eastAsia" w:cs="宋体"/>
                <w:w w:val="103"/>
                <w:kern w:val="0"/>
                <w:sz w:val="24"/>
                <w:szCs w:val="23"/>
              </w:rPr>
              <w:t>正</w:t>
            </w:r>
            <w:r>
              <w:rPr>
                <w:rFonts w:hint="eastAsia" w:cs="宋体"/>
                <w:spacing w:val="7"/>
                <w:w w:val="103"/>
                <w:kern w:val="0"/>
                <w:sz w:val="24"/>
                <w:szCs w:val="23"/>
              </w:rPr>
              <w:t>常</w:t>
            </w:r>
            <w:r>
              <w:rPr>
                <w:rFonts w:hint="eastAsia" w:cs="宋体"/>
                <w:w w:val="103"/>
                <w:kern w:val="0"/>
                <w:sz w:val="24"/>
                <w:szCs w:val="23"/>
              </w:rPr>
              <w:t>运转时产生的高噪</w:t>
            </w:r>
            <w:r>
              <w:rPr>
                <w:rFonts w:hint="eastAsia" w:cs="宋体"/>
                <w:spacing w:val="7"/>
                <w:w w:val="103"/>
                <w:kern w:val="0"/>
                <w:sz w:val="24"/>
                <w:szCs w:val="23"/>
              </w:rPr>
              <w:t>声</w:t>
            </w:r>
            <w:r>
              <w:rPr>
                <w:rFonts w:hint="eastAsia" w:cs="宋体"/>
                <w:w w:val="103"/>
                <w:kern w:val="0"/>
                <w:sz w:val="24"/>
                <w:szCs w:val="23"/>
              </w:rPr>
              <w:t>现象；</w:t>
            </w:r>
          </w:p>
          <w:p>
            <w:pPr>
              <w:autoSpaceDE w:val="0"/>
              <w:autoSpaceDN w:val="0"/>
              <w:adjustRightInd w:val="0"/>
              <w:spacing w:line="360" w:lineRule="auto"/>
              <w:ind w:firstLine="510" w:firstLineChars="200"/>
              <w:rPr>
                <w:w w:val="103"/>
                <w:kern w:val="0"/>
                <w:sz w:val="24"/>
                <w:szCs w:val="23"/>
              </w:rPr>
            </w:pPr>
            <w:r>
              <w:rPr>
                <w:rFonts w:hint="eastAsia" w:ascii="宋体" w:hAnsi="宋体"/>
                <w:color w:val="auto"/>
                <w:spacing w:val="4"/>
                <w:w w:val="103"/>
                <w:kern w:val="0"/>
                <w:sz w:val="24"/>
                <w:szCs w:val="23"/>
              </w:rPr>
              <w:t>⑥</w:t>
            </w:r>
            <w:r>
              <w:rPr>
                <w:rFonts w:hint="eastAsia"/>
                <w:w w:val="103"/>
                <w:kern w:val="0"/>
                <w:sz w:val="24"/>
                <w:szCs w:val="23"/>
              </w:rPr>
              <w:t>厂区出入口设置禁鸣标志，</w:t>
            </w:r>
            <w:r>
              <w:rPr>
                <w:rFonts w:hint="eastAsia" w:cs="宋体"/>
                <w:spacing w:val="14"/>
                <w:w w:val="103"/>
                <w:kern w:val="0"/>
                <w:sz w:val="24"/>
                <w:szCs w:val="23"/>
              </w:rPr>
              <w:t>原材料的输入和产</w:t>
            </w:r>
            <w:r>
              <w:rPr>
                <w:rFonts w:hint="eastAsia" w:cs="宋体"/>
                <w:spacing w:val="22"/>
                <w:w w:val="103"/>
                <w:kern w:val="0"/>
                <w:sz w:val="24"/>
                <w:szCs w:val="23"/>
              </w:rPr>
              <w:t>品</w:t>
            </w:r>
            <w:r>
              <w:rPr>
                <w:rFonts w:hint="eastAsia" w:cs="宋体"/>
                <w:w w:val="103"/>
                <w:kern w:val="0"/>
                <w:sz w:val="24"/>
                <w:szCs w:val="23"/>
              </w:rPr>
              <w:t>输出</w:t>
            </w:r>
            <w:r>
              <w:rPr>
                <w:rFonts w:hint="eastAsia" w:cs="宋体"/>
                <w:spacing w:val="14"/>
                <w:w w:val="103"/>
                <w:kern w:val="0"/>
                <w:sz w:val="24"/>
                <w:szCs w:val="23"/>
              </w:rPr>
              <w:t>车辆进入厂区减速慢行，以减少噪声对周围环境的影响</w:t>
            </w:r>
            <w:r>
              <w:rPr>
                <w:rFonts w:hint="eastAsia" w:cs="宋体"/>
                <w:w w:val="103"/>
                <w:kern w:val="0"/>
                <w:sz w:val="24"/>
                <w:szCs w:val="23"/>
              </w:rPr>
              <w:t>。</w:t>
            </w:r>
          </w:p>
          <w:p>
            <w:pPr>
              <w:spacing w:line="360" w:lineRule="auto"/>
              <w:ind w:firstLine="470" w:firstLineChars="196"/>
              <w:rPr>
                <w:color w:val="auto"/>
                <w:sz w:val="24"/>
              </w:rPr>
            </w:pPr>
            <w:r>
              <w:rPr>
                <w:color w:val="auto"/>
                <w:sz w:val="24"/>
              </w:rPr>
              <w:t>（2）预测模式</w:t>
            </w:r>
          </w:p>
          <w:p>
            <w:pPr>
              <w:spacing w:line="520" w:lineRule="exact"/>
              <w:ind w:firstLine="480" w:firstLineChars="200"/>
              <w:rPr>
                <w:color w:val="auto"/>
                <w:sz w:val="24"/>
                <w:szCs w:val="24"/>
              </w:rPr>
            </w:pPr>
            <w:r>
              <w:rPr>
                <w:color w:val="auto"/>
                <w:kern w:val="0"/>
                <w:sz w:val="24"/>
                <w:szCs w:val="24"/>
              </w:rPr>
              <w:t>本次预测采用环安科技公司编制的Noisesystem计算软件</w:t>
            </w:r>
            <w:r>
              <w:rPr>
                <w:rFonts w:hint="eastAsia"/>
                <w:color w:val="auto"/>
                <w:kern w:val="0"/>
                <w:sz w:val="24"/>
                <w:szCs w:val="24"/>
              </w:rPr>
              <w:t>，</w:t>
            </w:r>
            <w:r>
              <w:rPr>
                <w:color w:val="auto"/>
                <w:sz w:val="24"/>
                <w:szCs w:val="24"/>
              </w:rPr>
              <w:t>噪声预测按照《环境影响评价技术导则声环境》（HJ2.4-2009）进行，预测设备噪声到厂界</w:t>
            </w:r>
            <w:r>
              <w:rPr>
                <w:rFonts w:hint="eastAsia"/>
                <w:color w:val="auto"/>
                <w:sz w:val="24"/>
                <w:szCs w:val="24"/>
              </w:rPr>
              <w:t>及敏感点的</w:t>
            </w:r>
            <w:r>
              <w:rPr>
                <w:color w:val="auto"/>
                <w:sz w:val="24"/>
                <w:szCs w:val="24"/>
              </w:rPr>
              <w:t>排放值，并判断是否达标。</w:t>
            </w:r>
          </w:p>
          <w:p>
            <w:pPr>
              <w:pStyle w:val="125"/>
              <w:spacing w:before="0" w:after="0" w:line="360" w:lineRule="auto"/>
              <w:jc w:val="center"/>
            </w:pPr>
            <w:r>
              <w:rPr>
                <w:rFonts w:hint="default" w:ascii="Times New Roman" w:hAnsi="Times New Roman" w:eastAsia="宋体" w:cs="Times New Roman"/>
                <w:b/>
                <w:bCs/>
              </w:rPr>
              <w:t>表</w:t>
            </w:r>
            <w:r>
              <w:rPr>
                <w:rFonts w:hint="eastAsia" w:cs="Times New Roman"/>
                <w:b/>
                <w:bCs/>
                <w:lang w:val="en-US" w:eastAsia="zh-CN"/>
              </w:rPr>
              <w:t xml:space="preserve">22 </w:t>
            </w:r>
            <w:r>
              <w:rPr>
                <w:rFonts w:hint="default" w:ascii="Times New Roman" w:hAnsi="Times New Roman" w:eastAsia="宋体" w:cs="Times New Roman"/>
                <w:b/>
                <w:bCs/>
              </w:rPr>
              <w:t xml:space="preserve"> </w:t>
            </w:r>
            <w:r>
              <w:rPr>
                <w:rFonts w:hint="eastAsia" w:cs="Times New Roman"/>
                <w:b/>
                <w:bCs/>
                <w:lang w:eastAsia="zh-CN"/>
              </w:rPr>
              <w:t>噪声预测输入清单</w:t>
            </w:r>
          </w:p>
          <w:tbl>
            <w:tblPr>
              <w:tblStyle w:val="34"/>
              <w:tblW w:w="898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84"/>
              <w:gridCol w:w="2324"/>
              <w:gridCol w:w="1492"/>
              <w:gridCol w:w="1883"/>
              <w:gridCol w:w="1177"/>
              <w:gridCol w:w="112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4" w:type="dxa"/>
                  <w:tcBorders>
                    <w:tl2br w:val="nil"/>
                    <w:tr2bl w:val="nil"/>
                  </w:tcBorders>
                  <w:vAlign w:val="center"/>
                </w:tcPr>
                <w:p>
                  <w:pPr>
                    <w:pStyle w:val="125"/>
                    <w:adjustRightInd/>
                    <w:spacing w:before="0" w:after="0" w:line="300" w:lineRule="atLeast"/>
                    <w:jc w:val="center"/>
                    <w:rPr>
                      <w:sz w:val="21"/>
                      <w:szCs w:val="21"/>
                    </w:rPr>
                  </w:pPr>
                  <w:r>
                    <w:rPr>
                      <w:sz w:val="21"/>
                      <w:szCs w:val="21"/>
                    </w:rPr>
                    <w:t>序号</w:t>
                  </w:r>
                </w:p>
              </w:tc>
              <w:tc>
                <w:tcPr>
                  <w:tcW w:w="2324" w:type="dxa"/>
                  <w:tcBorders>
                    <w:tl2br w:val="nil"/>
                    <w:tr2bl w:val="nil"/>
                  </w:tcBorders>
                  <w:vAlign w:val="center"/>
                </w:tcPr>
                <w:p>
                  <w:pPr>
                    <w:pStyle w:val="125"/>
                    <w:adjustRightInd/>
                    <w:spacing w:before="0" w:after="0" w:line="300" w:lineRule="atLeast"/>
                    <w:jc w:val="center"/>
                    <w:rPr>
                      <w:sz w:val="21"/>
                      <w:szCs w:val="21"/>
                    </w:rPr>
                  </w:pPr>
                  <w:r>
                    <w:rPr>
                      <w:sz w:val="21"/>
                      <w:szCs w:val="21"/>
                    </w:rPr>
                    <w:t>主要噪声源</w:t>
                  </w:r>
                </w:p>
              </w:tc>
              <w:tc>
                <w:tcPr>
                  <w:tcW w:w="1492" w:type="dxa"/>
                  <w:tcBorders>
                    <w:tl2br w:val="nil"/>
                    <w:tr2bl w:val="nil"/>
                  </w:tcBorders>
                  <w:vAlign w:val="center"/>
                </w:tcPr>
                <w:p>
                  <w:pPr>
                    <w:pStyle w:val="125"/>
                    <w:adjustRightInd/>
                    <w:spacing w:before="0" w:after="0" w:line="300" w:lineRule="atLeast"/>
                    <w:jc w:val="center"/>
                    <w:rPr>
                      <w:sz w:val="21"/>
                      <w:szCs w:val="21"/>
                    </w:rPr>
                  </w:pPr>
                  <w:r>
                    <w:rPr>
                      <w:sz w:val="21"/>
                      <w:szCs w:val="21"/>
                    </w:rPr>
                    <w:t>数量（台）</w:t>
                  </w:r>
                </w:p>
              </w:tc>
              <w:tc>
                <w:tcPr>
                  <w:tcW w:w="1883" w:type="dxa"/>
                  <w:tcBorders>
                    <w:tl2br w:val="nil"/>
                    <w:tr2bl w:val="nil"/>
                  </w:tcBorders>
                  <w:vAlign w:val="center"/>
                </w:tcPr>
                <w:p>
                  <w:pPr>
                    <w:pStyle w:val="125"/>
                    <w:adjustRightInd/>
                    <w:spacing w:before="0" w:after="0" w:line="300" w:lineRule="atLeast"/>
                    <w:jc w:val="center"/>
                    <w:rPr>
                      <w:sz w:val="21"/>
                      <w:szCs w:val="21"/>
                    </w:rPr>
                  </w:pPr>
                  <w:r>
                    <w:rPr>
                      <w:sz w:val="21"/>
                      <w:szCs w:val="21"/>
                    </w:rPr>
                    <w:t>治理前dB(A)</w:t>
                  </w:r>
                </w:p>
              </w:tc>
              <w:tc>
                <w:tcPr>
                  <w:tcW w:w="1177" w:type="dxa"/>
                  <w:tcBorders>
                    <w:tl2br w:val="nil"/>
                    <w:tr2bl w:val="nil"/>
                  </w:tcBorders>
                  <w:vAlign w:val="center"/>
                </w:tcPr>
                <w:p>
                  <w:pPr>
                    <w:pStyle w:val="125"/>
                    <w:adjustRightInd/>
                    <w:spacing w:before="0" w:after="0" w:line="300" w:lineRule="atLeast"/>
                    <w:jc w:val="center"/>
                    <w:rPr>
                      <w:sz w:val="21"/>
                      <w:szCs w:val="21"/>
                    </w:rPr>
                  </w:pPr>
                  <w:r>
                    <w:rPr>
                      <w:sz w:val="21"/>
                      <w:szCs w:val="21"/>
                    </w:rPr>
                    <w:t>位置</w:t>
                  </w:r>
                </w:p>
              </w:tc>
              <w:tc>
                <w:tcPr>
                  <w:tcW w:w="1124" w:type="dxa"/>
                  <w:tcBorders>
                    <w:tl2br w:val="nil"/>
                    <w:tr2bl w:val="nil"/>
                  </w:tcBorders>
                  <w:vAlign w:val="center"/>
                </w:tcPr>
                <w:p>
                  <w:pPr>
                    <w:pStyle w:val="125"/>
                    <w:adjustRightInd/>
                    <w:spacing w:before="0" w:after="0" w:line="300" w:lineRule="atLeast"/>
                    <w:jc w:val="center"/>
                    <w:rPr>
                      <w:sz w:val="21"/>
                      <w:szCs w:val="21"/>
                    </w:rPr>
                  </w:pPr>
                  <w:r>
                    <w:rPr>
                      <w:sz w:val="21"/>
                      <w:szCs w:val="21"/>
                    </w:rPr>
                    <w:t>性质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4" w:type="dxa"/>
                  <w:tcBorders>
                    <w:tl2br w:val="nil"/>
                    <w:tr2bl w:val="nil"/>
                  </w:tcBorders>
                  <w:vAlign w:val="center"/>
                </w:tcPr>
                <w:p>
                  <w:pPr>
                    <w:pStyle w:val="125"/>
                    <w:adjustRightInd/>
                    <w:spacing w:before="0" w:after="0" w:line="300" w:lineRule="atLeast"/>
                    <w:jc w:val="center"/>
                    <w:rPr>
                      <w:sz w:val="21"/>
                      <w:szCs w:val="21"/>
                    </w:rPr>
                  </w:pPr>
                  <w:r>
                    <w:rPr>
                      <w:sz w:val="21"/>
                      <w:szCs w:val="21"/>
                    </w:rPr>
                    <w:t>1</w:t>
                  </w:r>
                </w:p>
              </w:tc>
              <w:tc>
                <w:tcPr>
                  <w:tcW w:w="2324" w:type="dxa"/>
                  <w:tcBorders>
                    <w:tl2br w:val="nil"/>
                    <w:tr2bl w:val="nil"/>
                  </w:tcBorders>
                  <w:vAlign w:val="center"/>
                </w:tcPr>
                <w:p>
                  <w:pPr>
                    <w:jc w:val="center"/>
                    <w:rPr>
                      <w:rFonts w:hint="eastAsia" w:eastAsia="宋体"/>
                      <w:szCs w:val="21"/>
                      <w:lang w:eastAsia="zh-CN"/>
                    </w:rPr>
                  </w:pPr>
                  <w:r>
                    <w:rPr>
                      <w:rFonts w:hint="eastAsia"/>
                      <w:szCs w:val="21"/>
                      <w:lang w:eastAsia="zh-CN"/>
                    </w:rPr>
                    <w:t>筛分破碎工段</w:t>
                  </w:r>
                </w:p>
              </w:tc>
              <w:tc>
                <w:tcPr>
                  <w:tcW w:w="1492" w:type="dxa"/>
                  <w:tcBorders>
                    <w:tl2br w:val="nil"/>
                    <w:tr2bl w:val="nil"/>
                  </w:tcBorders>
                  <w:vAlign w:val="center"/>
                </w:tcPr>
                <w:p>
                  <w:pPr>
                    <w:pStyle w:val="125"/>
                    <w:adjustRightInd/>
                    <w:spacing w:before="0" w:after="0" w:line="300" w:lineRule="atLeast"/>
                    <w:jc w:val="center"/>
                    <w:rPr>
                      <w:rFonts w:hint="eastAsia" w:eastAsia="宋体"/>
                      <w:sz w:val="21"/>
                      <w:szCs w:val="21"/>
                      <w:lang w:val="en-US" w:eastAsia="zh-CN"/>
                    </w:rPr>
                  </w:pPr>
                  <w:r>
                    <w:rPr>
                      <w:rFonts w:hint="eastAsia"/>
                      <w:sz w:val="21"/>
                      <w:szCs w:val="21"/>
                      <w:lang w:val="en-US" w:eastAsia="zh-CN"/>
                    </w:rPr>
                    <w:t>3</w:t>
                  </w:r>
                </w:p>
              </w:tc>
              <w:tc>
                <w:tcPr>
                  <w:tcW w:w="1883" w:type="dxa"/>
                  <w:tcBorders>
                    <w:tl2br w:val="nil"/>
                    <w:tr2bl w:val="nil"/>
                  </w:tcBorders>
                  <w:vAlign w:val="center"/>
                </w:tcPr>
                <w:p>
                  <w:pPr>
                    <w:jc w:val="center"/>
                    <w:rPr>
                      <w:rFonts w:hint="eastAsia" w:eastAsia="宋体"/>
                      <w:kern w:val="0"/>
                      <w:szCs w:val="21"/>
                      <w:lang w:val="en-US" w:eastAsia="zh-CN"/>
                    </w:rPr>
                  </w:pPr>
                  <w:r>
                    <w:rPr>
                      <w:rFonts w:hint="eastAsia"/>
                      <w:kern w:val="0"/>
                      <w:szCs w:val="21"/>
                      <w:lang w:val="en-US" w:eastAsia="zh-CN"/>
                    </w:rPr>
                    <w:t>95</w:t>
                  </w:r>
                </w:p>
              </w:tc>
              <w:tc>
                <w:tcPr>
                  <w:tcW w:w="1177" w:type="dxa"/>
                  <w:tcBorders>
                    <w:tl2br w:val="nil"/>
                    <w:tr2bl w:val="nil"/>
                  </w:tcBorders>
                  <w:vAlign w:val="center"/>
                </w:tcPr>
                <w:p>
                  <w:pPr>
                    <w:pStyle w:val="125"/>
                    <w:adjustRightInd/>
                    <w:spacing w:before="0" w:after="0" w:line="300" w:lineRule="atLeast"/>
                    <w:jc w:val="center"/>
                    <w:rPr>
                      <w:sz w:val="21"/>
                      <w:szCs w:val="21"/>
                    </w:rPr>
                  </w:pPr>
                  <w:r>
                    <w:rPr>
                      <w:sz w:val="21"/>
                      <w:szCs w:val="21"/>
                    </w:rPr>
                    <w:t>室内</w:t>
                  </w:r>
                </w:p>
              </w:tc>
              <w:tc>
                <w:tcPr>
                  <w:tcW w:w="1124" w:type="dxa"/>
                  <w:tcBorders>
                    <w:tl2br w:val="nil"/>
                    <w:tr2bl w:val="nil"/>
                  </w:tcBorders>
                  <w:vAlign w:val="center"/>
                </w:tcPr>
                <w:p>
                  <w:pPr>
                    <w:pStyle w:val="125"/>
                    <w:adjustRightInd/>
                    <w:spacing w:before="0" w:after="0" w:line="300" w:lineRule="atLeast"/>
                    <w:jc w:val="center"/>
                    <w:rPr>
                      <w:rFonts w:hint="eastAsia" w:eastAsia="宋体"/>
                      <w:sz w:val="21"/>
                      <w:szCs w:val="21"/>
                      <w:lang w:eastAsia="zh-CN"/>
                    </w:rPr>
                  </w:pPr>
                  <w:r>
                    <w:rPr>
                      <w:rFonts w:hint="eastAsia"/>
                      <w:sz w:val="21"/>
                      <w:szCs w:val="21"/>
                      <w:lang w:eastAsia="zh-CN"/>
                    </w:rPr>
                    <w:t>连续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4" w:type="dxa"/>
                  <w:tcBorders>
                    <w:tl2br w:val="nil"/>
                    <w:tr2bl w:val="nil"/>
                  </w:tcBorders>
                  <w:vAlign w:val="center"/>
                </w:tcPr>
                <w:p>
                  <w:pPr>
                    <w:pStyle w:val="125"/>
                    <w:adjustRightInd/>
                    <w:spacing w:before="0" w:after="0" w:line="300" w:lineRule="atLeast"/>
                    <w:jc w:val="center"/>
                    <w:rPr>
                      <w:sz w:val="21"/>
                      <w:szCs w:val="21"/>
                    </w:rPr>
                  </w:pPr>
                  <w:r>
                    <w:rPr>
                      <w:sz w:val="21"/>
                      <w:szCs w:val="21"/>
                    </w:rPr>
                    <w:t>2</w:t>
                  </w:r>
                </w:p>
              </w:tc>
              <w:tc>
                <w:tcPr>
                  <w:tcW w:w="2324" w:type="dxa"/>
                  <w:tcBorders>
                    <w:tl2br w:val="nil"/>
                    <w:tr2bl w:val="nil"/>
                  </w:tcBorders>
                  <w:vAlign w:val="center"/>
                </w:tcPr>
                <w:p>
                  <w:pPr>
                    <w:jc w:val="center"/>
                    <w:rPr>
                      <w:rFonts w:hint="eastAsia" w:eastAsia="宋体"/>
                      <w:szCs w:val="21"/>
                      <w:lang w:eastAsia="zh-CN"/>
                    </w:rPr>
                  </w:pPr>
                  <w:r>
                    <w:rPr>
                      <w:rFonts w:hint="eastAsia"/>
                      <w:szCs w:val="21"/>
                      <w:lang w:eastAsia="zh-CN"/>
                    </w:rPr>
                    <w:t>跳汰洗煤机</w:t>
                  </w:r>
                </w:p>
              </w:tc>
              <w:tc>
                <w:tcPr>
                  <w:tcW w:w="1492" w:type="dxa"/>
                  <w:tcBorders>
                    <w:tl2br w:val="nil"/>
                    <w:tr2bl w:val="nil"/>
                  </w:tcBorders>
                  <w:vAlign w:val="center"/>
                </w:tcPr>
                <w:p>
                  <w:pPr>
                    <w:pStyle w:val="125"/>
                    <w:adjustRightInd/>
                    <w:spacing w:before="0" w:after="0" w:line="300" w:lineRule="atLeast"/>
                    <w:jc w:val="center"/>
                    <w:rPr>
                      <w:rFonts w:hint="eastAsia" w:eastAsia="宋体"/>
                      <w:sz w:val="21"/>
                      <w:szCs w:val="21"/>
                      <w:lang w:val="en-US" w:eastAsia="zh-CN"/>
                    </w:rPr>
                  </w:pPr>
                  <w:r>
                    <w:rPr>
                      <w:rFonts w:hint="eastAsia"/>
                      <w:sz w:val="21"/>
                      <w:szCs w:val="21"/>
                      <w:lang w:val="en-US" w:eastAsia="zh-CN"/>
                    </w:rPr>
                    <w:t>3</w:t>
                  </w:r>
                </w:p>
              </w:tc>
              <w:tc>
                <w:tcPr>
                  <w:tcW w:w="1883" w:type="dxa"/>
                  <w:tcBorders>
                    <w:tl2br w:val="nil"/>
                    <w:tr2bl w:val="nil"/>
                  </w:tcBorders>
                  <w:vAlign w:val="center"/>
                </w:tcPr>
                <w:p>
                  <w:pPr>
                    <w:jc w:val="center"/>
                    <w:rPr>
                      <w:rFonts w:hint="eastAsia" w:eastAsia="宋体"/>
                      <w:kern w:val="0"/>
                      <w:szCs w:val="21"/>
                      <w:lang w:val="en-US" w:eastAsia="zh-CN"/>
                    </w:rPr>
                  </w:pPr>
                  <w:r>
                    <w:rPr>
                      <w:rFonts w:hint="eastAsia"/>
                      <w:kern w:val="0"/>
                      <w:szCs w:val="21"/>
                      <w:lang w:val="en-US" w:eastAsia="zh-CN"/>
                    </w:rPr>
                    <w:t>85</w:t>
                  </w:r>
                </w:p>
              </w:tc>
              <w:tc>
                <w:tcPr>
                  <w:tcW w:w="1177" w:type="dxa"/>
                  <w:tcBorders>
                    <w:tl2br w:val="nil"/>
                    <w:tr2bl w:val="nil"/>
                  </w:tcBorders>
                  <w:vAlign w:val="center"/>
                </w:tcPr>
                <w:p>
                  <w:pPr>
                    <w:pStyle w:val="125"/>
                    <w:adjustRightInd/>
                    <w:spacing w:before="0" w:after="0" w:line="300" w:lineRule="atLeast"/>
                    <w:jc w:val="center"/>
                    <w:rPr>
                      <w:sz w:val="21"/>
                      <w:szCs w:val="21"/>
                    </w:rPr>
                  </w:pPr>
                  <w:r>
                    <w:rPr>
                      <w:sz w:val="21"/>
                      <w:szCs w:val="21"/>
                    </w:rPr>
                    <w:t>室内</w:t>
                  </w:r>
                </w:p>
              </w:tc>
              <w:tc>
                <w:tcPr>
                  <w:tcW w:w="1124" w:type="dxa"/>
                  <w:tcBorders>
                    <w:tl2br w:val="nil"/>
                    <w:tr2bl w:val="nil"/>
                  </w:tcBorders>
                  <w:vAlign w:val="center"/>
                </w:tcPr>
                <w:p>
                  <w:pPr>
                    <w:pStyle w:val="125"/>
                    <w:adjustRightInd/>
                    <w:spacing w:before="0" w:after="0" w:line="300" w:lineRule="atLeast"/>
                    <w:jc w:val="center"/>
                    <w:rPr>
                      <w:sz w:val="21"/>
                      <w:szCs w:val="21"/>
                    </w:rPr>
                  </w:pPr>
                  <w:r>
                    <w:rPr>
                      <w:rFonts w:hint="eastAsia"/>
                      <w:sz w:val="21"/>
                      <w:szCs w:val="21"/>
                      <w:lang w:eastAsia="zh-CN"/>
                    </w:rPr>
                    <w:t>连续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4" w:type="dxa"/>
                  <w:tcBorders>
                    <w:tl2br w:val="nil"/>
                    <w:tr2bl w:val="nil"/>
                  </w:tcBorders>
                  <w:vAlign w:val="center"/>
                </w:tcPr>
                <w:p>
                  <w:pPr>
                    <w:pStyle w:val="125"/>
                    <w:adjustRightInd/>
                    <w:spacing w:before="0" w:after="0" w:line="300" w:lineRule="atLeast"/>
                    <w:jc w:val="center"/>
                    <w:rPr>
                      <w:sz w:val="21"/>
                      <w:szCs w:val="21"/>
                    </w:rPr>
                  </w:pPr>
                  <w:r>
                    <w:rPr>
                      <w:sz w:val="21"/>
                      <w:szCs w:val="21"/>
                    </w:rPr>
                    <w:t>3</w:t>
                  </w:r>
                </w:p>
              </w:tc>
              <w:tc>
                <w:tcPr>
                  <w:tcW w:w="2324" w:type="dxa"/>
                  <w:tcBorders>
                    <w:tl2br w:val="nil"/>
                    <w:tr2bl w:val="nil"/>
                  </w:tcBorders>
                  <w:vAlign w:val="center"/>
                </w:tcPr>
                <w:p>
                  <w:pPr>
                    <w:jc w:val="center"/>
                    <w:rPr>
                      <w:rFonts w:hint="eastAsia" w:eastAsia="宋体"/>
                      <w:szCs w:val="21"/>
                      <w:lang w:eastAsia="zh-CN"/>
                    </w:rPr>
                  </w:pPr>
                  <w:r>
                    <w:rPr>
                      <w:rFonts w:hint="eastAsia"/>
                      <w:szCs w:val="21"/>
                      <w:lang w:eastAsia="zh-CN"/>
                    </w:rPr>
                    <w:t>压滤机</w:t>
                  </w:r>
                </w:p>
              </w:tc>
              <w:tc>
                <w:tcPr>
                  <w:tcW w:w="1492" w:type="dxa"/>
                  <w:tcBorders>
                    <w:tl2br w:val="nil"/>
                    <w:tr2bl w:val="nil"/>
                  </w:tcBorders>
                  <w:vAlign w:val="center"/>
                </w:tcPr>
                <w:p>
                  <w:pPr>
                    <w:pStyle w:val="125"/>
                    <w:adjustRightInd/>
                    <w:spacing w:before="0" w:after="0" w:line="300" w:lineRule="atLeast"/>
                    <w:jc w:val="center"/>
                    <w:rPr>
                      <w:rFonts w:hint="eastAsia" w:eastAsia="宋体"/>
                      <w:sz w:val="21"/>
                      <w:szCs w:val="21"/>
                      <w:lang w:val="en-US" w:eastAsia="zh-CN"/>
                    </w:rPr>
                  </w:pPr>
                  <w:r>
                    <w:rPr>
                      <w:rFonts w:hint="eastAsia"/>
                      <w:sz w:val="21"/>
                      <w:szCs w:val="21"/>
                      <w:lang w:val="en-US" w:eastAsia="zh-CN"/>
                    </w:rPr>
                    <w:t>3</w:t>
                  </w:r>
                </w:p>
              </w:tc>
              <w:tc>
                <w:tcPr>
                  <w:tcW w:w="1883" w:type="dxa"/>
                  <w:tcBorders>
                    <w:tl2br w:val="nil"/>
                    <w:tr2bl w:val="nil"/>
                  </w:tcBorders>
                  <w:vAlign w:val="center"/>
                </w:tcPr>
                <w:p>
                  <w:pPr>
                    <w:jc w:val="center"/>
                    <w:rPr>
                      <w:rFonts w:hint="eastAsia" w:eastAsia="宋体"/>
                      <w:kern w:val="0"/>
                      <w:szCs w:val="21"/>
                      <w:lang w:val="en-US" w:eastAsia="zh-CN"/>
                    </w:rPr>
                  </w:pPr>
                  <w:r>
                    <w:rPr>
                      <w:rFonts w:hint="eastAsia"/>
                      <w:kern w:val="0"/>
                      <w:szCs w:val="21"/>
                      <w:lang w:val="en-US" w:eastAsia="zh-CN"/>
                    </w:rPr>
                    <w:t>90</w:t>
                  </w:r>
                </w:p>
              </w:tc>
              <w:tc>
                <w:tcPr>
                  <w:tcW w:w="1177" w:type="dxa"/>
                  <w:tcBorders>
                    <w:tl2br w:val="nil"/>
                    <w:tr2bl w:val="nil"/>
                  </w:tcBorders>
                  <w:vAlign w:val="center"/>
                </w:tcPr>
                <w:p>
                  <w:pPr>
                    <w:pStyle w:val="125"/>
                    <w:adjustRightInd/>
                    <w:spacing w:before="0" w:after="0" w:line="300" w:lineRule="atLeast"/>
                    <w:jc w:val="center"/>
                    <w:rPr>
                      <w:rFonts w:hint="eastAsia" w:eastAsia="宋体"/>
                      <w:sz w:val="21"/>
                      <w:szCs w:val="21"/>
                      <w:lang w:eastAsia="zh-CN"/>
                    </w:rPr>
                  </w:pPr>
                  <w:r>
                    <w:rPr>
                      <w:rFonts w:hint="eastAsia"/>
                      <w:sz w:val="21"/>
                      <w:szCs w:val="21"/>
                      <w:lang w:eastAsia="zh-CN"/>
                    </w:rPr>
                    <w:t>室外</w:t>
                  </w:r>
                </w:p>
              </w:tc>
              <w:tc>
                <w:tcPr>
                  <w:tcW w:w="1124" w:type="dxa"/>
                  <w:tcBorders>
                    <w:tl2br w:val="nil"/>
                    <w:tr2bl w:val="nil"/>
                  </w:tcBorders>
                  <w:vAlign w:val="center"/>
                </w:tcPr>
                <w:p>
                  <w:pPr>
                    <w:pStyle w:val="125"/>
                    <w:adjustRightInd/>
                    <w:spacing w:before="0" w:after="0" w:line="300" w:lineRule="atLeast"/>
                    <w:jc w:val="center"/>
                    <w:rPr>
                      <w:sz w:val="21"/>
                      <w:szCs w:val="21"/>
                    </w:rPr>
                  </w:pPr>
                  <w:r>
                    <w:rPr>
                      <w:rFonts w:hint="eastAsia"/>
                      <w:sz w:val="21"/>
                      <w:szCs w:val="21"/>
                      <w:lang w:eastAsia="zh-CN"/>
                    </w:rPr>
                    <w:t>连续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4" w:type="dxa"/>
                  <w:tcBorders>
                    <w:tl2br w:val="nil"/>
                    <w:tr2bl w:val="nil"/>
                  </w:tcBorders>
                  <w:vAlign w:val="center"/>
                </w:tcPr>
                <w:p>
                  <w:pPr>
                    <w:pStyle w:val="125"/>
                    <w:adjustRightInd/>
                    <w:spacing w:before="0" w:after="0" w:line="300" w:lineRule="atLeast"/>
                    <w:jc w:val="center"/>
                    <w:rPr>
                      <w:sz w:val="21"/>
                      <w:szCs w:val="21"/>
                    </w:rPr>
                  </w:pPr>
                  <w:r>
                    <w:rPr>
                      <w:rFonts w:hint="eastAsia"/>
                      <w:sz w:val="21"/>
                      <w:szCs w:val="21"/>
                    </w:rPr>
                    <w:t>4</w:t>
                  </w:r>
                </w:p>
              </w:tc>
              <w:tc>
                <w:tcPr>
                  <w:tcW w:w="2324" w:type="dxa"/>
                  <w:tcBorders>
                    <w:tl2br w:val="nil"/>
                    <w:tr2bl w:val="nil"/>
                  </w:tcBorders>
                  <w:vAlign w:val="center"/>
                </w:tcPr>
                <w:p>
                  <w:pPr>
                    <w:jc w:val="center"/>
                    <w:rPr>
                      <w:rFonts w:hint="eastAsia" w:eastAsia="宋体"/>
                      <w:szCs w:val="21"/>
                      <w:lang w:eastAsia="zh-CN"/>
                    </w:rPr>
                  </w:pPr>
                  <w:r>
                    <w:rPr>
                      <w:rFonts w:hint="eastAsia"/>
                      <w:szCs w:val="21"/>
                      <w:lang w:eastAsia="zh-CN"/>
                    </w:rPr>
                    <w:t>圆锥破碎机</w:t>
                  </w:r>
                </w:p>
              </w:tc>
              <w:tc>
                <w:tcPr>
                  <w:tcW w:w="1492" w:type="dxa"/>
                  <w:tcBorders>
                    <w:tl2br w:val="nil"/>
                    <w:tr2bl w:val="nil"/>
                  </w:tcBorders>
                  <w:vAlign w:val="center"/>
                </w:tcPr>
                <w:p>
                  <w:pPr>
                    <w:pStyle w:val="125"/>
                    <w:adjustRightInd/>
                    <w:spacing w:before="0" w:after="0" w:line="300" w:lineRule="atLeast"/>
                    <w:jc w:val="center"/>
                    <w:rPr>
                      <w:rFonts w:hint="eastAsia" w:eastAsia="宋体"/>
                      <w:sz w:val="21"/>
                      <w:szCs w:val="21"/>
                      <w:lang w:val="en-US" w:eastAsia="zh-CN"/>
                    </w:rPr>
                  </w:pPr>
                  <w:r>
                    <w:rPr>
                      <w:rFonts w:hint="eastAsia"/>
                      <w:sz w:val="21"/>
                      <w:szCs w:val="21"/>
                      <w:lang w:val="en-US" w:eastAsia="zh-CN"/>
                    </w:rPr>
                    <w:t>1</w:t>
                  </w:r>
                </w:p>
              </w:tc>
              <w:tc>
                <w:tcPr>
                  <w:tcW w:w="1883" w:type="dxa"/>
                  <w:tcBorders>
                    <w:tl2br w:val="nil"/>
                    <w:tr2bl w:val="nil"/>
                  </w:tcBorders>
                  <w:vAlign w:val="center"/>
                </w:tcPr>
                <w:p>
                  <w:pPr>
                    <w:jc w:val="center"/>
                    <w:rPr>
                      <w:rFonts w:hint="eastAsia" w:eastAsia="宋体"/>
                      <w:kern w:val="0"/>
                      <w:szCs w:val="21"/>
                      <w:lang w:val="en-US" w:eastAsia="zh-CN"/>
                    </w:rPr>
                  </w:pPr>
                  <w:r>
                    <w:rPr>
                      <w:rFonts w:hint="eastAsia"/>
                      <w:kern w:val="0"/>
                      <w:szCs w:val="21"/>
                      <w:lang w:val="en-US" w:eastAsia="zh-CN"/>
                    </w:rPr>
                    <w:t>95</w:t>
                  </w:r>
                </w:p>
              </w:tc>
              <w:tc>
                <w:tcPr>
                  <w:tcW w:w="1177" w:type="dxa"/>
                  <w:tcBorders>
                    <w:tl2br w:val="nil"/>
                    <w:tr2bl w:val="nil"/>
                  </w:tcBorders>
                  <w:vAlign w:val="center"/>
                </w:tcPr>
                <w:p>
                  <w:pPr>
                    <w:pStyle w:val="125"/>
                    <w:adjustRightInd/>
                    <w:spacing w:before="0" w:after="0" w:line="300" w:lineRule="atLeast"/>
                    <w:jc w:val="center"/>
                    <w:rPr>
                      <w:sz w:val="21"/>
                      <w:szCs w:val="21"/>
                    </w:rPr>
                  </w:pPr>
                  <w:r>
                    <w:rPr>
                      <w:sz w:val="21"/>
                      <w:szCs w:val="21"/>
                    </w:rPr>
                    <w:t>室内</w:t>
                  </w:r>
                </w:p>
              </w:tc>
              <w:tc>
                <w:tcPr>
                  <w:tcW w:w="1124" w:type="dxa"/>
                  <w:tcBorders>
                    <w:tl2br w:val="nil"/>
                    <w:tr2bl w:val="nil"/>
                  </w:tcBorders>
                  <w:vAlign w:val="center"/>
                </w:tcPr>
                <w:p>
                  <w:pPr>
                    <w:pStyle w:val="125"/>
                    <w:adjustRightInd/>
                    <w:spacing w:before="0" w:after="0" w:line="300" w:lineRule="atLeast"/>
                    <w:jc w:val="center"/>
                    <w:rPr>
                      <w:sz w:val="21"/>
                      <w:szCs w:val="21"/>
                    </w:rPr>
                  </w:pPr>
                  <w:r>
                    <w:rPr>
                      <w:rFonts w:hint="eastAsia"/>
                      <w:sz w:val="21"/>
                      <w:szCs w:val="21"/>
                      <w:lang w:eastAsia="zh-CN"/>
                    </w:rPr>
                    <w:t>连续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4" w:type="dxa"/>
                  <w:tcBorders>
                    <w:tl2br w:val="nil"/>
                    <w:tr2bl w:val="nil"/>
                  </w:tcBorders>
                  <w:vAlign w:val="center"/>
                </w:tcPr>
                <w:p>
                  <w:pPr>
                    <w:pStyle w:val="125"/>
                    <w:adjustRightInd/>
                    <w:spacing w:before="0" w:after="0" w:line="300" w:lineRule="atLeast"/>
                    <w:jc w:val="center"/>
                    <w:rPr>
                      <w:sz w:val="21"/>
                      <w:szCs w:val="21"/>
                    </w:rPr>
                  </w:pPr>
                  <w:r>
                    <w:rPr>
                      <w:rFonts w:hint="eastAsia"/>
                      <w:sz w:val="21"/>
                      <w:szCs w:val="21"/>
                    </w:rPr>
                    <w:t>5</w:t>
                  </w:r>
                </w:p>
              </w:tc>
              <w:tc>
                <w:tcPr>
                  <w:tcW w:w="2324" w:type="dxa"/>
                  <w:tcBorders>
                    <w:tl2br w:val="nil"/>
                    <w:tr2bl w:val="nil"/>
                  </w:tcBorders>
                  <w:vAlign w:val="center"/>
                </w:tcPr>
                <w:p>
                  <w:pPr>
                    <w:jc w:val="center"/>
                    <w:rPr>
                      <w:rFonts w:hint="eastAsia" w:eastAsia="宋体"/>
                      <w:szCs w:val="21"/>
                      <w:lang w:eastAsia="zh-CN"/>
                    </w:rPr>
                  </w:pPr>
                  <w:r>
                    <w:rPr>
                      <w:rFonts w:hint="eastAsia"/>
                      <w:szCs w:val="21"/>
                      <w:lang w:eastAsia="zh-CN"/>
                    </w:rPr>
                    <w:t>砖机</w:t>
                  </w:r>
                </w:p>
              </w:tc>
              <w:tc>
                <w:tcPr>
                  <w:tcW w:w="1492" w:type="dxa"/>
                  <w:tcBorders>
                    <w:tl2br w:val="nil"/>
                    <w:tr2bl w:val="nil"/>
                  </w:tcBorders>
                  <w:vAlign w:val="center"/>
                </w:tcPr>
                <w:p>
                  <w:pPr>
                    <w:pStyle w:val="125"/>
                    <w:adjustRightInd/>
                    <w:spacing w:before="0" w:after="0" w:line="300" w:lineRule="atLeast"/>
                    <w:jc w:val="center"/>
                    <w:rPr>
                      <w:rFonts w:hint="eastAsia" w:eastAsia="宋体"/>
                      <w:sz w:val="21"/>
                      <w:szCs w:val="21"/>
                      <w:lang w:val="en-US" w:eastAsia="zh-CN"/>
                    </w:rPr>
                  </w:pPr>
                  <w:r>
                    <w:rPr>
                      <w:rFonts w:hint="eastAsia"/>
                      <w:sz w:val="21"/>
                      <w:szCs w:val="21"/>
                      <w:lang w:val="en-US" w:eastAsia="zh-CN"/>
                    </w:rPr>
                    <w:t>1</w:t>
                  </w:r>
                </w:p>
              </w:tc>
              <w:tc>
                <w:tcPr>
                  <w:tcW w:w="1883" w:type="dxa"/>
                  <w:tcBorders>
                    <w:tl2br w:val="nil"/>
                    <w:tr2bl w:val="nil"/>
                  </w:tcBorders>
                  <w:vAlign w:val="center"/>
                </w:tcPr>
                <w:p>
                  <w:pPr>
                    <w:jc w:val="center"/>
                    <w:rPr>
                      <w:rFonts w:hint="eastAsia" w:eastAsia="宋体"/>
                      <w:kern w:val="0"/>
                      <w:szCs w:val="21"/>
                      <w:lang w:val="en-US" w:eastAsia="zh-CN"/>
                    </w:rPr>
                  </w:pPr>
                  <w:r>
                    <w:rPr>
                      <w:rFonts w:hint="eastAsia"/>
                      <w:kern w:val="0"/>
                      <w:szCs w:val="21"/>
                      <w:lang w:val="en-US" w:eastAsia="zh-CN"/>
                    </w:rPr>
                    <w:t>85</w:t>
                  </w:r>
                </w:p>
              </w:tc>
              <w:tc>
                <w:tcPr>
                  <w:tcW w:w="1177" w:type="dxa"/>
                  <w:tcBorders>
                    <w:tl2br w:val="nil"/>
                    <w:tr2bl w:val="nil"/>
                  </w:tcBorders>
                  <w:vAlign w:val="center"/>
                </w:tcPr>
                <w:p>
                  <w:pPr>
                    <w:pStyle w:val="125"/>
                    <w:adjustRightInd/>
                    <w:spacing w:before="0" w:after="0" w:line="300" w:lineRule="atLeast"/>
                    <w:jc w:val="center"/>
                    <w:rPr>
                      <w:sz w:val="21"/>
                      <w:szCs w:val="21"/>
                    </w:rPr>
                  </w:pPr>
                  <w:r>
                    <w:rPr>
                      <w:sz w:val="21"/>
                      <w:szCs w:val="21"/>
                    </w:rPr>
                    <w:t>室内</w:t>
                  </w:r>
                </w:p>
              </w:tc>
              <w:tc>
                <w:tcPr>
                  <w:tcW w:w="1124" w:type="dxa"/>
                  <w:tcBorders>
                    <w:tl2br w:val="nil"/>
                    <w:tr2bl w:val="nil"/>
                  </w:tcBorders>
                  <w:vAlign w:val="center"/>
                </w:tcPr>
                <w:p>
                  <w:pPr>
                    <w:pStyle w:val="125"/>
                    <w:adjustRightInd/>
                    <w:spacing w:before="0" w:after="0" w:line="300" w:lineRule="atLeast"/>
                    <w:jc w:val="center"/>
                    <w:rPr>
                      <w:sz w:val="21"/>
                      <w:szCs w:val="21"/>
                    </w:rPr>
                  </w:pPr>
                  <w:r>
                    <w:rPr>
                      <w:rFonts w:hint="eastAsia"/>
                      <w:sz w:val="21"/>
                      <w:szCs w:val="21"/>
                      <w:lang w:eastAsia="zh-CN"/>
                    </w:rPr>
                    <w:t>连续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84" w:type="dxa"/>
                  <w:tcBorders>
                    <w:tl2br w:val="nil"/>
                    <w:tr2bl w:val="nil"/>
                  </w:tcBorders>
                  <w:vAlign w:val="center"/>
                </w:tcPr>
                <w:p>
                  <w:pPr>
                    <w:pStyle w:val="125"/>
                    <w:adjustRightInd/>
                    <w:spacing w:before="0" w:after="0" w:line="300" w:lineRule="atLeast"/>
                    <w:jc w:val="center"/>
                    <w:rPr>
                      <w:rFonts w:hint="eastAsia" w:eastAsia="宋体"/>
                      <w:sz w:val="21"/>
                      <w:szCs w:val="21"/>
                      <w:lang w:val="en-US" w:eastAsia="zh-CN"/>
                    </w:rPr>
                  </w:pPr>
                  <w:r>
                    <w:rPr>
                      <w:rFonts w:hint="eastAsia"/>
                      <w:sz w:val="21"/>
                      <w:szCs w:val="21"/>
                      <w:lang w:val="en-US" w:eastAsia="zh-CN"/>
                    </w:rPr>
                    <w:t>6</w:t>
                  </w:r>
                </w:p>
              </w:tc>
              <w:tc>
                <w:tcPr>
                  <w:tcW w:w="2324" w:type="dxa"/>
                  <w:tcBorders>
                    <w:tl2br w:val="nil"/>
                    <w:tr2bl w:val="nil"/>
                  </w:tcBorders>
                  <w:vAlign w:val="center"/>
                </w:tcPr>
                <w:p>
                  <w:pPr>
                    <w:jc w:val="center"/>
                    <w:rPr>
                      <w:rFonts w:hint="eastAsia"/>
                      <w:szCs w:val="21"/>
                      <w:lang w:eastAsia="zh-CN"/>
                    </w:rPr>
                  </w:pPr>
                  <w:r>
                    <w:rPr>
                      <w:rFonts w:hint="eastAsia"/>
                      <w:szCs w:val="21"/>
                      <w:lang w:eastAsia="zh-CN"/>
                    </w:rPr>
                    <w:t>水泥罐车</w:t>
                  </w:r>
                </w:p>
              </w:tc>
              <w:tc>
                <w:tcPr>
                  <w:tcW w:w="1492" w:type="dxa"/>
                  <w:tcBorders>
                    <w:tl2br w:val="nil"/>
                    <w:tr2bl w:val="nil"/>
                  </w:tcBorders>
                  <w:vAlign w:val="center"/>
                </w:tcPr>
                <w:p>
                  <w:pPr>
                    <w:pStyle w:val="125"/>
                    <w:adjustRightInd/>
                    <w:spacing w:before="0" w:after="0" w:line="300" w:lineRule="atLeast"/>
                    <w:jc w:val="center"/>
                    <w:rPr>
                      <w:rFonts w:hint="eastAsia"/>
                      <w:sz w:val="21"/>
                      <w:szCs w:val="21"/>
                      <w:lang w:val="en-US" w:eastAsia="zh-CN"/>
                    </w:rPr>
                  </w:pPr>
                  <w:r>
                    <w:rPr>
                      <w:rFonts w:hint="eastAsia"/>
                      <w:sz w:val="21"/>
                      <w:szCs w:val="21"/>
                      <w:lang w:val="en-US" w:eastAsia="zh-CN"/>
                    </w:rPr>
                    <w:t>2</w:t>
                  </w:r>
                </w:p>
              </w:tc>
              <w:tc>
                <w:tcPr>
                  <w:tcW w:w="1883" w:type="dxa"/>
                  <w:tcBorders>
                    <w:tl2br w:val="nil"/>
                    <w:tr2bl w:val="nil"/>
                  </w:tcBorders>
                  <w:vAlign w:val="center"/>
                </w:tcPr>
                <w:p>
                  <w:pPr>
                    <w:jc w:val="center"/>
                    <w:rPr>
                      <w:rFonts w:hint="eastAsia"/>
                      <w:kern w:val="0"/>
                      <w:szCs w:val="21"/>
                      <w:lang w:val="en-US" w:eastAsia="zh-CN"/>
                    </w:rPr>
                  </w:pPr>
                  <w:r>
                    <w:rPr>
                      <w:rFonts w:hint="eastAsia"/>
                      <w:kern w:val="0"/>
                      <w:szCs w:val="21"/>
                      <w:lang w:val="en-US" w:eastAsia="zh-CN"/>
                    </w:rPr>
                    <w:t>85</w:t>
                  </w:r>
                </w:p>
              </w:tc>
              <w:tc>
                <w:tcPr>
                  <w:tcW w:w="1177" w:type="dxa"/>
                  <w:tcBorders>
                    <w:tl2br w:val="nil"/>
                    <w:tr2bl w:val="nil"/>
                  </w:tcBorders>
                  <w:vAlign w:val="center"/>
                </w:tcPr>
                <w:p>
                  <w:pPr>
                    <w:pStyle w:val="125"/>
                    <w:adjustRightInd/>
                    <w:spacing w:before="0" w:after="0" w:line="300" w:lineRule="atLeast"/>
                    <w:jc w:val="center"/>
                    <w:rPr>
                      <w:rFonts w:hint="eastAsia" w:eastAsia="宋体"/>
                      <w:sz w:val="21"/>
                      <w:szCs w:val="21"/>
                      <w:lang w:eastAsia="zh-CN"/>
                    </w:rPr>
                  </w:pPr>
                  <w:r>
                    <w:rPr>
                      <w:rFonts w:hint="eastAsia"/>
                      <w:sz w:val="21"/>
                      <w:szCs w:val="21"/>
                      <w:lang w:eastAsia="zh-CN"/>
                    </w:rPr>
                    <w:t>室内</w:t>
                  </w:r>
                </w:p>
              </w:tc>
              <w:tc>
                <w:tcPr>
                  <w:tcW w:w="1124" w:type="dxa"/>
                  <w:tcBorders>
                    <w:tl2br w:val="nil"/>
                    <w:tr2bl w:val="nil"/>
                  </w:tcBorders>
                  <w:vAlign w:val="center"/>
                </w:tcPr>
                <w:p>
                  <w:pPr>
                    <w:pStyle w:val="125"/>
                    <w:adjustRightInd/>
                    <w:spacing w:before="0" w:after="0" w:line="300" w:lineRule="atLeast"/>
                    <w:jc w:val="center"/>
                    <w:rPr>
                      <w:rFonts w:hint="eastAsia"/>
                      <w:sz w:val="21"/>
                      <w:szCs w:val="21"/>
                      <w:lang w:eastAsia="zh-CN"/>
                    </w:rPr>
                  </w:pPr>
                  <w:r>
                    <w:rPr>
                      <w:rFonts w:hint="eastAsia"/>
                      <w:sz w:val="21"/>
                      <w:szCs w:val="21"/>
                      <w:lang w:eastAsia="zh-CN"/>
                    </w:rPr>
                    <w:t>连续</w:t>
                  </w:r>
                </w:p>
              </w:tc>
            </w:tr>
          </w:tbl>
          <w:p>
            <w:pPr>
              <w:numPr>
                <w:ilvl w:val="0"/>
                <w:numId w:val="11"/>
              </w:numPr>
              <w:spacing w:line="360" w:lineRule="auto"/>
              <w:ind w:firstLine="480" w:firstLineChars="0"/>
              <w:rPr>
                <w:color w:val="auto"/>
                <w:sz w:val="24"/>
              </w:rPr>
            </w:pPr>
            <w:r>
              <w:rPr>
                <w:color w:val="auto"/>
                <w:sz w:val="24"/>
              </w:rPr>
              <w:t>预测结果及分析</w:t>
            </w:r>
          </w:p>
          <w:p>
            <w:pPr>
              <w:spacing w:line="360" w:lineRule="auto"/>
              <w:ind w:firstLine="480" w:firstLineChars="200"/>
              <w:rPr>
                <w:b/>
                <w:bCs/>
                <w:color w:val="auto"/>
                <w:sz w:val="24"/>
                <w:szCs w:val="24"/>
              </w:rPr>
            </w:pPr>
            <w:r>
              <w:rPr>
                <w:color w:val="auto"/>
                <w:sz w:val="24"/>
              </w:rPr>
              <w:t>噪声影响预测结果见表</w:t>
            </w:r>
            <w:r>
              <w:rPr>
                <w:rFonts w:hint="eastAsia"/>
                <w:color w:val="auto"/>
                <w:sz w:val="24"/>
                <w:lang w:val="en-US" w:eastAsia="zh-CN"/>
              </w:rPr>
              <w:t>23</w:t>
            </w:r>
            <w:r>
              <w:rPr>
                <w:color w:val="auto"/>
                <w:sz w:val="24"/>
              </w:rPr>
              <w:t>。</w:t>
            </w:r>
          </w:p>
          <w:p>
            <w:pPr>
              <w:jc w:val="center"/>
              <w:rPr>
                <w:b/>
                <w:bCs/>
                <w:color w:val="auto"/>
                <w:sz w:val="24"/>
                <w:szCs w:val="24"/>
              </w:rPr>
            </w:pPr>
            <w:r>
              <w:rPr>
                <w:b/>
                <w:bCs/>
                <w:color w:val="auto"/>
                <w:sz w:val="24"/>
                <w:szCs w:val="24"/>
              </w:rPr>
              <w:t>表</w:t>
            </w:r>
            <w:r>
              <w:rPr>
                <w:rFonts w:hint="eastAsia"/>
                <w:b/>
                <w:bCs/>
                <w:color w:val="auto"/>
                <w:sz w:val="24"/>
                <w:szCs w:val="24"/>
                <w:lang w:val="en-US" w:eastAsia="zh-CN"/>
              </w:rPr>
              <w:t>23</w:t>
            </w:r>
            <w:r>
              <w:rPr>
                <w:rFonts w:hint="eastAsia"/>
                <w:b/>
                <w:bCs/>
                <w:color w:val="auto"/>
                <w:sz w:val="24"/>
                <w:szCs w:val="24"/>
              </w:rPr>
              <w:t xml:space="preserve"> </w:t>
            </w:r>
            <w:r>
              <w:rPr>
                <w:b/>
                <w:bCs/>
                <w:color w:val="auto"/>
                <w:sz w:val="24"/>
                <w:szCs w:val="24"/>
              </w:rPr>
              <w:t xml:space="preserve"> 建设项目厂界噪声预测结果  单位：dB（A）</w:t>
            </w:r>
          </w:p>
          <w:tbl>
            <w:tblPr>
              <w:tblStyle w:val="34"/>
              <w:tblW w:w="89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310"/>
              <w:gridCol w:w="2621"/>
              <w:gridCol w:w="26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3741" w:type="dxa"/>
                  <w:gridSpan w:val="2"/>
                  <w:vMerge w:val="restart"/>
                  <w:vAlign w:val="center"/>
                </w:tcPr>
                <w:p>
                  <w:pPr>
                    <w:spacing w:line="264" w:lineRule="auto"/>
                    <w:jc w:val="center"/>
                    <w:rPr>
                      <w:color w:val="000000"/>
                      <w:szCs w:val="21"/>
                    </w:rPr>
                  </w:pPr>
                  <w:r>
                    <w:rPr>
                      <w:color w:val="000000"/>
                      <w:szCs w:val="21"/>
                    </w:rPr>
                    <w:t>评价点</w:t>
                  </w:r>
                </w:p>
                <w:p>
                  <w:pPr>
                    <w:spacing w:line="264" w:lineRule="auto"/>
                    <w:jc w:val="center"/>
                    <w:rPr>
                      <w:color w:val="000000"/>
                      <w:szCs w:val="21"/>
                    </w:rPr>
                  </w:pPr>
                  <w:r>
                    <w:rPr>
                      <w:color w:val="000000"/>
                      <w:szCs w:val="21"/>
                    </w:rPr>
                    <w:t>位置</w:t>
                  </w:r>
                </w:p>
              </w:tc>
              <w:tc>
                <w:tcPr>
                  <w:tcW w:w="5243" w:type="dxa"/>
                  <w:gridSpan w:val="2"/>
                  <w:vAlign w:val="center"/>
                </w:tcPr>
                <w:p>
                  <w:pPr>
                    <w:spacing w:line="264" w:lineRule="auto"/>
                    <w:jc w:val="center"/>
                    <w:rPr>
                      <w:color w:val="000000"/>
                      <w:szCs w:val="21"/>
                    </w:rPr>
                  </w:pPr>
                  <w:r>
                    <w:rPr>
                      <w:color w:val="000000"/>
                      <w:szCs w:val="21"/>
                    </w:rPr>
                    <w:t>噪声贡献值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3741" w:type="dxa"/>
                  <w:gridSpan w:val="2"/>
                  <w:vMerge w:val="continue"/>
                  <w:vAlign w:val="center"/>
                </w:tcPr>
                <w:p>
                  <w:pPr>
                    <w:spacing w:line="264" w:lineRule="auto"/>
                    <w:jc w:val="center"/>
                    <w:rPr>
                      <w:color w:val="000000"/>
                      <w:szCs w:val="21"/>
                    </w:rPr>
                  </w:pPr>
                </w:p>
              </w:tc>
              <w:tc>
                <w:tcPr>
                  <w:tcW w:w="2621" w:type="dxa"/>
                  <w:vAlign w:val="center"/>
                </w:tcPr>
                <w:p>
                  <w:pPr>
                    <w:spacing w:line="264" w:lineRule="auto"/>
                    <w:jc w:val="center"/>
                    <w:rPr>
                      <w:color w:val="000000"/>
                      <w:szCs w:val="21"/>
                    </w:rPr>
                  </w:pPr>
                  <w:r>
                    <w:rPr>
                      <w:color w:val="000000"/>
                      <w:szCs w:val="21"/>
                    </w:rPr>
                    <w:t>昼间</w:t>
                  </w:r>
                </w:p>
              </w:tc>
              <w:tc>
                <w:tcPr>
                  <w:tcW w:w="2622" w:type="dxa"/>
                  <w:vAlign w:val="center"/>
                </w:tcPr>
                <w:p>
                  <w:pPr>
                    <w:spacing w:line="264" w:lineRule="auto"/>
                    <w:jc w:val="center"/>
                    <w:rPr>
                      <w:color w:val="000000"/>
                      <w:szCs w:val="21"/>
                    </w:rPr>
                  </w:pPr>
                  <w:r>
                    <w:rPr>
                      <w:color w:val="000000"/>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431" w:type="dxa"/>
                  <w:vAlign w:val="center"/>
                </w:tcPr>
                <w:p>
                  <w:pPr>
                    <w:spacing w:line="264" w:lineRule="auto"/>
                    <w:jc w:val="center"/>
                    <w:rPr>
                      <w:color w:val="000000"/>
                      <w:szCs w:val="21"/>
                    </w:rPr>
                  </w:pPr>
                  <w:r>
                    <w:rPr>
                      <w:rFonts w:hint="eastAsia"/>
                      <w:color w:val="000000"/>
                      <w:szCs w:val="21"/>
                    </w:rPr>
                    <w:t>东</w:t>
                  </w:r>
                  <w:r>
                    <w:rPr>
                      <w:color w:val="000000"/>
                      <w:szCs w:val="21"/>
                    </w:rPr>
                    <w:t>厂界</w:t>
                  </w:r>
                </w:p>
              </w:tc>
              <w:tc>
                <w:tcPr>
                  <w:tcW w:w="1310" w:type="dxa"/>
                  <w:vAlign w:val="center"/>
                </w:tcPr>
                <w:p>
                  <w:pPr>
                    <w:spacing w:line="264" w:lineRule="auto"/>
                    <w:jc w:val="center"/>
                    <w:rPr>
                      <w:color w:val="000000"/>
                      <w:szCs w:val="21"/>
                    </w:rPr>
                  </w:pPr>
                  <w:r>
                    <w:rPr>
                      <w:color w:val="000000"/>
                      <w:szCs w:val="21"/>
                    </w:rPr>
                    <w:t>1#</w:t>
                  </w:r>
                </w:p>
              </w:tc>
              <w:tc>
                <w:tcPr>
                  <w:tcW w:w="2621" w:type="dxa"/>
                  <w:vAlign w:val="center"/>
                </w:tcPr>
                <w:p>
                  <w:pPr>
                    <w:spacing w:line="264" w:lineRule="auto"/>
                    <w:jc w:val="center"/>
                    <w:rPr>
                      <w:rFonts w:hint="eastAsia"/>
                      <w:color w:val="000000"/>
                      <w:szCs w:val="21"/>
                      <w:lang w:val="en-US" w:eastAsia="zh-CN"/>
                    </w:rPr>
                  </w:pPr>
                  <w:r>
                    <w:rPr>
                      <w:rFonts w:hint="eastAsia"/>
                      <w:color w:val="000000"/>
                      <w:szCs w:val="21"/>
                      <w:lang w:val="en-US" w:eastAsia="zh-CN"/>
                    </w:rPr>
                    <w:t>43.7</w:t>
                  </w:r>
                </w:p>
              </w:tc>
              <w:tc>
                <w:tcPr>
                  <w:tcW w:w="2622" w:type="dxa"/>
                  <w:vAlign w:val="center"/>
                </w:tcPr>
                <w:p>
                  <w:pPr>
                    <w:spacing w:line="264" w:lineRule="auto"/>
                    <w:jc w:val="center"/>
                    <w:rPr>
                      <w:rFonts w:hint="eastAsia"/>
                      <w:color w:val="000000"/>
                      <w:szCs w:val="21"/>
                      <w:highlight w:val="none"/>
                      <w:lang w:val="en-US" w:eastAsia="zh-CN"/>
                    </w:rPr>
                  </w:pPr>
                  <w:r>
                    <w:rPr>
                      <w:rFonts w:hint="eastAsia"/>
                      <w:color w:val="000000"/>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431" w:type="dxa"/>
                  <w:vAlign w:val="center"/>
                </w:tcPr>
                <w:p>
                  <w:pPr>
                    <w:spacing w:line="264" w:lineRule="auto"/>
                    <w:jc w:val="center"/>
                    <w:rPr>
                      <w:color w:val="000000"/>
                      <w:szCs w:val="21"/>
                    </w:rPr>
                  </w:pPr>
                  <w:r>
                    <w:rPr>
                      <w:rFonts w:hint="eastAsia"/>
                      <w:color w:val="000000"/>
                      <w:szCs w:val="21"/>
                    </w:rPr>
                    <w:t>南</w:t>
                  </w:r>
                  <w:r>
                    <w:rPr>
                      <w:color w:val="000000"/>
                      <w:szCs w:val="21"/>
                    </w:rPr>
                    <w:t>厂界</w:t>
                  </w:r>
                </w:p>
              </w:tc>
              <w:tc>
                <w:tcPr>
                  <w:tcW w:w="1310" w:type="dxa"/>
                  <w:vAlign w:val="center"/>
                </w:tcPr>
                <w:p>
                  <w:pPr>
                    <w:spacing w:line="264" w:lineRule="auto"/>
                    <w:jc w:val="center"/>
                    <w:rPr>
                      <w:color w:val="000000"/>
                      <w:szCs w:val="21"/>
                    </w:rPr>
                  </w:pPr>
                  <w:r>
                    <w:rPr>
                      <w:color w:val="000000"/>
                      <w:szCs w:val="21"/>
                    </w:rPr>
                    <w:t>2#</w:t>
                  </w:r>
                </w:p>
              </w:tc>
              <w:tc>
                <w:tcPr>
                  <w:tcW w:w="2621" w:type="dxa"/>
                  <w:vAlign w:val="center"/>
                </w:tcPr>
                <w:p>
                  <w:pPr>
                    <w:spacing w:line="264" w:lineRule="auto"/>
                    <w:jc w:val="center"/>
                    <w:rPr>
                      <w:rFonts w:hint="eastAsia" w:eastAsia="宋体"/>
                      <w:color w:val="000000"/>
                      <w:szCs w:val="21"/>
                      <w:lang w:val="en-US" w:eastAsia="zh-CN"/>
                    </w:rPr>
                  </w:pPr>
                  <w:r>
                    <w:rPr>
                      <w:rFonts w:hint="eastAsia"/>
                      <w:color w:val="000000"/>
                      <w:szCs w:val="21"/>
                      <w:lang w:val="en-US" w:eastAsia="zh-CN"/>
                    </w:rPr>
                    <w:t>56.8</w:t>
                  </w:r>
                </w:p>
              </w:tc>
              <w:tc>
                <w:tcPr>
                  <w:tcW w:w="2622" w:type="dxa"/>
                  <w:vAlign w:val="center"/>
                </w:tcPr>
                <w:p>
                  <w:pPr>
                    <w:spacing w:line="264" w:lineRule="auto"/>
                    <w:jc w:val="center"/>
                    <w:rPr>
                      <w:color w:val="000000"/>
                      <w:szCs w:val="21"/>
                      <w:highlight w:val="none"/>
                    </w:rPr>
                  </w:pPr>
                  <w:r>
                    <w:rPr>
                      <w:rFonts w:hint="eastAsia"/>
                      <w:color w:val="000000"/>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431" w:type="dxa"/>
                  <w:vAlign w:val="center"/>
                </w:tcPr>
                <w:p>
                  <w:pPr>
                    <w:spacing w:line="264" w:lineRule="auto"/>
                    <w:jc w:val="center"/>
                    <w:rPr>
                      <w:color w:val="000000"/>
                      <w:szCs w:val="21"/>
                    </w:rPr>
                  </w:pPr>
                  <w:r>
                    <w:rPr>
                      <w:rFonts w:hint="eastAsia"/>
                      <w:color w:val="000000"/>
                      <w:szCs w:val="21"/>
                    </w:rPr>
                    <w:t>西</w:t>
                  </w:r>
                  <w:r>
                    <w:rPr>
                      <w:color w:val="000000"/>
                      <w:szCs w:val="21"/>
                    </w:rPr>
                    <w:t>厂界</w:t>
                  </w:r>
                </w:p>
              </w:tc>
              <w:tc>
                <w:tcPr>
                  <w:tcW w:w="1310" w:type="dxa"/>
                  <w:vAlign w:val="center"/>
                </w:tcPr>
                <w:p>
                  <w:pPr>
                    <w:spacing w:line="264" w:lineRule="auto"/>
                    <w:jc w:val="center"/>
                    <w:rPr>
                      <w:color w:val="000000"/>
                      <w:szCs w:val="21"/>
                    </w:rPr>
                  </w:pPr>
                  <w:r>
                    <w:rPr>
                      <w:color w:val="000000"/>
                      <w:szCs w:val="21"/>
                    </w:rPr>
                    <w:t>3#</w:t>
                  </w:r>
                </w:p>
              </w:tc>
              <w:tc>
                <w:tcPr>
                  <w:tcW w:w="2621" w:type="dxa"/>
                  <w:vAlign w:val="center"/>
                </w:tcPr>
                <w:p>
                  <w:pPr>
                    <w:jc w:val="center"/>
                    <w:rPr>
                      <w:rFonts w:hint="eastAsia" w:eastAsia="宋体"/>
                      <w:color w:val="000000"/>
                      <w:szCs w:val="21"/>
                      <w:lang w:val="en-US" w:eastAsia="zh-CN"/>
                    </w:rPr>
                  </w:pPr>
                  <w:r>
                    <w:rPr>
                      <w:rFonts w:hint="eastAsia"/>
                      <w:color w:val="000000"/>
                      <w:szCs w:val="21"/>
                      <w:lang w:val="en-US" w:eastAsia="zh-CN"/>
                    </w:rPr>
                    <w:t>45.1</w:t>
                  </w:r>
                </w:p>
              </w:tc>
              <w:tc>
                <w:tcPr>
                  <w:tcW w:w="2622" w:type="dxa"/>
                  <w:vAlign w:val="center"/>
                </w:tcPr>
                <w:p>
                  <w:pPr>
                    <w:jc w:val="center"/>
                    <w:rPr>
                      <w:color w:val="000000"/>
                      <w:szCs w:val="21"/>
                      <w:highlight w:val="none"/>
                    </w:rPr>
                  </w:pPr>
                  <w:r>
                    <w:rPr>
                      <w:rFonts w:hint="eastAsia"/>
                      <w:color w:val="000000"/>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431" w:type="dxa"/>
                  <w:vAlign w:val="center"/>
                </w:tcPr>
                <w:p>
                  <w:pPr>
                    <w:spacing w:line="264" w:lineRule="auto"/>
                    <w:jc w:val="center"/>
                    <w:rPr>
                      <w:color w:val="000000"/>
                      <w:szCs w:val="21"/>
                    </w:rPr>
                  </w:pPr>
                  <w:r>
                    <w:rPr>
                      <w:rFonts w:hint="eastAsia"/>
                      <w:color w:val="000000"/>
                      <w:szCs w:val="21"/>
                    </w:rPr>
                    <w:t>北</w:t>
                  </w:r>
                  <w:r>
                    <w:rPr>
                      <w:color w:val="000000"/>
                      <w:szCs w:val="21"/>
                    </w:rPr>
                    <w:t>厂界</w:t>
                  </w:r>
                </w:p>
              </w:tc>
              <w:tc>
                <w:tcPr>
                  <w:tcW w:w="1310" w:type="dxa"/>
                  <w:vAlign w:val="center"/>
                </w:tcPr>
                <w:p>
                  <w:pPr>
                    <w:spacing w:line="264" w:lineRule="auto"/>
                    <w:jc w:val="center"/>
                    <w:rPr>
                      <w:color w:val="000000"/>
                      <w:szCs w:val="21"/>
                    </w:rPr>
                  </w:pPr>
                  <w:r>
                    <w:rPr>
                      <w:color w:val="000000"/>
                      <w:szCs w:val="21"/>
                    </w:rPr>
                    <w:t>4#</w:t>
                  </w:r>
                </w:p>
              </w:tc>
              <w:tc>
                <w:tcPr>
                  <w:tcW w:w="2621" w:type="dxa"/>
                  <w:vAlign w:val="center"/>
                </w:tcPr>
                <w:p>
                  <w:pPr>
                    <w:spacing w:line="264" w:lineRule="auto"/>
                    <w:jc w:val="center"/>
                    <w:rPr>
                      <w:rFonts w:hint="eastAsia" w:eastAsia="宋体"/>
                      <w:color w:val="000000"/>
                      <w:szCs w:val="21"/>
                      <w:lang w:val="en-US" w:eastAsia="zh-CN"/>
                    </w:rPr>
                  </w:pPr>
                  <w:r>
                    <w:rPr>
                      <w:rFonts w:hint="eastAsia"/>
                      <w:color w:val="000000"/>
                      <w:szCs w:val="21"/>
                      <w:lang w:val="en-US" w:eastAsia="zh-CN"/>
                    </w:rPr>
                    <w:t>47.1</w:t>
                  </w:r>
                </w:p>
              </w:tc>
              <w:tc>
                <w:tcPr>
                  <w:tcW w:w="2622" w:type="dxa"/>
                  <w:vAlign w:val="center"/>
                </w:tcPr>
                <w:p>
                  <w:pPr>
                    <w:spacing w:line="264" w:lineRule="auto"/>
                    <w:jc w:val="center"/>
                    <w:rPr>
                      <w:color w:val="000000"/>
                      <w:szCs w:val="21"/>
                    </w:rPr>
                  </w:pPr>
                  <w:r>
                    <w:rPr>
                      <w:rFonts w:hint="eastAsia"/>
                      <w:color w:val="000000"/>
                      <w:szCs w:val="21"/>
                      <w:lang w:val="en-US" w:eastAsia="zh-CN"/>
                    </w:rPr>
                    <w:t>0</w:t>
                  </w:r>
                </w:p>
              </w:tc>
            </w:tr>
          </w:tbl>
          <w:p>
            <w:pPr>
              <w:autoSpaceDN w:val="0"/>
              <w:spacing w:line="360" w:lineRule="auto"/>
              <w:ind w:firstLine="480" w:firstLineChars="200"/>
              <w:rPr>
                <w:color w:val="auto"/>
              </w:rPr>
            </w:pPr>
            <w:r>
              <w:rPr>
                <w:rFonts w:hint="eastAsia" w:ascii="Times New Roman" w:hAnsi="宋体"/>
                <w:b w:val="0"/>
                <w:color w:val="000000"/>
                <w:kern w:val="2"/>
                <w:sz w:val="24"/>
                <w:szCs w:val="24"/>
                <w:lang w:val="en-US" w:eastAsia="zh-CN" w:bidi="ar-SA"/>
              </w:rPr>
              <w:t>由预测结果可知：采取隔声降噪措施后，项目营运期设备噪声经距离衰减后，噪声贡献值均可以达到《工业企业厂界环境噪声排放标准》（GB12348-2008）中的</w:t>
            </w:r>
            <w:r>
              <w:rPr>
                <w:rFonts w:hint="eastAsia" w:hAnsi="宋体"/>
                <w:b w:val="0"/>
                <w:color w:val="000000"/>
                <w:kern w:val="2"/>
                <w:sz w:val="24"/>
                <w:szCs w:val="24"/>
                <w:lang w:val="en-US" w:eastAsia="zh-CN" w:bidi="ar-SA"/>
              </w:rPr>
              <w:t>2</w:t>
            </w:r>
            <w:r>
              <w:rPr>
                <w:rFonts w:hint="eastAsia" w:ascii="Times New Roman" w:hAnsi="宋体"/>
                <w:b w:val="0"/>
                <w:color w:val="000000"/>
                <w:kern w:val="2"/>
                <w:sz w:val="24"/>
                <w:szCs w:val="24"/>
                <w:lang w:val="en-US" w:eastAsia="zh-CN" w:bidi="ar-SA"/>
              </w:rPr>
              <w:t>类标准要求，对周边声环境影响较小。</w:t>
            </w:r>
          </w:p>
          <w:p>
            <w:pPr>
              <w:adjustRightInd w:val="0"/>
              <w:spacing w:line="360" w:lineRule="auto"/>
              <w:ind w:firstLine="480" w:firstLineChars="200"/>
              <w:rPr>
                <w:sz w:val="24"/>
                <w:szCs w:val="24"/>
              </w:rPr>
            </w:pPr>
            <w:r>
              <w:rPr>
                <w:rFonts w:hint="eastAsia"/>
                <w:sz w:val="24"/>
                <w:szCs w:val="24"/>
              </w:rPr>
              <w:t>4</w:t>
            </w:r>
            <w:r>
              <w:rPr>
                <w:sz w:val="24"/>
                <w:szCs w:val="24"/>
              </w:rPr>
              <w:t>、固体废物环境影响分析</w:t>
            </w:r>
          </w:p>
          <w:p>
            <w:pPr>
              <w:spacing w:line="360" w:lineRule="auto"/>
              <w:ind w:firstLine="480" w:firstLineChars="200"/>
              <w:rPr>
                <w:rFonts w:hint="eastAsia" w:eastAsia="宋体"/>
                <w:lang w:val="en-US" w:eastAsia="zh-CN"/>
              </w:rPr>
            </w:pPr>
            <w:r>
              <w:rPr>
                <w:sz w:val="24"/>
                <w:szCs w:val="24"/>
              </w:rPr>
              <w:t>本项目</w:t>
            </w:r>
            <w:r>
              <w:rPr>
                <w:sz w:val="24"/>
              </w:rPr>
              <w:t>生产过程中产生的固体废物主要</w:t>
            </w:r>
            <w:r>
              <w:rPr>
                <w:rFonts w:hint="eastAsia"/>
                <w:sz w:val="24"/>
              </w:rPr>
              <w:t>为</w:t>
            </w:r>
            <w:r>
              <w:rPr>
                <w:rFonts w:hint="eastAsia"/>
                <w:sz w:val="24"/>
                <w:lang w:eastAsia="zh-CN"/>
              </w:rPr>
              <w:t>煤矸石、除尘器收集的粉尘、制砖震压成型产生的边角料、损坏的成品、设备维护产生的废机油及</w:t>
            </w:r>
            <w:r>
              <w:rPr>
                <w:sz w:val="24"/>
                <w:szCs w:val="24"/>
              </w:rPr>
              <w:t>职工产生的生活垃圾</w:t>
            </w:r>
            <w:r>
              <w:rPr>
                <w:rFonts w:hint="eastAsia"/>
                <w:sz w:val="24"/>
                <w:szCs w:val="24"/>
                <w:lang w:eastAsia="zh-CN"/>
              </w:rPr>
              <w:t>和废油脂</w:t>
            </w:r>
            <w:r>
              <w:rPr>
                <w:sz w:val="24"/>
                <w:szCs w:val="24"/>
              </w:rPr>
              <w:t>。</w:t>
            </w:r>
          </w:p>
          <w:p>
            <w:pPr>
              <w:spacing w:line="360" w:lineRule="auto"/>
              <w:ind w:firstLine="480" w:firstLineChars="200"/>
              <w:rPr>
                <w:rFonts w:hint="eastAsia"/>
                <w:lang w:val="en-US" w:eastAsia="zh-CN"/>
              </w:rPr>
            </w:pPr>
            <w:r>
              <w:rPr>
                <w:rFonts w:hint="eastAsia"/>
                <w:sz w:val="24"/>
                <w:szCs w:val="24"/>
                <w:lang w:eastAsia="zh-CN"/>
              </w:rPr>
              <w:t>项目洗选产生的煤矸石全部用作制砖工序原料，洗煤工段除尘器收集的粉尘与项目成品煤泥混合后外售，制砖生产线中破碎工段除尘器收集的粉尘回用制砖工艺生产过程，制砖震压成型产生的边角料全部回用于制砖生产，损坏的成品经过破碎回用于制砖生产。设备产生的废机油定点收集存放于危废暂存间内，定期委托有资质单位转运处置。</w:t>
            </w:r>
          </w:p>
          <w:p>
            <w:pPr>
              <w:spacing w:line="360" w:lineRule="auto"/>
              <w:ind w:firstLine="480" w:firstLineChars="200"/>
              <w:rPr>
                <w:sz w:val="24"/>
                <w:szCs w:val="24"/>
              </w:rPr>
            </w:pPr>
            <w:r>
              <w:rPr>
                <w:rFonts w:hint="eastAsia"/>
                <w:sz w:val="24"/>
                <w:szCs w:val="24"/>
                <w:lang w:eastAsia="zh-CN"/>
              </w:rPr>
              <w:t>职工生活产生的生活垃圾委托环卫部门清运处置，隔油池产生的废油脂委托有资质单位外运处置。</w:t>
            </w:r>
            <w:r>
              <w:rPr>
                <w:sz w:val="24"/>
              </w:rPr>
              <w:t>本项目</w:t>
            </w:r>
            <w:r>
              <w:rPr>
                <w:rFonts w:hint="eastAsia"/>
                <w:sz w:val="24"/>
              </w:rPr>
              <w:t>营运期间</w:t>
            </w:r>
            <w:r>
              <w:rPr>
                <w:sz w:val="24"/>
              </w:rPr>
              <w:t>产生的固废种类明确，均可以得到及时的合理的处置，对周边环境产生影响</w:t>
            </w:r>
            <w:r>
              <w:rPr>
                <w:rFonts w:hint="eastAsia"/>
                <w:sz w:val="24"/>
              </w:rPr>
              <w:t>小。</w:t>
            </w:r>
          </w:p>
          <w:p>
            <w:pPr>
              <w:spacing w:line="480" w:lineRule="exact"/>
              <w:rPr>
                <w:b/>
                <w:bCs/>
                <w:sz w:val="28"/>
                <w:szCs w:val="28"/>
              </w:rPr>
            </w:pPr>
            <w:r>
              <w:rPr>
                <w:color w:val="auto"/>
                <w:sz w:val="28"/>
                <w:szCs w:val="28"/>
              </w:rPr>
              <w:t>二、</w:t>
            </w:r>
            <w:r>
              <w:rPr>
                <w:b/>
                <w:bCs/>
                <w:sz w:val="28"/>
                <w:szCs w:val="28"/>
              </w:rPr>
              <w:t>环境管理与监测计划</w:t>
            </w:r>
          </w:p>
          <w:p>
            <w:pPr>
              <w:spacing w:line="48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1、环境管理机构及主要职责</w:t>
            </w:r>
          </w:p>
          <w:p>
            <w:pPr>
              <w:spacing w:line="480" w:lineRule="exact"/>
              <w:ind w:firstLine="482"/>
              <w:rPr>
                <w:sz w:val="24"/>
                <w:szCs w:val="24"/>
              </w:rPr>
            </w:pPr>
            <w:r>
              <w:rPr>
                <w:sz w:val="24"/>
                <w:szCs w:val="24"/>
              </w:rPr>
              <w:t>公司应成立专门的环保管理机构，公司法人作为环保第一责任人，负责人具体负责日常环保工作，成立的环保管理机构应有专门的环境保护管理人员。环保管理机构的主要职责如下：</w:t>
            </w:r>
          </w:p>
          <w:p>
            <w:pPr>
              <w:spacing w:line="480" w:lineRule="exact"/>
              <w:ind w:firstLine="480" w:firstLineChars="200"/>
              <w:rPr>
                <w:sz w:val="24"/>
                <w:szCs w:val="24"/>
              </w:rPr>
            </w:pPr>
            <w:r>
              <w:rPr>
                <w:sz w:val="24"/>
                <w:szCs w:val="24"/>
              </w:rPr>
              <w:t>（1）贯彻执行国家和地方有关环境保护政策、法规、标准等，正确处理生产发展与环境保护的统一关系。</w:t>
            </w:r>
          </w:p>
          <w:p>
            <w:pPr>
              <w:spacing w:line="480" w:lineRule="exact"/>
              <w:ind w:firstLine="480" w:firstLineChars="200"/>
              <w:rPr>
                <w:sz w:val="24"/>
                <w:szCs w:val="24"/>
              </w:rPr>
            </w:pPr>
            <w:r>
              <w:rPr>
                <w:sz w:val="24"/>
                <w:szCs w:val="24"/>
              </w:rPr>
              <w:t>（2）组织制定、实施公司环境保护管理规章制度，参与公司重大决策，并对决策中涉及环境保护方面的利与弊有明确意见。</w:t>
            </w:r>
          </w:p>
          <w:p>
            <w:pPr>
              <w:spacing w:line="480" w:lineRule="exact"/>
              <w:ind w:firstLine="480" w:firstLineChars="200"/>
              <w:rPr>
                <w:sz w:val="24"/>
                <w:szCs w:val="24"/>
              </w:rPr>
            </w:pPr>
            <w:r>
              <w:rPr>
                <w:sz w:val="24"/>
                <w:szCs w:val="24"/>
              </w:rPr>
              <w:t>（3）领导和组织对生产区环境质量的例行监测工作和各种污染物排放监测工作，掌握和控制污染防治措施的贯彻落实。</w:t>
            </w:r>
          </w:p>
          <w:p>
            <w:pPr>
              <w:spacing w:line="480" w:lineRule="exact"/>
              <w:ind w:firstLine="480" w:firstLineChars="200"/>
              <w:rPr>
                <w:sz w:val="24"/>
                <w:szCs w:val="24"/>
              </w:rPr>
            </w:pPr>
            <w:r>
              <w:rPr>
                <w:sz w:val="24"/>
                <w:szCs w:val="24"/>
              </w:rPr>
              <w:t>（4）检查各部门环保设施的正常运行情况和环保设备的维修，特别是确保废水、</w:t>
            </w:r>
            <w:r>
              <w:rPr>
                <w:rFonts w:hint="eastAsia"/>
                <w:sz w:val="24"/>
                <w:szCs w:val="24"/>
              </w:rPr>
              <w:t>废气</w:t>
            </w:r>
            <w:r>
              <w:rPr>
                <w:sz w:val="24"/>
                <w:szCs w:val="24"/>
              </w:rPr>
              <w:t>得到有效处置。</w:t>
            </w:r>
          </w:p>
          <w:p>
            <w:pPr>
              <w:spacing w:line="480" w:lineRule="exact"/>
              <w:ind w:firstLine="480" w:firstLineChars="200"/>
              <w:rPr>
                <w:rFonts w:eastAsia="黑体"/>
                <w:sz w:val="24"/>
                <w:szCs w:val="24"/>
              </w:rPr>
            </w:pPr>
            <w:r>
              <w:rPr>
                <w:rFonts w:hint="default" w:ascii="Times New Roman" w:hAnsi="Times New Roman" w:eastAsia="宋体" w:cs="Times New Roman"/>
                <w:sz w:val="24"/>
                <w:szCs w:val="24"/>
              </w:rPr>
              <w:t>2、环境监测计划</w:t>
            </w:r>
          </w:p>
          <w:p>
            <w:pPr>
              <w:pStyle w:val="25"/>
              <w:spacing w:line="480" w:lineRule="exact"/>
              <w:ind w:firstLine="480"/>
              <w:rPr>
                <w:sz w:val="24"/>
                <w:szCs w:val="24"/>
              </w:rPr>
            </w:pPr>
            <w:r>
              <w:rPr>
                <w:sz w:val="24"/>
                <w:szCs w:val="24"/>
              </w:rPr>
              <w:t>建设工程的监测计划为营运期的常规监测计划。</w:t>
            </w:r>
          </w:p>
          <w:p>
            <w:pPr>
              <w:spacing w:line="480" w:lineRule="exact"/>
              <w:ind w:firstLine="482"/>
              <w:rPr>
                <w:sz w:val="24"/>
                <w:szCs w:val="24"/>
              </w:rPr>
            </w:pPr>
            <w:r>
              <w:rPr>
                <w:sz w:val="24"/>
                <w:szCs w:val="24"/>
              </w:rPr>
              <w:t>营运期的常规监测：主要是对建设项目建成运营后的污染源的监测。各环保设施运行情况应进行定期监测。</w:t>
            </w:r>
          </w:p>
          <w:p>
            <w:pPr>
              <w:spacing w:line="480" w:lineRule="exact"/>
              <w:ind w:firstLine="480" w:firstLineChars="200"/>
              <w:rPr>
                <w:sz w:val="24"/>
                <w:szCs w:val="24"/>
              </w:rPr>
            </w:pPr>
            <w:r>
              <w:rPr>
                <w:sz w:val="24"/>
                <w:szCs w:val="24"/>
              </w:rPr>
              <w:t>营运期的常规监测具体见下表：</w:t>
            </w:r>
          </w:p>
          <w:p>
            <w:pPr>
              <w:spacing w:line="48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eastAsia" w:cs="Times New Roman"/>
                <w:b/>
                <w:bCs/>
                <w:sz w:val="24"/>
                <w:szCs w:val="24"/>
                <w:lang w:val="en-US" w:eastAsia="zh-CN"/>
              </w:rPr>
              <w:t>24</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污染源环保监测一览表</w:t>
            </w:r>
          </w:p>
          <w:tbl>
            <w:tblPr>
              <w:tblStyle w:val="34"/>
              <w:tblW w:w="898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1722"/>
              <w:gridCol w:w="1861"/>
              <w:gridCol w:w="2415"/>
              <w:gridCol w:w="171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2989" w:type="dxa"/>
                  <w:gridSpan w:val="2"/>
                  <w:vAlign w:val="center"/>
                </w:tcPr>
                <w:p>
                  <w:pPr>
                    <w:jc w:val="center"/>
                    <w:rPr>
                      <w:sz w:val="21"/>
                      <w:szCs w:val="21"/>
                    </w:rPr>
                  </w:pPr>
                  <w:r>
                    <w:rPr>
                      <w:sz w:val="21"/>
                      <w:szCs w:val="21"/>
                    </w:rPr>
                    <w:t>污染源</w:t>
                  </w:r>
                </w:p>
              </w:tc>
              <w:tc>
                <w:tcPr>
                  <w:tcW w:w="1861" w:type="dxa"/>
                  <w:vAlign w:val="center"/>
                </w:tcPr>
                <w:p>
                  <w:pPr>
                    <w:jc w:val="center"/>
                    <w:rPr>
                      <w:sz w:val="21"/>
                      <w:szCs w:val="21"/>
                    </w:rPr>
                  </w:pPr>
                  <w:r>
                    <w:rPr>
                      <w:sz w:val="21"/>
                      <w:szCs w:val="21"/>
                    </w:rPr>
                    <w:t>监测位置</w:t>
                  </w:r>
                </w:p>
              </w:tc>
              <w:tc>
                <w:tcPr>
                  <w:tcW w:w="2415" w:type="dxa"/>
                  <w:vAlign w:val="center"/>
                </w:tcPr>
                <w:p>
                  <w:pPr>
                    <w:jc w:val="center"/>
                    <w:rPr>
                      <w:sz w:val="21"/>
                      <w:szCs w:val="21"/>
                    </w:rPr>
                  </w:pPr>
                  <w:r>
                    <w:rPr>
                      <w:sz w:val="21"/>
                      <w:szCs w:val="21"/>
                    </w:rPr>
                    <w:t>监测项目</w:t>
                  </w:r>
                </w:p>
              </w:tc>
              <w:tc>
                <w:tcPr>
                  <w:tcW w:w="1719" w:type="dxa"/>
                  <w:vAlign w:val="center"/>
                </w:tcPr>
                <w:p>
                  <w:pPr>
                    <w:jc w:val="center"/>
                    <w:rPr>
                      <w:sz w:val="21"/>
                      <w:szCs w:val="21"/>
                    </w:rPr>
                  </w:pPr>
                  <w:r>
                    <w:rPr>
                      <w:sz w:val="21"/>
                      <w:szCs w:val="21"/>
                    </w:rPr>
                    <w:t>监测频率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67" w:type="dxa"/>
                  <w:vMerge w:val="restart"/>
                  <w:vAlign w:val="center"/>
                </w:tcPr>
                <w:p>
                  <w:pPr>
                    <w:jc w:val="center"/>
                    <w:rPr>
                      <w:sz w:val="21"/>
                      <w:szCs w:val="21"/>
                    </w:rPr>
                  </w:pPr>
                  <w:r>
                    <w:rPr>
                      <w:sz w:val="21"/>
                      <w:szCs w:val="21"/>
                    </w:rPr>
                    <w:t>废气</w:t>
                  </w:r>
                </w:p>
              </w:tc>
              <w:tc>
                <w:tcPr>
                  <w:tcW w:w="1722" w:type="dxa"/>
                  <w:vAlign w:val="center"/>
                </w:tcPr>
                <w:p>
                  <w:pPr>
                    <w:jc w:val="center"/>
                    <w:rPr>
                      <w:rFonts w:hint="eastAsia"/>
                      <w:lang w:eastAsia="zh-CN"/>
                    </w:rPr>
                  </w:pPr>
                  <w:r>
                    <w:rPr>
                      <w:rFonts w:hint="eastAsia"/>
                      <w:lang w:eastAsia="zh-CN"/>
                    </w:rPr>
                    <w:t>洗煤工段</w:t>
                  </w:r>
                </w:p>
                <w:p>
                  <w:pPr>
                    <w:pStyle w:val="21"/>
                    <w:ind w:left="0" w:leftChars="0" w:firstLine="0" w:firstLineChars="0"/>
                    <w:rPr>
                      <w:rFonts w:hint="eastAsia"/>
                      <w:lang w:eastAsia="zh-CN"/>
                    </w:rPr>
                  </w:pPr>
                  <w:r>
                    <w:rPr>
                      <w:rFonts w:hint="eastAsia"/>
                      <w:lang w:eastAsia="zh-CN"/>
                    </w:rPr>
                    <w:t>筛分破碎粉尘</w:t>
                  </w:r>
                </w:p>
              </w:tc>
              <w:tc>
                <w:tcPr>
                  <w:tcW w:w="1861" w:type="dxa"/>
                  <w:vMerge w:val="restart"/>
                  <w:vAlign w:val="center"/>
                </w:tcPr>
                <w:p>
                  <w:pPr>
                    <w:jc w:val="center"/>
                    <w:rPr>
                      <w:rFonts w:hint="eastAsia" w:eastAsia="宋体"/>
                      <w:sz w:val="21"/>
                      <w:szCs w:val="21"/>
                      <w:lang w:eastAsia="zh-CN"/>
                    </w:rPr>
                  </w:pPr>
                  <w:r>
                    <w:rPr>
                      <w:rFonts w:hint="eastAsia"/>
                      <w:sz w:val="21"/>
                      <w:szCs w:val="21"/>
                      <w:lang w:eastAsia="zh-CN"/>
                    </w:rPr>
                    <w:t>排气口</w:t>
                  </w:r>
                </w:p>
              </w:tc>
              <w:tc>
                <w:tcPr>
                  <w:tcW w:w="2415" w:type="dxa"/>
                  <w:vAlign w:val="center"/>
                </w:tcPr>
                <w:p>
                  <w:pPr>
                    <w:jc w:val="center"/>
                    <w:rPr>
                      <w:rFonts w:hint="eastAsia"/>
                      <w:kern w:val="0"/>
                      <w:sz w:val="21"/>
                      <w:szCs w:val="21"/>
                      <w:lang w:val="en-US" w:eastAsia="zh-CN"/>
                    </w:rPr>
                  </w:pPr>
                  <w:r>
                    <w:rPr>
                      <w:rFonts w:hint="eastAsia"/>
                      <w:kern w:val="0"/>
                      <w:sz w:val="21"/>
                      <w:szCs w:val="21"/>
                      <w:lang w:val="en-US" w:eastAsia="zh-CN"/>
                    </w:rPr>
                    <w:t>粉尘</w:t>
                  </w:r>
                </w:p>
              </w:tc>
              <w:tc>
                <w:tcPr>
                  <w:tcW w:w="1719" w:type="dxa"/>
                  <w:vAlign w:val="center"/>
                </w:tcPr>
                <w:p>
                  <w:pPr>
                    <w:jc w:val="center"/>
                    <w:rPr>
                      <w:color w:val="auto"/>
                      <w:sz w:val="21"/>
                      <w:szCs w:val="21"/>
                    </w:rPr>
                  </w:pPr>
                  <w:r>
                    <w:rPr>
                      <w:color w:val="auto"/>
                      <w:sz w:val="21"/>
                      <w:szCs w:val="21"/>
                    </w:rPr>
                    <w:t>每</w:t>
                  </w:r>
                  <w:r>
                    <w:rPr>
                      <w:rFonts w:hint="eastAsia"/>
                      <w:color w:val="auto"/>
                      <w:sz w:val="21"/>
                      <w:szCs w:val="21"/>
                      <w:lang w:eastAsia="zh-CN"/>
                    </w:rPr>
                    <w:t>半年</w:t>
                  </w:r>
                  <w:r>
                    <w:rPr>
                      <w:color w:val="auto"/>
                      <w:sz w:val="21"/>
                      <w:szCs w:val="21"/>
                    </w:rPr>
                    <w:t>一次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1267" w:type="dxa"/>
                  <w:vMerge w:val="continue"/>
                  <w:vAlign w:val="center"/>
                </w:tcPr>
                <w:p>
                  <w:pPr>
                    <w:jc w:val="center"/>
                    <w:rPr>
                      <w:sz w:val="21"/>
                      <w:szCs w:val="21"/>
                    </w:rPr>
                  </w:pPr>
                </w:p>
              </w:tc>
              <w:tc>
                <w:tcPr>
                  <w:tcW w:w="1722" w:type="dxa"/>
                  <w:tcBorders>
                    <w:bottom w:val="single" w:color="auto" w:sz="4" w:space="0"/>
                  </w:tcBorders>
                  <w:vAlign w:val="center"/>
                </w:tcPr>
                <w:p>
                  <w:pPr>
                    <w:jc w:val="center"/>
                    <w:rPr>
                      <w:rFonts w:hint="eastAsia"/>
                      <w:lang w:eastAsia="zh-CN"/>
                    </w:rPr>
                  </w:pPr>
                  <w:r>
                    <w:rPr>
                      <w:rFonts w:hint="eastAsia"/>
                      <w:lang w:eastAsia="zh-CN"/>
                    </w:rPr>
                    <w:t>制砖工段</w:t>
                  </w:r>
                </w:p>
                <w:p>
                  <w:pPr>
                    <w:pStyle w:val="21"/>
                    <w:ind w:left="0" w:leftChars="0" w:firstLine="0" w:firstLineChars="0"/>
                    <w:jc w:val="center"/>
                    <w:rPr>
                      <w:rFonts w:hint="eastAsia"/>
                      <w:lang w:eastAsia="zh-CN"/>
                    </w:rPr>
                  </w:pPr>
                  <w:r>
                    <w:rPr>
                      <w:rFonts w:hint="eastAsia"/>
                      <w:sz w:val="21"/>
                      <w:szCs w:val="21"/>
                      <w:lang w:eastAsia="zh-CN"/>
                    </w:rPr>
                    <w:t>煤矸石破碎粉尘</w:t>
                  </w:r>
                </w:p>
              </w:tc>
              <w:tc>
                <w:tcPr>
                  <w:tcW w:w="1861" w:type="dxa"/>
                  <w:tcBorders>
                    <w:bottom w:val="single" w:color="auto" w:sz="4" w:space="0"/>
                  </w:tcBorders>
                  <w:vAlign w:val="center"/>
                </w:tcPr>
                <w:p>
                  <w:pPr>
                    <w:jc w:val="center"/>
                    <w:rPr>
                      <w:rFonts w:hint="eastAsia" w:eastAsia="宋体"/>
                      <w:sz w:val="21"/>
                      <w:szCs w:val="21"/>
                      <w:lang w:eastAsia="zh-CN"/>
                    </w:rPr>
                  </w:pPr>
                  <w:r>
                    <w:rPr>
                      <w:rFonts w:hint="eastAsia"/>
                      <w:sz w:val="21"/>
                      <w:szCs w:val="21"/>
                      <w:lang w:eastAsia="zh-CN"/>
                    </w:rPr>
                    <w:t>排气口</w:t>
                  </w:r>
                </w:p>
              </w:tc>
              <w:tc>
                <w:tcPr>
                  <w:tcW w:w="2415" w:type="dxa"/>
                  <w:tcBorders>
                    <w:bottom w:val="single" w:color="auto" w:sz="4" w:space="0"/>
                  </w:tcBorders>
                  <w:vAlign w:val="center"/>
                </w:tcPr>
                <w:p>
                  <w:pPr>
                    <w:jc w:val="center"/>
                    <w:rPr>
                      <w:rFonts w:hint="eastAsia" w:eastAsia="宋体"/>
                      <w:kern w:val="0"/>
                      <w:sz w:val="21"/>
                      <w:szCs w:val="21"/>
                      <w:lang w:eastAsia="zh-CN"/>
                    </w:rPr>
                  </w:pPr>
                  <w:r>
                    <w:rPr>
                      <w:rFonts w:hint="eastAsia"/>
                      <w:kern w:val="0"/>
                      <w:sz w:val="21"/>
                      <w:szCs w:val="21"/>
                      <w:lang w:eastAsia="zh-CN"/>
                    </w:rPr>
                    <w:t>粉尘</w:t>
                  </w:r>
                </w:p>
              </w:tc>
              <w:tc>
                <w:tcPr>
                  <w:tcW w:w="1719" w:type="dxa"/>
                  <w:vAlign w:val="center"/>
                </w:tcPr>
                <w:p>
                  <w:pPr>
                    <w:jc w:val="center"/>
                    <w:rPr>
                      <w:color w:val="auto"/>
                      <w:sz w:val="21"/>
                      <w:szCs w:val="21"/>
                    </w:rPr>
                  </w:pPr>
                  <w:r>
                    <w:rPr>
                      <w:color w:val="auto"/>
                      <w:sz w:val="21"/>
                      <w:szCs w:val="21"/>
                    </w:rPr>
                    <w:t>每</w:t>
                  </w:r>
                  <w:r>
                    <w:rPr>
                      <w:rFonts w:hint="eastAsia"/>
                      <w:color w:val="auto"/>
                      <w:sz w:val="21"/>
                      <w:szCs w:val="21"/>
                      <w:lang w:eastAsia="zh-CN"/>
                    </w:rPr>
                    <w:t>半年</w:t>
                  </w:r>
                  <w:r>
                    <w:rPr>
                      <w:color w:val="auto"/>
                      <w:sz w:val="21"/>
                      <w:szCs w:val="21"/>
                    </w:rPr>
                    <w:t>一次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1267" w:type="dxa"/>
                  <w:vMerge w:val="continue"/>
                  <w:tcBorders>
                    <w:bottom w:val="single" w:color="auto" w:sz="4" w:space="0"/>
                  </w:tcBorders>
                  <w:vAlign w:val="center"/>
                </w:tcPr>
                <w:p>
                  <w:pPr>
                    <w:jc w:val="center"/>
                    <w:rPr>
                      <w:sz w:val="21"/>
                      <w:szCs w:val="21"/>
                    </w:rPr>
                  </w:pPr>
                </w:p>
              </w:tc>
              <w:tc>
                <w:tcPr>
                  <w:tcW w:w="1722" w:type="dxa"/>
                  <w:tcBorders>
                    <w:bottom w:val="single" w:color="auto" w:sz="4" w:space="0"/>
                  </w:tcBorders>
                  <w:vAlign w:val="center"/>
                </w:tcPr>
                <w:p>
                  <w:pPr>
                    <w:pStyle w:val="21"/>
                    <w:ind w:left="0" w:leftChars="0" w:firstLine="0" w:firstLineChars="0"/>
                    <w:jc w:val="center"/>
                    <w:rPr>
                      <w:rFonts w:hint="eastAsia"/>
                      <w:sz w:val="21"/>
                      <w:szCs w:val="21"/>
                      <w:lang w:eastAsia="zh-CN"/>
                    </w:rPr>
                  </w:pPr>
                </w:p>
              </w:tc>
              <w:tc>
                <w:tcPr>
                  <w:tcW w:w="1861" w:type="dxa"/>
                  <w:tcBorders>
                    <w:bottom w:val="single" w:color="auto" w:sz="4" w:space="0"/>
                  </w:tcBorders>
                  <w:vAlign w:val="center"/>
                </w:tcPr>
                <w:p>
                  <w:pPr>
                    <w:jc w:val="center"/>
                    <w:rPr>
                      <w:rFonts w:hint="eastAsia"/>
                      <w:sz w:val="21"/>
                      <w:szCs w:val="21"/>
                      <w:lang w:eastAsia="zh-CN"/>
                    </w:rPr>
                  </w:pPr>
                  <w:r>
                    <w:rPr>
                      <w:rFonts w:hint="eastAsia"/>
                      <w:sz w:val="21"/>
                      <w:szCs w:val="21"/>
                      <w:lang w:eastAsia="zh-CN"/>
                    </w:rPr>
                    <w:t>厂界最高浓度点</w:t>
                  </w:r>
                </w:p>
              </w:tc>
              <w:tc>
                <w:tcPr>
                  <w:tcW w:w="2415" w:type="dxa"/>
                  <w:tcBorders>
                    <w:bottom w:val="single" w:color="auto" w:sz="4" w:space="0"/>
                  </w:tcBorders>
                  <w:vAlign w:val="center"/>
                </w:tcPr>
                <w:p>
                  <w:pPr>
                    <w:jc w:val="center"/>
                    <w:rPr>
                      <w:rFonts w:hint="eastAsia"/>
                      <w:kern w:val="0"/>
                      <w:sz w:val="21"/>
                      <w:szCs w:val="21"/>
                      <w:lang w:eastAsia="zh-CN"/>
                    </w:rPr>
                  </w:pPr>
                  <w:r>
                    <w:rPr>
                      <w:rFonts w:hint="eastAsia"/>
                      <w:kern w:val="0"/>
                      <w:sz w:val="21"/>
                      <w:szCs w:val="21"/>
                      <w:lang w:eastAsia="zh-CN"/>
                    </w:rPr>
                    <w:t>粉尘</w:t>
                  </w:r>
                </w:p>
              </w:tc>
              <w:tc>
                <w:tcPr>
                  <w:tcW w:w="1719" w:type="dxa"/>
                  <w:vAlign w:val="center"/>
                </w:tcPr>
                <w:p>
                  <w:pPr>
                    <w:jc w:val="center"/>
                    <w:rPr>
                      <w:color w:val="auto"/>
                      <w:sz w:val="21"/>
                      <w:szCs w:val="21"/>
                    </w:rPr>
                  </w:pPr>
                  <w:r>
                    <w:rPr>
                      <w:color w:val="auto"/>
                      <w:sz w:val="21"/>
                      <w:szCs w:val="21"/>
                    </w:rPr>
                    <w:t>每</w:t>
                  </w:r>
                  <w:r>
                    <w:rPr>
                      <w:rFonts w:hint="eastAsia"/>
                      <w:color w:val="auto"/>
                      <w:sz w:val="21"/>
                      <w:szCs w:val="21"/>
                      <w:lang w:eastAsia="zh-CN"/>
                    </w:rPr>
                    <w:t>半年</w:t>
                  </w:r>
                  <w:r>
                    <w:rPr>
                      <w:color w:val="auto"/>
                      <w:sz w:val="21"/>
                      <w:szCs w:val="21"/>
                    </w:rPr>
                    <w:t>一次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1267" w:type="dxa"/>
                  <w:vAlign w:val="center"/>
                </w:tcPr>
                <w:p>
                  <w:pPr>
                    <w:jc w:val="center"/>
                    <w:rPr>
                      <w:sz w:val="21"/>
                      <w:szCs w:val="21"/>
                    </w:rPr>
                  </w:pPr>
                  <w:r>
                    <w:rPr>
                      <w:sz w:val="21"/>
                      <w:szCs w:val="21"/>
                    </w:rPr>
                    <w:t>噪声</w:t>
                  </w:r>
                </w:p>
              </w:tc>
              <w:tc>
                <w:tcPr>
                  <w:tcW w:w="1722" w:type="dxa"/>
                  <w:vAlign w:val="center"/>
                </w:tcPr>
                <w:p>
                  <w:pPr>
                    <w:jc w:val="center"/>
                    <w:rPr>
                      <w:sz w:val="21"/>
                      <w:szCs w:val="21"/>
                    </w:rPr>
                  </w:pPr>
                  <w:r>
                    <w:rPr>
                      <w:sz w:val="21"/>
                      <w:szCs w:val="21"/>
                    </w:rPr>
                    <w:t>生产设备</w:t>
                  </w:r>
                </w:p>
              </w:tc>
              <w:tc>
                <w:tcPr>
                  <w:tcW w:w="1861" w:type="dxa"/>
                  <w:vAlign w:val="center"/>
                </w:tcPr>
                <w:p>
                  <w:pPr>
                    <w:jc w:val="center"/>
                    <w:rPr>
                      <w:sz w:val="21"/>
                      <w:szCs w:val="21"/>
                    </w:rPr>
                  </w:pPr>
                  <w:r>
                    <w:rPr>
                      <w:sz w:val="21"/>
                      <w:szCs w:val="21"/>
                    </w:rPr>
                    <w:t>厂界</w:t>
                  </w:r>
                  <w:r>
                    <w:rPr>
                      <w:rFonts w:hint="eastAsia"/>
                      <w:sz w:val="21"/>
                      <w:szCs w:val="21"/>
                    </w:rPr>
                    <w:t>外</w:t>
                  </w:r>
                  <w:r>
                    <w:rPr>
                      <w:sz w:val="21"/>
                      <w:szCs w:val="21"/>
                    </w:rPr>
                    <w:t>1m</w:t>
                  </w:r>
                </w:p>
              </w:tc>
              <w:tc>
                <w:tcPr>
                  <w:tcW w:w="2415" w:type="dxa"/>
                  <w:vAlign w:val="center"/>
                </w:tcPr>
                <w:p>
                  <w:pPr>
                    <w:jc w:val="center"/>
                    <w:rPr>
                      <w:bCs/>
                      <w:sz w:val="21"/>
                      <w:szCs w:val="21"/>
                    </w:rPr>
                  </w:pPr>
                  <w:r>
                    <w:rPr>
                      <w:bCs/>
                      <w:sz w:val="21"/>
                      <w:szCs w:val="21"/>
                    </w:rPr>
                    <w:t>等效A声级</w:t>
                  </w:r>
                </w:p>
              </w:tc>
              <w:tc>
                <w:tcPr>
                  <w:tcW w:w="1719" w:type="dxa"/>
                  <w:vAlign w:val="center"/>
                </w:tcPr>
                <w:p>
                  <w:pPr>
                    <w:jc w:val="center"/>
                    <w:rPr>
                      <w:sz w:val="21"/>
                      <w:szCs w:val="21"/>
                    </w:rPr>
                  </w:pPr>
                  <w:r>
                    <w:rPr>
                      <w:sz w:val="21"/>
                      <w:szCs w:val="21"/>
                    </w:rPr>
                    <w:t>每</w:t>
                  </w:r>
                  <w:r>
                    <w:rPr>
                      <w:rFonts w:hint="eastAsia"/>
                      <w:sz w:val="21"/>
                      <w:szCs w:val="21"/>
                      <w:lang w:eastAsia="zh-CN"/>
                    </w:rPr>
                    <w:t>半</w:t>
                  </w:r>
                  <w:r>
                    <w:rPr>
                      <w:rFonts w:hint="eastAsia"/>
                      <w:sz w:val="21"/>
                      <w:szCs w:val="21"/>
                    </w:rPr>
                    <w:t>年</w:t>
                  </w:r>
                  <w:r>
                    <w:rPr>
                      <w:sz w:val="21"/>
                      <w:szCs w:val="21"/>
                    </w:rPr>
                    <w:t>一次</w:t>
                  </w:r>
                </w:p>
              </w:tc>
            </w:tr>
          </w:tbl>
          <w:p>
            <w:pPr>
              <w:spacing w:line="360" w:lineRule="auto"/>
              <w:rPr>
                <w:b/>
                <w:bCs/>
                <w:color w:val="auto"/>
                <w:kern w:val="0"/>
                <w:sz w:val="28"/>
                <w:szCs w:val="28"/>
              </w:rPr>
            </w:pPr>
            <w:r>
              <w:rPr>
                <w:rFonts w:hint="eastAsia"/>
                <w:b/>
                <w:bCs/>
                <w:color w:val="auto"/>
                <w:kern w:val="0"/>
                <w:sz w:val="28"/>
                <w:szCs w:val="28"/>
                <w:lang w:eastAsia="zh-CN"/>
              </w:rPr>
              <w:t>三</w:t>
            </w:r>
            <w:r>
              <w:rPr>
                <w:b/>
                <w:bCs/>
                <w:color w:val="auto"/>
                <w:kern w:val="0"/>
                <w:sz w:val="28"/>
                <w:szCs w:val="28"/>
              </w:rPr>
              <w:t>、</w:t>
            </w:r>
            <w:r>
              <w:rPr>
                <w:rFonts w:hint="eastAsia"/>
                <w:b/>
                <w:bCs/>
                <w:color w:val="auto"/>
                <w:kern w:val="0"/>
                <w:sz w:val="28"/>
                <w:szCs w:val="28"/>
                <w:lang w:eastAsia="zh-CN"/>
              </w:rPr>
              <w:t>环保投资概况</w:t>
            </w:r>
          </w:p>
          <w:p>
            <w:pPr>
              <w:spacing w:line="360" w:lineRule="auto"/>
              <w:ind w:firstLine="480" w:firstLineChars="200"/>
              <w:rPr>
                <w:rFonts w:hint="eastAsia"/>
                <w:color w:val="auto"/>
                <w:kern w:val="0"/>
                <w:sz w:val="24"/>
                <w:szCs w:val="24"/>
              </w:rPr>
            </w:pPr>
            <w:r>
              <w:rPr>
                <w:color w:val="auto"/>
                <w:kern w:val="0"/>
                <w:sz w:val="24"/>
                <w:szCs w:val="24"/>
              </w:rPr>
              <w:t>本项目环保投资为</w:t>
            </w:r>
            <w:r>
              <w:rPr>
                <w:rFonts w:hint="eastAsia"/>
                <w:color w:val="auto"/>
                <w:kern w:val="0"/>
                <w:sz w:val="24"/>
                <w:szCs w:val="24"/>
                <w:lang w:val="en-US" w:eastAsia="zh-CN"/>
              </w:rPr>
              <w:t>650</w:t>
            </w:r>
            <w:r>
              <w:rPr>
                <w:color w:val="auto"/>
                <w:kern w:val="0"/>
                <w:sz w:val="24"/>
                <w:szCs w:val="24"/>
              </w:rPr>
              <w:t>万元。主要用于废水治理设施、废气治理设施、噪声防治、固体废物处理、绿化等。项目环保投资一览表见表</w:t>
            </w:r>
            <w:r>
              <w:rPr>
                <w:rFonts w:hint="eastAsia"/>
                <w:color w:val="auto"/>
                <w:kern w:val="0"/>
                <w:sz w:val="24"/>
                <w:szCs w:val="24"/>
                <w:lang w:val="en-US" w:eastAsia="zh-CN"/>
              </w:rPr>
              <w:t>25</w:t>
            </w:r>
            <w:r>
              <w:rPr>
                <w:color w:val="auto"/>
                <w:kern w:val="0"/>
                <w:sz w:val="24"/>
                <w:szCs w:val="24"/>
              </w:rPr>
              <w:t>。</w:t>
            </w:r>
          </w:p>
          <w:p>
            <w:pPr>
              <w:adjustRightInd w:val="0"/>
              <w:snapToGrid w:val="0"/>
              <w:spacing w:line="276" w:lineRule="auto"/>
              <w:jc w:val="center"/>
              <w:rPr>
                <w:b/>
                <w:color w:val="auto"/>
                <w:sz w:val="24"/>
                <w:szCs w:val="24"/>
              </w:rPr>
            </w:pPr>
            <w:r>
              <w:rPr>
                <w:b/>
                <w:color w:val="auto"/>
                <w:sz w:val="24"/>
                <w:szCs w:val="24"/>
              </w:rPr>
              <w:t>表</w:t>
            </w:r>
            <w:r>
              <w:rPr>
                <w:rFonts w:hint="eastAsia"/>
                <w:b/>
                <w:color w:val="auto"/>
                <w:sz w:val="24"/>
                <w:szCs w:val="24"/>
                <w:lang w:val="en-US" w:eastAsia="zh-CN"/>
              </w:rPr>
              <w:t xml:space="preserve">25 </w:t>
            </w:r>
            <w:r>
              <w:rPr>
                <w:b/>
                <w:color w:val="auto"/>
                <w:sz w:val="24"/>
                <w:szCs w:val="24"/>
              </w:rPr>
              <w:t xml:space="preserve"> 环保投资一览表</w:t>
            </w:r>
          </w:p>
          <w:tbl>
            <w:tblPr>
              <w:tblStyle w:val="34"/>
              <w:tblW w:w="89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392"/>
              <w:gridCol w:w="727"/>
              <w:gridCol w:w="2326"/>
              <w:gridCol w:w="3054"/>
              <w:gridCol w:w="1163"/>
              <w:gridCol w:w="1322"/>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2" w:hRule="atLeast"/>
                <w:jc w:val="center"/>
              </w:trPr>
              <w:tc>
                <w:tcPr>
                  <w:tcW w:w="392" w:type="dxa"/>
                  <w:tcBorders>
                    <w:tl2br w:val="nil"/>
                    <w:tr2bl w:val="nil"/>
                  </w:tcBorders>
                  <w:tcMar>
                    <w:left w:w="28" w:type="dxa"/>
                    <w:right w:w="28" w:type="dxa"/>
                  </w:tcMar>
                  <w:vAlign w:val="center"/>
                </w:tcPr>
                <w:p>
                  <w:pPr>
                    <w:snapToGrid w:val="0"/>
                    <w:jc w:val="center"/>
                    <w:rPr>
                      <w:b/>
                      <w:color w:val="auto"/>
                      <w:szCs w:val="21"/>
                    </w:rPr>
                  </w:pPr>
                  <w:r>
                    <w:rPr>
                      <w:b/>
                      <w:color w:val="auto"/>
                      <w:szCs w:val="21"/>
                    </w:rPr>
                    <w:t>序号</w:t>
                  </w:r>
                </w:p>
              </w:tc>
              <w:tc>
                <w:tcPr>
                  <w:tcW w:w="727" w:type="dxa"/>
                  <w:tcBorders>
                    <w:tl2br w:val="nil"/>
                    <w:tr2bl w:val="nil"/>
                  </w:tcBorders>
                  <w:tcMar>
                    <w:left w:w="28" w:type="dxa"/>
                    <w:right w:w="28" w:type="dxa"/>
                  </w:tcMar>
                  <w:vAlign w:val="center"/>
                </w:tcPr>
                <w:p>
                  <w:pPr>
                    <w:snapToGrid w:val="0"/>
                    <w:jc w:val="center"/>
                    <w:rPr>
                      <w:b/>
                      <w:color w:val="auto"/>
                      <w:szCs w:val="21"/>
                    </w:rPr>
                  </w:pPr>
                  <w:r>
                    <w:rPr>
                      <w:b/>
                      <w:color w:val="auto"/>
                      <w:szCs w:val="21"/>
                    </w:rPr>
                    <w:t>投资项目</w:t>
                  </w:r>
                </w:p>
              </w:tc>
              <w:tc>
                <w:tcPr>
                  <w:tcW w:w="2326" w:type="dxa"/>
                  <w:tcBorders>
                    <w:tl2br w:val="nil"/>
                    <w:tr2bl w:val="nil"/>
                  </w:tcBorders>
                  <w:tcMar>
                    <w:left w:w="28" w:type="dxa"/>
                    <w:right w:w="28" w:type="dxa"/>
                  </w:tcMar>
                  <w:vAlign w:val="center"/>
                </w:tcPr>
                <w:p>
                  <w:pPr>
                    <w:snapToGrid w:val="0"/>
                    <w:jc w:val="center"/>
                    <w:rPr>
                      <w:b/>
                      <w:color w:val="auto"/>
                      <w:szCs w:val="21"/>
                    </w:rPr>
                  </w:pPr>
                  <w:r>
                    <w:rPr>
                      <w:b/>
                      <w:color w:val="auto"/>
                      <w:szCs w:val="21"/>
                    </w:rPr>
                    <w:t>污染源</w:t>
                  </w:r>
                </w:p>
              </w:tc>
              <w:tc>
                <w:tcPr>
                  <w:tcW w:w="3054" w:type="dxa"/>
                  <w:tcBorders>
                    <w:tl2br w:val="nil"/>
                    <w:tr2bl w:val="nil"/>
                  </w:tcBorders>
                  <w:tcMar>
                    <w:left w:w="28" w:type="dxa"/>
                    <w:right w:w="28" w:type="dxa"/>
                  </w:tcMar>
                  <w:vAlign w:val="center"/>
                </w:tcPr>
                <w:p>
                  <w:pPr>
                    <w:snapToGrid w:val="0"/>
                    <w:jc w:val="center"/>
                    <w:rPr>
                      <w:b/>
                      <w:color w:val="auto"/>
                      <w:szCs w:val="21"/>
                    </w:rPr>
                  </w:pPr>
                  <w:r>
                    <w:rPr>
                      <w:b/>
                      <w:color w:val="auto"/>
                      <w:szCs w:val="21"/>
                    </w:rPr>
                    <w:t>名称</w:t>
                  </w:r>
                </w:p>
              </w:tc>
              <w:tc>
                <w:tcPr>
                  <w:tcW w:w="1163" w:type="dxa"/>
                  <w:tcBorders>
                    <w:tl2br w:val="nil"/>
                    <w:tr2bl w:val="nil"/>
                  </w:tcBorders>
                  <w:tcMar>
                    <w:left w:w="28" w:type="dxa"/>
                    <w:right w:w="28" w:type="dxa"/>
                  </w:tcMar>
                  <w:vAlign w:val="center"/>
                </w:tcPr>
                <w:p>
                  <w:pPr>
                    <w:snapToGrid w:val="0"/>
                    <w:jc w:val="center"/>
                    <w:rPr>
                      <w:b/>
                      <w:color w:val="auto"/>
                      <w:szCs w:val="21"/>
                    </w:rPr>
                  </w:pPr>
                  <w:r>
                    <w:rPr>
                      <w:b/>
                      <w:color w:val="auto"/>
                      <w:szCs w:val="21"/>
                    </w:rPr>
                    <w:t>数量</w:t>
                  </w:r>
                </w:p>
              </w:tc>
              <w:tc>
                <w:tcPr>
                  <w:tcW w:w="1322" w:type="dxa"/>
                  <w:tcBorders>
                    <w:tl2br w:val="nil"/>
                    <w:tr2bl w:val="nil"/>
                  </w:tcBorders>
                  <w:vAlign w:val="center"/>
                </w:tcPr>
                <w:p>
                  <w:pPr>
                    <w:snapToGrid w:val="0"/>
                    <w:jc w:val="center"/>
                    <w:rPr>
                      <w:b/>
                      <w:color w:val="auto"/>
                      <w:szCs w:val="21"/>
                    </w:rPr>
                  </w:pPr>
                  <w:r>
                    <w:rPr>
                      <w:b/>
                      <w:color w:val="auto"/>
                      <w:szCs w:val="21"/>
                    </w:rPr>
                    <w:t>投资估算(万元)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2" w:hRule="atLeast"/>
                <w:jc w:val="center"/>
              </w:trPr>
              <w:tc>
                <w:tcPr>
                  <w:tcW w:w="392" w:type="dxa"/>
                  <w:tcBorders>
                    <w:tl2br w:val="nil"/>
                    <w:tr2bl w:val="nil"/>
                  </w:tcBorders>
                  <w:tcMar>
                    <w:left w:w="28" w:type="dxa"/>
                    <w:right w:w="28" w:type="dxa"/>
                  </w:tcMar>
                  <w:vAlign w:val="center"/>
                </w:tcPr>
                <w:p>
                  <w:pPr>
                    <w:snapToGrid w:val="0"/>
                    <w:jc w:val="center"/>
                    <w:rPr>
                      <w:color w:val="auto"/>
                      <w:szCs w:val="21"/>
                    </w:rPr>
                  </w:pPr>
                  <w:r>
                    <w:rPr>
                      <w:color w:val="auto"/>
                      <w:szCs w:val="21"/>
                    </w:rPr>
                    <w:t>1</w:t>
                  </w:r>
                </w:p>
              </w:tc>
              <w:tc>
                <w:tcPr>
                  <w:tcW w:w="727" w:type="dxa"/>
                  <w:vMerge w:val="restart"/>
                  <w:tcBorders>
                    <w:tl2br w:val="nil"/>
                    <w:tr2bl w:val="nil"/>
                  </w:tcBorders>
                  <w:tcMar>
                    <w:left w:w="28" w:type="dxa"/>
                    <w:right w:w="28" w:type="dxa"/>
                  </w:tcMar>
                  <w:vAlign w:val="center"/>
                </w:tcPr>
                <w:p>
                  <w:pPr>
                    <w:snapToGrid w:val="0"/>
                    <w:jc w:val="center"/>
                    <w:rPr>
                      <w:color w:val="auto"/>
                      <w:spacing w:val="-6"/>
                      <w:szCs w:val="21"/>
                    </w:rPr>
                  </w:pPr>
                  <w:r>
                    <w:rPr>
                      <w:color w:val="auto"/>
                      <w:spacing w:val="-6"/>
                      <w:szCs w:val="21"/>
                    </w:rPr>
                    <w:t>废气</w:t>
                  </w:r>
                </w:p>
              </w:tc>
              <w:tc>
                <w:tcPr>
                  <w:tcW w:w="2326" w:type="dxa"/>
                  <w:tcBorders>
                    <w:tl2br w:val="nil"/>
                    <w:tr2bl w:val="nil"/>
                  </w:tcBorders>
                  <w:tcMar>
                    <w:left w:w="28" w:type="dxa"/>
                    <w:right w:w="28" w:type="dxa"/>
                  </w:tcMar>
                  <w:vAlign w:val="center"/>
                </w:tcPr>
                <w:p>
                  <w:pPr>
                    <w:jc w:val="center"/>
                    <w:rPr>
                      <w:rFonts w:hint="eastAsia"/>
                      <w:lang w:eastAsia="zh-CN"/>
                    </w:rPr>
                  </w:pPr>
                  <w:r>
                    <w:rPr>
                      <w:rFonts w:hint="eastAsia"/>
                      <w:lang w:eastAsia="zh-CN"/>
                    </w:rPr>
                    <w:t>洗煤工段</w:t>
                  </w:r>
                </w:p>
                <w:p>
                  <w:pPr>
                    <w:jc w:val="center"/>
                    <w:rPr>
                      <w:rFonts w:hint="eastAsia" w:eastAsia="宋体"/>
                      <w:color w:val="auto"/>
                      <w:szCs w:val="21"/>
                      <w:lang w:eastAsia="zh-CN"/>
                    </w:rPr>
                  </w:pPr>
                  <w:r>
                    <w:rPr>
                      <w:rFonts w:hint="eastAsia"/>
                      <w:lang w:eastAsia="zh-CN"/>
                    </w:rPr>
                    <w:t>筛分破碎粉尘</w:t>
                  </w:r>
                </w:p>
              </w:tc>
              <w:tc>
                <w:tcPr>
                  <w:tcW w:w="3054" w:type="dxa"/>
                  <w:tcBorders>
                    <w:tl2br w:val="nil"/>
                    <w:tr2bl w:val="nil"/>
                  </w:tcBorders>
                  <w:tcMar>
                    <w:left w:w="28" w:type="dxa"/>
                    <w:right w:w="28" w:type="dxa"/>
                  </w:tcMar>
                  <w:vAlign w:val="center"/>
                </w:tcPr>
                <w:p>
                  <w:pPr>
                    <w:snapToGrid w:val="0"/>
                    <w:jc w:val="center"/>
                    <w:rPr>
                      <w:rFonts w:hint="eastAsia"/>
                      <w:lang w:val="en-US" w:eastAsia="zh-CN"/>
                    </w:rPr>
                  </w:pPr>
                  <w:r>
                    <w:rPr>
                      <w:rFonts w:hint="eastAsia"/>
                      <w:lang w:eastAsia="zh-CN"/>
                    </w:rPr>
                    <w:t>集气罩收集后由布袋除尘器处理，</w:t>
                  </w:r>
                  <w:r>
                    <w:rPr>
                      <w:rFonts w:hint="eastAsia"/>
                      <w:lang w:val="en-US" w:eastAsia="zh-CN"/>
                    </w:rPr>
                    <w:t>15m排气筒</w:t>
                  </w:r>
                </w:p>
                <w:p>
                  <w:pPr>
                    <w:pStyle w:val="21"/>
                  </w:pPr>
                  <w:r>
                    <w:rPr>
                      <w:rFonts w:hint="eastAsia"/>
                      <w:color w:val="auto"/>
                      <w:szCs w:val="21"/>
                      <w:lang w:val="en-US" w:eastAsia="zh-CN"/>
                    </w:rPr>
                    <w:t>喷淋洒水装置</w:t>
                  </w:r>
                </w:p>
              </w:tc>
              <w:tc>
                <w:tcPr>
                  <w:tcW w:w="1163" w:type="dxa"/>
                  <w:tcBorders>
                    <w:tl2br w:val="nil"/>
                    <w:tr2bl w:val="nil"/>
                  </w:tcBorders>
                  <w:tcMar>
                    <w:left w:w="28" w:type="dxa"/>
                    <w:right w:w="28" w:type="dxa"/>
                  </w:tcMar>
                  <w:vAlign w:val="center"/>
                </w:tcPr>
                <w:p>
                  <w:pPr>
                    <w:snapToGrid w:val="0"/>
                    <w:jc w:val="center"/>
                    <w:rPr>
                      <w:color w:val="auto"/>
                      <w:szCs w:val="21"/>
                    </w:rPr>
                  </w:pPr>
                  <w:r>
                    <w:rPr>
                      <w:rFonts w:hint="eastAsia"/>
                      <w:color w:val="auto"/>
                      <w:szCs w:val="21"/>
                      <w:lang w:val="en-US" w:eastAsia="zh-CN"/>
                    </w:rPr>
                    <w:t>3</w:t>
                  </w:r>
                  <w:r>
                    <w:rPr>
                      <w:color w:val="auto"/>
                      <w:szCs w:val="21"/>
                    </w:rPr>
                    <w:t>套</w:t>
                  </w:r>
                </w:p>
              </w:tc>
              <w:tc>
                <w:tcPr>
                  <w:tcW w:w="1322" w:type="dxa"/>
                  <w:tcBorders>
                    <w:tl2br w:val="nil"/>
                    <w:tr2bl w:val="nil"/>
                  </w:tcBorders>
                  <w:vAlign w:val="center"/>
                </w:tcPr>
                <w:p>
                  <w:pPr>
                    <w:snapToGrid w:val="0"/>
                    <w:jc w:val="center"/>
                    <w:rPr>
                      <w:rFonts w:hint="eastAsia" w:eastAsia="宋体"/>
                      <w:color w:val="auto"/>
                      <w:szCs w:val="21"/>
                      <w:lang w:eastAsia="zh-CN"/>
                    </w:rPr>
                  </w:pPr>
                  <w:r>
                    <w:rPr>
                      <w:rFonts w:hint="eastAsia"/>
                      <w:color w:val="auto"/>
                      <w:szCs w:val="21"/>
                      <w:lang w:val="en-US" w:eastAsia="zh-CN"/>
                    </w:rPr>
                    <w:t>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601" w:hRule="atLeast"/>
                <w:jc w:val="center"/>
              </w:trPr>
              <w:tc>
                <w:tcPr>
                  <w:tcW w:w="392" w:type="dxa"/>
                  <w:tcBorders>
                    <w:tl2br w:val="nil"/>
                    <w:tr2bl w:val="nil"/>
                  </w:tcBorders>
                  <w:tcMar>
                    <w:left w:w="28" w:type="dxa"/>
                    <w:right w:w="28" w:type="dxa"/>
                  </w:tcMar>
                  <w:vAlign w:val="center"/>
                </w:tcPr>
                <w:p>
                  <w:pPr>
                    <w:snapToGrid w:val="0"/>
                    <w:jc w:val="center"/>
                    <w:rPr>
                      <w:rFonts w:hint="eastAsia" w:eastAsia="宋体"/>
                      <w:color w:val="auto"/>
                      <w:szCs w:val="21"/>
                      <w:lang w:val="en-US" w:eastAsia="zh-CN"/>
                    </w:rPr>
                  </w:pPr>
                  <w:r>
                    <w:rPr>
                      <w:rFonts w:hint="eastAsia"/>
                      <w:color w:val="auto"/>
                      <w:szCs w:val="21"/>
                      <w:lang w:val="en-US" w:eastAsia="zh-CN"/>
                    </w:rPr>
                    <w:t>2</w:t>
                  </w:r>
                </w:p>
              </w:tc>
              <w:tc>
                <w:tcPr>
                  <w:tcW w:w="727" w:type="dxa"/>
                  <w:vMerge w:val="continue"/>
                  <w:tcBorders>
                    <w:tl2br w:val="nil"/>
                    <w:tr2bl w:val="nil"/>
                  </w:tcBorders>
                  <w:tcMar>
                    <w:left w:w="28" w:type="dxa"/>
                    <w:right w:w="28" w:type="dxa"/>
                  </w:tcMar>
                  <w:vAlign w:val="center"/>
                </w:tcPr>
                <w:p>
                  <w:pPr>
                    <w:rPr>
                      <w:color w:val="auto"/>
                    </w:rPr>
                  </w:pPr>
                </w:p>
              </w:tc>
              <w:tc>
                <w:tcPr>
                  <w:tcW w:w="2326" w:type="dxa"/>
                  <w:tcBorders>
                    <w:tl2br w:val="nil"/>
                    <w:tr2bl w:val="nil"/>
                  </w:tcBorders>
                  <w:tcMar>
                    <w:left w:w="28" w:type="dxa"/>
                    <w:right w:w="28" w:type="dxa"/>
                  </w:tcMar>
                  <w:vAlign w:val="center"/>
                </w:tcPr>
                <w:p>
                  <w:pPr>
                    <w:jc w:val="center"/>
                    <w:rPr>
                      <w:rFonts w:hint="eastAsia"/>
                      <w:lang w:eastAsia="zh-CN"/>
                    </w:rPr>
                  </w:pPr>
                  <w:r>
                    <w:rPr>
                      <w:rFonts w:hint="eastAsia"/>
                      <w:lang w:eastAsia="zh-CN"/>
                    </w:rPr>
                    <w:t>制砖工段</w:t>
                  </w:r>
                </w:p>
                <w:p>
                  <w:pPr>
                    <w:spacing w:line="240" w:lineRule="exact"/>
                    <w:jc w:val="center"/>
                    <w:rPr>
                      <w:color w:val="auto"/>
                      <w:szCs w:val="21"/>
                    </w:rPr>
                  </w:pPr>
                  <w:r>
                    <w:rPr>
                      <w:rFonts w:hint="eastAsia"/>
                      <w:sz w:val="21"/>
                      <w:szCs w:val="21"/>
                      <w:lang w:eastAsia="zh-CN"/>
                    </w:rPr>
                    <w:t>煤矸石破碎粉尘</w:t>
                  </w:r>
                </w:p>
              </w:tc>
              <w:tc>
                <w:tcPr>
                  <w:tcW w:w="3054" w:type="dxa"/>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lang w:eastAsia="zh-CN"/>
                    </w:rPr>
                    <w:t>集气罩收集后由布袋除尘器处理，</w:t>
                  </w:r>
                  <w:r>
                    <w:rPr>
                      <w:rFonts w:hint="eastAsia"/>
                      <w:lang w:val="en-US" w:eastAsia="zh-CN"/>
                    </w:rPr>
                    <w:t>15m排气筒</w:t>
                  </w:r>
                </w:p>
              </w:tc>
              <w:tc>
                <w:tcPr>
                  <w:tcW w:w="1163" w:type="dxa"/>
                  <w:tcBorders>
                    <w:tl2br w:val="nil"/>
                    <w:tr2bl w:val="nil"/>
                  </w:tcBorders>
                  <w:tcMar>
                    <w:left w:w="28" w:type="dxa"/>
                    <w:right w:w="28" w:type="dxa"/>
                  </w:tcMar>
                  <w:vAlign w:val="center"/>
                </w:tcPr>
                <w:p>
                  <w:pPr>
                    <w:snapToGrid w:val="0"/>
                    <w:jc w:val="center"/>
                    <w:rPr>
                      <w:rFonts w:hint="eastAsia" w:eastAsia="宋体"/>
                      <w:color w:val="auto"/>
                      <w:szCs w:val="21"/>
                      <w:lang w:val="en-US" w:eastAsia="zh-CN"/>
                    </w:rPr>
                  </w:pPr>
                  <w:r>
                    <w:rPr>
                      <w:rFonts w:hint="eastAsia"/>
                      <w:color w:val="auto"/>
                      <w:szCs w:val="21"/>
                      <w:lang w:val="en-US" w:eastAsia="zh-CN"/>
                    </w:rPr>
                    <w:t>1</w:t>
                  </w:r>
                  <w:r>
                    <w:rPr>
                      <w:color w:val="auto"/>
                      <w:szCs w:val="21"/>
                    </w:rPr>
                    <w:t>套</w:t>
                  </w:r>
                </w:p>
              </w:tc>
              <w:tc>
                <w:tcPr>
                  <w:tcW w:w="1322" w:type="dxa"/>
                  <w:tcBorders>
                    <w:tl2br w:val="nil"/>
                    <w:tr2bl w:val="nil"/>
                  </w:tcBorders>
                  <w:vAlign w:val="center"/>
                </w:tcPr>
                <w:p>
                  <w:pPr>
                    <w:snapToGrid w:val="0"/>
                    <w:jc w:val="center"/>
                    <w:rPr>
                      <w:rFonts w:hint="eastAsia" w:eastAsia="宋体"/>
                      <w:color w:val="auto"/>
                      <w:szCs w:val="21"/>
                      <w:lang w:val="en-US" w:eastAsia="zh-CN"/>
                    </w:rPr>
                  </w:pPr>
                  <w:r>
                    <w:rPr>
                      <w:rFonts w:hint="eastAsia"/>
                      <w:color w:val="auto"/>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75" w:hRule="atLeast"/>
                <w:jc w:val="center"/>
              </w:trPr>
              <w:tc>
                <w:tcPr>
                  <w:tcW w:w="392"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3</w:t>
                  </w:r>
                </w:p>
              </w:tc>
              <w:tc>
                <w:tcPr>
                  <w:tcW w:w="727" w:type="dxa"/>
                  <w:vMerge w:val="continue"/>
                  <w:tcBorders>
                    <w:tl2br w:val="nil"/>
                    <w:tr2bl w:val="nil"/>
                  </w:tcBorders>
                  <w:tcMar>
                    <w:left w:w="28" w:type="dxa"/>
                    <w:right w:w="28" w:type="dxa"/>
                  </w:tcMar>
                  <w:vAlign w:val="center"/>
                </w:tcPr>
                <w:p>
                  <w:pPr>
                    <w:rPr>
                      <w:color w:val="auto"/>
                    </w:rPr>
                  </w:pPr>
                </w:p>
              </w:tc>
              <w:tc>
                <w:tcPr>
                  <w:tcW w:w="2326" w:type="dxa"/>
                  <w:tcBorders>
                    <w:tl2br w:val="nil"/>
                    <w:tr2bl w:val="nil"/>
                  </w:tcBorders>
                  <w:tcMar>
                    <w:left w:w="28" w:type="dxa"/>
                    <w:right w:w="28" w:type="dxa"/>
                  </w:tcMar>
                  <w:vAlign w:val="center"/>
                </w:tcPr>
                <w:p>
                  <w:pPr>
                    <w:spacing w:line="240" w:lineRule="exact"/>
                    <w:jc w:val="center"/>
                    <w:rPr>
                      <w:rFonts w:hint="eastAsia"/>
                      <w:color w:val="auto"/>
                      <w:szCs w:val="21"/>
                      <w:lang w:eastAsia="zh-CN"/>
                    </w:rPr>
                  </w:pPr>
                  <w:r>
                    <w:rPr>
                      <w:rFonts w:hint="eastAsia"/>
                      <w:color w:val="auto"/>
                      <w:szCs w:val="21"/>
                      <w:lang w:eastAsia="zh-CN"/>
                    </w:rPr>
                    <w:t>粉料贮存粉尘</w:t>
                  </w:r>
                </w:p>
              </w:tc>
              <w:tc>
                <w:tcPr>
                  <w:tcW w:w="3054" w:type="dxa"/>
                  <w:tcBorders>
                    <w:tl2br w:val="nil"/>
                    <w:tr2bl w:val="nil"/>
                  </w:tcBorders>
                  <w:tcMar>
                    <w:left w:w="28" w:type="dxa"/>
                    <w:right w:w="28" w:type="dxa"/>
                  </w:tcMar>
                  <w:vAlign w:val="center"/>
                </w:tcPr>
                <w:p>
                  <w:pPr>
                    <w:snapToGrid w:val="0"/>
                    <w:spacing w:line="240" w:lineRule="exact"/>
                    <w:jc w:val="center"/>
                    <w:rPr>
                      <w:rFonts w:hint="eastAsia"/>
                      <w:color w:val="auto"/>
                      <w:szCs w:val="21"/>
                      <w:lang w:eastAsia="zh-CN"/>
                    </w:rPr>
                  </w:pPr>
                  <w:r>
                    <w:rPr>
                      <w:rFonts w:hint="eastAsia"/>
                      <w:color w:val="auto"/>
                      <w:szCs w:val="21"/>
                      <w:lang w:eastAsia="zh-CN"/>
                    </w:rPr>
                    <w:t>仓顶脉冲布袋除尘器，排气筒高于</w:t>
                  </w:r>
                  <w:r>
                    <w:rPr>
                      <w:rFonts w:hint="eastAsia"/>
                      <w:color w:val="auto"/>
                      <w:szCs w:val="21"/>
                      <w:lang w:val="en-US" w:eastAsia="zh-CN"/>
                    </w:rPr>
                    <w:t>15m</w:t>
                  </w:r>
                </w:p>
              </w:tc>
              <w:tc>
                <w:tcPr>
                  <w:tcW w:w="1163"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4套</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64" w:hRule="atLeast"/>
                <w:jc w:val="center"/>
              </w:trPr>
              <w:tc>
                <w:tcPr>
                  <w:tcW w:w="392"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4</w:t>
                  </w:r>
                </w:p>
              </w:tc>
              <w:tc>
                <w:tcPr>
                  <w:tcW w:w="727" w:type="dxa"/>
                  <w:vMerge w:val="continue"/>
                  <w:tcBorders>
                    <w:tl2br w:val="nil"/>
                    <w:tr2bl w:val="nil"/>
                  </w:tcBorders>
                  <w:tcMar>
                    <w:left w:w="28" w:type="dxa"/>
                    <w:right w:w="28" w:type="dxa"/>
                  </w:tcMar>
                  <w:vAlign w:val="center"/>
                </w:tcPr>
                <w:p>
                  <w:pPr>
                    <w:rPr>
                      <w:color w:val="auto"/>
                    </w:rPr>
                  </w:pPr>
                </w:p>
              </w:tc>
              <w:tc>
                <w:tcPr>
                  <w:tcW w:w="2326" w:type="dxa"/>
                  <w:tcBorders>
                    <w:tl2br w:val="nil"/>
                    <w:tr2bl w:val="nil"/>
                  </w:tcBorders>
                  <w:tcMar>
                    <w:left w:w="28" w:type="dxa"/>
                    <w:right w:w="28" w:type="dxa"/>
                  </w:tcMar>
                  <w:vAlign w:val="center"/>
                </w:tcPr>
                <w:p>
                  <w:pPr>
                    <w:spacing w:line="240" w:lineRule="exact"/>
                    <w:jc w:val="center"/>
                    <w:rPr>
                      <w:rFonts w:hint="eastAsia"/>
                      <w:color w:val="auto"/>
                      <w:szCs w:val="21"/>
                      <w:lang w:eastAsia="zh-CN"/>
                    </w:rPr>
                  </w:pPr>
                  <w:r>
                    <w:rPr>
                      <w:rFonts w:hint="eastAsia"/>
                      <w:color w:val="auto"/>
                      <w:szCs w:val="21"/>
                      <w:lang w:eastAsia="zh-CN"/>
                    </w:rPr>
                    <w:t>储存粉尘</w:t>
                  </w:r>
                </w:p>
              </w:tc>
              <w:tc>
                <w:tcPr>
                  <w:tcW w:w="3054" w:type="dxa"/>
                  <w:tcBorders>
                    <w:tl2br w:val="nil"/>
                    <w:tr2bl w:val="nil"/>
                  </w:tcBorders>
                  <w:tcMar>
                    <w:left w:w="28" w:type="dxa"/>
                    <w:right w:w="28" w:type="dxa"/>
                  </w:tcMar>
                  <w:vAlign w:val="center"/>
                </w:tcPr>
                <w:p>
                  <w:pPr>
                    <w:snapToGrid w:val="0"/>
                    <w:spacing w:line="240" w:lineRule="exact"/>
                    <w:jc w:val="center"/>
                    <w:rPr>
                      <w:rFonts w:hint="eastAsia"/>
                      <w:color w:val="auto"/>
                      <w:szCs w:val="21"/>
                      <w:lang w:eastAsia="zh-CN"/>
                    </w:rPr>
                  </w:pPr>
                  <w:r>
                    <w:rPr>
                      <w:rFonts w:hint="eastAsia"/>
                      <w:color w:val="auto"/>
                      <w:szCs w:val="21"/>
                      <w:lang w:eastAsia="zh-CN"/>
                    </w:rPr>
                    <w:t>堆场在全密闭厂房内，并设置洒水降尘设施</w:t>
                  </w:r>
                </w:p>
              </w:tc>
              <w:tc>
                <w:tcPr>
                  <w:tcW w:w="1163"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20000m</w:t>
                  </w:r>
                  <w:r>
                    <w:rPr>
                      <w:rFonts w:hint="eastAsia"/>
                      <w:color w:val="auto"/>
                      <w:szCs w:val="21"/>
                      <w:vertAlign w:val="superscript"/>
                      <w:lang w:val="en-US" w:eastAsia="zh-CN"/>
                    </w:rPr>
                    <w:t>2</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81" w:hRule="atLeast"/>
                <w:jc w:val="center"/>
              </w:trPr>
              <w:tc>
                <w:tcPr>
                  <w:tcW w:w="392"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5</w:t>
                  </w:r>
                </w:p>
              </w:tc>
              <w:tc>
                <w:tcPr>
                  <w:tcW w:w="727" w:type="dxa"/>
                  <w:vMerge w:val="continue"/>
                  <w:tcBorders>
                    <w:tl2br w:val="nil"/>
                    <w:tr2bl w:val="nil"/>
                  </w:tcBorders>
                  <w:tcMar>
                    <w:left w:w="28" w:type="dxa"/>
                    <w:right w:w="28" w:type="dxa"/>
                  </w:tcMar>
                  <w:vAlign w:val="center"/>
                </w:tcPr>
                <w:p>
                  <w:pPr>
                    <w:rPr>
                      <w:color w:val="auto"/>
                    </w:rPr>
                  </w:pPr>
                </w:p>
              </w:tc>
              <w:tc>
                <w:tcPr>
                  <w:tcW w:w="2326" w:type="dxa"/>
                  <w:tcBorders>
                    <w:tl2br w:val="nil"/>
                    <w:tr2bl w:val="nil"/>
                  </w:tcBorders>
                  <w:tcMar>
                    <w:left w:w="28" w:type="dxa"/>
                    <w:right w:w="28" w:type="dxa"/>
                  </w:tcMar>
                  <w:vAlign w:val="center"/>
                </w:tcPr>
                <w:p>
                  <w:pPr>
                    <w:spacing w:line="240" w:lineRule="exact"/>
                    <w:jc w:val="center"/>
                    <w:rPr>
                      <w:rFonts w:hint="eastAsia"/>
                      <w:color w:val="auto"/>
                      <w:szCs w:val="21"/>
                      <w:lang w:eastAsia="zh-CN"/>
                    </w:rPr>
                  </w:pPr>
                  <w:r>
                    <w:rPr>
                      <w:rFonts w:hint="eastAsia"/>
                      <w:color w:val="auto"/>
                      <w:szCs w:val="21"/>
                      <w:lang w:eastAsia="zh-CN"/>
                    </w:rPr>
                    <w:t>转运粉尘</w:t>
                  </w:r>
                </w:p>
              </w:tc>
              <w:tc>
                <w:tcPr>
                  <w:tcW w:w="3054" w:type="dxa"/>
                  <w:tcBorders>
                    <w:tl2br w:val="nil"/>
                    <w:tr2bl w:val="nil"/>
                  </w:tcBorders>
                  <w:tcMar>
                    <w:left w:w="28" w:type="dxa"/>
                    <w:right w:w="28" w:type="dxa"/>
                  </w:tcMar>
                  <w:vAlign w:val="center"/>
                </w:tcPr>
                <w:p>
                  <w:pPr>
                    <w:snapToGrid w:val="0"/>
                    <w:spacing w:line="240" w:lineRule="exact"/>
                    <w:jc w:val="center"/>
                    <w:rPr>
                      <w:rFonts w:hint="eastAsia"/>
                      <w:color w:val="auto"/>
                      <w:szCs w:val="21"/>
                      <w:lang w:eastAsia="zh-CN"/>
                    </w:rPr>
                  </w:pPr>
                  <w:r>
                    <w:rPr>
                      <w:rFonts w:hint="eastAsia"/>
                      <w:color w:val="auto"/>
                      <w:szCs w:val="21"/>
                      <w:lang w:eastAsia="zh-CN"/>
                    </w:rPr>
                    <w:t>封闭式传送带</w:t>
                  </w:r>
                </w:p>
              </w:tc>
              <w:tc>
                <w:tcPr>
                  <w:tcW w:w="1163"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586" w:hRule="atLeast"/>
                <w:jc w:val="center"/>
              </w:trPr>
              <w:tc>
                <w:tcPr>
                  <w:tcW w:w="392"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6</w:t>
                  </w:r>
                </w:p>
              </w:tc>
              <w:tc>
                <w:tcPr>
                  <w:tcW w:w="727" w:type="dxa"/>
                  <w:vMerge w:val="continue"/>
                  <w:tcBorders>
                    <w:tl2br w:val="nil"/>
                    <w:tr2bl w:val="nil"/>
                  </w:tcBorders>
                  <w:tcMar>
                    <w:left w:w="28" w:type="dxa"/>
                    <w:right w:w="28" w:type="dxa"/>
                  </w:tcMar>
                  <w:vAlign w:val="center"/>
                </w:tcPr>
                <w:p>
                  <w:pPr>
                    <w:rPr>
                      <w:color w:val="auto"/>
                    </w:rPr>
                  </w:pPr>
                </w:p>
              </w:tc>
              <w:tc>
                <w:tcPr>
                  <w:tcW w:w="2326" w:type="dxa"/>
                  <w:tcBorders>
                    <w:tl2br w:val="nil"/>
                    <w:tr2bl w:val="nil"/>
                  </w:tcBorders>
                  <w:tcMar>
                    <w:left w:w="28" w:type="dxa"/>
                    <w:right w:w="28" w:type="dxa"/>
                  </w:tcMar>
                  <w:vAlign w:val="center"/>
                </w:tcPr>
                <w:p>
                  <w:pPr>
                    <w:spacing w:line="240" w:lineRule="exact"/>
                    <w:jc w:val="center"/>
                    <w:rPr>
                      <w:rFonts w:hint="eastAsia"/>
                      <w:color w:val="auto"/>
                      <w:szCs w:val="21"/>
                      <w:lang w:eastAsia="zh-CN"/>
                    </w:rPr>
                  </w:pPr>
                  <w:r>
                    <w:rPr>
                      <w:rFonts w:hint="eastAsia"/>
                      <w:color w:val="auto"/>
                      <w:szCs w:val="21"/>
                      <w:lang w:eastAsia="zh-CN"/>
                    </w:rPr>
                    <w:t>食堂油烟</w:t>
                  </w:r>
                </w:p>
              </w:tc>
              <w:tc>
                <w:tcPr>
                  <w:tcW w:w="3054" w:type="dxa"/>
                  <w:tcBorders>
                    <w:tl2br w:val="nil"/>
                    <w:tr2bl w:val="nil"/>
                  </w:tcBorders>
                  <w:tcMar>
                    <w:left w:w="28" w:type="dxa"/>
                    <w:right w:w="28" w:type="dxa"/>
                  </w:tcMar>
                  <w:vAlign w:val="center"/>
                </w:tcPr>
                <w:p>
                  <w:pPr>
                    <w:snapToGrid w:val="0"/>
                    <w:spacing w:line="240" w:lineRule="exact"/>
                    <w:jc w:val="center"/>
                    <w:rPr>
                      <w:rFonts w:hint="eastAsia"/>
                      <w:color w:val="auto"/>
                      <w:szCs w:val="21"/>
                      <w:lang w:eastAsia="zh-CN"/>
                    </w:rPr>
                  </w:pPr>
                  <w:r>
                    <w:rPr>
                      <w:rFonts w:hint="eastAsia"/>
                      <w:color w:val="auto"/>
                      <w:szCs w:val="21"/>
                      <w:lang w:eastAsia="zh-CN"/>
                    </w:rPr>
                    <w:t>经油烟净化器（处理效率大于</w:t>
                  </w:r>
                  <w:r>
                    <w:rPr>
                      <w:rFonts w:hint="eastAsia"/>
                      <w:color w:val="auto"/>
                      <w:szCs w:val="21"/>
                      <w:lang w:val="en-US" w:eastAsia="zh-CN"/>
                    </w:rPr>
                    <w:t>75%</w:t>
                  </w:r>
                  <w:r>
                    <w:rPr>
                      <w:rFonts w:hint="eastAsia"/>
                      <w:color w:val="auto"/>
                      <w:szCs w:val="21"/>
                      <w:lang w:eastAsia="zh-CN"/>
                    </w:rPr>
                    <w:t>）后引致楼顶排放</w:t>
                  </w:r>
                </w:p>
              </w:tc>
              <w:tc>
                <w:tcPr>
                  <w:tcW w:w="1163"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1套</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586" w:hRule="atLeast"/>
                <w:jc w:val="center"/>
              </w:trPr>
              <w:tc>
                <w:tcPr>
                  <w:tcW w:w="392"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7</w:t>
                  </w:r>
                </w:p>
              </w:tc>
              <w:tc>
                <w:tcPr>
                  <w:tcW w:w="727" w:type="dxa"/>
                  <w:vMerge w:val="continue"/>
                  <w:tcBorders>
                    <w:tl2br w:val="nil"/>
                    <w:tr2bl w:val="nil"/>
                  </w:tcBorders>
                  <w:tcMar>
                    <w:left w:w="28" w:type="dxa"/>
                    <w:right w:w="28" w:type="dxa"/>
                  </w:tcMar>
                  <w:vAlign w:val="center"/>
                </w:tcPr>
                <w:p>
                  <w:pPr>
                    <w:rPr>
                      <w:color w:val="auto"/>
                    </w:rPr>
                  </w:pPr>
                </w:p>
              </w:tc>
              <w:tc>
                <w:tcPr>
                  <w:tcW w:w="2326" w:type="dxa"/>
                  <w:tcBorders>
                    <w:tl2br w:val="nil"/>
                    <w:tr2bl w:val="nil"/>
                  </w:tcBorders>
                  <w:tcMar>
                    <w:left w:w="28" w:type="dxa"/>
                    <w:right w:w="28" w:type="dxa"/>
                  </w:tcMar>
                  <w:vAlign w:val="center"/>
                </w:tcPr>
                <w:p>
                  <w:pPr>
                    <w:spacing w:line="240" w:lineRule="exact"/>
                    <w:jc w:val="center"/>
                    <w:rPr>
                      <w:rFonts w:hint="eastAsia"/>
                      <w:color w:val="auto"/>
                      <w:szCs w:val="21"/>
                      <w:lang w:eastAsia="zh-CN"/>
                    </w:rPr>
                  </w:pPr>
                  <w:r>
                    <w:rPr>
                      <w:rFonts w:hint="eastAsia"/>
                      <w:color w:val="auto"/>
                      <w:szCs w:val="21"/>
                      <w:lang w:eastAsia="zh-CN"/>
                    </w:rPr>
                    <w:t>道路扬尘</w:t>
                  </w:r>
                </w:p>
              </w:tc>
              <w:tc>
                <w:tcPr>
                  <w:tcW w:w="3054" w:type="dxa"/>
                  <w:tcBorders>
                    <w:tl2br w:val="nil"/>
                    <w:tr2bl w:val="nil"/>
                  </w:tcBorders>
                  <w:tcMar>
                    <w:left w:w="28" w:type="dxa"/>
                    <w:right w:w="28" w:type="dxa"/>
                  </w:tcMar>
                  <w:vAlign w:val="center"/>
                </w:tcPr>
                <w:p>
                  <w:pPr>
                    <w:snapToGrid w:val="0"/>
                    <w:spacing w:line="240" w:lineRule="exact"/>
                    <w:jc w:val="center"/>
                    <w:rPr>
                      <w:rFonts w:hint="eastAsia"/>
                      <w:color w:val="auto"/>
                      <w:szCs w:val="21"/>
                      <w:lang w:eastAsia="zh-CN"/>
                    </w:rPr>
                  </w:pPr>
                  <w:r>
                    <w:rPr>
                      <w:rFonts w:hint="eastAsia"/>
                      <w:color w:val="auto"/>
                      <w:szCs w:val="21"/>
                      <w:lang w:eastAsia="zh-CN"/>
                    </w:rPr>
                    <w:t>循环水洗车台</w:t>
                  </w:r>
                </w:p>
              </w:tc>
              <w:tc>
                <w:tcPr>
                  <w:tcW w:w="1163"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1套</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62" w:hRule="atLeast"/>
                <w:jc w:val="center"/>
              </w:trPr>
              <w:tc>
                <w:tcPr>
                  <w:tcW w:w="392" w:type="dxa"/>
                  <w:tcBorders>
                    <w:tl2br w:val="nil"/>
                    <w:tr2bl w:val="nil"/>
                  </w:tcBorders>
                  <w:tcMar>
                    <w:left w:w="28" w:type="dxa"/>
                    <w:right w:w="28" w:type="dxa"/>
                  </w:tcMar>
                  <w:vAlign w:val="center"/>
                </w:tcPr>
                <w:p>
                  <w:pPr>
                    <w:jc w:val="center"/>
                    <w:rPr>
                      <w:rFonts w:hint="eastAsia"/>
                      <w:color w:val="auto"/>
                      <w:szCs w:val="21"/>
                      <w:lang w:val="en-US" w:eastAsia="zh-CN"/>
                    </w:rPr>
                  </w:pPr>
                  <w:r>
                    <w:rPr>
                      <w:rFonts w:hint="eastAsia"/>
                      <w:color w:val="auto"/>
                      <w:szCs w:val="21"/>
                      <w:lang w:val="en-US" w:eastAsia="zh-CN"/>
                    </w:rPr>
                    <w:t>8</w:t>
                  </w:r>
                </w:p>
              </w:tc>
              <w:tc>
                <w:tcPr>
                  <w:tcW w:w="727" w:type="dxa"/>
                  <w:vMerge w:val="restart"/>
                  <w:tcBorders>
                    <w:tl2br w:val="nil"/>
                    <w:tr2bl w:val="nil"/>
                  </w:tcBorders>
                  <w:tcMar>
                    <w:left w:w="28" w:type="dxa"/>
                    <w:right w:w="28" w:type="dxa"/>
                  </w:tcMar>
                  <w:vAlign w:val="center"/>
                </w:tcPr>
                <w:p>
                  <w:pPr>
                    <w:jc w:val="center"/>
                    <w:rPr>
                      <w:rFonts w:hint="eastAsia" w:eastAsia="宋体"/>
                      <w:color w:val="auto"/>
                      <w:lang w:eastAsia="zh-CN"/>
                    </w:rPr>
                  </w:pPr>
                  <w:r>
                    <w:rPr>
                      <w:rFonts w:hint="eastAsia"/>
                      <w:color w:val="auto"/>
                      <w:lang w:eastAsia="zh-CN"/>
                    </w:rPr>
                    <w:t>废水</w:t>
                  </w:r>
                </w:p>
              </w:tc>
              <w:tc>
                <w:tcPr>
                  <w:tcW w:w="2326" w:type="dxa"/>
                  <w:tcBorders>
                    <w:tl2br w:val="nil"/>
                    <w:tr2bl w:val="nil"/>
                  </w:tcBorders>
                  <w:tcMar>
                    <w:left w:w="28" w:type="dxa"/>
                    <w:right w:w="28" w:type="dxa"/>
                  </w:tcMar>
                  <w:vAlign w:val="center"/>
                </w:tcPr>
                <w:p>
                  <w:pPr>
                    <w:snapToGrid w:val="0"/>
                    <w:jc w:val="center"/>
                    <w:rPr>
                      <w:rFonts w:hint="eastAsia"/>
                      <w:color w:val="auto"/>
                      <w:szCs w:val="21"/>
                      <w:lang w:eastAsia="zh-CN"/>
                    </w:rPr>
                  </w:pPr>
                  <w:r>
                    <w:rPr>
                      <w:rFonts w:hint="eastAsia"/>
                      <w:color w:val="auto"/>
                      <w:szCs w:val="21"/>
                      <w:lang w:eastAsia="zh-CN"/>
                    </w:rPr>
                    <w:t>洗煤生产废水</w:t>
                  </w:r>
                </w:p>
              </w:tc>
              <w:tc>
                <w:tcPr>
                  <w:tcW w:w="3054" w:type="dxa"/>
                  <w:tcBorders>
                    <w:tl2br w:val="nil"/>
                    <w:tr2bl w:val="nil"/>
                  </w:tcBorders>
                  <w:tcMar>
                    <w:left w:w="28" w:type="dxa"/>
                    <w:right w:w="28" w:type="dxa"/>
                  </w:tcMar>
                  <w:vAlign w:val="center"/>
                </w:tcPr>
                <w:p>
                  <w:pPr>
                    <w:snapToGrid w:val="0"/>
                    <w:jc w:val="center"/>
                    <w:rPr>
                      <w:rFonts w:hint="eastAsia"/>
                      <w:color w:val="auto"/>
                      <w:szCs w:val="21"/>
                      <w:lang w:eastAsia="zh-CN"/>
                    </w:rPr>
                  </w:pPr>
                  <w:r>
                    <w:rPr>
                      <w:rFonts w:hint="eastAsia"/>
                      <w:color w:val="auto"/>
                      <w:szCs w:val="21"/>
                      <w:lang w:eastAsia="zh-CN"/>
                    </w:rPr>
                    <w:t>深锥浓缩机、压滤机及循环系统管道连接</w:t>
                  </w:r>
                </w:p>
              </w:tc>
              <w:tc>
                <w:tcPr>
                  <w:tcW w:w="1163"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3套</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62" w:hRule="atLeast"/>
                <w:jc w:val="center"/>
              </w:trPr>
              <w:tc>
                <w:tcPr>
                  <w:tcW w:w="392" w:type="dxa"/>
                  <w:tcBorders>
                    <w:tl2br w:val="nil"/>
                    <w:tr2bl w:val="nil"/>
                  </w:tcBorders>
                  <w:tcMar>
                    <w:left w:w="28" w:type="dxa"/>
                    <w:right w:w="28" w:type="dxa"/>
                  </w:tcMar>
                  <w:vAlign w:val="center"/>
                </w:tcPr>
                <w:p>
                  <w:pPr>
                    <w:jc w:val="center"/>
                    <w:rPr>
                      <w:rFonts w:hint="eastAsia"/>
                      <w:color w:val="auto"/>
                      <w:szCs w:val="21"/>
                      <w:lang w:val="en-US" w:eastAsia="zh-CN"/>
                    </w:rPr>
                  </w:pPr>
                  <w:r>
                    <w:rPr>
                      <w:rFonts w:hint="eastAsia"/>
                      <w:color w:val="auto"/>
                      <w:szCs w:val="21"/>
                      <w:lang w:val="en-US" w:eastAsia="zh-CN"/>
                    </w:rPr>
                    <w:t>9</w:t>
                  </w:r>
                </w:p>
              </w:tc>
              <w:tc>
                <w:tcPr>
                  <w:tcW w:w="727" w:type="dxa"/>
                  <w:vMerge w:val="continue"/>
                  <w:tcBorders>
                    <w:tl2br w:val="nil"/>
                    <w:tr2bl w:val="nil"/>
                  </w:tcBorders>
                  <w:tcMar>
                    <w:left w:w="28" w:type="dxa"/>
                    <w:right w:w="28" w:type="dxa"/>
                  </w:tcMar>
                  <w:vAlign w:val="center"/>
                </w:tcPr>
                <w:p>
                  <w:pPr>
                    <w:jc w:val="center"/>
                    <w:rPr>
                      <w:rFonts w:hint="eastAsia"/>
                      <w:color w:val="auto"/>
                      <w:lang w:eastAsia="zh-CN"/>
                    </w:rPr>
                  </w:pPr>
                </w:p>
              </w:tc>
              <w:tc>
                <w:tcPr>
                  <w:tcW w:w="2326" w:type="dxa"/>
                  <w:tcBorders>
                    <w:tl2br w:val="nil"/>
                    <w:tr2bl w:val="nil"/>
                  </w:tcBorders>
                  <w:tcMar>
                    <w:left w:w="28" w:type="dxa"/>
                    <w:right w:w="28" w:type="dxa"/>
                  </w:tcMar>
                  <w:vAlign w:val="center"/>
                </w:tcPr>
                <w:p>
                  <w:pPr>
                    <w:snapToGrid w:val="0"/>
                    <w:jc w:val="center"/>
                    <w:rPr>
                      <w:rFonts w:hint="eastAsia"/>
                      <w:color w:val="auto"/>
                      <w:szCs w:val="21"/>
                      <w:lang w:eastAsia="zh-CN"/>
                    </w:rPr>
                  </w:pPr>
                  <w:r>
                    <w:rPr>
                      <w:rFonts w:hint="eastAsia"/>
                      <w:color w:val="auto"/>
                      <w:szCs w:val="21"/>
                      <w:lang w:eastAsia="zh-CN"/>
                    </w:rPr>
                    <w:t>事故水</w:t>
                  </w:r>
                </w:p>
              </w:tc>
              <w:tc>
                <w:tcPr>
                  <w:tcW w:w="3054" w:type="dxa"/>
                  <w:tcBorders>
                    <w:tl2br w:val="nil"/>
                    <w:tr2bl w:val="nil"/>
                  </w:tcBorders>
                  <w:tcMar>
                    <w:left w:w="28" w:type="dxa"/>
                    <w:right w:w="28" w:type="dxa"/>
                  </w:tcMar>
                  <w:vAlign w:val="center"/>
                </w:tcPr>
                <w:p>
                  <w:pPr>
                    <w:snapToGrid w:val="0"/>
                    <w:jc w:val="center"/>
                    <w:rPr>
                      <w:rFonts w:hint="eastAsia"/>
                      <w:color w:val="auto"/>
                      <w:szCs w:val="21"/>
                      <w:lang w:eastAsia="zh-CN"/>
                    </w:rPr>
                  </w:pPr>
                  <w:r>
                    <w:rPr>
                      <w:rFonts w:hint="eastAsia"/>
                      <w:color w:val="auto"/>
                      <w:szCs w:val="21"/>
                      <w:lang w:eastAsia="zh-CN"/>
                    </w:rPr>
                    <w:t>事故水池（</w:t>
                  </w:r>
                  <w:r>
                    <w:rPr>
                      <w:rFonts w:hint="eastAsia"/>
                      <w:color w:val="auto"/>
                      <w:szCs w:val="21"/>
                      <w:lang w:val="en-US" w:eastAsia="zh-CN"/>
                    </w:rPr>
                    <w:t>300m</w:t>
                  </w:r>
                  <w:r>
                    <w:rPr>
                      <w:rFonts w:hint="eastAsia"/>
                      <w:color w:val="auto"/>
                      <w:szCs w:val="21"/>
                      <w:vertAlign w:val="superscript"/>
                      <w:lang w:val="en-US" w:eastAsia="zh-CN"/>
                    </w:rPr>
                    <w:t>3</w:t>
                  </w:r>
                  <w:r>
                    <w:rPr>
                      <w:rFonts w:hint="eastAsia"/>
                      <w:color w:val="auto"/>
                      <w:szCs w:val="21"/>
                      <w:lang w:eastAsia="zh-CN"/>
                    </w:rPr>
                    <w:t>）并防渗处理</w:t>
                  </w:r>
                </w:p>
              </w:tc>
              <w:tc>
                <w:tcPr>
                  <w:tcW w:w="1163"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1座</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62" w:hRule="atLeast"/>
                <w:jc w:val="center"/>
              </w:trPr>
              <w:tc>
                <w:tcPr>
                  <w:tcW w:w="392" w:type="dxa"/>
                  <w:tcBorders>
                    <w:tl2br w:val="nil"/>
                    <w:tr2bl w:val="nil"/>
                  </w:tcBorders>
                  <w:tcMar>
                    <w:left w:w="28" w:type="dxa"/>
                    <w:right w:w="28" w:type="dxa"/>
                  </w:tcMar>
                  <w:vAlign w:val="center"/>
                </w:tcPr>
                <w:p>
                  <w:pPr>
                    <w:jc w:val="center"/>
                    <w:rPr>
                      <w:rFonts w:hint="eastAsia" w:eastAsia="宋体"/>
                      <w:color w:val="auto"/>
                      <w:szCs w:val="21"/>
                      <w:lang w:val="en-US" w:eastAsia="zh-CN"/>
                    </w:rPr>
                  </w:pPr>
                  <w:r>
                    <w:rPr>
                      <w:rFonts w:hint="eastAsia"/>
                      <w:color w:val="auto"/>
                      <w:szCs w:val="21"/>
                      <w:lang w:val="en-US" w:eastAsia="zh-CN"/>
                    </w:rPr>
                    <w:t>10</w:t>
                  </w:r>
                </w:p>
              </w:tc>
              <w:tc>
                <w:tcPr>
                  <w:tcW w:w="727" w:type="dxa"/>
                  <w:vMerge w:val="continue"/>
                  <w:tcBorders>
                    <w:tl2br w:val="nil"/>
                    <w:tr2bl w:val="nil"/>
                  </w:tcBorders>
                  <w:tcMar>
                    <w:left w:w="28" w:type="dxa"/>
                    <w:right w:w="28" w:type="dxa"/>
                  </w:tcMar>
                  <w:vAlign w:val="center"/>
                </w:tcPr>
                <w:p>
                  <w:pPr>
                    <w:jc w:val="center"/>
                    <w:rPr>
                      <w:rFonts w:hint="eastAsia" w:eastAsia="宋体"/>
                      <w:color w:val="auto"/>
                      <w:lang w:eastAsia="zh-CN"/>
                    </w:rPr>
                  </w:pPr>
                </w:p>
              </w:tc>
              <w:tc>
                <w:tcPr>
                  <w:tcW w:w="2326" w:type="dxa"/>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eastAsia="zh-CN"/>
                    </w:rPr>
                    <w:t>生活污水</w:t>
                  </w:r>
                </w:p>
              </w:tc>
              <w:tc>
                <w:tcPr>
                  <w:tcW w:w="3054" w:type="dxa"/>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eastAsia="zh-CN"/>
                    </w:rPr>
                    <w:t>化粪池（</w:t>
                  </w:r>
                  <w:r>
                    <w:rPr>
                      <w:rFonts w:hint="eastAsia"/>
                      <w:color w:val="auto"/>
                      <w:szCs w:val="21"/>
                      <w:lang w:val="en-US" w:eastAsia="zh-CN"/>
                    </w:rPr>
                    <w:t>30m</w:t>
                  </w:r>
                  <w:r>
                    <w:rPr>
                      <w:rFonts w:hint="eastAsia"/>
                      <w:color w:val="auto"/>
                      <w:szCs w:val="21"/>
                      <w:vertAlign w:val="superscript"/>
                      <w:lang w:val="en-US" w:eastAsia="zh-CN"/>
                    </w:rPr>
                    <w:t>3</w:t>
                  </w:r>
                  <w:r>
                    <w:rPr>
                      <w:rFonts w:hint="eastAsia"/>
                      <w:color w:val="auto"/>
                      <w:szCs w:val="21"/>
                      <w:lang w:eastAsia="zh-CN"/>
                    </w:rPr>
                    <w:t>）并防渗处理</w:t>
                  </w:r>
                </w:p>
              </w:tc>
              <w:tc>
                <w:tcPr>
                  <w:tcW w:w="1163" w:type="dxa"/>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val="en-US" w:eastAsia="zh-CN"/>
                    </w:rPr>
                    <w:t>2座</w:t>
                  </w:r>
                </w:p>
              </w:tc>
              <w:tc>
                <w:tcPr>
                  <w:tcW w:w="1322" w:type="dxa"/>
                  <w:tcBorders>
                    <w:tl2br w:val="nil"/>
                    <w:tr2bl w:val="nil"/>
                  </w:tcBorders>
                  <w:vAlign w:val="center"/>
                </w:tcPr>
                <w:p>
                  <w:pPr>
                    <w:snapToGrid w:val="0"/>
                    <w:jc w:val="center"/>
                    <w:rPr>
                      <w:rFonts w:hint="eastAsia" w:eastAsia="宋体"/>
                      <w:color w:val="auto"/>
                      <w:szCs w:val="21"/>
                      <w:lang w:val="en-US" w:eastAsia="zh-CN"/>
                    </w:rPr>
                  </w:pPr>
                  <w:r>
                    <w:rPr>
                      <w:rFonts w:hint="eastAsia"/>
                      <w:color w:val="auto"/>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45" w:hRule="atLeast"/>
                <w:jc w:val="center"/>
              </w:trPr>
              <w:tc>
                <w:tcPr>
                  <w:tcW w:w="392" w:type="dxa"/>
                  <w:tcBorders>
                    <w:tl2br w:val="nil"/>
                    <w:tr2bl w:val="nil"/>
                  </w:tcBorders>
                  <w:tcMar>
                    <w:left w:w="28" w:type="dxa"/>
                    <w:right w:w="28" w:type="dxa"/>
                  </w:tcMar>
                  <w:vAlign w:val="center"/>
                </w:tcPr>
                <w:p>
                  <w:pPr>
                    <w:jc w:val="center"/>
                    <w:rPr>
                      <w:rFonts w:hint="eastAsia"/>
                      <w:color w:val="auto"/>
                      <w:szCs w:val="21"/>
                      <w:lang w:val="en-US" w:eastAsia="zh-CN"/>
                    </w:rPr>
                  </w:pPr>
                  <w:r>
                    <w:rPr>
                      <w:rFonts w:hint="eastAsia"/>
                      <w:color w:val="auto"/>
                      <w:szCs w:val="21"/>
                      <w:lang w:val="en-US" w:eastAsia="zh-CN"/>
                    </w:rPr>
                    <w:t>11</w:t>
                  </w:r>
                </w:p>
              </w:tc>
              <w:tc>
                <w:tcPr>
                  <w:tcW w:w="727" w:type="dxa"/>
                  <w:vMerge w:val="continue"/>
                  <w:tcBorders>
                    <w:tl2br w:val="nil"/>
                    <w:tr2bl w:val="nil"/>
                  </w:tcBorders>
                  <w:tcMar>
                    <w:left w:w="28" w:type="dxa"/>
                    <w:right w:w="28" w:type="dxa"/>
                  </w:tcMar>
                  <w:vAlign w:val="center"/>
                </w:tcPr>
                <w:p>
                  <w:pPr>
                    <w:jc w:val="center"/>
                    <w:rPr>
                      <w:rFonts w:hint="eastAsia"/>
                      <w:color w:val="auto"/>
                      <w:lang w:eastAsia="zh-CN"/>
                    </w:rPr>
                  </w:pPr>
                </w:p>
              </w:tc>
              <w:tc>
                <w:tcPr>
                  <w:tcW w:w="2326" w:type="dxa"/>
                  <w:tcBorders>
                    <w:tl2br w:val="nil"/>
                    <w:tr2bl w:val="nil"/>
                  </w:tcBorders>
                  <w:tcMar>
                    <w:left w:w="28" w:type="dxa"/>
                    <w:right w:w="28" w:type="dxa"/>
                  </w:tcMar>
                  <w:vAlign w:val="center"/>
                </w:tcPr>
                <w:p>
                  <w:pPr>
                    <w:snapToGrid w:val="0"/>
                    <w:jc w:val="center"/>
                    <w:rPr>
                      <w:rFonts w:hint="eastAsia"/>
                      <w:color w:val="auto"/>
                      <w:szCs w:val="21"/>
                      <w:lang w:eastAsia="zh-CN"/>
                    </w:rPr>
                  </w:pPr>
                  <w:r>
                    <w:rPr>
                      <w:rFonts w:hint="eastAsia"/>
                      <w:color w:val="auto"/>
                      <w:szCs w:val="21"/>
                      <w:lang w:eastAsia="zh-CN"/>
                    </w:rPr>
                    <w:t>食堂废水</w:t>
                  </w:r>
                </w:p>
              </w:tc>
              <w:tc>
                <w:tcPr>
                  <w:tcW w:w="3054" w:type="dxa"/>
                  <w:tcBorders>
                    <w:tl2br w:val="nil"/>
                    <w:tr2bl w:val="nil"/>
                  </w:tcBorders>
                  <w:tcMar>
                    <w:left w:w="28" w:type="dxa"/>
                    <w:right w:w="28" w:type="dxa"/>
                  </w:tcMar>
                  <w:vAlign w:val="center"/>
                </w:tcPr>
                <w:p>
                  <w:pPr>
                    <w:snapToGrid w:val="0"/>
                    <w:jc w:val="center"/>
                    <w:rPr>
                      <w:rFonts w:hint="eastAsia"/>
                      <w:color w:val="auto"/>
                      <w:szCs w:val="21"/>
                      <w:lang w:eastAsia="zh-CN"/>
                    </w:rPr>
                  </w:pPr>
                  <w:r>
                    <w:rPr>
                      <w:rFonts w:hint="eastAsia"/>
                      <w:color w:val="auto"/>
                      <w:szCs w:val="21"/>
                      <w:lang w:eastAsia="zh-CN"/>
                    </w:rPr>
                    <w:t>平流式隔油池</w:t>
                  </w:r>
                </w:p>
              </w:tc>
              <w:tc>
                <w:tcPr>
                  <w:tcW w:w="1163" w:type="dxa"/>
                  <w:tcBorders>
                    <w:tl2br w:val="nil"/>
                    <w:tr2bl w:val="nil"/>
                  </w:tcBorders>
                  <w:tcMar>
                    <w:left w:w="28" w:type="dxa"/>
                    <w:right w:w="28" w:type="dxa"/>
                  </w:tcMar>
                  <w:vAlign w:val="center"/>
                </w:tcPr>
                <w:p>
                  <w:pPr>
                    <w:snapToGrid w:val="0"/>
                    <w:jc w:val="center"/>
                    <w:rPr>
                      <w:rFonts w:hint="eastAsia"/>
                      <w:color w:val="auto"/>
                      <w:szCs w:val="21"/>
                      <w:lang w:val="en-US" w:eastAsia="zh-CN"/>
                    </w:rPr>
                  </w:pPr>
                  <w:r>
                    <w:rPr>
                      <w:rFonts w:hint="eastAsia"/>
                      <w:color w:val="auto"/>
                      <w:szCs w:val="21"/>
                      <w:lang w:val="en-US" w:eastAsia="zh-CN"/>
                    </w:rPr>
                    <w:t>1座</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2" w:hRule="atLeast"/>
                <w:jc w:val="center"/>
              </w:trPr>
              <w:tc>
                <w:tcPr>
                  <w:tcW w:w="392" w:type="dxa"/>
                  <w:tcBorders>
                    <w:tl2br w:val="nil"/>
                    <w:tr2bl w:val="nil"/>
                  </w:tcBorders>
                  <w:tcMar>
                    <w:left w:w="28" w:type="dxa"/>
                    <w:right w:w="28" w:type="dxa"/>
                  </w:tcMar>
                  <w:vAlign w:val="center"/>
                </w:tcPr>
                <w:p>
                  <w:pPr>
                    <w:jc w:val="center"/>
                    <w:rPr>
                      <w:rFonts w:hint="eastAsia" w:eastAsia="宋体"/>
                      <w:color w:val="auto"/>
                      <w:szCs w:val="21"/>
                      <w:lang w:val="en-US" w:eastAsia="zh-CN"/>
                    </w:rPr>
                  </w:pPr>
                  <w:r>
                    <w:rPr>
                      <w:rFonts w:hint="eastAsia"/>
                      <w:color w:val="auto"/>
                      <w:szCs w:val="21"/>
                      <w:lang w:val="en-US" w:eastAsia="zh-CN"/>
                    </w:rPr>
                    <w:t>12</w:t>
                  </w:r>
                </w:p>
              </w:tc>
              <w:tc>
                <w:tcPr>
                  <w:tcW w:w="727" w:type="dxa"/>
                  <w:tcBorders>
                    <w:tl2br w:val="nil"/>
                    <w:tr2bl w:val="nil"/>
                  </w:tcBorders>
                  <w:tcMar>
                    <w:left w:w="28" w:type="dxa"/>
                    <w:right w:w="28" w:type="dxa"/>
                  </w:tcMar>
                  <w:vAlign w:val="center"/>
                </w:tcPr>
                <w:p>
                  <w:pPr>
                    <w:snapToGrid w:val="0"/>
                    <w:jc w:val="center"/>
                    <w:rPr>
                      <w:color w:val="auto"/>
                      <w:spacing w:val="-6"/>
                      <w:szCs w:val="21"/>
                    </w:rPr>
                  </w:pPr>
                  <w:r>
                    <w:rPr>
                      <w:color w:val="auto"/>
                      <w:spacing w:val="-6"/>
                      <w:szCs w:val="21"/>
                    </w:rPr>
                    <w:t>噪声</w:t>
                  </w:r>
                </w:p>
              </w:tc>
              <w:tc>
                <w:tcPr>
                  <w:tcW w:w="2326" w:type="dxa"/>
                  <w:tcBorders>
                    <w:tl2br w:val="nil"/>
                    <w:tr2bl w:val="nil"/>
                  </w:tcBorders>
                  <w:tcMar>
                    <w:left w:w="28" w:type="dxa"/>
                    <w:right w:w="28" w:type="dxa"/>
                  </w:tcMar>
                  <w:vAlign w:val="center"/>
                </w:tcPr>
                <w:p>
                  <w:pPr>
                    <w:snapToGrid w:val="0"/>
                    <w:jc w:val="center"/>
                    <w:rPr>
                      <w:color w:val="auto"/>
                      <w:szCs w:val="21"/>
                    </w:rPr>
                  </w:pPr>
                  <w:r>
                    <w:rPr>
                      <w:color w:val="auto"/>
                      <w:szCs w:val="21"/>
                    </w:rPr>
                    <w:t>生产车间设备</w:t>
                  </w:r>
                  <w:r>
                    <w:rPr>
                      <w:rFonts w:hint="eastAsia"/>
                      <w:color w:val="auto"/>
                      <w:szCs w:val="21"/>
                      <w:lang w:eastAsia="zh-CN"/>
                    </w:rPr>
                    <w:t>噪声</w:t>
                  </w:r>
                </w:p>
              </w:tc>
              <w:tc>
                <w:tcPr>
                  <w:tcW w:w="3054" w:type="dxa"/>
                  <w:tcBorders>
                    <w:tl2br w:val="nil"/>
                    <w:tr2bl w:val="nil"/>
                  </w:tcBorders>
                  <w:tcMar>
                    <w:left w:w="28" w:type="dxa"/>
                    <w:right w:w="28" w:type="dxa"/>
                  </w:tcMar>
                  <w:vAlign w:val="center"/>
                </w:tcPr>
                <w:p>
                  <w:pPr>
                    <w:snapToGrid w:val="0"/>
                    <w:jc w:val="center"/>
                    <w:rPr>
                      <w:color w:val="auto"/>
                      <w:szCs w:val="21"/>
                    </w:rPr>
                  </w:pPr>
                  <w:r>
                    <w:rPr>
                      <w:color w:val="auto"/>
                      <w:szCs w:val="21"/>
                    </w:rPr>
                    <w:t>合理布局、隔声、减震、消声处理</w:t>
                  </w:r>
                </w:p>
              </w:tc>
              <w:tc>
                <w:tcPr>
                  <w:tcW w:w="1163" w:type="dxa"/>
                  <w:tcBorders>
                    <w:tl2br w:val="nil"/>
                    <w:tr2bl w:val="nil"/>
                  </w:tcBorders>
                  <w:tcMar>
                    <w:left w:w="28" w:type="dxa"/>
                    <w:right w:w="28" w:type="dxa"/>
                  </w:tcMar>
                  <w:vAlign w:val="center"/>
                </w:tcPr>
                <w:p>
                  <w:pPr>
                    <w:snapToGrid w:val="0"/>
                    <w:jc w:val="center"/>
                    <w:rPr>
                      <w:color w:val="auto"/>
                      <w:szCs w:val="21"/>
                    </w:rPr>
                  </w:pPr>
                  <w:r>
                    <w:rPr>
                      <w:color w:val="auto"/>
                      <w:szCs w:val="21"/>
                    </w:rPr>
                    <w:t>若干</w:t>
                  </w:r>
                </w:p>
              </w:tc>
              <w:tc>
                <w:tcPr>
                  <w:tcW w:w="1322" w:type="dxa"/>
                  <w:tcBorders>
                    <w:tl2br w:val="nil"/>
                    <w:tr2bl w:val="nil"/>
                  </w:tcBorders>
                  <w:vAlign w:val="center"/>
                </w:tcPr>
                <w:p>
                  <w:pPr>
                    <w:snapToGrid w:val="0"/>
                    <w:jc w:val="center"/>
                    <w:rPr>
                      <w:rFonts w:hint="eastAsia" w:eastAsia="宋体"/>
                      <w:color w:val="auto"/>
                      <w:szCs w:val="21"/>
                      <w:lang w:val="en-US" w:eastAsia="zh-CN"/>
                    </w:rPr>
                  </w:pPr>
                  <w:r>
                    <w:rPr>
                      <w:rFonts w:hint="eastAsia"/>
                      <w:color w:val="auto"/>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724" w:hRule="atLeast"/>
                <w:jc w:val="center"/>
              </w:trPr>
              <w:tc>
                <w:tcPr>
                  <w:tcW w:w="392" w:type="dxa"/>
                  <w:tcBorders>
                    <w:tl2br w:val="nil"/>
                    <w:tr2bl w:val="nil"/>
                  </w:tcBorders>
                  <w:tcMar>
                    <w:left w:w="28" w:type="dxa"/>
                    <w:right w:w="28" w:type="dxa"/>
                  </w:tcMar>
                  <w:vAlign w:val="center"/>
                </w:tcPr>
                <w:p>
                  <w:pPr>
                    <w:jc w:val="center"/>
                    <w:rPr>
                      <w:rFonts w:hint="eastAsia" w:eastAsia="宋体"/>
                      <w:color w:val="auto"/>
                      <w:szCs w:val="21"/>
                      <w:lang w:val="en-US" w:eastAsia="zh-CN"/>
                    </w:rPr>
                  </w:pPr>
                  <w:r>
                    <w:rPr>
                      <w:rFonts w:hint="eastAsia"/>
                      <w:color w:val="auto"/>
                      <w:szCs w:val="21"/>
                      <w:lang w:val="en-US" w:eastAsia="zh-CN"/>
                    </w:rPr>
                    <w:t>13</w:t>
                  </w:r>
                </w:p>
              </w:tc>
              <w:tc>
                <w:tcPr>
                  <w:tcW w:w="727" w:type="dxa"/>
                  <w:vMerge w:val="restart"/>
                  <w:tcBorders>
                    <w:tl2br w:val="nil"/>
                    <w:tr2bl w:val="nil"/>
                  </w:tcBorders>
                  <w:tcMar>
                    <w:left w:w="28" w:type="dxa"/>
                    <w:right w:w="28" w:type="dxa"/>
                  </w:tcMar>
                  <w:vAlign w:val="center"/>
                </w:tcPr>
                <w:p>
                  <w:pPr>
                    <w:snapToGrid w:val="0"/>
                    <w:jc w:val="center"/>
                    <w:rPr>
                      <w:color w:val="auto"/>
                      <w:spacing w:val="-6"/>
                      <w:szCs w:val="21"/>
                    </w:rPr>
                  </w:pPr>
                  <w:r>
                    <w:rPr>
                      <w:color w:val="auto"/>
                      <w:spacing w:val="-6"/>
                      <w:szCs w:val="21"/>
                    </w:rPr>
                    <w:t>固废</w:t>
                  </w:r>
                </w:p>
              </w:tc>
              <w:tc>
                <w:tcPr>
                  <w:tcW w:w="2326" w:type="dxa"/>
                  <w:tcBorders>
                    <w:tl2br w:val="nil"/>
                    <w:tr2bl w:val="nil"/>
                  </w:tcBorders>
                  <w:tcMar>
                    <w:left w:w="28" w:type="dxa"/>
                    <w:right w:w="28" w:type="dxa"/>
                  </w:tcMar>
                  <w:vAlign w:val="center"/>
                </w:tcPr>
                <w:p>
                  <w:pPr>
                    <w:snapToGrid w:val="0"/>
                    <w:jc w:val="center"/>
                    <w:rPr>
                      <w:color w:val="auto"/>
                      <w:szCs w:val="21"/>
                    </w:rPr>
                  </w:pPr>
                  <w:r>
                    <w:rPr>
                      <w:color w:val="auto"/>
                      <w:szCs w:val="21"/>
                    </w:rPr>
                    <w:t>生活垃圾</w:t>
                  </w:r>
                </w:p>
              </w:tc>
              <w:tc>
                <w:tcPr>
                  <w:tcW w:w="3054" w:type="dxa"/>
                  <w:tcBorders>
                    <w:tl2br w:val="nil"/>
                    <w:tr2bl w:val="nil"/>
                  </w:tcBorders>
                  <w:tcMar>
                    <w:left w:w="28" w:type="dxa"/>
                    <w:right w:w="28" w:type="dxa"/>
                  </w:tcMar>
                  <w:vAlign w:val="center"/>
                </w:tcPr>
                <w:p>
                  <w:pPr>
                    <w:snapToGrid w:val="0"/>
                    <w:jc w:val="center"/>
                    <w:rPr>
                      <w:color w:val="auto"/>
                      <w:szCs w:val="21"/>
                    </w:rPr>
                  </w:pPr>
                  <w:r>
                    <w:rPr>
                      <w:color w:val="auto"/>
                      <w:szCs w:val="21"/>
                    </w:rPr>
                    <w:t>收集集中处置设施</w:t>
                  </w:r>
                </w:p>
              </w:tc>
              <w:tc>
                <w:tcPr>
                  <w:tcW w:w="1163" w:type="dxa"/>
                  <w:tcBorders>
                    <w:tl2br w:val="nil"/>
                    <w:tr2bl w:val="nil"/>
                  </w:tcBorders>
                  <w:vAlign w:val="center"/>
                </w:tcPr>
                <w:p>
                  <w:pPr>
                    <w:snapToGrid w:val="0"/>
                    <w:jc w:val="center"/>
                    <w:rPr>
                      <w:color w:val="auto"/>
                      <w:szCs w:val="21"/>
                    </w:rPr>
                  </w:pPr>
                  <w:r>
                    <w:rPr>
                      <w:color w:val="auto"/>
                      <w:szCs w:val="21"/>
                    </w:rPr>
                    <w:t>若干</w:t>
                  </w:r>
                </w:p>
              </w:tc>
              <w:tc>
                <w:tcPr>
                  <w:tcW w:w="1322" w:type="dxa"/>
                  <w:tcBorders>
                    <w:tl2br w:val="nil"/>
                    <w:tr2bl w:val="nil"/>
                  </w:tcBorders>
                  <w:vAlign w:val="center"/>
                </w:tcPr>
                <w:p>
                  <w:pPr>
                    <w:snapToGrid w:val="0"/>
                    <w:jc w:val="center"/>
                    <w:rPr>
                      <w:rFonts w:hint="eastAsia" w:eastAsia="宋体"/>
                      <w:color w:val="auto"/>
                      <w:szCs w:val="21"/>
                      <w:lang w:eastAsia="zh-CN"/>
                    </w:rPr>
                  </w:pPr>
                  <w:r>
                    <w:rPr>
                      <w:rFonts w:hint="eastAsia"/>
                      <w:color w:val="auto"/>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724" w:hRule="atLeast"/>
                <w:jc w:val="center"/>
              </w:trPr>
              <w:tc>
                <w:tcPr>
                  <w:tcW w:w="392" w:type="dxa"/>
                  <w:tcBorders>
                    <w:tl2br w:val="nil"/>
                    <w:tr2bl w:val="nil"/>
                  </w:tcBorders>
                  <w:tcMar>
                    <w:left w:w="28" w:type="dxa"/>
                    <w:right w:w="28" w:type="dxa"/>
                  </w:tcMar>
                  <w:vAlign w:val="center"/>
                </w:tcPr>
                <w:p>
                  <w:pPr>
                    <w:jc w:val="center"/>
                    <w:rPr>
                      <w:rFonts w:hint="eastAsia"/>
                      <w:color w:val="auto"/>
                      <w:szCs w:val="21"/>
                      <w:lang w:val="en-US" w:eastAsia="zh-CN"/>
                    </w:rPr>
                  </w:pPr>
                  <w:r>
                    <w:rPr>
                      <w:rFonts w:hint="eastAsia"/>
                      <w:color w:val="auto"/>
                      <w:szCs w:val="21"/>
                      <w:lang w:val="en-US" w:eastAsia="zh-CN"/>
                    </w:rPr>
                    <w:t>14</w:t>
                  </w:r>
                </w:p>
              </w:tc>
              <w:tc>
                <w:tcPr>
                  <w:tcW w:w="727" w:type="dxa"/>
                  <w:vMerge w:val="continue"/>
                  <w:tcBorders>
                    <w:tl2br w:val="nil"/>
                    <w:tr2bl w:val="nil"/>
                  </w:tcBorders>
                  <w:tcMar>
                    <w:left w:w="28" w:type="dxa"/>
                    <w:right w:w="28" w:type="dxa"/>
                  </w:tcMar>
                  <w:vAlign w:val="center"/>
                </w:tcPr>
                <w:p>
                  <w:pPr>
                    <w:snapToGrid w:val="0"/>
                    <w:jc w:val="center"/>
                    <w:rPr>
                      <w:color w:val="auto"/>
                      <w:spacing w:val="-6"/>
                      <w:szCs w:val="21"/>
                    </w:rPr>
                  </w:pPr>
                </w:p>
              </w:tc>
              <w:tc>
                <w:tcPr>
                  <w:tcW w:w="2326" w:type="dxa"/>
                  <w:tcBorders>
                    <w:tl2br w:val="nil"/>
                    <w:tr2bl w:val="nil"/>
                  </w:tcBorders>
                  <w:tcMar>
                    <w:left w:w="28" w:type="dxa"/>
                    <w:right w:w="28" w:type="dxa"/>
                  </w:tcMar>
                  <w:vAlign w:val="center"/>
                </w:tcPr>
                <w:p>
                  <w:pPr>
                    <w:snapToGrid w:val="0"/>
                    <w:jc w:val="center"/>
                    <w:rPr>
                      <w:rFonts w:hint="eastAsia" w:eastAsia="宋体"/>
                      <w:color w:val="auto"/>
                      <w:szCs w:val="21"/>
                      <w:lang w:eastAsia="zh-CN"/>
                    </w:rPr>
                  </w:pPr>
                  <w:r>
                    <w:rPr>
                      <w:rFonts w:hint="eastAsia"/>
                      <w:color w:val="auto"/>
                      <w:szCs w:val="21"/>
                      <w:lang w:eastAsia="zh-CN"/>
                    </w:rPr>
                    <w:t>废机油</w:t>
                  </w:r>
                </w:p>
              </w:tc>
              <w:tc>
                <w:tcPr>
                  <w:tcW w:w="4217" w:type="dxa"/>
                  <w:gridSpan w:val="2"/>
                  <w:tcBorders>
                    <w:tl2br w:val="nil"/>
                    <w:tr2bl w:val="nil"/>
                  </w:tcBorders>
                  <w:tcMar>
                    <w:left w:w="28" w:type="dxa"/>
                    <w:right w:w="28" w:type="dxa"/>
                  </w:tcMar>
                  <w:vAlign w:val="center"/>
                </w:tcPr>
                <w:p>
                  <w:pPr>
                    <w:snapToGrid w:val="0"/>
                    <w:jc w:val="center"/>
                    <w:rPr>
                      <w:color w:val="auto"/>
                      <w:szCs w:val="21"/>
                    </w:rPr>
                  </w:pPr>
                  <w:r>
                    <w:rPr>
                      <w:rFonts w:hint="eastAsia"/>
                      <w:color w:val="auto"/>
                      <w:szCs w:val="21"/>
                      <w:lang w:eastAsia="zh-CN"/>
                    </w:rPr>
                    <w:t>危废暂存间，委托有资质单为转运处置</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724" w:hRule="atLeast"/>
                <w:jc w:val="center"/>
              </w:trPr>
              <w:tc>
                <w:tcPr>
                  <w:tcW w:w="392" w:type="dxa"/>
                  <w:tcBorders>
                    <w:tl2br w:val="nil"/>
                    <w:tr2bl w:val="nil"/>
                  </w:tcBorders>
                  <w:tcMar>
                    <w:left w:w="28" w:type="dxa"/>
                    <w:right w:w="28" w:type="dxa"/>
                  </w:tcMar>
                  <w:vAlign w:val="center"/>
                </w:tcPr>
                <w:p>
                  <w:pPr>
                    <w:jc w:val="center"/>
                    <w:rPr>
                      <w:rFonts w:hint="eastAsia"/>
                      <w:color w:val="auto"/>
                      <w:szCs w:val="21"/>
                      <w:lang w:val="en-US" w:eastAsia="zh-CN"/>
                    </w:rPr>
                  </w:pPr>
                  <w:r>
                    <w:rPr>
                      <w:rFonts w:hint="eastAsia"/>
                      <w:color w:val="auto"/>
                      <w:szCs w:val="21"/>
                      <w:lang w:val="en-US" w:eastAsia="zh-CN"/>
                    </w:rPr>
                    <w:t>15</w:t>
                  </w:r>
                </w:p>
              </w:tc>
              <w:tc>
                <w:tcPr>
                  <w:tcW w:w="7270" w:type="dxa"/>
                  <w:gridSpan w:val="4"/>
                  <w:tcBorders>
                    <w:tl2br w:val="nil"/>
                    <w:tr2bl w:val="nil"/>
                  </w:tcBorders>
                  <w:tcMar>
                    <w:left w:w="28" w:type="dxa"/>
                    <w:right w:w="28" w:type="dxa"/>
                  </w:tcMar>
                  <w:vAlign w:val="center"/>
                </w:tcPr>
                <w:p>
                  <w:pPr>
                    <w:snapToGrid w:val="0"/>
                    <w:jc w:val="center"/>
                    <w:rPr>
                      <w:color w:val="auto"/>
                      <w:szCs w:val="21"/>
                    </w:rPr>
                  </w:pPr>
                  <w:r>
                    <w:rPr>
                      <w:rFonts w:hint="eastAsia"/>
                      <w:color w:val="auto"/>
                      <w:szCs w:val="21"/>
                      <w:lang w:eastAsia="zh-CN"/>
                    </w:rPr>
                    <w:t>设备日常运营维护费用</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724" w:hRule="atLeast"/>
                <w:jc w:val="center"/>
              </w:trPr>
              <w:tc>
                <w:tcPr>
                  <w:tcW w:w="392" w:type="dxa"/>
                  <w:tcBorders>
                    <w:tl2br w:val="nil"/>
                    <w:tr2bl w:val="nil"/>
                  </w:tcBorders>
                  <w:tcMar>
                    <w:left w:w="28" w:type="dxa"/>
                    <w:right w:w="28" w:type="dxa"/>
                  </w:tcMar>
                  <w:vAlign w:val="center"/>
                </w:tcPr>
                <w:p>
                  <w:pPr>
                    <w:jc w:val="center"/>
                    <w:rPr>
                      <w:rFonts w:hint="eastAsia"/>
                      <w:color w:val="auto"/>
                      <w:szCs w:val="21"/>
                      <w:lang w:val="en-US" w:eastAsia="zh-CN"/>
                    </w:rPr>
                  </w:pPr>
                  <w:r>
                    <w:rPr>
                      <w:rFonts w:hint="eastAsia"/>
                      <w:color w:val="auto"/>
                      <w:szCs w:val="21"/>
                      <w:lang w:val="en-US" w:eastAsia="zh-CN"/>
                    </w:rPr>
                    <w:t>16</w:t>
                  </w:r>
                </w:p>
              </w:tc>
              <w:tc>
                <w:tcPr>
                  <w:tcW w:w="7270" w:type="dxa"/>
                  <w:gridSpan w:val="4"/>
                  <w:tcBorders>
                    <w:tl2br w:val="nil"/>
                    <w:tr2bl w:val="nil"/>
                  </w:tcBorders>
                  <w:tcMar>
                    <w:left w:w="28" w:type="dxa"/>
                    <w:right w:w="28" w:type="dxa"/>
                  </w:tcMar>
                  <w:vAlign w:val="center"/>
                </w:tcPr>
                <w:p>
                  <w:pPr>
                    <w:snapToGrid w:val="0"/>
                    <w:jc w:val="center"/>
                    <w:rPr>
                      <w:color w:val="auto"/>
                      <w:szCs w:val="21"/>
                    </w:rPr>
                  </w:pPr>
                  <w:r>
                    <w:rPr>
                      <w:rFonts w:hint="eastAsia"/>
                      <w:color w:val="auto"/>
                      <w:szCs w:val="21"/>
                      <w:lang w:eastAsia="zh-CN"/>
                    </w:rPr>
                    <w:t>运营期常规监测费用</w:t>
                  </w:r>
                </w:p>
              </w:tc>
              <w:tc>
                <w:tcPr>
                  <w:tcW w:w="1322" w:type="dxa"/>
                  <w:tcBorders>
                    <w:tl2br w:val="nil"/>
                    <w:tr2bl w:val="nil"/>
                  </w:tcBorders>
                  <w:vAlign w:val="center"/>
                </w:tcPr>
                <w:p>
                  <w:pPr>
                    <w:snapToGrid w:val="0"/>
                    <w:jc w:val="center"/>
                    <w:rPr>
                      <w:rFonts w:hint="eastAsia"/>
                      <w:color w:val="auto"/>
                      <w:szCs w:val="21"/>
                      <w:lang w:val="en-US" w:eastAsia="zh-CN"/>
                    </w:rPr>
                  </w:pPr>
                  <w:r>
                    <w:rPr>
                      <w:rFonts w:hint="eastAsia"/>
                      <w:color w:val="auto"/>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2" w:hRule="atLeast"/>
                <w:jc w:val="center"/>
              </w:trPr>
              <w:tc>
                <w:tcPr>
                  <w:tcW w:w="392" w:type="dxa"/>
                  <w:tcBorders>
                    <w:tl2br w:val="nil"/>
                    <w:tr2bl w:val="nil"/>
                  </w:tcBorders>
                  <w:tcMar>
                    <w:left w:w="28" w:type="dxa"/>
                    <w:right w:w="28" w:type="dxa"/>
                  </w:tcMar>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17</w:t>
                  </w:r>
                </w:p>
              </w:tc>
              <w:tc>
                <w:tcPr>
                  <w:tcW w:w="727" w:type="dxa"/>
                  <w:tcBorders>
                    <w:tl2br w:val="nil"/>
                    <w:tr2bl w:val="nil"/>
                  </w:tcBorders>
                  <w:tcMar>
                    <w:left w:w="28" w:type="dxa"/>
                    <w:right w:w="28" w:type="dxa"/>
                  </w:tcMar>
                  <w:vAlign w:val="center"/>
                </w:tcPr>
                <w:p>
                  <w:pPr>
                    <w:snapToGrid w:val="0"/>
                    <w:jc w:val="center"/>
                    <w:rPr>
                      <w:color w:val="auto"/>
                      <w:spacing w:val="-6"/>
                      <w:szCs w:val="21"/>
                      <w:highlight w:val="none"/>
                    </w:rPr>
                  </w:pPr>
                  <w:r>
                    <w:rPr>
                      <w:color w:val="auto"/>
                      <w:spacing w:val="-6"/>
                      <w:szCs w:val="21"/>
                      <w:highlight w:val="none"/>
                    </w:rPr>
                    <w:t>绿化</w:t>
                  </w:r>
                </w:p>
              </w:tc>
              <w:tc>
                <w:tcPr>
                  <w:tcW w:w="6543" w:type="dxa"/>
                  <w:gridSpan w:val="3"/>
                  <w:tcBorders>
                    <w:tl2br w:val="nil"/>
                    <w:tr2bl w:val="nil"/>
                  </w:tcBorders>
                  <w:tcMar>
                    <w:left w:w="28" w:type="dxa"/>
                    <w:right w:w="28" w:type="dxa"/>
                  </w:tcMar>
                  <w:vAlign w:val="center"/>
                </w:tcPr>
                <w:p>
                  <w:pPr>
                    <w:snapToGrid w:val="0"/>
                    <w:jc w:val="center"/>
                    <w:rPr>
                      <w:color w:val="auto"/>
                      <w:szCs w:val="21"/>
                      <w:highlight w:val="none"/>
                    </w:rPr>
                  </w:pPr>
                  <w:r>
                    <w:rPr>
                      <w:rFonts w:hint="eastAsia"/>
                      <w:color w:val="auto"/>
                      <w:szCs w:val="21"/>
                      <w:highlight w:val="none"/>
                      <w:lang w:val="en-US" w:eastAsia="zh-CN"/>
                    </w:rPr>
                    <w:t>8000</w:t>
                  </w:r>
                  <w:r>
                    <w:rPr>
                      <w:color w:val="auto"/>
                      <w:szCs w:val="21"/>
                      <w:highlight w:val="none"/>
                    </w:rPr>
                    <w:t>m</w:t>
                  </w:r>
                  <w:r>
                    <w:rPr>
                      <w:color w:val="auto"/>
                      <w:szCs w:val="21"/>
                      <w:highlight w:val="none"/>
                      <w:vertAlign w:val="superscript"/>
                    </w:rPr>
                    <w:t>2</w:t>
                  </w:r>
                </w:p>
              </w:tc>
              <w:tc>
                <w:tcPr>
                  <w:tcW w:w="1322" w:type="dxa"/>
                  <w:tcBorders>
                    <w:tl2br w:val="nil"/>
                    <w:tr2bl w:val="nil"/>
                  </w:tcBorders>
                  <w:vAlign w:val="center"/>
                </w:tcPr>
                <w:p>
                  <w:pPr>
                    <w:snapToGrid w:val="0"/>
                    <w:jc w:val="center"/>
                    <w:rPr>
                      <w:rFonts w:hint="eastAsia" w:eastAsia="宋体"/>
                      <w:color w:val="auto"/>
                      <w:szCs w:val="21"/>
                      <w:highlight w:val="none"/>
                      <w:lang w:eastAsia="zh-CN"/>
                    </w:rPr>
                  </w:pPr>
                  <w:r>
                    <w:rPr>
                      <w:rFonts w:hint="eastAsia"/>
                      <w:color w:val="auto"/>
                      <w:szCs w:val="21"/>
                      <w:highlight w:val="none"/>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2" w:hRule="atLeast"/>
                <w:jc w:val="center"/>
              </w:trPr>
              <w:tc>
                <w:tcPr>
                  <w:tcW w:w="392" w:type="dxa"/>
                  <w:tcBorders>
                    <w:tl2br w:val="nil"/>
                    <w:tr2bl w:val="nil"/>
                  </w:tcBorders>
                  <w:tcMar>
                    <w:left w:w="28" w:type="dxa"/>
                    <w:right w:w="28" w:type="dxa"/>
                  </w:tcMar>
                  <w:vAlign w:val="center"/>
                </w:tcPr>
                <w:p>
                  <w:pPr>
                    <w:jc w:val="center"/>
                    <w:rPr>
                      <w:color w:val="auto"/>
                      <w:szCs w:val="21"/>
                    </w:rPr>
                  </w:pPr>
                  <w:r>
                    <w:rPr>
                      <w:color w:val="auto"/>
                      <w:szCs w:val="21"/>
                    </w:rPr>
                    <w:t>合计</w:t>
                  </w:r>
                </w:p>
              </w:tc>
              <w:tc>
                <w:tcPr>
                  <w:tcW w:w="7270" w:type="dxa"/>
                  <w:gridSpan w:val="4"/>
                  <w:tcBorders>
                    <w:tl2br w:val="nil"/>
                    <w:tr2bl w:val="nil"/>
                  </w:tcBorders>
                  <w:tcMar>
                    <w:left w:w="28" w:type="dxa"/>
                    <w:right w:w="28" w:type="dxa"/>
                  </w:tcMar>
                  <w:vAlign w:val="center"/>
                </w:tcPr>
                <w:p>
                  <w:pPr>
                    <w:jc w:val="center"/>
                    <w:rPr>
                      <w:color w:val="auto"/>
                      <w:szCs w:val="21"/>
                    </w:rPr>
                  </w:pPr>
                  <w:r>
                    <w:rPr>
                      <w:rFonts w:hint="eastAsia"/>
                      <w:color w:val="auto"/>
                      <w:szCs w:val="21"/>
                    </w:rPr>
                    <w:t>共计</w:t>
                  </w:r>
                </w:p>
              </w:tc>
              <w:tc>
                <w:tcPr>
                  <w:tcW w:w="1322" w:type="dxa"/>
                  <w:tcBorders>
                    <w:tl2br w:val="nil"/>
                    <w:tr2bl w:val="nil"/>
                  </w:tcBorders>
                  <w:vAlign w:val="center"/>
                </w:tcPr>
                <w:p>
                  <w:pPr>
                    <w:jc w:val="center"/>
                    <w:rPr>
                      <w:rFonts w:hint="eastAsia" w:eastAsia="宋体"/>
                      <w:color w:val="auto"/>
                      <w:szCs w:val="21"/>
                      <w:lang w:eastAsia="zh-CN"/>
                    </w:rPr>
                  </w:pPr>
                  <w:r>
                    <w:rPr>
                      <w:rFonts w:hint="eastAsia"/>
                      <w:color w:val="auto"/>
                      <w:szCs w:val="21"/>
                      <w:lang w:val="en-US" w:eastAsia="zh-CN"/>
                    </w:rPr>
                    <w:t>650</w:t>
                  </w:r>
                </w:p>
              </w:tc>
            </w:tr>
          </w:tbl>
          <w:p>
            <w:pPr>
              <w:pStyle w:val="9"/>
              <w:numPr>
                <w:ilvl w:val="0"/>
                <w:numId w:val="0"/>
              </w:numPr>
              <w:spacing w:line="360" w:lineRule="auto"/>
              <w:rPr>
                <w:rFonts w:hint="eastAsia" w:eastAsia="宋体"/>
                <w:sz w:val="24"/>
                <w:lang w:val="en-US" w:eastAsia="zh-CN"/>
              </w:rPr>
            </w:pPr>
            <w:r>
              <w:rPr>
                <w:rFonts w:hint="eastAsia" w:eastAsia="宋体"/>
                <w:sz w:val="24"/>
                <w:lang w:val="en-US" w:eastAsia="zh-CN"/>
              </w:rPr>
              <w:t xml:space="preserve">    项目建成后应按照环境保护部办公厅函《关于规范建设单位自主开展建设项目竣工环境保护验收的通知（征求意见稿）》（环办环评函【2017】1235号）组织自主验收。</w:t>
            </w: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p>
            <w:pPr>
              <w:pStyle w:val="9"/>
              <w:numPr>
                <w:ilvl w:val="0"/>
                <w:numId w:val="0"/>
              </w:numPr>
              <w:spacing w:line="360" w:lineRule="auto"/>
              <w:rPr>
                <w:rFonts w:hint="eastAsia" w:eastAsia="宋体"/>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98" w:hRule="atLeast"/>
          <w:jc w:val="center"/>
        </w:trPr>
        <w:tc>
          <w:tcPr>
            <w:tcW w:w="9200" w:type="dxa"/>
          </w:tcPr>
          <w:p>
            <w:pPr>
              <w:tabs>
                <w:tab w:val="left" w:pos="3495"/>
              </w:tabs>
              <w:spacing w:line="360" w:lineRule="auto"/>
              <w:rPr>
                <w:color w:val="auto"/>
                <w:sz w:val="28"/>
                <w:szCs w:val="28"/>
              </w:rPr>
            </w:pPr>
            <w:r>
              <w:rPr>
                <w:rFonts w:hint="eastAsia"/>
                <w:color w:val="auto"/>
                <w:sz w:val="28"/>
                <w:szCs w:val="28"/>
                <w:lang w:eastAsia="zh-CN"/>
              </w:rPr>
              <w:t>四</w:t>
            </w:r>
            <w:r>
              <w:rPr>
                <w:color w:val="auto"/>
                <w:sz w:val="28"/>
                <w:szCs w:val="28"/>
              </w:rPr>
              <w:t>、环保设施清单</w:t>
            </w:r>
          </w:p>
          <w:p>
            <w:pPr>
              <w:adjustRightInd w:val="0"/>
              <w:snapToGrid w:val="0"/>
              <w:spacing w:line="360" w:lineRule="auto"/>
              <w:ind w:firstLine="480" w:firstLineChars="200"/>
              <w:rPr>
                <w:color w:val="auto"/>
                <w:sz w:val="24"/>
              </w:rPr>
            </w:pPr>
            <w:r>
              <w:rPr>
                <w:color w:val="auto"/>
                <w:sz w:val="24"/>
              </w:rPr>
              <w:t>建设项目环境保护设施清单见表</w:t>
            </w:r>
            <w:r>
              <w:rPr>
                <w:rFonts w:hint="eastAsia"/>
                <w:color w:val="auto"/>
                <w:sz w:val="24"/>
                <w:lang w:val="en-US" w:eastAsia="zh-CN"/>
              </w:rPr>
              <w:t>26</w:t>
            </w:r>
            <w:r>
              <w:rPr>
                <w:color w:val="auto"/>
                <w:sz w:val="24"/>
              </w:rPr>
              <w:t>。</w:t>
            </w:r>
          </w:p>
          <w:p>
            <w:pPr>
              <w:adjustRightInd w:val="0"/>
              <w:snapToGrid w:val="0"/>
              <w:jc w:val="center"/>
              <w:rPr>
                <w:b/>
                <w:color w:val="auto"/>
                <w:sz w:val="24"/>
                <w:szCs w:val="24"/>
              </w:rPr>
            </w:pPr>
            <w:r>
              <w:rPr>
                <w:b/>
                <w:color w:val="auto"/>
                <w:sz w:val="24"/>
                <w:szCs w:val="24"/>
              </w:rPr>
              <w:t>表</w:t>
            </w:r>
            <w:r>
              <w:rPr>
                <w:rFonts w:hint="eastAsia"/>
                <w:b/>
                <w:color w:val="auto"/>
                <w:sz w:val="24"/>
                <w:szCs w:val="24"/>
                <w:lang w:val="en-US" w:eastAsia="zh-CN"/>
              </w:rPr>
              <w:t>26</w:t>
            </w:r>
            <w:r>
              <w:rPr>
                <w:rFonts w:hint="eastAsia"/>
                <w:b/>
                <w:color w:val="auto"/>
                <w:sz w:val="24"/>
                <w:szCs w:val="24"/>
              </w:rPr>
              <w:t xml:space="preserve"> </w:t>
            </w:r>
            <w:r>
              <w:rPr>
                <w:b/>
                <w:color w:val="auto"/>
                <w:sz w:val="24"/>
                <w:szCs w:val="24"/>
              </w:rPr>
              <w:t xml:space="preserve"> 建设项目环保设施清单</w:t>
            </w:r>
          </w:p>
          <w:tbl>
            <w:tblPr>
              <w:tblStyle w:val="34"/>
              <w:tblW w:w="89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449"/>
              <w:gridCol w:w="777"/>
              <w:gridCol w:w="1681"/>
              <w:gridCol w:w="3461"/>
              <w:gridCol w:w="2616"/>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jc w:val="center"/>
              </w:trPr>
              <w:tc>
                <w:tcPr>
                  <w:tcW w:w="449" w:type="dxa"/>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序号</w:t>
                  </w:r>
                </w:p>
              </w:tc>
              <w:tc>
                <w:tcPr>
                  <w:tcW w:w="777" w:type="dxa"/>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治理项目</w:t>
                  </w:r>
                </w:p>
              </w:tc>
              <w:tc>
                <w:tcPr>
                  <w:tcW w:w="1681" w:type="dxa"/>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污染源及污染物质</w:t>
                  </w:r>
                </w:p>
              </w:tc>
              <w:tc>
                <w:tcPr>
                  <w:tcW w:w="3461" w:type="dxa"/>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污染防治设施名称及处理措施</w:t>
                  </w:r>
                </w:p>
              </w:tc>
              <w:tc>
                <w:tcPr>
                  <w:tcW w:w="2616" w:type="dxa"/>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eastAsia="宋体"/>
                      <w:color w:val="auto"/>
                      <w:szCs w:val="21"/>
                      <w:lang w:val="en-US" w:eastAsia="zh-CN"/>
                    </w:rPr>
                  </w:pPr>
                  <w:r>
                    <w:rPr>
                      <w:rFonts w:hint="eastAsia"/>
                      <w:color w:val="auto"/>
                      <w:szCs w:val="21"/>
                      <w:lang w:val="en-US" w:eastAsia="zh-CN"/>
                    </w:rPr>
                    <w:t>1</w:t>
                  </w:r>
                </w:p>
              </w:tc>
              <w:tc>
                <w:tcPr>
                  <w:tcW w:w="777" w:type="dxa"/>
                  <w:vMerge w:val="restart"/>
                  <w:tcBorders>
                    <w:tl2br w:val="nil"/>
                    <w:tr2bl w:val="nil"/>
                  </w:tcBorders>
                  <w:vAlign w:val="center"/>
                </w:tcPr>
                <w:p>
                  <w:pPr>
                    <w:spacing w:line="240" w:lineRule="exact"/>
                    <w:jc w:val="center"/>
                    <w:rPr>
                      <w:color w:val="auto"/>
                      <w:szCs w:val="21"/>
                    </w:rPr>
                  </w:pPr>
                  <w:r>
                    <w:rPr>
                      <w:color w:val="auto"/>
                      <w:szCs w:val="21"/>
                    </w:rPr>
                    <w:t>废气</w:t>
                  </w:r>
                </w:p>
              </w:tc>
              <w:tc>
                <w:tcPr>
                  <w:tcW w:w="1681" w:type="dxa"/>
                  <w:tcBorders>
                    <w:tl2br w:val="nil"/>
                    <w:tr2bl w:val="nil"/>
                  </w:tcBorders>
                  <w:vAlign w:val="center"/>
                </w:tcPr>
                <w:p>
                  <w:pPr>
                    <w:jc w:val="center"/>
                    <w:rPr>
                      <w:rFonts w:hint="eastAsia"/>
                      <w:lang w:eastAsia="zh-CN"/>
                    </w:rPr>
                  </w:pPr>
                  <w:r>
                    <w:rPr>
                      <w:rFonts w:hint="eastAsia"/>
                      <w:lang w:eastAsia="zh-CN"/>
                    </w:rPr>
                    <w:t>洗煤工段</w:t>
                  </w:r>
                </w:p>
                <w:p>
                  <w:pPr>
                    <w:spacing w:line="240" w:lineRule="exact"/>
                    <w:jc w:val="center"/>
                    <w:rPr>
                      <w:rFonts w:hint="eastAsia" w:eastAsia="宋体"/>
                      <w:color w:val="auto"/>
                      <w:szCs w:val="21"/>
                      <w:lang w:eastAsia="zh-CN"/>
                    </w:rPr>
                  </w:pPr>
                  <w:r>
                    <w:rPr>
                      <w:rFonts w:hint="eastAsia"/>
                      <w:lang w:eastAsia="zh-CN"/>
                    </w:rPr>
                    <w:t>筛分破碎粉尘</w:t>
                  </w:r>
                </w:p>
              </w:tc>
              <w:tc>
                <w:tcPr>
                  <w:tcW w:w="3461" w:type="dxa"/>
                  <w:tcBorders>
                    <w:tl2br w:val="nil"/>
                    <w:tr2bl w:val="nil"/>
                  </w:tcBorders>
                  <w:vAlign w:val="center"/>
                </w:tcPr>
                <w:p>
                  <w:pPr>
                    <w:snapToGrid w:val="0"/>
                    <w:jc w:val="center"/>
                    <w:rPr>
                      <w:rFonts w:hint="eastAsia"/>
                      <w:lang w:val="en-US" w:eastAsia="zh-CN"/>
                    </w:rPr>
                  </w:pPr>
                  <w:r>
                    <w:rPr>
                      <w:rFonts w:hint="eastAsia"/>
                      <w:lang w:eastAsia="zh-CN"/>
                    </w:rPr>
                    <w:t>集气罩收集后由布袋除尘器处理，</w:t>
                  </w:r>
                  <w:r>
                    <w:rPr>
                      <w:rFonts w:hint="eastAsia"/>
                      <w:lang w:val="en-US" w:eastAsia="zh-CN"/>
                    </w:rPr>
                    <w:t>15m排气筒</w:t>
                  </w:r>
                </w:p>
                <w:p>
                  <w:pPr>
                    <w:snapToGrid w:val="0"/>
                    <w:spacing w:line="240" w:lineRule="exact"/>
                    <w:jc w:val="center"/>
                    <w:rPr>
                      <w:rFonts w:hint="eastAsia"/>
                      <w:lang w:val="en-US" w:eastAsia="zh-CN"/>
                    </w:rPr>
                  </w:pPr>
                  <w:r>
                    <w:rPr>
                      <w:rFonts w:hint="eastAsia"/>
                      <w:lang w:val="en-US" w:eastAsia="zh-CN"/>
                    </w:rPr>
                    <w:t>喷淋洒水装置</w:t>
                  </w:r>
                </w:p>
                <w:p>
                  <w:pPr>
                    <w:pStyle w:val="2"/>
                    <w:jc w:val="center"/>
                  </w:pPr>
                  <w:r>
                    <w:rPr>
                      <w:rFonts w:hint="eastAsia" w:ascii="Times New Roman" w:hAnsi="Times New Roman" w:eastAsia="宋体" w:cs="Times New Roman"/>
                      <w:spacing w:val="0"/>
                      <w:kern w:val="2"/>
                      <w:sz w:val="21"/>
                      <w:lang w:val="en-US" w:eastAsia="zh-CN" w:bidi="ar-SA"/>
                    </w:rPr>
                    <w:t>（3套）</w:t>
                  </w:r>
                </w:p>
              </w:tc>
              <w:tc>
                <w:tcPr>
                  <w:tcW w:w="2616" w:type="dxa"/>
                  <w:tcBorders>
                    <w:tl2br w:val="nil"/>
                    <w:tr2bl w:val="nil"/>
                  </w:tcBorders>
                  <w:vAlign w:val="center"/>
                </w:tcPr>
                <w:p>
                  <w:pPr>
                    <w:numPr>
                      <w:ilvl w:val="0"/>
                      <w:numId w:val="0"/>
                    </w:numPr>
                    <w:spacing w:line="240" w:lineRule="auto"/>
                    <w:rPr>
                      <w:b w:val="0"/>
                      <w:color w:val="auto"/>
                      <w:sz w:val="21"/>
                      <w:szCs w:val="21"/>
                    </w:rPr>
                  </w:pPr>
                  <w:r>
                    <w:rPr>
                      <w:rFonts w:hint="eastAsia"/>
                      <w:b w:val="0"/>
                      <w:color w:val="auto"/>
                      <w:sz w:val="21"/>
                      <w:szCs w:val="21"/>
                    </w:rPr>
                    <w:t>满足《煤炭工业污染物排放标准》（GB20426-2006）表4中颗粒物浓度限值小于80mg/m</w:t>
                  </w:r>
                  <w:r>
                    <w:rPr>
                      <w:rFonts w:hint="eastAsia"/>
                      <w:b w:val="0"/>
                      <w:color w:val="auto"/>
                      <w:sz w:val="21"/>
                      <w:szCs w:val="21"/>
                      <w:vertAlign w:val="superscript"/>
                    </w:rPr>
                    <w:t>3</w:t>
                  </w:r>
                  <w:r>
                    <w:rPr>
                      <w:rFonts w:hint="eastAsia"/>
                      <w:b w:val="0"/>
                      <w:color w:val="auto"/>
                      <w:sz w:val="21"/>
                      <w:szCs w:val="21"/>
                    </w:rPr>
                    <w:t>及其表5中无组织排放限值低于1.0mg/m</w:t>
                  </w:r>
                  <w:r>
                    <w:rPr>
                      <w:rFonts w:hint="eastAsia"/>
                      <w:b w:val="0"/>
                      <w:color w:val="auto"/>
                      <w:sz w:val="21"/>
                      <w:szCs w:val="21"/>
                      <w:vertAlign w:val="superscript"/>
                    </w:rPr>
                    <w:t>3</w:t>
                  </w:r>
                  <w:r>
                    <w:rPr>
                      <w:rFonts w:hint="eastAsia"/>
                      <w:b w:val="0"/>
                      <w:color w:val="auto"/>
                      <w:sz w:val="21"/>
                      <w:szCs w:val="21"/>
                    </w:rPr>
                    <w:t>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eastAsia="宋体"/>
                      <w:color w:val="auto"/>
                      <w:szCs w:val="21"/>
                      <w:lang w:val="en-US" w:eastAsia="zh-CN"/>
                    </w:rPr>
                  </w:pPr>
                  <w:r>
                    <w:rPr>
                      <w:rFonts w:hint="eastAsia"/>
                      <w:color w:val="auto"/>
                      <w:szCs w:val="21"/>
                      <w:lang w:val="en-US" w:eastAsia="zh-CN"/>
                    </w:rPr>
                    <w:t>2</w:t>
                  </w:r>
                </w:p>
              </w:tc>
              <w:tc>
                <w:tcPr>
                  <w:tcW w:w="777" w:type="dxa"/>
                  <w:vMerge w:val="continue"/>
                  <w:tcBorders>
                    <w:tl2br w:val="nil"/>
                    <w:tr2bl w:val="nil"/>
                  </w:tcBorders>
                  <w:vAlign w:val="center"/>
                </w:tcPr>
                <w:p>
                  <w:pPr>
                    <w:rPr>
                      <w:color w:val="auto"/>
                      <w:szCs w:val="21"/>
                    </w:rPr>
                  </w:pPr>
                </w:p>
              </w:tc>
              <w:tc>
                <w:tcPr>
                  <w:tcW w:w="1681" w:type="dxa"/>
                  <w:tcBorders>
                    <w:tl2br w:val="nil"/>
                    <w:tr2bl w:val="nil"/>
                  </w:tcBorders>
                  <w:vAlign w:val="center"/>
                </w:tcPr>
                <w:p>
                  <w:pPr>
                    <w:jc w:val="center"/>
                    <w:rPr>
                      <w:rFonts w:hint="eastAsia"/>
                      <w:lang w:eastAsia="zh-CN"/>
                    </w:rPr>
                  </w:pPr>
                  <w:r>
                    <w:rPr>
                      <w:rFonts w:hint="eastAsia"/>
                      <w:lang w:eastAsia="zh-CN"/>
                    </w:rPr>
                    <w:t>制砖工段</w:t>
                  </w:r>
                </w:p>
                <w:p>
                  <w:pPr>
                    <w:spacing w:line="240" w:lineRule="exact"/>
                    <w:jc w:val="center"/>
                    <w:rPr>
                      <w:rFonts w:hint="eastAsia" w:eastAsia="宋体"/>
                      <w:color w:val="auto"/>
                      <w:szCs w:val="21"/>
                      <w:lang w:eastAsia="zh-CN"/>
                    </w:rPr>
                  </w:pPr>
                  <w:r>
                    <w:rPr>
                      <w:rFonts w:hint="eastAsia"/>
                      <w:sz w:val="21"/>
                      <w:szCs w:val="21"/>
                      <w:lang w:eastAsia="zh-CN"/>
                    </w:rPr>
                    <w:t>煤矸石破碎粉尘</w:t>
                  </w:r>
                </w:p>
              </w:tc>
              <w:tc>
                <w:tcPr>
                  <w:tcW w:w="3461" w:type="dxa"/>
                  <w:tcBorders>
                    <w:tl2br w:val="nil"/>
                    <w:tr2bl w:val="nil"/>
                  </w:tcBorders>
                  <w:vAlign w:val="center"/>
                </w:tcPr>
                <w:p>
                  <w:pPr>
                    <w:snapToGrid w:val="0"/>
                    <w:spacing w:line="240" w:lineRule="exact"/>
                    <w:jc w:val="center"/>
                    <w:rPr>
                      <w:rFonts w:hint="eastAsia" w:eastAsia="宋体"/>
                      <w:color w:val="auto"/>
                      <w:szCs w:val="21"/>
                      <w:lang w:eastAsia="zh-CN"/>
                    </w:rPr>
                  </w:pPr>
                  <w:r>
                    <w:rPr>
                      <w:rFonts w:hint="eastAsia"/>
                      <w:lang w:eastAsia="zh-CN"/>
                    </w:rPr>
                    <w:t>集气罩收集后由布袋除尘器处理，</w:t>
                  </w:r>
                  <w:r>
                    <w:rPr>
                      <w:rFonts w:hint="eastAsia"/>
                      <w:lang w:val="en-US" w:eastAsia="zh-CN"/>
                    </w:rPr>
                    <w:t>15m排气筒</w:t>
                  </w:r>
                </w:p>
              </w:tc>
              <w:tc>
                <w:tcPr>
                  <w:tcW w:w="2616" w:type="dxa"/>
                  <w:tcBorders>
                    <w:tl2br w:val="nil"/>
                    <w:tr2bl w:val="nil"/>
                  </w:tcBorders>
                  <w:vAlign w:val="center"/>
                </w:tcPr>
                <w:p>
                  <w:pPr>
                    <w:rPr>
                      <w:bCs/>
                      <w:color w:val="auto"/>
                      <w:szCs w:val="21"/>
                    </w:rPr>
                  </w:pPr>
                  <w:r>
                    <w:rPr>
                      <w:rFonts w:hint="eastAsia"/>
                      <w:bCs/>
                      <w:color w:val="auto"/>
                      <w:szCs w:val="21"/>
                    </w:rPr>
                    <w:t>满足GB16297-1996《大气污染物综合排放标准》表2中的二级标准规定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color w:val="auto"/>
                      <w:szCs w:val="21"/>
                      <w:lang w:val="en-US" w:eastAsia="zh-CN"/>
                    </w:rPr>
                  </w:pPr>
                  <w:r>
                    <w:rPr>
                      <w:rFonts w:hint="eastAsia"/>
                      <w:color w:val="auto"/>
                      <w:szCs w:val="21"/>
                      <w:lang w:val="en-US" w:eastAsia="zh-CN"/>
                    </w:rPr>
                    <w:t>3</w:t>
                  </w:r>
                </w:p>
              </w:tc>
              <w:tc>
                <w:tcPr>
                  <w:tcW w:w="777" w:type="dxa"/>
                  <w:vMerge w:val="continue"/>
                  <w:tcBorders>
                    <w:tl2br w:val="nil"/>
                    <w:tr2bl w:val="nil"/>
                  </w:tcBorders>
                  <w:vAlign w:val="center"/>
                </w:tcPr>
                <w:p>
                  <w:pPr>
                    <w:rPr>
                      <w:color w:val="auto"/>
                      <w:szCs w:val="21"/>
                    </w:rPr>
                  </w:pPr>
                </w:p>
              </w:tc>
              <w:tc>
                <w:tcPr>
                  <w:tcW w:w="1681" w:type="dxa"/>
                  <w:tcBorders>
                    <w:tl2br w:val="nil"/>
                    <w:tr2bl w:val="nil"/>
                  </w:tcBorders>
                  <w:vAlign w:val="center"/>
                </w:tcPr>
                <w:p>
                  <w:pPr>
                    <w:spacing w:line="240" w:lineRule="exact"/>
                    <w:jc w:val="center"/>
                    <w:rPr>
                      <w:rFonts w:hint="eastAsia"/>
                      <w:color w:val="auto"/>
                      <w:szCs w:val="21"/>
                      <w:lang w:eastAsia="zh-CN"/>
                    </w:rPr>
                  </w:pPr>
                  <w:r>
                    <w:rPr>
                      <w:rFonts w:hint="eastAsia"/>
                      <w:color w:val="auto"/>
                      <w:szCs w:val="21"/>
                      <w:lang w:eastAsia="zh-CN"/>
                    </w:rPr>
                    <w:t>粉料贮存粉尘</w:t>
                  </w:r>
                </w:p>
              </w:tc>
              <w:tc>
                <w:tcPr>
                  <w:tcW w:w="3461" w:type="dxa"/>
                  <w:tcBorders>
                    <w:tl2br w:val="nil"/>
                    <w:tr2bl w:val="nil"/>
                  </w:tcBorders>
                  <w:vAlign w:val="center"/>
                </w:tcPr>
                <w:p>
                  <w:pPr>
                    <w:snapToGrid w:val="0"/>
                    <w:spacing w:line="240" w:lineRule="exact"/>
                    <w:jc w:val="center"/>
                    <w:rPr>
                      <w:rFonts w:hint="eastAsia"/>
                      <w:color w:val="auto"/>
                      <w:szCs w:val="21"/>
                      <w:lang w:eastAsia="zh-CN"/>
                    </w:rPr>
                  </w:pPr>
                  <w:r>
                    <w:rPr>
                      <w:rFonts w:hint="eastAsia"/>
                      <w:color w:val="auto"/>
                      <w:szCs w:val="21"/>
                      <w:lang w:eastAsia="zh-CN"/>
                    </w:rPr>
                    <w:t>仓顶脉冲布袋除尘器并由高于</w:t>
                  </w:r>
                  <w:r>
                    <w:rPr>
                      <w:rFonts w:hint="eastAsia"/>
                      <w:color w:val="auto"/>
                      <w:szCs w:val="21"/>
                      <w:lang w:val="en-US" w:eastAsia="zh-CN"/>
                    </w:rPr>
                    <w:t>15m排气筒排放</w:t>
                  </w:r>
                </w:p>
              </w:tc>
              <w:tc>
                <w:tcPr>
                  <w:tcW w:w="2616" w:type="dxa"/>
                  <w:tcBorders>
                    <w:tl2br w:val="nil"/>
                    <w:tr2bl w:val="nil"/>
                  </w:tcBorders>
                  <w:vAlign w:val="center"/>
                </w:tcPr>
                <w:p>
                  <w:pPr>
                    <w:rPr>
                      <w:color w:val="auto"/>
                      <w:kern w:val="24"/>
                      <w:sz w:val="21"/>
                      <w:szCs w:val="16"/>
                    </w:rPr>
                  </w:pPr>
                  <w:r>
                    <w:rPr>
                      <w:color w:val="auto"/>
                      <w:kern w:val="24"/>
                      <w:sz w:val="21"/>
                      <w:szCs w:val="16"/>
                    </w:rPr>
                    <w:t>粉尘排放</w:t>
                  </w:r>
                  <w:r>
                    <w:rPr>
                      <w:rFonts w:hint="eastAsia"/>
                      <w:color w:val="auto"/>
                      <w:kern w:val="24"/>
                      <w:sz w:val="21"/>
                      <w:szCs w:val="16"/>
                      <w:lang w:eastAsia="zh-CN"/>
                    </w:rPr>
                    <w:t>达到</w:t>
                  </w:r>
                  <w:r>
                    <w:rPr>
                      <w:color w:val="auto"/>
                      <w:kern w:val="24"/>
                      <w:sz w:val="21"/>
                      <w:szCs w:val="16"/>
                    </w:rPr>
                    <w:t>《</w:t>
                  </w:r>
                  <w:r>
                    <w:rPr>
                      <w:rFonts w:hint="eastAsia"/>
                      <w:color w:val="auto"/>
                      <w:kern w:val="24"/>
                      <w:sz w:val="21"/>
                      <w:szCs w:val="16"/>
                      <w:lang w:eastAsia="zh-CN"/>
                    </w:rPr>
                    <w:t>关中地区重点行业大气污染物排放限值</w:t>
                  </w:r>
                  <w:r>
                    <w:rPr>
                      <w:color w:val="auto"/>
                      <w:kern w:val="24"/>
                      <w:sz w:val="21"/>
                      <w:szCs w:val="16"/>
                    </w:rPr>
                    <w:t>》（</w:t>
                  </w:r>
                  <w:r>
                    <w:rPr>
                      <w:rFonts w:hint="eastAsia"/>
                      <w:color w:val="auto"/>
                      <w:kern w:val="24"/>
                      <w:sz w:val="21"/>
                      <w:szCs w:val="16"/>
                      <w:lang w:val="en-US" w:eastAsia="zh-CN"/>
                    </w:rPr>
                    <w:t>DB61/941-2014</w:t>
                  </w:r>
                  <w:r>
                    <w:rPr>
                      <w:color w:val="auto"/>
                      <w:kern w:val="24"/>
                      <w:sz w:val="21"/>
                      <w:szCs w:val="16"/>
                    </w:rPr>
                    <w:t>）</w:t>
                  </w:r>
                  <w:r>
                    <w:rPr>
                      <w:rFonts w:hint="eastAsia"/>
                      <w:color w:val="auto"/>
                      <w:kern w:val="24"/>
                      <w:sz w:val="21"/>
                      <w:szCs w:val="16"/>
                      <w:lang w:eastAsia="zh-CN"/>
                    </w:rPr>
                    <w:t>中表</w:t>
                  </w:r>
                  <w:r>
                    <w:rPr>
                      <w:rFonts w:hint="eastAsia"/>
                      <w:color w:val="auto"/>
                      <w:kern w:val="24"/>
                      <w:sz w:val="21"/>
                      <w:szCs w:val="16"/>
                      <w:lang w:val="en-US" w:eastAsia="zh-CN"/>
                    </w:rPr>
                    <w:t>2水泥行业排放浓度限值</w:t>
                  </w:r>
                  <w:r>
                    <w:rPr>
                      <w:color w:val="auto"/>
                      <w:kern w:val="24"/>
                      <w:sz w:val="21"/>
                      <w:szCs w:val="16"/>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color w:val="auto"/>
                      <w:szCs w:val="21"/>
                      <w:lang w:val="en-US" w:eastAsia="zh-CN"/>
                    </w:rPr>
                  </w:pPr>
                  <w:r>
                    <w:rPr>
                      <w:rFonts w:hint="eastAsia"/>
                      <w:color w:val="auto"/>
                      <w:szCs w:val="21"/>
                      <w:lang w:val="en-US" w:eastAsia="zh-CN"/>
                    </w:rPr>
                    <w:t>4</w:t>
                  </w:r>
                </w:p>
              </w:tc>
              <w:tc>
                <w:tcPr>
                  <w:tcW w:w="777" w:type="dxa"/>
                  <w:vMerge w:val="continue"/>
                  <w:tcBorders>
                    <w:tl2br w:val="nil"/>
                    <w:tr2bl w:val="nil"/>
                  </w:tcBorders>
                  <w:vAlign w:val="center"/>
                </w:tcPr>
                <w:p>
                  <w:pPr>
                    <w:rPr>
                      <w:color w:val="auto"/>
                      <w:szCs w:val="21"/>
                    </w:rPr>
                  </w:pPr>
                </w:p>
              </w:tc>
              <w:tc>
                <w:tcPr>
                  <w:tcW w:w="1681" w:type="dxa"/>
                  <w:tcBorders>
                    <w:tl2br w:val="nil"/>
                    <w:tr2bl w:val="nil"/>
                  </w:tcBorders>
                  <w:vAlign w:val="center"/>
                </w:tcPr>
                <w:p>
                  <w:pPr>
                    <w:spacing w:line="240" w:lineRule="exact"/>
                    <w:jc w:val="center"/>
                    <w:rPr>
                      <w:rFonts w:hint="eastAsia"/>
                      <w:color w:val="auto"/>
                      <w:szCs w:val="21"/>
                      <w:lang w:eastAsia="zh-CN"/>
                    </w:rPr>
                  </w:pPr>
                  <w:r>
                    <w:rPr>
                      <w:rFonts w:hint="eastAsia"/>
                      <w:color w:val="auto"/>
                      <w:szCs w:val="21"/>
                      <w:lang w:eastAsia="zh-CN"/>
                    </w:rPr>
                    <w:t>原料贮存粉尘</w:t>
                  </w:r>
                </w:p>
              </w:tc>
              <w:tc>
                <w:tcPr>
                  <w:tcW w:w="3461" w:type="dxa"/>
                  <w:tcBorders>
                    <w:tl2br w:val="nil"/>
                    <w:tr2bl w:val="nil"/>
                  </w:tcBorders>
                  <w:vAlign w:val="center"/>
                </w:tcPr>
                <w:p>
                  <w:pPr>
                    <w:snapToGrid w:val="0"/>
                    <w:spacing w:line="240" w:lineRule="exact"/>
                    <w:jc w:val="center"/>
                    <w:rPr>
                      <w:rFonts w:hint="eastAsia"/>
                      <w:color w:val="auto"/>
                      <w:szCs w:val="21"/>
                      <w:lang w:val="en-US" w:eastAsia="zh-CN"/>
                    </w:rPr>
                  </w:pPr>
                  <w:r>
                    <w:rPr>
                      <w:rFonts w:hint="eastAsia"/>
                      <w:color w:val="auto"/>
                      <w:szCs w:val="21"/>
                      <w:lang w:eastAsia="zh-CN"/>
                    </w:rPr>
                    <w:t>堆场在全密闭厂房内，并设置洒水降尘设施</w:t>
                  </w:r>
                </w:p>
              </w:tc>
              <w:tc>
                <w:tcPr>
                  <w:tcW w:w="2616" w:type="dxa"/>
                  <w:tcBorders>
                    <w:tl2br w:val="nil"/>
                    <w:tr2bl w:val="nil"/>
                  </w:tcBorders>
                  <w:vAlign w:val="center"/>
                </w:tcPr>
                <w:p>
                  <w:pPr>
                    <w:rPr>
                      <w:color w:val="auto"/>
                      <w:kern w:val="24"/>
                      <w:sz w:val="21"/>
                      <w:szCs w:val="16"/>
                    </w:rPr>
                  </w:pPr>
                  <w:r>
                    <w:rPr>
                      <w:rFonts w:hint="eastAsia"/>
                      <w:b w:val="0"/>
                      <w:color w:val="auto"/>
                      <w:sz w:val="21"/>
                      <w:szCs w:val="21"/>
                    </w:rPr>
                    <w:t>满足《煤炭工业污染物排放标准》（GB20426-2006）表5中无组织排放限值低于1.0mg/m</w:t>
                  </w:r>
                  <w:r>
                    <w:rPr>
                      <w:rFonts w:hint="eastAsia"/>
                      <w:b w:val="0"/>
                      <w:color w:val="auto"/>
                      <w:sz w:val="21"/>
                      <w:szCs w:val="21"/>
                      <w:vertAlign w:val="superscript"/>
                    </w:rPr>
                    <w:t>3</w:t>
                  </w:r>
                  <w:r>
                    <w:rPr>
                      <w:rFonts w:hint="eastAsia"/>
                      <w:b w:val="0"/>
                      <w:color w:val="auto"/>
                      <w:sz w:val="21"/>
                      <w:szCs w:val="21"/>
                    </w:rPr>
                    <w:t>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color w:val="auto"/>
                      <w:szCs w:val="21"/>
                      <w:lang w:val="en-US" w:eastAsia="zh-CN"/>
                    </w:rPr>
                  </w:pPr>
                  <w:r>
                    <w:rPr>
                      <w:rFonts w:hint="eastAsia"/>
                      <w:color w:val="auto"/>
                      <w:szCs w:val="21"/>
                      <w:lang w:val="en-US" w:eastAsia="zh-CN"/>
                    </w:rPr>
                    <w:t>5</w:t>
                  </w:r>
                </w:p>
              </w:tc>
              <w:tc>
                <w:tcPr>
                  <w:tcW w:w="777" w:type="dxa"/>
                  <w:vMerge w:val="continue"/>
                  <w:tcBorders>
                    <w:tl2br w:val="nil"/>
                    <w:tr2bl w:val="nil"/>
                  </w:tcBorders>
                  <w:vAlign w:val="center"/>
                </w:tcPr>
                <w:p>
                  <w:pPr>
                    <w:rPr>
                      <w:color w:val="auto"/>
                      <w:szCs w:val="21"/>
                    </w:rPr>
                  </w:pPr>
                </w:p>
              </w:tc>
              <w:tc>
                <w:tcPr>
                  <w:tcW w:w="1681" w:type="dxa"/>
                  <w:tcBorders>
                    <w:tl2br w:val="nil"/>
                    <w:tr2bl w:val="nil"/>
                  </w:tcBorders>
                  <w:vAlign w:val="center"/>
                </w:tcPr>
                <w:p>
                  <w:pPr>
                    <w:spacing w:line="240" w:lineRule="exact"/>
                    <w:jc w:val="center"/>
                    <w:rPr>
                      <w:rFonts w:hint="eastAsia"/>
                      <w:color w:val="auto"/>
                      <w:szCs w:val="21"/>
                      <w:lang w:eastAsia="zh-CN"/>
                    </w:rPr>
                  </w:pPr>
                  <w:r>
                    <w:rPr>
                      <w:rFonts w:hint="eastAsia"/>
                      <w:color w:val="auto"/>
                      <w:szCs w:val="21"/>
                      <w:lang w:eastAsia="zh-CN"/>
                    </w:rPr>
                    <w:t>转运粉尘</w:t>
                  </w:r>
                </w:p>
              </w:tc>
              <w:tc>
                <w:tcPr>
                  <w:tcW w:w="3461" w:type="dxa"/>
                  <w:tcBorders>
                    <w:tl2br w:val="nil"/>
                    <w:tr2bl w:val="nil"/>
                  </w:tcBorders>
                  <w:vAlign w:val="center"/>
                </w:tcPr>
                <w:p>
                  <w:pPr>
                    <w:snapToGrid w:val="0"/>
                    <w:spacing w:line="240" w:lineRule="exact"/>
                    <w:jc w:val="center"/>
                    <w:rPr>
                      <w:rFonts w:hint="eastAsia"/>
                      <w:color w:val="auto"/>
                      <w:szCs w:val="21"/>
                      <w:lang w:eastAsia="zh-CN"/>
                    </w:rPr>
                  </w:pPr>
                  <w:r>
                    <w:rPr>
                      <w:rFonts w:hint="eastAsia"/>
                      <w:color w:val="auto"/>
                      <w:szCs w:val="21"/>
                      <w:lang w:eastAsia="zh-CN"/>
                    </w:rPr>
                    <w:t>封闭式传送带</w:t>
                  </w:r>
                </w:p>
              </w:tc>
              <w:tc>
                <w:tcPr>
                  <w:tcW w:w="2616" w:type="dxa"/>
                  <w:tcBorders>
                    <w:tl2br w:val="nil"/>
                    <w:tr2bl w:val="nil"/>
                  </w:tcBorders>
                  <w:vAlign w:val="center"/>
                </w:tcPr>
                <w:p>
                  <w:pPr>
                    <w:rPr>
                      <w:rFonts w:hint="eastAsia"/>
                      <w:b w:val="0"/>
                      <w:color w:val="auto"/>
                      <w:sz w:val="21"/>
                      <w:szCs w:val="21"/>
                    </w:rPr>
                  </w:pPr>
                  <w:r>
                    <w:rPr>
                      <w:rFonts w:hint="eastAsia"/>
                      <w:b w:val="0"/>
                      <w:color w:val="auto"/>
                      <w:sz w:val="21"/>
                      <w:szCs w:val="21"/>
                    </w:rPr>
                    <w:t>满足《煤炭工业污染物排放标准》（GB20426-2006）表5中无组织排放限值低于1.0mg/m</w:t>
                  </w:r>
                  <w:r>
                    <w:rPr>
                      <w:rFonts w:hint="eastAsia"/>
                      <w:b w:val="0"/>
                      <w:color w:val="auto"/>
                      <w:sz w:val="21"/>
                      <w:szCs w:val="21"/>
                      <w:vertAlign w:val="superscript"/>
                    </w:rPr>
                    <w:t>3</w:t>
                  </w:r>
                  <w:r>
                    <w:rPr>
                      <w:rFonts w:hint="eastAsia"/>
                      <w:b w:val="0"/>
                      <w:color w:val="auto"/>
                      <w:sz w:val="21"/>
                      <w:szCs w:val="21"/>
                    </w:rPr>
                    <w:t>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color w:val="auto"/>
                      <w:szCs w:val="21"/>
                      <w:lang w:val="en-US" w:eastAsia="zh-CN"/>
                    </w:rPr>
                  </w:pPr>
                  <w:r>
                    <w:rPr>
                      <w:rFonts w:hint="eastAsia"/>
                      <w:color w:val="auto"/>
                      <w:szCs w:val="21"/>
                      <w:lang w:val="en-US" w:eastAsia="zh-CN"/>
                    </w:rPr>
                    <w:t>6</w:t>
                  </w:r>
                </w:p>
              </w:tc>
              <w:tc>
                <w:tcPr>
                  <w:tcW w:w="777" w:type="dxa"/>
                  <w:vMerge w:val="continue"/>
                  <w:tcBorders>
                    <w:tl2br w:val="nil"/>
                    <w:tr2bl w:val="nil"/>
                  </w:tcBorders>
                  <w:vAlign w:val="center"/>
                </w:tcPr>
                <w:p>
                  <w:pPr>
                    <w:rPr>
                      <w:color w:val="auto"/>
                      <w:szCs w:val="21"/>
                    </w:rPr>
                  </w:pPr>
                </w:p>
              </w:tc>
              <w:tc>
                <w:tcPr>
                  <w:tcW w:w="1681" w:type="dxa"/>
                  <w:tcBorders>
                    <w:tl2br w:val="nil"/>
                    <w:tr2bl w:val="nil"/>
                  </w:tcBorders>
                  <w:vAlign w:val="center"/>
                </w:tcPr>
                <w:p>
                  <w:pPr>
                    <w:spacing w:line="240" w:lineRule="exact"/>
                    <w:jc w:val="center"/>
                    <w:rPr>
                      <w:rFonts w:hint="eastAsia"/>
                      <w:color w:val="auto"/>
                      <w:szCs w:val="21"/>
                      <w:lang w:eastAsia="zh-CN"/>
                    </w:rPr>
                  </w:pPr>
                  <w:r>
                    <w:rPr>
                      <w:rFonts w:hint="eastAsia"/>
                      <w:color w:val="auto"/>
                      <w:szCs w:val="21"/>
                      <w:lang w:eastAsia="zh-CN"/>
                    </w:rPr>
                    <w:t>食堂油烟</w:t>
                  </w:r>
                </w:p>
              </w:tc>
              <w:tc>
                <w:tcPr>
                  <w:tcW w:w="3461" w:type="dxa"/>
                  <w:tcBorders>
                    <w:tl2br w:val="nil"/>
                    <w:tr2bl w:val="nil"/>
                  </w:tcBorders>
                  <w:vAlign w:val="center"/>
                </w:tcPr>
                <w:p>
                  <w:pPr>
                    <w:snapToGrid w:val="0"/>
                    <w:spacing w:line="240" w:lineRule="exact"/>
                    <w:jc w:val="center"/>
                    <w:rPr>
                      <w:rFonts w:hint="eastAsia"/>
                      <w:color w:val="auto"/>
                      <w:szCs w:val="21"/>
                      <w:lang w:eastAsia="zh-CN"/>
                    </w:rPr>
                  </w:pPr>
                  <w:r>
                    <w:rPr>
                      <w:rFonts w:hint="eastAsia"/>
                      <w:color w:val="auto"/>
                      <w:szCs w:val="21"/>
                      <w:lang w:eastAsia="zh-CN"/>
                    </w:rPr>
                    <w:t>经油烟净化器（处理效率大于</w:t>
                  </w:r>
                  <w:r>
                    <w:rPr>
                      <w:rFonts w:hint="eastAsia"/>
                      <w:color w:val="auto"/>
                      <w:szCs w:val="21"/>
                      <w:lang w:val="en-US" w:eastAsia="zh-CN"/>
                    </w:rPr>
                    <w:t>75%</w:t>
                  </w:r>
                  <w:r>
                    <w:rPr>
                      <w:rFonts w:hint="eastAsia"/>
                      <w:color w:val="auto"/>
                      <w:szCs w:val="21"/>
                      <w:lang w:eastAsia="zh-CN"/>
                    </w:rPr>
                    <w:t>）后引致楼顶排放</w:t>
                  </w:r>
                </w:p>
              </w:tc>
              <w:tc>
                <w:tcPr>
                  <w:tcW w:w="2616" w:type="dxa"/>
                  <w:tcBorders>
                    <w:tl2br w:val="nil"/>
                    <w:tr2bl w:val="nil"/>
                  </w:tcBorders>
                  <w:vAlign w:val="center"/>
                </w:tcPr>
                <w:p>
                  <w:pPr>
                    <w:rPr>
                      <w:rFonts w:hint="eastAsia"/>
                      <w:b w:val="0"/>
                      <w:color w:val="auto"/>
                      <w:sz w:val="21"/>
                      <w:szCs w:val="21"/>
                    </w:rPr>
                  </w:pPr>
                  <w:r>
                    <w:rPr>
                      <w:rFonts w:hint="eastAsia"/>
                      <w:b w:val="0"/>
                      <w:color w:val="auto"/>
                      <w:sz w:val="21"/>
                      <w:szCs w:val="21"/>
                    </w:rPr>
                    <w:t>满足《饮食业油烟排放标准》（GB18483-2001）中中型食堂标准要求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color w:val="auto"/>
                      <w:szCs w:val="21"/>
                      <w:lang w:val="en-US" w:eastAsia="zh-CN"/>
                    </w:rPr>
                  </w:pPr>
                  <w:r>
                    <w:rPr>
                      <w:rFonts w:hint="eastAsia"/>
                      <w:color w:val="auto"/>
                      <w:szCs w:val="21"/>
                      <w:lang w:val="en-US" w:eastAsia="zh-CN"/>
                    </w:rPr>
                    <w:t>7</w:t>
                  </w:r>
                </w:p>
              </w:tc>
              <w:tc>
                <w:tcPr>
                  <w:tcW w:w="777" w:type="dxa"/>
                  <w:vMerge w:val="continue"/>
                  <w:tcBorders>
                    <w:tl2br w:val="nil"/>
                    <w:tr2bl w:val="nil"/>
                  </w:tcBorders>
                  <w:vAlign w:val="center"/>
                </w:tcPr>
                <w:p>
                  <w:pPr>
                    <w:rPr>
                      <w:color w:val="auto"/>
                      <w:szCs w:val="21"/>
                    </w:rPr>
                  </w:pPr>
                </w:p>
              </w:tc>
              <w:tc>
                <w:tcPr>
                  <w:tcW w:w="1681" w:type="dxa"/>
                  <w:tcBorders>
                    <w:tl2br w:val="nil"/>
                    <w:tr2bl w:val="nil"/>
                  </w:tcBorders>
                  <w:vAlign w:val="center"/>
                </w:tcPr>
                <w:p>
                  <w:pPr>
                    <w:spacing w:line="240" w:lineRule="exact"/>
                    <w:jc w:val="center"/>
                    <w:rPr>
                      <w:rFonts w:hint="eastAsia"/>
                      <w:color w:val="auto"/>
                      <w:szCs w:val="21"/>
                      <w:lang w:eastAsia="zh-CN"/>
                    </w:rPr>
                  </w:pPr>
                  <w:r>
                    <w:rPr>
                      <w:rFonts w:hint="eastAsia"/>
                      <w:color w:val="auto"/>
                      <w:szCs w:val="21"/>
                      <w:lang w:eastAsia="zh-CN"/>
                    </w:rPr>
                    <w:t>道路扬尘</w:t>
                  </w:r>
                </w:p>
              </w:tc>
              <w:tc>
                <w:tcPr>
                  <w:tcW w:w="3461" w:type="dxa"/>
                  <w:tcBorders>
                    <w:tl2br w:val="nil"/>
                    <w:tr2bl w:val="nil"/>
                  </w:tcBorders>
                  <w:vAlign w:val="center"/>
                </w:tcPr>
                <w:p>
                  <w:pPr>
                    <w:snapToGrid w:val="0"/>
                    <w:spacing w:line="240" w:lineRule="exact"/>
                    <w:jc w:val="center"/>
                    <w:rPr>
                      <w:rFonts w:hint="eastAsia"/>
                      <w:color w:val="auto"/>
                      <w:szCs w:val="21"/>
                      <w:lang w:eastAsia="zh-CN"/>
                    </w:rPr>
                  </w:pPr>
                  <w:r>
                    <w:rPr>
                      <w:rFonts w:hint="eastAsia"/>
                      <w:color w:val="auto"/>
                      <w:szCs w:val="21"/>
                      <w:lang w:eastAsia="zh-CN"/>
                    </w:rPr>
                    <w:t>循环水洗车台</w:t>
                  </w:r>
                </w:p>
              </w:tc>
              <w:tc>
                <w:tcPr>
                  <w:tcW w:w="2616" w:type="dxa"/>
                  <w:tcBorders>
                    <w:tl2br w:val="nil"/>
                    <w:tr2bl w:val="nil"/>
                  </w:tcBorders>
                  <w:vAlign w:val="center"/>
                </w:tcPr>
                <w:p>
                  <w:pPr>
                    <w:rPr>
                      <w:rFonts w:hint="eastAsia" w:eastAsia="宋体"/>
                      <w:b w:val="0"/>
                      <w:color w:val="auto"/>
                      <w:sz w:val="21"/>
                      <w:szCs w:val="21"/>
                      <w:lang w:eastAsia="zh-CN"/>
                    </w:rPr>
                  </w:pPr>
                  <w:r>
                    <w:rPr>
                      <w:rFonts w:hint="eastAsia"/>
                      <w:b w:val="0"/>
                      <w:color w:val="auto"/>
                      <w:sz w:val="21"/>
                      <w:szCs w:val="21"/>
                      <w:lang w:eastAsia="zh-CN"/>
                    </w:rPr>
                    <w:t>洗车水循环利用不外排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48" w:hRule="atLeast"/>
                <w:jc w:val="center"/>
              </w:trPr>
              <w:tc>
                <w:tcPr>
                  <w:tcW w:w="449" w:type="dxa"/>
                  <w:tcBorders>
                    <w:tl2br w:val="nil"/>
                    <w:tr2bl w:val="nil"/>
                  </w:tcBorders>
                  <w:vAlign w:val="center"/>
                </w:tcPr>
                <w:p>
                  <w:pPr>
                    <w:jc w:val="center"/>
                    <w:rPr>
                      <w:rFonts w:hint="eastAsia"/>
                      <w:color w:val="auto"/>
                      <w:szCs w:val="21"/>
                      <w:lang w:val="en-US" w:eastAsia="zh-CN"/>
                    </w:rPr>
                  </w:pPr>
                  <w:r>
                    <w:rPr>
                      <w:rFonts w:hint="eastAsia"/>
                      <w:color w:val="auto"/>
                      <w:szCs w:val="21"/>
                      <w:lang w:val="en-US" w:eastAsia="zh-CN"/>
                    </w:rPr>
                    <w:t>8</w:t>
                  </w:r>
                </w:p>
              </w:tc>
              <w:tc>
                <w:tcPr>
                  <w:tcW w:w="777" w:type="dxa"/>
                  <w:vMerge w:val="restart"/>
                  <w:tcBorders>
                    <w:tl2br w:val="nil"/>
                    <w:tr2bl w:val="nil"/>
                  </w:tcBorders>
                  <w:vAlign w:val="center"/>
                </w:tcPr>
                <w:p>
                  <w:pPr>
                    <w:rPr>
                      <w:color w:val="auto"/>
                      <w:szCs w:val="21"/>
                    </w:rPr>
                  </w:pPr>
                  <w:r>
                    <w:rPr>
                      <w:color w:val="auto"/>
                      <w:szCs w:val="21"/>
                    </w:rPr>
                    <w:t>废水</w:t>
                  </w:r>
                </w:p>
              </w:tc>
              <w:tc>
                <w:tcPr>
                  <w:tcW w:w="1681" w:type="dxa"/>
                  <w:tcBorders>
                    <w:tl2br w:val="nil"/>
                    <w:tr2bl w:val="nil"/>
                  </w:tcBorders>
                  <w:vAlign w:val="center"/>
                </w:tcPr>
                <w:p>
                  <w:pPr>
                    <w:snapToGrid w:val="0"/>
                    <w:jc w:val="center"/>
                    <w:rPr>
                      <w:rFonts w:hint="eastAsia"/>
                      <w:color w:val="auto"/>
                      <w:szCs w:val="21"/>
                      <w:lang w:eastAsia="zh-CN"/>
                    </w:rPr>
                  </w:pPr>
                  <w:r>
                    <w:rPr>
                      <w:rFonts w:hint="eastAsia"/>
                      <w:color w:val="auto"/>
                      <w:szCs w:val="21"/>
                      <w:lang w:eastAsia="zh-CN"/>
                    </w:rPr>
                    <w:t>洗煤生产废水</w:t>
                  </w:r>
                </w:p>
              </w:tc>
              <w:tc>
                <w:tcPr>
                  <w:tcW w:w="6077" w:type="dxa"/>
                  <w:gridSpan w:val="2"/>
                  <w:tcBorders>
                    <w:tl2br w:val="nil"/>
                    <w:tr2bl w:val="nil"/>
                  </w:tcBorders>
                  <w:vAlign w:val="center"/>
                </w:tcPr>
                <w:p>
                  <w:pPr>
                    <w:snapToGrid w:val="0"/>
                    <w:jc w:val="center"/>
                    <w:rPr>
                      <w:rFonts w:hint="eastAsia"/>
                      <w:color w:val="auto"/>
                      <w:szCs w:val="21"/>
                      <w:lang w:eastAsia="zh-CN"/>
                    </w:rPr>
                  </w:pPr>
                  <w:r>
                    <w:rPr>
                      <w:rFonts w:hint="eastAsia"/>
                      <w:color w:val="auto"/>
                      <w:szCs w:val="21"/>
                      <w:lang w:eastAsia="zh-CN"/>
                    </w:rPr>
                    <w:t>深锥浓缩机、压滤机及循环系统管道连接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48" w:hRule="atLeast"/>
                <w:jc w:val="center"/>
              </w:trPr>
              <w:tc>
                <w:tcPr>
                  <w:tcW w:w="449" w:type="dxa"/>
                  <w:tcBorders>
                    <w:tl2br w:val="nil"/>
                    <w:tr2bl w:val="nil"/>
                  </w:tcBorders>
                  <w:vAlign w:val="center"/>
                </w:tcPr>
                <w:p>
                  <w:pPr>
                    <w:jc w:val="center"/>
                    <w:rPr>
                      <w:rFonts w:hint="eastAsia"/>
                      <w:color w:val="auto"/>
                      <w:szCs w:val="21"/>
                      <w:lang w:val="en-US" w:eastAsia="zh-CN"/>
                    </w:rPr>
                  </w:pPr>
                  <w:r>
                    <w:rPr>
                      <w:rFonts w:hint="eastAsia"/>
                      <w:color w:val="auto"/>
                      <w:szCs w:val="21"/>
                      <w:lang w:val="en-US" w:eastAsia="zh-CN"/>
                    </w:rPr>
                    <w:t>9</w:t>
                  </w:r>
                </w:p>
              </w:tc>
              <w:tc>
                <w:tcPr>
                  <w:tcW w:w="777" w:type="dxa"/>
                  <w:vMerge w:val="continue"/>
                  <w:tcBorders>
                    <w:tl2br w:val="nil"/>
                    <w:tr2bl w:val="nil"/>
                  </w:tcBorders>
                  <w:vAlign w:val="center"/>
                </w:tcPr>
                <w:p>
                  <w:pPr>
                    <w:rPr>
                      <w:color w:val="auto"/>
                      <w:szCs w:val="21"/>
                    </w:rPr>
                  </w:pPr>
                </w:p>
              </w:tc>
              <w:tc>
                <w:tcPr>
                  <w:tcW w:w="1681" w:type="dxa"/>
                  <w:tcBorders>
                    <w:tl2br w:val="nil"/>
                    <w:tr2bl w:val="nil"/>
                  </w:tcBorders>
                  <w:vAlign w:val="center"/>
                </w:tcPr>
                <w:p>
                  <w:pPr>
                    <w:snapToGrid w:val="0"/>
                    <w:jc w:val="center"/>
                    <w:rPr>
                      <w:rFonts w:hint="eastAsia"/>
                      <w:color w:val="auto"/>
                      <w:szCs w:val="21"/>
                      <w:lang w:eastAsia="zh-CN"/>
                    </w:rPr>
                  </w:pPr>
                  <w:r>
                    <w:rPr>
                      <w:rFonts w:hint="eastAsia"/>
                      <w:color w:val="auto"/>
                      <w:szCs w:val="21"/>
                      <w:lang w:eastAsia="zh-CN"/>
                    </w:rPr>
                    <w:t>事故水</w:t>
                  </w:r>
                </w:p>
              </w:tc>
              <w:tc>
                <w:tcPr>
                  <w:tcW w:w="6077" w:type="dxa"/>
                  <w:gridSpan w:val="2"/>
                  <w:tcBorders>
                    <w:tl2br w:val="nil"/>
                    <w:tr2bl w:val="nil"/>
                  </w:tcBorders>
                  <w:vAlign w:val="center"/>
                </w:tcPr>
                <w:p>
                  <w:pPr>
                    <w:snapToGrid w:val="0"/>
                    <w:jc w:val="center"/>
                    <w:rPr>
                      <w:rFonts w:hint="eastAsia"/>
                      <w:color w:val="auto"/>
                      <w:szCs w:val="21"/>
                      <w:lang w:eastAsia="zh-CN"/>
                    </w:rPr>
                  </w:pPr>
                  <w:r>
                    <w:rPr>
                      <w:rFonts w:hint="eastAsia"/>
                      <w:color w:val="auto"/>
                      <w:szCs w:val="21"/>
                      <w:lang w:eastAsia="zh-CN"/>
                    </w:rPr>
                    <w:t>事故水池（</w:t>
                  </w:r>
                  <w:r>
                    <w:rPr>
                      <w:rFonts w:hint="eastAsia"/>
                      <w:color w:val="auto"/>
                      <w:szCs w:val="21"/>
                      <w:lang w:val="en-US" w:eastAsia="zh-CN"/>
                    </w:rPr>
                    <w:t>300m</w:t>
                  </w:r>
                  <w:r>
                    <w:rPr>
                      <w:rFonts w:hint="eastAsia"/>
                      <w:color w:val="auto"/>
                      <w:szCs w:val="21"/>
                      <w:vertAlign w:val="superscript"/>
                      <w:lang w:val="en-US" w:eastAsia="zh-CN"/>
                    </w:rPr>
                    <w:t>3</w:t>
                  </w:r>
                  <w:r>
                    <w:rPr>
                      <w:rFonts w:hint="eastAsia"/>
                      <w:color w:val="auto"/>
                      <w:szCs w:val="21"/>
                      <w:lang w:eastAsia="zh-CN"/>
                    </w:rPr>
                    <w:t>）并防渗处理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48" w:hRule="atLeast"/>
                <w:jc w:val="center"/>
              </w:trPr>
              <w:tc>
                <w:tcPr>
                  <w:tcW w:w="449"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10</w:t>
                  </w:r>
                </w:p>
              </w:tc>
              <w:tc>
                <w:tcPr>
                  <w:tcW w:w="777" w:type="dxa"/>
                  <w:vMerge w:val="continue"/>
                  <w:tcBorders>
                    <w:tl2br w:val="nil"/>
                    <w:tr2bl w:val="nil"/>
                  </w:tcBorders>
                  <w:vAlign w:val="center"/>
                </w:tcPr>
                <w:p>
                  <w:pPr>
                    <w:rPr>
                      <w:color w:val="auto"/>
                      <w:szCs w:val="21"/>
                    </w:rPr>
                  </w:pPr>
                </w:p>
              </w:tc>
              <w:tc>
                <w:tcPr>
                  <w:tcW w:w="1681" w:type="dxa"/>
                  <w:tcBorders>
                    <w:tl2br w:val="nil"/>
                    <w:tr2bl w:val="nil"/>
                  </w:tcBorders>
                  <w:vAlign w:val="center"/>
                </w:tcPr>
                <w:p>
                  <w:pPr>
                    <w:autoSpaceDE w:val="0"/>
                    <w:autoSpaceDN w:val="0"/>
                    <w:adjustRightInd w:val="0"/>
                    <w:spacing w:line="240" w:lineRule="exact"/>
                    <w:jc w:val="center"/>
                    <w:rPr>
                      <w:color w:val="auto"/>
                      <w:szCs w:val="21"/>
                    </w:rPr>
                  </w:pPr>
                  <w:r>
                    <w:rPr>
                      <w:rFonts w:hint="eastAsia"/>
                      <w:color w:val="auto"/>
                      <w:szCs w:val="21"/>
                      <w:lang w:eastAsia="zh-CN"/>
                    </w:rPr>
                    <w:t>生活污水</w:t>
                  </w:r>
                </w:p>
              </w:tc>
              <w:tc>
                <w:tcPr>
                  <w:tcW w:w="6077" w:type="dxa"/>
                  <w:gridSpan w:val="2"/>
                  <w:tcBorders>
                    <w:tl2br w:val="nil"/>
                    <w:tr2bl w:val="nil"/>
                  </w:tcBorders>
                  <w:vAlign w:val="center"/>
                </w:tcPr>
                <w:p>
                  <w:pPr>
                    <w:spacing w:line="240" w:lineRule="exact"/>
                    <w:jc w:val="center"/>
                    <w:rPr>
                      <w:color w:val="auto"/>
                      <w:szCs w:val="21"/>
                    </w:rPr>
                  </w:pPr>
                  <w:r>
                    <w:rPr>
                      <w:rFonts w:hint="eastAsia"/>
                      <w:color w:val="auto"/>
                      <w:szCs w:val="21"/>
                      <w:lang w:eastAsia="zh-CN"/>
                    </w:rPr>
                    <w:t>厂区自建化粪池（</w:t>
                  </w:r>
                  <w:r>
                    <w:rPr>
                      <w:rFonts w:hint="eastAsia"/>
                      <w:color w:val="auto"/>
                      <w:szCs w:val="21"/>
                      <w:lang w:val="en-US" w:eastAsia="zh-CN"/>
                    </w:rPr>
                    <w:t>30m</w:t>
                  </w:r>
                  <w:r>
                    <w:rPr>
                      <w:rFonts w:hint="eastAsia"/>
                      <w:color w:val="auto"/>
                      <w:szCs w:val="21"/>
                      <w:vertAlign w:val="superscript"/>
                      <w:lang w:val="en-US" w:eastAsia="zh-CN"/>
                    </w:rPr>
                    <w:t>3</w:t>
                  </w:r>
                  <w:r>
                    <w:rPr>
                      <w:rFonts w:hint="eastAsia"/>
                      <w:color w:val="auto"/>
                      <w:szCs w:val="21"/>
                      <w:lang w:eastAsia="zh-CN"/>
                    </w:rPr>
                    <w:t>）</w:t>
                  </w:r>
                  <w:r>
                    <w:rPr>
                      <w:rFonts w:hint="eastAsia"/>
                      <w:color w:val="auto"/>
                      <w:szCs w:val="21"/>
                      <w:lang w:val="en-US" w:eastAsia="zh-CN"/>
                    </w:rPr>
                    <w:t>2座</w:t>
                  </w:r>
                  <w:r>
                    <w:rPr>
                      <w:rFonts w:hint="eastAsia"/>
                      <w:color w:val="auto"/>
                      <w:szCs w:val="21"/>
                      <w:lang w:eastAsia="zh-CN"/>
                    </w:rPr>
                    <w:t>，定期清掏，废水不外排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98" w:hRule="atLeast"/>
                <w:jc w:val="center"/>
              </w:trPr>
              <w:tc>
                <w:tcPr>
                  <w:tcW w:w="449" w:type="dxa"/>
                  <w:tcBorders>
                    <w:tl2br w:val="nil"/>
                    <w:tr2bl w:val="nil"/>
                  </w:tcBorders>
                  <w:vAlign w:val="center"/>
                </w:tcPr>
                <w:p>
                  <w:pPr>
                    <w:jc w:val="center"/>
                    <w:rPr>
                      <w:rFonts w:hint="eastAsia"/>
                      <w:color w:val="auto"/>
                      <w:szCs w:val="21"/>
                      <w:lang w:val="en-US" w:eastAsia="zh-CN"/>
                    </w:rPr>
                  </w:pPr>
                  <w:r>
                    <w:rPr>
                      <w:rFonts w:hint="eastAsia"/>
                      <w:color w:val="auto"/>
                      <w:szCs w:val="21"/>
                      <w:lang w:val="en-US" w:eastAsia="zh-CN"/>
                    </w:rPr>
                    <w:t>11</w:t>
                  </w:r>
                </w:p>
              </w:tc>
              <w:tc>
                <w:tcPr>
                  <w:tcW w:w="777" w:type="dxa"/>
                  <w:vMerge w:val="continue"/>
                  <w:tcBorders>
                    <w:tl2br w:val="nil"/>
                    <w:tr2bl w:val="nil"/>
                  </w:tcBorders>
                  <w:vAlign w:val="center"/>
                </w:tcPr>
                <w:p>
                  <w:pPr>
                    <w:rPr>
                      <w:color w:val="auto"/>
                      <w:szCs w:val="21"/>
                    </w:rPr>
                  </w:pPr>
                </w:p>
              </w:tc>
              <w:tc>
                <w:tcPr>
                  <w:tcW w:w="1681" w:type="dxa"/>
                  <w:tcBorders>
                    <w:tl2br w:val="nil"/>
                    <w:tr2bl w:val="nil"/>
                  </w:tcBorders>
                  <w:vAlign w:val="center"/>
                </w:tcPr>
                <w:p>
                  <w:pPr>
                    <w:autoSpaceDE w:val="0"/>
                    <w:autoSpaceDN w:val="0"/>
                    <w:adjustRightInd w:val="0"/>
                    <w:spacing w:line="240" w:lineRule="exact"/>
                    <w:jc w:val="center"/>
                    <w:rPr>
                      <w:rFonts w:hint="eastAsia"/>
                      <w:color w:val="auto"/>
                      <w:szCs w:val="21"/>
                      <w:lang w:eastAsia="zh-CN"/>
                    </w:rPr>
                  </w:pPr>
                  <w:r>
                    <w:rPr>
                      <w:rFonts w:hint="eastAsia"/>
                      <w:color w:val="auto"/>
                      <w:szCs w:val="21"/>
                      <w:lang w:eastAsia="zh-CN"/>
                    </w:rPr>
                    <w:t>食堂废水</w:t>
                  </w:r>
                </w:p>
              </w:tc>
              <w:tc>
                <w:tcPr>
                  <w:tcW w:w="6077" w:type="dxa"/>
                  <w:gridSpan w:val="2"/>
                  <w:tcBorders>
                    <w:tl2br w:val="nil"/>
                    <w:tr2bl w:val="nil"/>
                  </w:tcBorders>
                  <w:vAlign w:val="center"/>
                </w:tcPr>
                <w:p>
                  <w:pPr>
                    <w:spacing w:line="240" w:lineRule="exact"/>
                    <w:jc w:val="center"/>
                    <w:rPr>
                      <w:color w:val="auto"/>
                      <w:szCs w:val="21"/>
                    </w:rPr>
                  </w:pPr>
                  <w:r>
                    <w:rPr>
                      <w:rFonts w:hint="eastAsia"/>
                      <w:color w:val="auto"/>
                      <w:szCs w:val="21"/>
                      <w:lang w:eastAsia="zh-CN"/>
                    </w:rPr>
                    <w:t>平流式隔油池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90"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eastAsia="宋体"/>
                      <w:color w:val="auto"/>
                      <w:szCs w:val="21"/>
                      <w:lang w:val="en-US" w:eastAsia="zh-CN"/>
                    </w:rPr>
                  </w:pPr>
                  <w:r>
                    <w:rPr>
                      <w:rFonts w:hint="eastAsia"/>
                      <w:color w:val="auto"/>
                      <w:szCs w:val="21"/>
                      <w:lang w:val="en-US" w:eastAsia="zh-CN"/>
                    </w:rPr>
                    <w:t>12</w:t>
                  </w:r>
                </w:p>
              </w:tc>
              <w:tc>
                <w:tcPr>
                  <w:tcW w:w="777" w:type="dxa"/>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噪声</w:t>
                  </w:r>
                </w:p>
              </w:tc>
              <w:tc>
                <w:tcPr>
                  <w:tcW w:w="1681" w:type="dxa"/>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生产车间设备噪声</w:t>
                  </w:r>
                </w:p>
              </w:tc>
              <w:tc>
                <w:tcPr>
                  <w:tcW w:w="3461" w:type="dxa"/>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合理布局、隔声、减震处理</w:t>
                  </w:r>
                </w:p>
              </w:tc>
              <w:tc>
                <w:tcPr>
                  <w:tcW w:w="2616" w:type="dxa"/>
                  <w:tcBorders>
                    <w:tl2br w:val="nil"/>
                    <w:tr2bl w:val="nil"/>
                  </w:tcBorders>
                  <w:vAlign w:val="center"/>
                </w:tcPr>
                <w:p>
                  <w:pPr>
                    <w:spacing w:line="240" w:lineRule="exact"/>
                    <w:jc w:val="center"/>
                    <w:rPr>
                      <w:color w:val="auto"/>
                      <w:szCs w:val="21"/>
                    </w:rPr>
                  </w:pPr>
                  <w:r>
                    <w:rPr>
                      <w:color w:val="auto"/>
                      <w:szCs w:val="21"/>
                    </w:rPr>
                    <w:t>满足GB12348-2008《工业企业厂界环境噪声排放标准》中</w:t>
                  </w:r>
                  <w:r>
                    <w:rPr>
                      <w:rFonts w:hint="eastAsia"/>
                      <w:color w:val="auto"/>
                      <w:szCs w:val="21"/>
                      <w:lang w:val="en-US" w:eastAsia="zh-CN"/>
                    </w:rPr>
                    <w:t>2</w:t>
                  </w:r>
                  <w:r>
                    <w:rPr>
                      <w:color w:val="auto"/>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25"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color w:val="auto"/>
                      <w:szCs w:val="21"/>
                      <w:lang w:val="en-US" w:eastAsia="zh-CN"/>
                    </w:rPr>
                  </w:pPr>
                  <w:r>
                    <w:rPr>
                      <w:rFonts w:hint="eastAsia"/>
                      <w:color w:val="auto"/>
                      <w:szCs w:val="21"/>
                      <w:lang w:val="en-US" w:eastAsia="zh-CN"/>
                    </w:rPr>
                    <w:t>13</w:t>
                  </w:r>
                </w:p>
              </w:tc>
              <w:tc>
                <w:tcPr>
                  <w:tcW w:w="777" w:type="dxa"/>
                  <w:vMerge w:val="restart"/>
                  <w:tcBorders>
                    <w:tl2br w:val="nil"/>
                    <w:tr2bl w:val="nil"/>
                  </w:tcBorders>
                  <w:vAlign w:val="center"/>
                </w:tcPr>
                <w:p>
                  <w:pPr>
                    <w:spacing w:line="240" w:lineRule="exact"/>
                    <w:jc w:val="center"/>
                    <w:rPr>
                      <w:color w:val="auto"/>
                      <w:szCs w:val="21"/>
                    </w:rPr>
                  </w:pPr>
                  <w:r>
                    <w:rPr>
                      <w:color w:val="auto"/>
                      <w:szCs w:val="21"/>
                    </w:rPr>
                    <w:t>固废</w:t>
                  </w:r>
                </w:p>
              </w:tc>
              <w:tc>
                <w:tcPr>
                  <w:tcW w:w="1681" w:type="dxa"/>
                  <w:tcBorders>
                    <w:tl2br w:val="nil"/>
                    <w:tr2bl w:val="nil"/>
                  </w:tcBorders>
                  <w:vAlign w:val="center"/>
                </w:tcPr>
                <w:p>
                  <w:pPr>
                    <w:snapToGrid w:val="0"/>
                    <w:spacing w:line="240" w:lineRule="exact"/>
                    <w:jc w:val="center"/>
                    <w:rPr>
                      <w:rFonts w:hint="eastAsia" w:eastAsia="宋体"/>
                      <w:color w:val="auto"/>
                      <w:szCs w:val="21"/>
                      <w:lang w:eastAsia="zh-CN"/>
                    </w:rPr>
                  </w:pPr>
                  <w:r>
                    <w:rPr>
                      <w:rFonts w:hint="eastAsia"/>
                      <w:color w:val="auto"/>
                      <w:szCs w:val="21"/>
                      <w:lang w:eastAsia="zh-CN"/>
                    </w:rPr>
                    <w:t>损坏的成品</w:t>
                  </w:r>
                </w:p>
              </w:tc>
              <w:tc>
                <w:tcPr>
                  <w:tcW w:w="3461" w:type="dxa"/>
                  <w:tcBorders>
                    <w:tl2br w:val="nil"/>
                    <w:tr2bl w:val="nil"/>
                  </w:tcBorders>
                  <w:vAlign w:val="center"/>
                </w:tcPr>
                <w:p>
                  <w:pPr>
                    <w:snapToGrid w:val="0"/>
                    <w:spacing w:line="240" w:lineRule="exact"/>
                    <w:jc w:val="center"/>
                    <w:rPr>
                      <w:rFonts w:hint="eastAsia"/>
                      <w:color w:val="auto"/>
                      <w:szCs w:val="21"/>
                      <w:lang w:eastAsia="zh-CN"/>
                    </w:rPr>
                  </w:pPr>
                  <w:r>
                    <w:rPr>
                      <w:rFonts w:hint="eastAsia"/>
                      <w:color w:val="auto"/>
                      <w:szCs w:val="21"/>
                      <w:lang w:eastAsia="zh-CN"/>
                    </w:rPr>
                    <w:t>破碎后回用于生产</w:t>
                  </w:r>
                </w:p>
              </w:tc>
              <w:tc>
                <w:tcPr>
                  <w:tcW w:w="2616" w:type="dxa"/>
                  <w:vMerge w:val="restart"/>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《一般工业废弃物贮存、处置场污染控制标准》（GB18599-2001</w:t>
                  </w:r>
                  <w:r>
                    <w:rPr>
                      <w:rFonts w:hint="eastAsia"/>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25"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eastAsia="宋体"/>
                      <w:color w:val="auto"/>
                      <w:szCs w:val="21"/>
                      <w:lang w:val="en-US" w:eastAsia="zh-CN"/>
                    </w:rPr>
                  </w:pPr>
                  <w:r>
                    <w:rPr>
                      <w:rFonts w:hint="eastAsia"/>
                      <w:color w:val="auto"/>
                      <w:szCs w:val="21"/>
                      <w:lang w:val="en-US" w:eastAsia="zh-CN"/>
                    </w:rPr>
                    <w:t>14</w:t>
                  </w:r>
                </w:p>
              </w:tc>
              <w:tc>
                <w:tcPr>
                  <w:tcW w:w="777" w:type="dxa"/>
                  <w:vMerge w:val="continue"/>
                  <w:tcBorders>
                    <w:tl2br w:val="nil"/>
                    <w:tr2bl w:val="nil"/>
                  </w:tcBorders>
                  <w:vAlign w:val="center"/>
                </w:tcPr>
                <w:p>
                  <w:pPr>
                    <w:spacing w:line="240" w:lineRule="exact"/>
                    <w:jc w:val="center"/>
                    <w:rPr>
                      <w:color w:val="auto"/>
                      <w:szCs w:val="21"/>
                    </w:rPr>
                  </w:pPr>
                </w:p>
              </w:tc>
              <w:tc>
                <w:tcPr>
                  <w:tcW w:w="1681" w:type="dxa"/>
                  <w:tcBorders>
                    <w:bottom w:val="single" w:color="000000" w:sz="4" w:space="0"/>
                    <w:tl2br w:val="nil"/>
                    <w:tr2bl w:val="nil"/>
                  </w:tcBorders>
                  <w:vAlign w:val="center"/>
                </w:tcPr>
                <w:p>
                  <w:pPr>
                    <w:snapToGrid w:val="0"/>
                    <w:spacing w:line="240" w:lineRule="exact"/>
                    <w:jc w:val="center"/>
                    <w:rPr>
                      <w:color w:val="auto"/>
                      <w:szCs w:val="21"/>
                    </w:rPr>
                  </w:pPr>
                  <w:r>
                    <w:rPr>
                      <w:color w:val="auto"/>
                      <w:szCs w:val="21"/>
                    </w:rPr>
                    <w:t>边角下料</w:t>
                  </w:r>
                </w:p>
              </w:tc>
              <w:tc>
                <w:tcPr>
                  <w:tcW w:w="3461" w:type="dxa"/>
                  <w:tcBorders>
                    <w:bottom w:val="single" w:color="000000" w:sz="4" w:space="0"/>
                    <w:tl2br w:val="nil"/>
                    <w:tr2bl w:val="nil"/>
                  </w:tcBorders>
                  <w:vAlign w:val="center"/>
                </w:tcPr>
                <w:p>
                  <w:pPr>
                    <w:snapToGrid w:val="0"/>
                    <w:spacing w:line="240" w:lineRule="exact"/>
                    <w:jc w:val="center"/>
                    <w:rPr>
                      <w:rFonts w:hint="eastAsia" w:eastAsia="宋体"/>
                      <w:color w:val="auto"/>
                      <w:szCs w:val="21"/>
                      <w:lang w:eastAsia="zh-CN"/>
                    </w:rPr>
                  </w:pPr>
                  <w:r>
                    <w:rPr>
                      <w:rFonts w:hint="eastAsia"/>
                      <w:color w:val="auto"/>
                      <w:szCs w:val="21"/>
                      <w:lang w:eastAsia="zh-CN"/>
                    </w:rPr>
                    <w:t>统一收集，回用生产</w:t>
                  </w:r>
                </w:p>
              </w:tc>
              <w:tc>
                <w:tcPr>
                  <w:tcW w:w="2616" w:type="dxa"/>
                  <w:vMerge w:val="continue"/>
                  <w:tcBorders>
                    <w:tl2br w:val="nil"/>
                    <w:tr2bl w:val="nil"/>
                  </w:tcBorders>
                  <w:vAlign w:val="center"/>
                </w:tcPr>
                <w:p>
                  <w:pPr>
                    <w:autoSpaceDE w:val="0"/>
                    <w:autoSpaceDN w:val="0"/>
                    <w:adjustRightInd w:val="0"/>
                    <w:spacing w:line="24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324"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color w:val="auto"/>
                      <w:szCs w:val="21"/>
                      <w:lang w:val="en-US" w:eastAsia="zh-CN"/>
                    </w:rPr>
                  </w:pPr>
                  <w:r>
                    <w:rPr>
                      <w:rFonts w:hint="eastAsia"/>
                      <w:color w:val="auto"/>
                      <w:szCs w:val="21"/>
                      <w:lang w:val="en-US" w:eastAsia="zh-CN"/>
                    </w:rPr>
                    <w:t>15</w:t>
                  </w:r>
                </w:p>
              </w:tc>
              <w:tc>
                <w:tcPr>
                  <w:tcW w:w="777" w:type="dxa"/>
                  <w:vMerge w:val="continue"/>
                  <w:tcBorders>
                    <w:tl2br w:val="nil"/>
                    <w:tr2bl w:val="nil"/>
                  </w:tcBorders>
                  <w:vAlign w:val="center"/>
                </w:tcPr>
                <w:p>
                  <w:pPr>
                    <w:spacing w:line="240" w:lineRule="exact"/>
                    <w:jc w:val="center"/>
                    <w:rPr>
                      <w:color w:val="auto"/>
                      <w:szCs w:val="21"/>
                    </w:rPr>
                  </w:pPr>
                </w:p>
              </w:tc>
              <w:tc>
                <w:tcPr>
                  <w:tcW w:w="1681" w:type="dxa"/>
                  <w:tcBorders>
                    <w:top w:val="single" w:color="000000" w:sz="4" w:space="0"/>
                    <w:bottom w:val="single" w:color="000000" w:sz="4" w:space="0"/>
                    <w:tl2br w:val="nil"/>
                    <w:tr2bl w:val="nil"/>
                  </w:tcBorders>
                  <w:vAlign w:val="center"/>
                </w:tcPr>
                <w:p>
                  <w:pPr>
                    <w:snapToGrid w:val="0"/>
                    <w:spacing w:line="240" w:lineRule="exact"/>
                    <w:jc w:val="center"/>
                    <w:rPr>
                      <w:rFonts w:hint="eastAsia" w:eastAsia="宋体"/>
                      <w:color w:val="auto"/>
                      <w:szCs w:val="21"/>
                      <w:lang w:eastAsia="zh-CN"/>
                    </w:rPr>
                  </w:pPr>
                  <w:r>
                    <w:rPr>
                      <w:rFonts w:hint="eastAsia"/>
                      <w:color w:val="auto"/>
                      <w:szCs w:val="21"/>
                      <w:lang w:eastAsia="zh-CN"/>
                    </w:rPr>
                    <w:t>布袋除尘器收集粉尘</w:t>
                  </w:r>
                </w:p>
              </w:tc>
              <w:tc>
                <w:tcPr>
                  <w:tcW w:w="3461" w:type="dxa"/>
                  <w:tcBorders>
                    <w:top w:val="single" w:color="000000" w:sz="4" w:space="0"/>
                    <w:bottom w:val="single" w:color="000000" w:sz="4" w:space="0"/>
                    <w:tl2br w:val="nil"/>
                    <w:tr2bl w:val="nil"/>
                  </w:tcBorders>
                  <w:vAlign w:val="center"/>
                </w:tcPr>
                <w:p>
                  <w:pPr>
                    <w:snapToGrid w:val="0"/>
                    <w:spacing w:line="240" w:lineRule="exact"/>
                    <w:jc w:val="center"/>
                    <w:rPr>
                      <w:rFonts w:hint="eastAsia" w:eastAsia="宋体"/>
                      <w:color w:val="auto"/>
                      <w:szCs w:val="21"/>
                      <w:lang w:eastAsia="zh-CN"/>
                    </w:rPr>
                  </w:pPr>
                  <w:r>
                    <w:rPr>
                      <w:rFonts w:hint="eastAsia"/>
                      <w:color w:val="auto"/>
                      <w:szCs w:val="21"/>
                      <w:lang w:eastAsia="zh-CN"/>
                    </w:rPr>
                    <w:t>定点收集，煤粉与煤泥混合后外售，煤矸石粉回用制砖工艺生产过程</w:t>
                  </w:r>
                </w:p>
              </w:tc>
              <w:tc>
                <w:tcPr>
                  <w:tcW w:w="2616" w:type="dxa"/>
                  <w:vMerge w:val="continue"/>
                  <w:tcBorders>
                    <w:tl2br w:val="nil"/>
                    <w:tr2bl w:val="nil"/>
                  </w:tcBorders>
                  <w:vAlign w:val="center"/>
                </w:tcPr>
                <w:p>
                  <w:pPr>
                    <w:autoSpaceDE w:val="0"/>
                    <w:autoSpaceDN w:val="0"/>
                    <w:adjustRightInd w:val="0"/>
                    <w:spacing w:line="24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615"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eastAsia="宋体"/>
                      <w:color w:val="auto"/>
                      <w:szCs w:val="21"/>
                      <w:lang w:val="en-US" w:eastAsia="zh-CN"/>
                    </w:rPr>
                  </w:pPr>
                  <w:r>
                    <w:rPr>
                      <w:rFonts w:hint="eastAsia"/>
                      <w:color w:val="auto"/>
                      <w:szCs w:val="21"/>
                      <w:lang w:val="en-US" w:eastAsia="zh-CN"/>
                    </w:rPr>
                    <w:t>16</w:t>
                  </w:r>
                </w:p>
              </w:tc>
              <w:tc>
                <w:tcPr>
                  <w:tcW w:w="777" w:type="dxa"/>
                  <w:vMerge w:val="continue"/>
                  <w:tcBorders>
                    <w:tl2br w:val="nil"/>
                    <w:tr2bl w:val="nil"/>
                  </w:tcBorders>
                  <w:vAlign w:val="center"/>
                </w:tcPr>
                <w:p>
                  <w:pPr>
                    <w:rPr>
                      <w:color w:val="auto"/>
                      <w:szCs w:val="21"/>
                    </w:rPr>
                  </w:pPr>
                </w:p>
              </w:tc>
              <w:tc>
                <w:tcPr>
                  <w:tcW w:w="1681" w:type="dxa"/>
                  <w:tcBorders>
                    <w:top w:val="single" w:color="000000" w:sz="4" w:space="0"/>
                    <w:tl2br w:val="nil"/>
                    <w:tr2bl w:val="nil"/>
                  </w:tcBorders>
                  <w:vAlign w:val="center"/>
                </w:tcPr>
                <w:p>
                  <w:pPr>
                    <w:snapToGrid w:val="0"/>
                    <w:spacing w:line="240" w:lineRule="exact"/>
                    <w:jc w:val="center"/>
                    <w:rPr>
                      <w:rFonts w:hint="eastAsia" w:eastAsia="宋体"/>
                      <w:color w:val="auto"/>
                      <w:szCs w:val="21"/>
                      <w:lang w:eastAsia="zh-CN"/>
                    </w:rPr>
                  </w:pPr>
                  <w:r>
                    <w:rPr>
                      <w:rFonts w:hint="eastAsia"/>
                      <w:color w:val="auto"/>
                      <w:szCs w:val="21"/>
                      <w:lang w:eastAsia="zh-CN"/>
                    </w:rPr>
                    <w:t>生活垃圾</w:t>
                  </w:r>
                </w:p>
              </w:tc>
              <w:tc>
                <w:tcPr>
                  <w:tcW w:w="3461" w:type="dxa"/>
                  <w:tcBorders>
                    <w:top w:val="single" w:color="000000" w:sz="4" w:space="0"/>
                    <w:tl2br w:val="nil"/>
                    <w:tr2bl w:val="nil"/>
                  </w:tcBorders>
                  <w:vAlign w:val="center"/>
                </w:tcPr>
                <w:p>
                  <w:pPr>
                    <w:jc w:val="center"/>
                    <w:rPr>
                      <w:rFonts w:hint="eastAsia" w:eastAsia="宋体"/>
                      <w:color w:val="auto"/>
                      <w:szCs w:val="21"/>
                      <w:lang w:eastAsia="zh-CN"/>
                    </w:rPr>
                  </w:pPr>
                  <w:r>
                    <w:rPr>
                      <w:rFonts w:hint="eastAsia"/>
                      <w:color w:val="auto"/>
                      <w:szCs w:val="21"/>
                      <w:lang w:eastAsia="zh-CN"/>
                    </w:rPr>
                    <w:t>定点收集，委托环卫部门清运</w:t>
                  </w:r>
                </w:p>
              </w:tc>
              <w:tc>
                <w:tcPr>
                  <w:tcW w:w="2616" w:type="dxa"/>
                  <w:vMerge w:val="continue"/>
                  <w:tcBorders>
                    <w:tl2br w:val="nil"/>
                    <w:tr2bl w:val="nil"/>
                  </w:tcBorders>
                  <w:vAlign w:val="center"/>
                </w:tcPr>
                <w:p>
                  <w:pPr>
                    <w:autoSpaceDE w:val="0"/>
                    <w:autoSpaceDN w:val="0"/>
                    <w:adjustRightInd w:val="0"/>
                    <w:spacing w:line="240" w:lineRule="exact"/>
                    <w:ind w:firstLine="315" w:firstLineChars="150"/>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615"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color w:val="auto"/>
                      <w:szCs w:val="21"/>
                      <w:lang w:val="en-US" w:eastAsia="zh-CN"/>
                    </w:rPr>
                  </w:pPr>
                  <w:r>
                    <w:rPr>
                      <w:rFonts w:hint="eastAsia"/>
                      <w:color w:val="auto"/>
                      <w:szCs w:val="21"/>
                      <w:lang w:val="en-US" w:eastAsia="zh-CN"/>
                    </w:rPr>
                    <w:t>17</w:t>
                  </w:r>
                </w:p>
              </w:tc>
              <w:tc>
                <w:tcPr>
                  <w:tcW w:w="777" w:type="dxa"/>
                  <w:vMerge w:val="continue"/>
                  <w:tcBorders>
                    <w:tl2br w:val="nil"/>
                    <w:tr2bl w:val="nil"/>
                  </w:tcBorders>
                  <w:vAlign w:val="center"/>
                </w:tcPr>
                <w:p>
                  <w:pPr>
                    <w:rPr>
                      <w:color w:val="auto"/>
                      <w:szCs w:val="21"/>
                    </w:rPr>
                  </w:pPr>
                </w:p>
              </w:tc>
              <w:tc>
                <w:tcPr>
                  <w:tcW w:w="1681" w:type="dxa"/>
                  <w:tcBorders>
                    <w:top w:val="single" w:color="000000" w:sz="4" w:space="0"/>
                    <w:tl2br w:val="nil"/>
                    <w:tr2bl w:val="nil"/>
                  </w:tcBorders>
                  <w:vAlign w:val="center"/>
                </w:tcPr>
                <w:p>
                  <w:pPr>
                    <w:snapToGrid w:val="0"/>
                    <w:spacing w:line="240" w:lineRule="exact"/>
                    <w:jc w:val="center"/>
                    <w:rPr>
                      <w:rFonts w:hint="eastAsia"/>
                      <w:color w:val="auto"/>
                      <w:szCs w:val="21"/>
                      <w:lang w:eastAsia="zh-CN"/>
                    </w:rPr>
                  </w:pPr>
                  <w:r>
                    <w:rPr>
                      <w:rFonts w:hint="eastAsia"/>
                      <w:color w:val="auto"/>
                      <w:szCs w:val="21"/>
                      <w:lang w:eastAsia="zh-CN"/>
                    </w:rPr>
                    <w:t>废油脂</w:t>
                  </w:r>
                </w:p>
              </w:tc>
              <w:tc>
                <w:tcPr>
                  <w:tcW w:w="3461" w:type="dxa"/>
                  <w:tcBorders>
                    <w:top w:val="single" w:color="000000" w:sz="4" w:space="0"/>
                    <w:tl2br w:val="nil"/>
                    <w:tr2bl w:val="nil"/>
                  </w:tcBorders>
                  <w:vAlign w:val="center"/>
                </w:tcPr>
                <w:p>
                  <w:pPr>
                    <w:jc w:val="center"/>
                    <w:rPr>
                      <w:rFonts w:hint="eastAsia"/>
                      <w:color w:val="auto"/>
                      <w:szCs w:val="21"/>
                      <w:lang w:eastAsia="zh-CN"/>
                    </w:rPr>
                  </w:pPr>
                  <w:r>
                    <w:rPr>
                      <w:rFonts w:hint="eastAsia"/>
                      <w:color w:val="auto"/>
                      <w:szCs w:val="21"/>
                      <w:lang w:eastAsia="zh-CN"/>
                    </w:rPr>
                    <w:t>定点收集，委托有资质单位清运</w:t>
                  </w:r>
                </w:p>
              </w:tc>
              <w:tc>
                <w:tcPr>
                  <w:tcW w:w="2616" w:type="dxa"/>
                  <w:vMerge w:val="continue"/>
                  <w:tcBorders>
                    <w:tl2br w:val="nil"/>
                    <w:tr2bl w:val="nil"/>
                  </w:tcBorders>
                  <w:vAlign w:val="center"/>
                </w:tcPr>
                <w:p>
                  <w:pPr>
                    <w:autoSpaceDE w:val="0"/>
                    <w:autoSpaceDN w:val="0"/>
                    <w:adjustRightInd w:val="0"/>
                    <w:spacing w:line="240" w:lineRule="exact"/>
                    <w:ind w:firstLine="315" w:firstLineChars="150"/>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615"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color w:val="auto"/>
                      <w:szCs w:val="21"/>
                      <w:lang w:val="en-US" w:eastAsia="zh-CN"/>
                    </w:rPr>
                  </w:pPr>
                  <w:r>
                    <w:rPr>
                      <w:rFonts w:hint="eastAsia"/>
                      <w:color w:val="auto"/>
                      <w:szCs w:val="21"/>
                      <w:lang w:val="en-US" w:eastAsia="zh-CN"/>
                    </w:rPr>
                    <w:t>17</w:t>
                  </w:r>
                </w:p>
              </w:tc>
              <w:tc>
                <w:tcPr>
                  <w:tcW w:w="777" w:type="dxa"/>
                  <w:vMerge w:val="continue"/>
                  <w:tcBorders>
                    <w:tl2br w:val="nil"/>
                    <w:tr2bl w:val="nil"/>
                  </w:tcBorders>
                  <w:vAlign w:val="center"/>
                </w:tcPr>
                <w:p>
                  <w:pPr>
                    <w:rPr>
                      <w:color w:val="auto"/>
                      <w:szCs w:val="21"/>
                    </w:rPr>
                  </w:pPr>
                </w:p>
              </w:tc>
              <w:tc>
                <w:tcPr>
                  <w:tcW w:w="1681" w:type="dxa"/>
                  <w:tcBorders>
                    <w:top w:val="single" w:color="000000" w:sz="4" w:space="0"/>
                    <w:tl2br w:val="nil"/>
                    <w:tr2bl w:val="nil"/>
                  </w:tcBorders>
                  <w:vAlign w:val="center"/>
                </w:tcPr>
                <w:p>
                  <w:pPr>
                    <w:snapToGrid w:val="0"/>
                    <w:spacing w:line="240" w:lineRule="exact"/>
                    <w:jc w:val="center"/>
                    <w:rPr>
                      <w:rFonts w:hint="eastAsia"/>
                      <w:color w:val="auto"/>
                      <w:szCs w:val="21"/>
                      <w:lang w:eastAsia="zh-CN"/>
                    </w:rPr>
                  </w:pPr>
                  <w:r>
                    <w:rPr>
                      <w:rFonts w:hint="eastAsia"/>
                      <w:color w:val="auto"/>
                      <w:szCs w:val="21"/>
                      <w:lang w:eastAsia="zh-CN"/>
                    </w:rPr>
                    <w:t>废机油</w:t>
                  </w:r>
                </w:p>
              </w:tc>
              <w:tc>
                <w:tcPr>
                  <w:tcW w:w="3461" w:type="dxa"/>
                  <w:tcBorders>
                    <w:top w:val="single" w:color="000000" w:sz="4" w:space="0"/>
                    <w:tl2br w:val="nil"/>
                    <w:tr2bl w:val="nil"/>
                  </w:tcBorders>
                  <w:vAlign w:val="center"/>
                </w:tcPr>
                <w:p>
                  <w:pPr>
                    <w:jc w:val="center"/>
                    <w:rPr>
                      <w:rFonts w:hint="eastAsia"/>
                      <w:color w:val="auto"/>
                      <w:szCs w:val="21"/>
                      <w:lang w:eastAsia="zh-CN"/>
                    </w:rPr>
                  </w:pPr>
                  <w:r>
                    <w:rPr>
                      <w:rFonts w:hint="eastAsia"/>
                      <w:color w:val="auto"/>
                      <w:szCs w:val="21"/>
                      <w:lang w:eastAsia="zh-CN"/>
                    </w:rPr>
                    <w:t>定点收集与危废暂存间，委托有资质单位转运处置</w:t>
                  </w:r>
                </w:p>
              </w:tc>
              <w:tc>
                <w:tcPr>
                  <w:tcW w:w="2616" w:type="dxa"/>
                  <w:tcBorders>
                    <w:tl2br w:val="nil"/>
                    <w:tr2bl w:val="nil"/>
                  </w:tcBorders>
                  <w:vAlign w:val="center"/>
                </w:tcPr>
                <w:p>
                  <w:pPr>
                    <w:autoSpaceDE w:val="0"/>
                    <w:autoSpaceDN w:val="0"/>
                    <w:adjustRightInd w:val="0"/>
                    <w:spacing w:line="240" w:lineRule="exact"/>
                    <w:rPr>
                      <w:rFonts w:hint="eastAsia" w:eastAsia="宋体"/>
                      <w:color w:val="auto"/>
                      <w:szCs w:val="21"/>
                      <w:lang w:eastAsia="zh-CN"/>
                    </w:rPr>
                  </w:pPr>
                  <w:r>
                    <w:rPr>
                      <w:rFonts w:hint="eastAsia"/>
                      <w:color w:val="auto"/>
                      <w:szCs w:val="21"/>
                      <w:lang w:eastAsia="zh-CN"/>
                    </w:rPr>
                    <w:t>《危险废物贮存污染控制标准》（</w:t>
                  </w:r>
                  <w:r>
                    <w:rPr>
                      <w:rFonts w:hint="eastAsia"/>
                      <w:color w:val="auto"/>
                      <w:szCs w:val="21"/>
                      <w:lang w:val="en-US" w:eastAsia="zh-CN"/>
                    </w:rPr>
                    <w:t>GB18597-2001</w:t>
                  </w:r>
                  <w:r>
                    <w:rPr>
                      <w:rFonts w:hint="eastAsia"/>
                      <w:color w:val="auto"/>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438" w:hRule="atLeast"/>
                <w:jc w:val="center"/>
              </w:trPr>
              <w:tc>
                <w:tcPr>
                  <w:tcW w:w="449" w:type="dxa"/>
                  <w:tcBorders>
                    <w:tl2br w:val="nil"/>
                    <w:tr2bl w:val="nil"/>
                  </w:tcBorders>
                  <w:vAlign w:val="center"/>
                </w:tcPr>
                <w:p>
                  <w:pPr>
                    <w:autoSpaceDE w:val="0"/>
                    <w:autoSpaceDN w:val="0"/>
                    <w:adjustRightInd w:val="0"/>
                    <w:spacing w:line="240" w:lineRule="exact"/>
                    <w:jc w:val="center"/>
                    <w:rPr>
                      <w:rFonts w:hint="eastAsia" w:eastAsia="宋体"/>
                      <w:color w:val="auto"/>
                      <w:szCs w:val="21"/>
                      <w:lang w:val="en-US" w:eastAsia="zh-CN"/>
                    </w:rPr>
                  </w:pPr>
                  <w:r>
                    <w:rPr>
                      <w:rFonts w:hint="eastAsia"/>
                      <w:color w:val="auto"/>
                      <w:szCs w:val="21"/>
                      <w:lang w:val="en-US" w:eastAsia="zh-CN"/>
                    </w:rPr>
                    <w:t>18</w:t>
                  </w:r>
                </w:p>
              </w:tc>
              <w:tc>
                <w:tcPr>
                  <w:tcW w:w="777" w:type="dxa"/>
                  <w:tcBorders>
                    <w:tl2br w:val="nil"/>
                    <w:tr2bl w:val="nil"/>
                  </w:tcBorders>
                  <w:vAlign w:val="center"/>
                </w:tcPr>
                <w:p>
                  <w:pPr>
                    <w:autoSpaceDE w:val="0"/>
                    <w:autoSpaceDN w:val="0"/>
                    <w:adjustRightInd w:val="0"/>
                    <w:spacing w:line="240" w:lineRule="exact"/>
                    <w:jc w:val="center"/>
                    <w:rPr>
                      <w:color w:val="auto"/>
                      <w:szCs w:val="21"/>
                    </w:rPr>
                  </w:pPr>
                  <w:r>
                    <w:rPr>
                      <w:color w:val="auto"/>
                      <w:szCs w:val="21"/>
                    </w:rPr>
                    <w:t>绿化</w:t>
                  </w:r>
                </w:p>
              </w:tc>
              <w:tc>
                <w:tcPr>
                  <w:tcW w:w="1681" w:type="dxa"/>
                  <w:tcBorders>
                    <w:tl2br w:val="nil"/>
                    <w:tr2bl w:val="nil"/>
                  </w:tcBorders>
                  <w:vAlign w:val="center"/>
                </w:tcPr>
                <w:p>
                  <w:pPr>
                    <w:spacing w:line="240" w:lineRule="exact"/>
                    <w:jc w:val="center"/>
                    <w:rPr>
                      <w:color w:val="auto"/>
                      <w:szCs w:val="21"/>
                    </w:rPr>
                  </w:pPr>
                  <w:r>
                    <w:rPr>
                      <w:color w:val="auto"/>
                      <w:szCs w:val="21"/>
                    </w:rPr>
                    <w:t>/</w:t>
                  </w:r>
                </w:p>
              </w:tc>
              <w:tc>
                <w:tcPr>
                  <w:tcW w:w="6077" w:type="dxa"/>
                  <w:gridSpan w:val="2"/>
                  <w:tcBorders>
                    <w:tl2br w:val="nil"/>
                    <w:tr2bl w:val="nil"/>
                  </w:tcBorders>
                  <w:vAlign w:val="center"/>
                </w:tcPr>
                <w:p>
                  <w:pPr>
                    <w:spacing w:line="240" w:lineRule="exact"/>
                    <w:jc w:val="center"/>
                    <w:rPr>
                      <w:color w:val="auto"/>
                      <w:szCs w:val="21"/>
                    </w:rPr>
                  </w:pPr>
                  <w:r>
                    <w:rPr>
                      <w:color w:val="auto"/>
                      <w:szCs w:val="21"/>
                    </w:rPr>
                    <w:t>厂区总绿化面积</w:t>
                  </w:r>
                  <w:r>
                    <w:rPr>
                      <w:rFonts w:hint="eastAsia"/>
                      <w:color w:val="auto"/>
                      <w:szCs w:val="21"/>
                      <w:lang w:val="en-US" w:eastAsia="zh-CN"/>
                    </w:rPr>
                    <w:t>8000</w:t>
                  </w:r>
                  <w:r>
                    <w:rPr>
                      <w:color w:val="auto"/>
                      <w:szCs w:val="21"/>
                    </w:rPr>
                    <w:t>m</w:t>
                  </w:r>
                  <w:r>
                    <w:rPr>
                      <w:color w:val="auto"/>
                      <w:szCs w:val="21"/>
                      <w:vertAlign w:val="superscript"/>
                    </w:rPr>
                    <w:t>2</w:t>
                  </w:r>
                </w:p>
              </w:tc>
            </w:tr>
          </w:tbl>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r>
              <w:rPr>
                <w:rFonts w:hint="eastAsia" w:cs="Times New Roman"/>
                <w:kern w:val="2"/>
                <w:sz w:val="24"/>
                <w:szCs w:val="24"/>
                <w:lang w:val="en-US" w:eastAsia="zh-CN" w:bidi="ar-SA"/>
              </w:rPr>
              <w:t xml:space="preserve"> </w:t>
            </w:r>
          </w:p>
          <w:p>
            <w:pPr>
              <w:tabs>
                <w:tab w:val="left" w:pos="1246"/>
              </w:tabs>
              <w:jc w:val="left"/>
              <w:rPr>
                <w:rFonts w:hint="eastAsia" w:cs="Times New Roman"/>
                <w:kern w:val="2"/>
                <w:sz w:val="24"/>
                <w:szCs w:val="24"/>
                <w:lang w:val="en-US" w:eastAsia="zh-CN" w:bidi="ar-SA"/>
              </w:rPr>
            </w:pPr>
          </w:p>
          <w:p>
            <w:pPr>
              <w:tabs>
                <w:tab w:val="left" w:pos="1246"/>
              </w:tabs>
              <w:jc w:val="left"/>
              <w:rPr>
                <w:rFonts w:hint="eastAsia" w:cs="Times New Roman"/>
                <w:kern w:val="2"/>
                <w:sz w:val="24"/>
                <w:szCs w:val="24"/>
                <w:lang w:val="en-US" w:eastAsia="zh-CN" w:bidi="ar-SA"/>
              </w:rPr>
            </w:pPr>
          </w:p>
        </w:tc>
      </w:tr>
    </w:tbl>
    <w:p>
      <w:pPr>
        <w:sectPr>
          <w:footerReference r:id="rId12" w:type="default"/>
          <w:pgSz w:w="11907" w:h="16840"/>
          <w:pgMar w:top="1418" w:right="1134" w:bottom="1134"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21" w:name="_Toc325470786"/>
    </w:p>
    <w:p/>
    <w:p>
      <w:pPr>
        <w:jc w:val="center"/>
        <w:rPr>
          <w:rFonts w:hint="default" w:ascii="Times New Roman" w:hAnsi="Times New Roman" w:eastAsia="宋体" w:cs="Times New Roman"/>
          <w:b/>
          <w:bCs/>
          <w:sz w:val="24"/>
          <w:szCs w:val="22"/>
          <w:lang w:eastAsia="zh-CN"/>
        </w:rPr>
      </w:pPr>
      <w:r>
        <w:rPr>
          <w:rFonts w:hint="default" w:ascii="Times New Roman" w:hAnsi="Times New Roman" w:eastAsia="宋体" w:cs="Times New Roman"/>
          <w:b/>
          <w:bCs/>
          <w:sz w:val="24"/>
          <w:szCs w:val="22"/>
          <w:lang w:eastAsia="zh-CN"/>
        </w:rPr>
        <w:t>表</w:t>
      </w:r>
      <w:r>
        <w:rPr>
          <w:rFonts w:hint="eastAsia" w:cs="Times New Roman"/>
          <w:b/>
          <w:bCs/>
          <w:sz w:val="24"/>
          <w:szCs w:val="22"/>
          <w:lang w:val="en-US" w:eastAsia="zh-CN"/>
        </w:rPr>
        <w:t>27</w:t>
      </w:r>
      <w:r>
        <w:rPr>
          <w:rFonts w:hint="default" w:ascii="Times New Roman" w:hAnsi="Times New Roman" w:eastAsia="宋体" w:cs="Times New Roman"/>
          <w:b/>
          <w:bCs/>
          <w:sz w:val="24"/>
          <w:szCs w:val="22"/>
          <w:lang w:val="en-US" w:eastAsia="zh-CN"/>
        </w:rPr>
        <w:t xml:space="preserve">  </w:t>
      </w:r>
      <w:r>
        <w:rPr>
          <w:rFonts w:hint="default" w:ascii="Times New Roman" w:hAnsi="Times New Roman" w:eastAsia="宋体" w:cs="Times New Roman"/>
          <w:b/>
          <w:bCs/>
          <w:sz w:val="24"/>
          <w:szCs w:val="22"/>
          <w:lang w:eastAsia="zh-CN"/>
        </w:rPr>
        <w:t>废气污染源排放清单</w:t>
      </w:r>
    </w:p>
    <w:tbl>
      <w:tblPr>
        <w:tblStyle w:val="35"/>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852"/>
        <w:gridCol w:w="1938"/>
        <w:gridCol w:w="1310"/>
        <w:gridCol w:w="1310"/>
        <w:gridCol w:w="1"/>
        <w:gridCol w:w="1309"/>
        <w:gridCol w:w="1311"/>
        <w:gridCol w:w="1"/>
        <w:gridCol w:w="1310"/>
        <w:gridCol w:w="1311"/>
        <w:gridCol w:w="1311"/>
        <w:gridCol w:w="1"/>
        <w:gridCol w:w="131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Merge w:val="restart"/>
            <w:vAlign w:val="center"/>
          </w:tcPr>
          <w:p>
            <w:pPr>
              <w:jc w:val="center"/>
              <w:rPr>
                <w:rFonts w:hint="eastAsia" w:eastAsia="宋体"/>
                <w:vertAlign w:val="baseline"/>
                <w:lang w:val="en-US" w:eastAsia="zh-CN"/>
              </w:rPr>
            </w:pPr>
            <w:r>
              <w:rPr>
                <w:rFonts w:hint="eastAsia"/>
                <w:vertAlign w:val="baseline"/>
                <w:lang w:val="en-US" w:eastAsia="zh-CN"/>
              </w:rPr>
              <w:t>工序/生产线</w:t>
            </w:r>
          </w:p>
        </w:tc>
        <w:tc>
          <w:tcPr>
            <w:tcW w:w="852" w:type="dxa"/>
            <w:vMerge w:val="restart"/>
            <w:vAlign w:val="center"/>
          </w:tcPr>
          <w:p>
            <w:pPr>
              <w:jc w:val="center"/>
              <w:rPr>
                <w:rFonts w:hint="eastAsia" w:eastAsia="宋体"/>
                <w:vertAlign w:val="baseline"/>
                <w:lang w:eastAsia="zh-CN"/>
              </w:rPr>
            </w:pPr>
            <w:r>
              <w:rPr>
                <w:rFonts w:hint="eastAsia"/>
                <w:vertAlign w:val="baseline"/>
                <w:lang w:eastAsia="zh-CN"/>
              </w:rPr>
              <w:t>污染物</w:t>
            </w:r>
          </w:p>
        </w:tc>
        <w:tc>
          <w:tcPr>
            <w:tcW w:w="4559" w:type="dxa"/>
            <w:gridSpan w:val="4"/>
            <w:vAlign w:val="center"/>
          </w:tcPr>
          <w:p>
            <w:pPr>
              <w:jc w:val="center"/>
              <w:rPr>
                <w:rFonts w:hint="eastAsia" w:eastAsia="宋体"/>
                <w:vertAlign w:val="baseline"/>
                <w:lang w:eastAsia="zh-CN"/>
              </w:rPr>
            </w:pPr>
            <w:r>
              <w:rPr>
                <w:rFonts w:hint="eastAsia"/>
                <w:vertAlign w:val="baseline"/>
                <w:lang w:eastAsia="zh-CN"/>
              </w:rPr>
              <w:t>污染物产生</w:t>
            </w:r>
          </w:p>
        </w:tc>
        <w:tc>
          <w:tcPr>
            <w:tcW w:w="2621" w:type="dxa"/>
            <w:gridSpan w:val="3"/>
            <w:vAlign w:val="center"/>
          </w:tcPr>
          <w:p>
            <w:pPr>
              <w:jc w:val="center"/>
              <w:rPr>
                <w:rFonts w:hint="eastAsia" w:eastAsia="宋体"/>
                <w:vertAlign w:val="baseline"/>
                <w:lang w:eastAsia="zh-CN"/>
              </w:rPr>
            </w:pPr>
            <w:r>
              <w:rPr>
                <w:rFonts w:hint="eastAsia"/>
                <w:vertAlign w:val="baseline"/>
                <w:lang w:eastAsia="zh-CN"/>
              </w:rPr>
              <w:t>治理措施</w:t>
            </w:r>
          </w:p>
        </w:tc>
        <w:tc>
          <w:tcPr>
            <w:tcW w:w="3933" w:type="dxa"/>
            <w:gridSpan w:val="4"/>
            <w:vAlign w:val="center"/>
          </w:tcPr>
          <w:p>
            <w:pPr>
              <w:jc w:val="center"/>
              <w:rPr>
                <w:rFonts w:hint="eastAsia"/>
                <w:vertAlign w:val="baseline"/>
                <w:lang w:eastAsia="zh-CN"/>
              </w:rPr>
            </w:pPr>
            <w:r>
              <w:rPr>
                <w:rFonts w:hint="eastAsia"/>
                <w:vertAlign w:val="baseline"/>
                <w:lang w:eastAsia="zh-CN"/>
              </w:rPr>
              <w:t>污染物排放</w:t>
            </w:r>
          </w:p>
        </w:tc>
        <w:tc>
          <w:tcPr>
            <w:tcW w:w="1311" w:type="dxa"/>
            <w:gridSpan w:val="2"/>
            <w:vAlign w:val="center"/>
          </w:tcPr>
          <w:p>
            <w:pPr>
              <w:jc w:val="center"/>
              <w:rPr>
                <w:rFonts w:hint="eastAsia"/>
                <w:vertAlign w:val="baseline"/>
                <w:lang w:eastAsia="zh-CN"/>
              </w:rPr>
            </w:pPr>
            <w:r>
              <w:rPr>
                <w:rFonts w:hint="eastAsia"/>
                <w:vertAlign w:val="baseline"/>
                <w:lang w:eastAsia="zh-CN"/>
              </w:rPr>
              <w:t>排放时间（</w:t>
            </w:r>
            <w:r>
              <w:rPr>
                <w:rFonts w:hint="eastAsia"/>
                <w:vertAlign w:val="baseline"/>
                <w:lang w:val="en-US" w:eastAsia="zh-CN"/>
              </w:rPr>
              <w:t>h/d</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140" w:type="dxa"/>
            <w:vMerge w:val="continue"/>
            <w:vAlign w:val="center"/>
          </w:tcPr>
          <w:p>
            <w:pPr>
              <w:jc w:val="center"/>
              <w:rPr>
                <w:vertAlign w:val="baseline"/>
              </w:rPr>
            </w:pPr>
          </w:p>
        </w:tc>
        <w:tc>
          <w:tcPr>
            <w:tcW w:w="852" w:type="dxa"/>
            <w:vMerge w:val="continue"/>
            <w:vAlign w:val="center"/>
          </w:tcPr>
          <w:p>
            <w:pPr>
              <w:jc w:val="center"/>
              <w:rPr>
                <w:vertAlign w:val="baseline"/>
              </w:rPr>
            </w:pPr>
          </w:p>
        </w:tc>
        <w:tc>
          <w:tcPr>
            <w:tcW w:w="1938" w:type="dxa"/>
            <w:vAlign w:val="center"/>
          </w:tcPr>
          <w:p>
            <w:pPr>
              <w:jc w:val="center"/>
              <w:rPr>
                <w:rFonts w:hint="eastAsia" w:eastAsia="宋体"/>
                <w:vertAlign w:val="baseline"/>
                <w:lang w:eastAsia="zh-CN"/>
              </w:rPr>
            </w:pPr>
            <w:r>
              <w:rPr>
                <w:rFonts w:hint="eastAsia"/>
                <w:vertAlign w:val="baseline"/>
                <w:lang w:eastAsia="zh-CN"/>
              </w:rPr>
              <w:t>产生废气量（</w:t>
            </w:r>
            <w:r>
              <w:rPr>
                <w:rFonts w:hint="eastAsia"/>
                <w:vertAlign w:val="baseline"/>
                <w:lang w:val="en-US" w:eastAsia="zh-CN"/>
              </w:rPr>
              <w:t>m</w:t>
            </w:r>
            <w:r>
              <w:rPr>
                <w:rFonts w:hint="eastAsia"/>
                <w:vertAlign w:val="superscript"/>
                <w:lang w:val="en-US" w:eastAsia="zh-CN"/>
              </w:rPr>
              <w:t>3</w:t>
            </w:r>
            <w:r>
              <w:rPr>
                <w:rFonts w:hint="eastAsia"/>
                <w:vertAlign w:val="baseline"/>
                <w:lang w:val="en-US" w:eastAsia="zh-CN"/>
              </w:rPr>
              <w:t>/h</w:t>
            </w:r>
            <w:r>
              <w:rPr>
                <w:rFonts w:hint="eastAsia"/>
                <w:vertAlign w:val="baseline"/>
                <w:lang w:eastAsia="zh-CN"/>
              </w:rPr>
              <w:t>）</w:t>
            </w:r>
          </w:p>
        </w:tc>
        <w:tc>
          <w:tcPr>
            <w:tcW w:w="1310" w:type="dxa"/>
            <w:vAlign w:val="center"/>
          </w:tcPr>
          <w:p>
            <w:pPr>
              <w:jc w:val="center"/>
              <w:rPr>
                <w:rFonts w:hint="eastAsia" w:eastAsia="宋体"/>
                <w:vertAlign w:val="baseline"/>
                <w:lang w:eastAsia="zh-CN"/>
              </w:rPr>
            </w:pPr>
            <w:r>
              <w:rPr>
                <w:rFonts w:hint="eastAsia"/>
                <w:vertAlign w:val="baseline"/>
                <w:lang w:eastAsia="zh-CN"/>
              </w:rPr>
              <w:t>产生浓度（</w:t>
            </w:r>
            <w:r>
              <w:rPr>
                <w:rFonts w:hint="eastAsia"/>
                <w:vertAlign w:val="baseline"/>
                <w:lang w:val="en-US" w:eastAsia="zh-CN"/>
              </w:rPr>
              <w:t>mg/m</w:t>
            </w:r>
            <w:r>
              <w:rPr>
                <w:rFonts w:hint="eastAsia"/>
                <w:vertAlign w:val="superscript"/>
                <w:lang w:val="en-US" w:eastAsia="zh-CN"/>
              </w:rPr>
              <w:t>3</w:t>
            </w:r>
            <w:r>
              <w:rPr>
                <w:rFonts w:hint="eastAsia"/>
                <w:vertAlign w:val="baseline"/>
                <w:lang w:eastAsia="zh-CN"/>
              </w:rPr>
              <w:t>）</w:t>
            </w:r>
          </w:p>
        </w:tc>
        <w:tc>
          <w:tcPr>
            <w:tcW w:w="1310" w:type="dxa"/>
            <w:vAlign w:val="center"/>
          </w:tcPr>
          <w:p>
            <w:pPr>
              <w:jc w:val="center"/>
              <w:rPr>
                <w:rFonts w:hint="eastAsia" w:eastAsia="宋体"/>
                <w:vertAlign w:val="baseline"/>
                <w:lang w:eastAsia="zh-CN"/>
              </w:rPr>
            </w:pPr>
            <w:r>
              <w:rPr>
                <w:rFonts w:hint="eastAsia"/>
                <w:vertAlign w:val="baseline"/>
                <w:lang w:eastAsia="zh-CN"/>
              </w:rPr>
              <w:t>产生量（</w:t>
            </w:r>
            <w:r>
              <w:rPr>
                <w:rFonts w:hint="eastAsia"/>
                <w:vertAlign w:val="baseline"/>
                <w:lang w:val="en-US" w:eastAsia="zh-CN"/>
              </w:rPr>
              <w:t>t/a</w:t>
            </w:r>
            <w:r>
              <w:rPr>
                <w:rFonts w:hint="eastAsia"/>
                <w:vertAlign w:val="baseline"/>
                <w:lang w:eastAsia="zh-CN"/>
              </w:rPr>
              <w:t>）</w:t>
            </w:r>
          </w:p>
        </w:tc>
        <w:tc>
          <w:tcPr>
            <w:tcW w:w="1310" w:type="dxa"/>
            <w:gridSpan w:val="2"/>
            <w:vAlign w:val="center"/>
          </w:tcPr>
          <w:p>
            <w:pPr>
              <w:jc w:val="center"/>
              <w:rPr>
                <w:rFonts w:hint="eastAsia" w:eastAsia="宋体"/>
                <w:vertAlign w:val="baseline"/>
                <w:lang w:eastAsia="zh-CN"/>
              </w:rPr>
            </w:pPr>
            <w:r>
              <w:rPr>
                <w:rFonts w:hint="eastAsia"/>
                <w:vertAlign w:val="baseline"/>
                <w:lang w:eastAsia="zh-CN"/>
              </w:rPr>
              <w:t>工艺</w:t>
            </w:r>
          </w:p>
        </w:tc>
        <w:tc>
          <w:tcPr>
            <w:tcW w:w="1311" w:type="dxa"/>
            <w:vAlign w:val="center"/>
          </w:tcPr>
          <w:p>
            <w:pPr>
              <w:jc w:val="center"/>
              <w:rPr>
                <w:rFonts w:hint="eastAsia" w:eastAsia="宋体"/>
                <w:vertAlign w:val="baseline"/>
                <w:lang w:eastAsia="zh-CN"/>
              </w:rPr>
            </w:pPr>
            <w:r>
              <w:rPr>
                <w:rFonts w:hint="eastAsia"/>
                <w:vertAlign w:val="baseline"/>
                <w:lang w:eastAsia="zh-CN"/>
              </w:rPr>
              <w:t>效率</w:t>
            </w:r>
          </w:p>
        </w:tc>
        <w:tc>
          <w:tcPr>
            <w:tcW w:w="1311" w:type="dxa"/>
            <w:gridSpan w:val="2"/>
            <w:vAlign w:val="center"/>
          </w:tcPr>
          <w:p>
            <w:pPr>
              <w:jc w:val="center"/>
              <w:rPr>
                <w:rFonts w:hint="eastAsia" w:eastAsia="宋体"/>
                <w:vertAlign w:val="baseline"/>
                <w:lang w:eastAsia="zh-CN"/>
              </w:rPr>
            </w:pPr>
            <w:r>
              <w:rPr>
                <w:rFonts w:hint="eastAsia"/>
                <w:vertAlign w:val="baseline"/>
                <w:lang w:eastAsia="zh-CN"/>
              </w:rPr>
              <w:t>排放废气量（</w:t>
            </w:r>
            <w:r>
              <w:rPr>
                <w:rFonts w:hint="eastAsia"/>
                <w:vertAlign w:val="baseline"/>
                <w:lang w:val="en-US" w:eastAsia="zh-CN"/>
              </w:rPr>
              <w:t>m</w:t>
            </w:r>
            <w:r>
              <w:rPr>
                <w:rFonts w:hint="eastAsia"/>
                <w:vertAlign w:val="superscript"/>
                <w:lang w:val="en-US" w:eastAsia="zh-CN"/>
              </w:rPr>
              <w:t>3</w:t>
            </w:r>
            <w:r>
              <w:rPr>
                <w:rFonts w:hint="eastAsia"/>
                <w:vertAlign w:val="baseline"/>
                <w:lang w:val="en-US" w:eastAsia="zh-CN"/>
              </w:rPr>
              <w:t>/h</w:t>
            </w:r>
            <w:r>
              <w:rPr>
                <w:rFonts w:hint="eastAsia"/>
                <w:vertAlign w:val="baseline"/>
                <w:lang w:eastAsia="zh-CN"/>
              </w:rPr>
              <w:t>）</w:t>
            </w:r>
          </w:p>
        </w:tc>
        <w:tc>
          <w:tcPr>
            <w:tcW w:w="1311" w:type="dxa"/>
            <w:vAlign w:val="center"/>
          </w:tcPr>
          <w:p>
            <w:pPr>
              <w:jc w:val="center"/>
              <w:rPr>
                <w:rFonts w:hint="eastAsia" w:eastAsia="宋体"/>
                <w:vertAlign w:val="baseline"/>
                <w:lang w:eastAsia="zh-CN"/>
              </w:rPr>
            </w:pPr>
            <w:r>
              <w:rPr>
                <w:rFonts w:hint="eastAsia"/>
                <w:vertAlign w:val="baseline"/>
                <w:lang w:eastAsia="zh-CN"/>
              </w:rPr>
              <w:t>排放浓度（</w:t>
            </w:r>
            <w:r>
              <w:rPr>
                <w:rFonts w:hint="eastAsia"/>
                <w:vertAlign w:val="baseline"/>
                <w:lang w:val="en-US" w:eastAsia="zh-CN"/>
              </w:rPr>
              <w:t>mg/m</w:t>
            </w:r>
            <w:r>
              <w:rPr>
                <w:rFonts w:hint="eastAsia"/>
                <w:vertAlign w:val="superscript"/>
                <w:lang w:val="en-US" w:eastAsia="zh-CN"/>
              </w:rPr>
              <w:t>3</w:t>
            </w:r>
            <w:r>
              <w:rPr>
                <w:rFonts w:hint="eastAsia"/>
                <w:vertAlign w:val="baseline"/>
                <w:lang w:eastAsia="zh-CN"/>
              </w:rPr>
              <w:t>）</w:t>
            </w:r>
          </w:p>
        </w:tc>
        <w:tc>
          <w:tcPr>
            <w:tcW w:w="1311" w:type="dxa"/>
            <w:vAlign w:val="center"/>
          </w:tcPr>
          <w:p>
            <w:pPr>
              <w:jc w:val="center"/>
              <w:rPr>
                <w:rFonts w:hint="eastAsia" w:eastAsia="宋体"/>
                <w:vertAlign w:val="baseline"/>
                <w:lang w:eastAsia="zh-CN"/>
              </w:rPr>
            </w:pPr>
            <w:r>
              <w:rPr>
                <w:rFonts w:hint="eastAsia"/>
                <w:vertAlign w:val="baseline"/>
                <w:lang w:eastAsia="zh-CN"/>
              </w:rPr>
              <w:t>排放量（</w:t>
            </w:r>
            <w:r>
              <w:rPr>
                <w:rFonts w:hint="eastAsia"/>
                <w:vertAlign w:val="baseline"/>
                <w:lang w:val="en-US" w:eastAsia="zh-CN"/>
              </w:rPr>
              <w:t>t/a</w:t>
            </w:r>
            <w:r>
              <w:rPr>
                <w:rFonts w:hint="eastAsia"/>
                <w:vertAlign w:val="baseline"/>
                <w:lang w:eastAsia="zh-CN"/>
              </w:rPr>
              <w:t>）</w:t>
            </w:r>
          </w:p>
        </w:tc>
        <w:tc>
          <w:tcPr>
            <w:tcW w:w="1311" w:type="dxa"/>
            <w:gridSpan w:val="2"/>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140" w:type="dxa"/>
            <w:vAlign w:val="center"/>
          </w:tcPr>
          <w:p>
            <w:pPr>
              <w:jc w:val="center"/>
              <w:rPr>
                <w:rFonts w:hint="eastAsia" w:eastAsia="宋体"/>
                <w:vertAlign w:val="baseline"/>
                <w:lang w:eastAsia="zh-CN"/>
              </w:rPr>
            </w:pPr>
            <w:r>
              <w:rPr>
                <w:rFonts w:hint="eastAsia"/>
                <w:vertAlign w:val="baseline"/>
                <w:lang w:eastAsia="zh-CN"/>
              </w:rPr>
              <w:t>原煤破碎筛分</w:t>
            </w:r>
          </w:p>
        </w:tc>
        <w:tc>
          <w:tcPr>
            <w:tcW w:w="852" w:type="dxa"/>
            <w:vMerge w:val="restart"/>
            <w:vAlign w:val="center"/>
          </w:tcPr>
          <w:p>
            <w:pPr>
              <w:jc w:val="center"/>
              <w:rPr>
                <w:rFonts w:hint="eastAsia"/>
                <w:vertAlign w:val="baseline"/>
                <w:lang w:eastAsia="zh-CN"/>
              </w:rPr>
            </w:pPr>
            <w:r>
              <w:rPr>
                <w:rFonts w:hint="eastAsia"/>
                <w:vertAlign w:val="baseline"/>
                <w:lang w:eastAsia="zh-CN"/>
              </w:rPr>
              <w:t>粉尘</w:t>
            </w:r>
          </w:p>
        </w:tc>
        <w:tc>
          <w:tcPr>
            <w:tcW w:w="1938" w:type="dxa"/>
            <w:vAlign w:val="center"/>
          </w:tcPr>
          <w:p>
            <w:pPr>
              <w:jc w:val="center"/>
              <w:rPr>
                <w:rFonts w:hint="eastAsia"/>
                <w:vertAlign w:val="baseline"/>
                <w:lang w:val="en-US" w:eastAsia="zh-CN"/>
              </w:rPr>
            </w:pPr>
            <w:r>
              <w:rPr>
                <w:rFonts w:hint="eastAsia"/>
                <w:vertAlign w:val="baseline"/>
                <w:lang w:val="en-US" w:eastAsia="zh-CN"/>
              </w:rPr>
              <w:t>30000</w:t>
            </w:r>
          </w:p>
        </w:tc>
        <w:tc>
          <w:tcPr>
            <w:tcW w:w="1310" w:type="dxa"/>
            <w:vAlign w:val="center"/>
          </w:tcPr>
          <w:p>
            <w:pPr>
              <w:jc w:val="center"/>
              <w:rPr>
                <w:rFonts w:hint="eastAsia"/>
                <w:vertAlign w:val="baseline"/>
                <w:lang w:val="en-US" w:eastAsia="zh-CN"/>
              </w:rPr>
            </w:pPr>
            <w:r>
              <w:rPr>
                <w:rFonts w:hint="eastAsia"/>
                <w:vertAlign w:val="baseline"/>
                <w:lang w:val="en-US" w:eastAsia="zh-CN"/>
              </w:rPr>
              <w:t>4166</w:t>
            </w:r>
          </w:p>
        </w:tc>
        <w:tc>
          <w:tcPr>
            <w:tcW w:w="1310" w:type="dxa"/>
            <w:vAlign w:val="center"/>
          </w:tcPr>
          <w:p>
            <w:pPr>
              <w:jc w:val="center"/>
              <w:rPr>
                <w:rFonts w:hint="eastAsia"/>
                <w:vertAlign w:val="baseline"/>
                <w:lang w:val="en-US" w:eastAsia="zh-CN"/>
              </w:rPr>
            </w:pPr>
            <w:r>
              <w:rPr>
                <w:rFonts w:hint="eastAsia"/>
                <w:vertAlign w:val="baseline"/>
                <w:lang w:val="en-US" w:eastAsia="zh-CN"/>
              </w:rPr>
              <w:t>299.95</w:t>
            </w:r>
          </w:p>
        </w:tc>
        <w:tc>
          <w:tcPr>
            <w:tcW w:w="1310" w:type="dxa"/>
            <w:gridSpan w:val="2"/>
            <w:vMerge w:val="restart"/>
            <w:vAlign w:val="center"/>
          </w:tcPr>
          <w:p>
            <w:pPr>
              <w:jc w:val="center"/>
              <w:rPr>
                <w:rFonts w:hint="eastAsia" w:eastAsia="宋体"/>
                <w:vertAlign w:val="baseline"/>
                <w:lang w:val="en-US" w:eastAsia="zh-CN"/>
              </w:rPr>
            </w:pPr>
            <w:r>
              <w:rPr>
                <w:rFonts w:hint="eastAsia"/>
                <w:vertAlign w:val="baseline"/>
                <w:lang w:val="en-US" w:eastAsia="zh-CN"/>
              </w:rPr>
              <w:t>集气罩收集，布袋除尘</w:t>
            </w:r>
          </w:p>
        </w:tc>
        <w:tc>
          <w:tcPr>
            <w:tcW w:w="1311" w:type="dxa"/>
            <w:vMerge w:val="restart"/>
            <w:vAlign w:val="center"/>
          </w:tcPr>
          <w:p>
            <w:pPr>
              <w:jc w:val="center"/>
              <w:rPr>
                <w:rFonts w:hint="eastAsia"/>
                <w:vertAlign w:val="baseline"/>
                <w:lang w:val="en-US" w:eastAsia="zh-CN"/>
              </w:rPr>
            </w:pPr>
            <w:r>
              <w:rPr>
                <w:rFonts w:hint="eastAsia"/>
                <w:vertAlign w:val="baseline"/>
                <w:lang w:val="en-US" w:eastAsia="zh-CN"/>
              </w:rPr>
              <w:t>收集效率90%，除尘效率99%</w:t>
            </w:r>
          </w:p>
        </w:tc>
        <w:tc>
          <w:tcPr>
            <w:tcW w:w="1311" w:type="dxa"/>
            <w:gridSpan w:val="2"/>
            <w:vAlign w:val="center"/>
          </w:tcPr>
          <w:p>
            <w:pPr>
              <w:jc w:val="center"/>
              <w:rPr>
                <w:rFonts w:hint="eastAsia"/>
                <w:vertAlign w:val="baseline"/>
                <w:lang w:val="en-US" w:eastAsia="zh-CN"/>
              </w:rPr>
            </w:pPr>
            <w:r>
              <w:rPr>
                <w:rFonts w:hint="eastAsia"/>
                <w:vertAlign w:val="baseline"/>
                <w:lang w:val="en-US" w:eastAsia="zh-CN"/>
              </w:rPr>
              <w:t>30000</w:t>
            </w:r>
          </w:p>
        </w:tc>
        <w:tc>
          <w:tcPr>
            <w:tcW w:w="1311" w:type="dxa"/>
            <w:vAlign w:val="center"/>
          </w:tcPr>
          <w:p>
            <w:pPr>
              <w:jc w:val="center"/>
              <w:rPr>
                <w:rFonts w:hint="eastAsia"/>
                <w:vertAlign w:val="baseline"/>
                <w:lang w:val="en-US" w:eastAsia="zh-CN"/>
              </w:rPr>
            </w:pPr>
            <w:r>
              <w:rPr>
                <w:rFonts w:hint="eastAsia"/>
                <w:vertAlign w:val="baseline"/>
                <w:lang w:val="en-US" w:eastAsia="zh-CN"/>
              </w:rPr>
              <w:t>41.66</w:t>
            </w:r>
          </w:p>
        </w:tc>
        <w:tc>
          <w:tcPr>
            <w:tcW w:w="1311" w:type="dxa"/>
            <w:vAlign w:val="center"/>
          </w:tcPr>
          <w:p>
            <w:pPr>
              <w:jc w:val="center"/>
              <w:rPr>
                <w:rFonts w:hint="eastAsia"/>
                <w:vertAlign w:val="baseline"/>
                <w:lang w:val="en-US" w:eastAsia="zh-CN"/>
              </w:rPr>
            </w:pPr>
            <w:r>
              <w:rPr>
                <w:rFonts w:hint="eastAsia"/>
                <w:vertAlign w:val="baseline"/>
                <w:lang w:val="en-US" w:eastAsia="zh-CN"/>
              </w:rPr>
              <w:t>3.02</w:t>
            </w:r>
          </w:p>
        </w:tc>
        <w:tc>
          <w:tcPr>
            <w:tcW w:w="1311" w:type="dxa"/>
            <w:gridSpan w:val="2"/>
            <w:vMerge w:val="restart"/>
            <w:vAlign w:val="center"/>
          </w:tcPr>
          <w:p>
            <w:pPr>
              <w:jc w:val="center"/>
              <w:rPr>
                <w:rFonts w:hint="eastAsia" w:eastAsia="宋体"/>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140" w:type="dxa"/>
            <w:vAlign w:val="center"/>
          </w:tcPr>
          <w:p>
            <w:pPr>
              <w:jc w:val="center"/>
              <w:rPr>
                <w:rFonts w:hint="eastAsia"/>
                <w:vertAlign w:val="baseline"/>
                <w:lang w:eastAsia="zh-CN"/>
              </w:rPr>
            </w:pPr>
            <w:r>
              <w:rPr>
                <w:rFonts w:hint="eastAsia"/>
                <w:vertAlign w:val="baseline"/>
                <w:lang w:eastAsia="zh-CN"/>
              </w:rPr>
              <w:t>煤矸石破碎</w:t>
            </w:r>
          </w:p>
        </w:tc>
        <w:tc>
          <w:tcPr>
            <w:tcW w:w="852" w:type="dxa"/>
            <w:vMerge w:val="continue"/>
            <w:vAlign w:val="center"/>
          </w:tcPr>
          <w:p>
            <w:pPr>
              <w:jc w:val="center"/>
              <w:rPr>
                <w:rFonts w:hint="eastAsia"/>
                <w:vertAlign w:val="baseline"/>
                <w:lang w:eastAsia="zh-CN"/>
              </w:rPr>
            </w:pPr>
          </w:p>
        </w:tc>
        <w:tc>
          <w:tcPr>
            <w:tcW w:w="1938" w:type="dxa"/>
            <w:vAlign w:val="center"/>
          </w:tcPr>
          <w:p>
            <w:pPr>
              <w:jc w:val="center"/>
              <w:rPr>
                <w:rFonts w:hint="eastAsia"/>
                <w:vertAlign w:val="baseline"/>
                <w:lang w:val="en-US" w:eastAsia="zh-CN"/>
              </w:rPr>
            </w:pPr>
            <w:r>
              <w:rPr>
                <w:rFonts w:hint="eastAsia"/>
                <w:vertAlign w:val="baseline"/>
                <w:lang w:val="en-US" w:eastAsia="zh-CN"/>
              </w:rPr>
              <w:t>8000</w:t>
            </w:r>
          </w:p>
        </w:tc>
        <w:tc>
          <w:tcPr>
            <w:tcW w:w="1310" w:type="dxa"/>
            <w:vAlign w:val="center"/>
          </w:tcPr>
          <w:p>
            <w:pPr>
              <w:jc w:val="center"/>
              <w:rPr>
                <w:rFonts w:hint="eastAsia"/>
                <w:vertAlign w:val="baseline"/>
                <w:lang w:val="en-US" w:eastAsia="zh-CN"/>
              </w:rPr>
            </w:pPr>
            <w:r>
              <w:rPr>
                <w:rFonts w:hint="eastAsia"/>
                <w:vertAlign w:val="baseline"/>
                <w:lang w:val="en-US" w:eastAsia="zh-CN"/>
              </w:rPr>
              <w:t>562.5</w:t>
            </w:r>
          </w:p>
        </w:tc>
        <w:tc>
          <w:tcPr>
            <w:tcW w:w="1310" w:type="dxa"/>
            <w:vAlign w:val="center"/>
          </w:tcPr>
          <w:p>
            <w:pPr>
              <w:jc w:val="center"/>
              <w:rPr>
                <w:rFonts w:hint="eastAsia"/>
                <w:vertAlign w:val="baseline"/>
                <w:lang w:val="en-US" w:eastAsia="zh-CN"/>
              </w:rPr>
            </w:pPr>
            <w:r>
              <w:rPr>
                <w:rFonts w:hint="eastAsia"/>
                <w:vertAlign w:val="baseline"/>
                <w:lang w:val="en-US" w:eastAsia="zh-CN"/>
              </w:rPr>
              <w:t>10.8</w:t>
            </w:r>
          </w:p>
        </w:tc>
        <w:tc>
          <w:tcPr>
            <w:tcW w:w="1310" w:type="dxa"/>
            <w:gridSpan w:val="2"/>
            <w:vMerge w:val="continue"/>
            <w:vAlign w:val="center"/>
          </w:tcPr>
          <w:p>
            <w:pPr>
              <w:jc w:val="center"/>
              <w:rPr>
                <w:rFonts w:hint="eastAsia"/>
                <w:vertAlign w:val="baseline"/>
                <w:lang w:val="en-US" w:eastAsia="zh-CN"/>
              </w:rPr>
            </w:pPr>
          </w:p>
        </w:tc>
        <w:tc>
          <w:tcPr>
            <w:tcW w:w="1311" w:type="dxa"/>
            <w:vMerge w:val="continue"/>
            <w:vAlign w:val="center"/>
          </w:tcPr>
          <w:p>
            <w:pPr>
              <w:jc w:val="center"/>
              <w:rPr>
                <w:rFonts w:hint="eastAsia"/>
                <w:vertAlign w:val="baseline"/>
                <w:lang w:val="en-US" w:eastAsia="zh-CN"/>
              </w:rPr>
            </w:pPr>
          </w:p>
        </w:tc>
        <w:tc>
          <w:tcPr>
            <w:tcW w:w="1311" w:type="dxa"/>
            <w:gridSpan w:val="2"/>
            <w:vAlign w:val="center"/>
          </w:tcPr>
          <w:p>
            <w:pPr>
              <w:jc w:val="center"/>
              <w:rPr>
                <w:rFonts w:hint="eastAsia"/>
                <w:vertAlign w:val="baseline"/>
                <w:lang w:val="en-US" w:eastAsia="zh-CN"/>
              </w:rPr>
            </w:pPr>
            <w:r>
              <w:rPr>
                <w:rFonts w:hint="eastAsia"/>
                <w:vertAlign w:val="baseline"/>
                <w:lang w:val="en-US" w:eastAsia="zh-CN"/>
              </w:rPr>
              <w:t>8000</w:t>
            </w:r>
          </w:p>
        </w:tc>
        <w:tc>
          <w:tcPr>
            <w:tcW w:w="1311" w:type="dxa"/>
            <w:vAlign w:val="center"/>
          </w:tcPr>
          <w:p>
            <w:pPr>
              <w:jc w:val="center"/>
              <w:rPr>
                <w:rFonts w:hint="eastAsia"/>
                <w:vertAlign w:val="baseline"/>
                <w:lang w:val="en-US" w:eastAsia="zh-CN"/>
              </w:rPr>
            </w:pPr>
            <w:r>
              <w:rPr>
                <w:rFonts w:hint="eastAsia"/>
                <w:vertAlign w:val="baseline"/>
                <w:lang w:val="en-US" w:eastAsia="zh-CN"/>
              </w:rPr>
              <w:t>5.625</w:t>
            </w:r>
          </w:p>
        </w:tc>
        <w:tc>
          <w:tcPr>
            <w:tcW w:w="1311" w:type="dxa"/>
            <w:vAlign w:val="center"/>
          </w:tcPr>
          <w:p>
            <w:pPr>
              <w:jc w:val="center"/>
              <w:rPr>
                <w:rFonts w:hint="eastAsia"/>
                <w:vertAlign w:val="baseline"/>
                <w:lang w:val="en-US" w:eastAsia="zh-CN"/>
              </w:rPr>
            </w:pPr>
            <w:r>
              <w:rPr>
                <w:rFonts w:hint="eastAsia"/>
                <w:vertAlign w:val="baseline"/>
                <w:lang w:val="en-US" w:eastAsia="zh-CN"/>
              </w:rPr>
              <w:t>0.108</w:t>
            </w:r>
          </w:p>
        </w:tc>
        <w:tc>
          <w:tcPr>
            <w:tcW w:w="1311" w:type="dxa"/>
            <w:gridSpan w:val="2"/>
            <w:vMerge w:val="continue"/>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140" w:type="dxa"/>
            <w:vAlign w:val="center"/>
          </w:tcPr>
          <w:p>
            <w:pPr>
              <w:jc w:val="center"/>
              <w:rPr>
                <w:rFonts w:hint="eastAsia" w:eastAsia="宋体"/>
                <w:vertAlign w:val="baseline"/>
                <w:lang w:eastAsia="zh-CN"/>
              </w:rPr>
            </w:pPr>
            <w:r>
              <w:rPr>
                <w:rFonts w:hint="eastAsia"/>
                <w:vertAlign w:val="baseline"/>
                <w:lang w:eastAsia="zh-CN"/>
              </w:rPr>
              <w:t>粉料贮存</w:t>
            </w:r>
          </w:p>
        </w:tc>
        <w:tc>
          <w:tcPr>
            <w:tcW w:w="852" w:type="dxa"/>
            <w:vMerge w:val="continue"/>
            <w:vAlign w:val="center"/>
          </w:tcPr>
          <w:p>
            <w:pPr>
              <w:jc w:val="center"/>
              <w:rPr>
                <w:rFonts w:hint="eastAsia"/>
                <w:vertAlign w:val="baseline"/>
                <w:lang w:eastAsia="zh-CN"/>
              </w:rPr>
            </w:pPr>
          </w:p>
        </w:tc>
        <w:tc>
          <w:tcPr>
            <w:tcW w:w="1938" w:type="dxa"/>
            <w:vAlign w:val="center"/>
          </w:tcPr>
          <w:p>
            <w:pPr>
              <w:jc w:val="center"/>
              <w:rPr>
                <w:rFonts w:hint="eastAsia"/>
                <w:vertAlign w:val="baseline"/>
                <w:lang w:val="en-US" w:eastAsia="zh-CN"/>
              </w:rPr>
            </w:pPr>
            <w:r>
              <w:rPr>
                <w:rFonts w:hint="eastAsia"/>
                <w:vertAlign w:val="baseline"/>
                <w:lang w:val="en-US" w:eastAsia="zh-CN"/>
              </w:rPr>
              <w:t>/</w:t>
            </w:r>
          </w:p>
        </w:tc>
        <w:tc>
          <w:tcPr>
            <w:tcW w:w="1310" w:type="dxa"/>
            <w:vAlign w:val="center"/>
          </w:tcPr>
          <w:p>
            <w:pPr>
              <w:jc w:val="center"/>
              <w:rPr>
                <w:rFonts w:hint="eastAsia"/>
                <w:vertAlign w:val="baseline"/>
                <w:lang w:val="en-US" w:eastAsia="zh-CN"/>
              </w:rPr>
            </w:pPr>
            <w:r>
              <w:rPr>
                <w:rFonts w:hint="eastAsia"/>
                <w:vertAlign w:val="baseline"/>
                <w:lang w:val="en-US" w:eastAsia="zh-CN"/>
              </w:rPr>
              <w:t>800</w:t>
            </w:r>
          </w:p>
        </w:tc>
        <w:tc>
          <w:tcPr>
            <w:tcW w:w="1310" w:type="dxa"/>
            <w:vAlign w:val="center"/>
          </w:tcPr>
          <w:p>
            <w:pPr>
              <w:jc w:val="center"/>
              <w:rPr>
                <w:rFonts w:hint="eastAsia"/>
                <w:vertAlign w:val="baseline"/>
                <w:lang w:val="en-US" w:eastAsia="zh-CN"/>
              </w:rPr>
            </w:pPr>
            <w:r>
              <w:rPr>
                <w:rFonts w:hint="eastAsia"/>
                <w:vertAlign w:val="baseline"/>
                <w:lang w:val="en-US" w:eastAsia="zh-CN"/>
              </w:rPr>
              <w:t>11.52</w:t>
            </w:r>
          </w:p>
        </w:tc>
        <w:tc>
          <w:tcPr>
            <w:tcW w:w="1310" w:type="dxa"/>
            <w:gridSpan w:val="2"/>
            <w:vAlign w:val="center"/>
          </w:tcPr>
          <w:p>
            <w:pPr>
              <w:jc w:val="center"/>
              <w:rPr>
                <w:rFonts w:hint="eastAsia"/>
                <w:vertAlign w:val="baseline"/>
                <w:lang w:eastAsia="zh-CN"/>
              </w:rPr>
            </w:pPr>
            <w:r>
              <w:rPr>
                <w:rFonts w:hint="eastAsia"/>
                <w:vertAlign w:val="baseline"/>
                <w:lang w:eastAsia="zh-CN"/>
              </w:rPr>
              <w:t>仓顶脉冲布袋除尘器</w:t>
            </w:r>
          </w:p>
        </w:tc>
        <w:tc>
          <w:tcPr>
            <w:tcW w:w="1311" w:type="dxa"/>
            <w:vAlign w:val="center"/>
          </w:tcPr>
          <w:p>
            <w:pPr>
              <w:jc w:val="center"/>
              <w:rPr>
                <w:rFonts w:hint="eastAsia"/>
                <w:vertAlign w:val="baseline"/>
                <w:lang w:val="en-US" w:eastAsia="zh-CN"/>
              </w:rPr>
            </w:pPr>
            <w:r>
              <w:rPr>
                <w:rFonts w:hint="eastAsia"/>
                <w:vertAlign w:val="baseline"/>
                <w:lang w:val="en-US" w:eastAsia="zh-CN"/>
              </w:rPr>
              <w:t>除尘效率99%</w:t>
            </w:r>
          </w:p>
        </w:tc>
        <w:tc>
          <w:tcPr>
            <w:tcW w:w="1311" w:type="dxa"/>
            <w:gridSpan w:val="2"/>
            <w:vAlign w:val="center"/>
          </w:tcPr>
          <w:p>
            <w:pPr>
              <w:jc w:val="center"/>
              <w:rPr>
                <w:rFonts w:hint="eastAsia"/>
                <w:vertAlign w:val="baseline"/>
                <w:lang w:val="en-US" w:eastAsia="zh-CN"/>
              </w:rPr>
            </w:pPr>
            <w:r>
              <w:rPr>
                <w:rFonts w:hint="eastAsia"/>
                <w:vertAlign w:val="baseline"/>
                <w:lang w:val="en-US" w:eastAsia="zh-CN"/>
              </w:rPr>
              <w:t>/</w:t>
            </w:r>
          </w:p>
        </w:tc>
        <w:tc>
          <w:tcPr>
            <w:tcW w:w="1311" w:type="dxa"/>
            <w:vAlign w:val="center"/>
          </w:tcPr>
          <w:p>
            <w:pPr>
              <w:jc w:val="center"/>
              <w:rPr>
                <w:rFonts w:hint="eastAsia"/>
                <w:vertAlign w:val="baseline"/>
                <w:lang w:val="en-US" w:eastAsia="zh-CN"/>
              </w:rPr>
            </w:pPr>
            <w:r>
              <w:rPr>
                <w:rFonts w:hint="eastAsia"/>
                <w:vertAlign w:val="baseline"/>
                <w:lang w:val="en-US" w:eastAsia="zh-CN"/>
              </w:rPr>
              <w:t>8</w:t>
            </w:r>
          </w:p>
        </w:tc>
        <w:tc>
          <w:tcPr>
            <w:tcW w:w="1311" w:type="dxa"/>
            <w:vAlign w:val="center"/>
          </w:tcPr>
          <w:p>
            <w:pPr>
              <w:jc w:val="center"/>
              <w:rPr>
                <w:rFonts w:hint="eastAsia"/>
                <w:vertAlign w:val="baseline"/>
                <w:lang w:val="en-US" w:eastAsia="zh-CN"/>
              </w:rPr>
            </w:pPr>
            <w:r>
              <w:rPr>
                <w:rFonts w:hint="eastAsia"/>
                <w:vertAlign w:val="baseline"/>
                <w:lang w:val="en-US" w:eastAsia="zh-CN"/>
              </w:rPr>
              <w:t>0.115</w:t>
            </w:r>
          </w:p>
        </w:tc>
        <w:tc>
          <w:tcPr>
            <w:tcW w:w="1311" w:type="dxa"/>
            <w:gridSpan w:val="2"/>
            <w:vMerge w:val="continue"/>
            <w:vAlign w:val="center"/>
          </w:tcPr>
          <w:p>
            <w:pPr>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140" w:type="dxa"/>
            <w:vAlign w:val="center"/>
          </w:tcPr>
          <w:p>
            <w:pPr>
              <w:jc w:val="center"/>
              <w:rPr>
                <w:rFonts w:hint="eastAsia"/>
                <w:vertAlign w:val="baseline"/>
                <w:lang w:eastAsia="zh-CN"/>
              </w:rPr>
            </w:pPr>
            <w:r>
              <w:rPr>
                <w:rFonts w:hint="eastAsia"/>
                <w:vertAlign w:val="baseline"/>
                <w:lang w:eastAsia="zh-CN"/>
              </w:rPr>
              <w:t>食堂</w:t>
            </w:r>
          </w:p>
        </w:tc>
        <w:tc>
          <w:tcPr>
            <w:tcW w:w="852" w:type="dxa"/>
            <w:vAlign w:val="center"/>
          </w:tcPr>
          <w:p>
            <w:pPr>
              <w:jc w:val="center"/>
              <w:rPr>
                <w:rFonts w:hint="eastAsia"/>
                <w:vertAlign w:val="baseline"/>
                <w:lang w:eastAsia="zh-CN"/>
              </w:rPr>
            </w:pPr>
            <w:r>
              <w:rPr>
                <w:rFonts w:hint="eastAsia"/>
                <w:vertAlign w:val="baseline"/>
                <w:lang w:eastAsia="zh-CN"/>
              </w:rPr>
              <w:t>油烟</w:t>
            </w:r>
          </w:p>
        </w:tc>
        <w:tc>
          <w:tcPr>
            <w:tcW w:w="1938" w:type="dxa"/>
            <w:vAlign w:val="center"/>
          </w:tcPr>
          <w:p>
            <w:pPr>
              <w:jc w:val="center"/>
              <w:rPr>
                <w:rFonts w:hint="eastAsia"/>
                <w:vertAlign w:val="baseline"/>
                <w:lang w:val="en-US" w:eastAsia="zh-CN"/>
              </w:rPr>
            </w:pPr>
            <w:r>
              <w:rPr>
                <w:rFonts w:hint="eastAsia"/>
                <w:vertAlign w:val="baseline"/>
                <w:lang w:val="en-US" w:eastAsia="zh-CN"/>
              </w:rPr>
              <w:t>10000</w:t>
            </w:r>
          </w:p>
        </w:tc>
        <w:tc>
          <w:tcPr>
            <w:tcW w:w="1310" w:type="dxa"/>
            <w:vAlign w:val="center"/>
          </w:tcPr>
          <w:p>
            <w:pPr>
              <w:jc w:val="center"/>
              <w:rPr>
                <w:rFonts w:hint="eastAsia"/>
                <w:vertAlign w:val="baseline"/>
                <w:lang w:val="en-US" w:eastAsia="zh-CN"/>
              </w:rPr>
            </w:pPr>
            <w:r>
              <w:rPr>
                <w:rFonts w:hint="eastAsia"/>
                <w:vertAlign w:val="baseline"/>
                <w:lang w:val="en-US" w:eastAsia="zh-CN"/>
              </w:rPr>
              <w:t>1.7</w:t>
            </w:r>
          </w:p>
        </w:tc>
        <w:tc>
          <w:tcPr>
            <w:tcW w:w="1310" w:type="dxa"/>
            <w:vAlign w:val="center"/>
          </w:tcPr>
          <w:p>
            <w:pPr>
              <w:jc w:val="center"/>
              <w:rPr>
                <w:rFonts w:hint="eastAsia"/>
                <w:vertAlign w:val="baseline"/>
                <w:lang w:val="en-US" w:eastAsia="zh-CN"/>
              </w:rPr>
            </w:pPr>
            <w:r>
              <w:rPr>
                <w:rFonts w:hint="eastAsia"/>
                <w:vertAlign w:val="baseline"/>
                <w:lang w:val="en-US" w:eastAsia="zh-CN"/>
              </w:rPr>
              <w:t>0.024</w:t>
            </w:r>
          </w:p>
        </w:tc>
        <w:tc>
          <w:tcPr>
            <w:tcW w:w="1310" w:type="dxa"/>
            <w:gridSpan w:val="2"/>
            <w:vAlign w:val="center"/>
          </w:tcPr>
          <w:p>
            <w:pPr>
              <w:jc w:val="center"/>
              <w:rPr>
                <w:rFonts w:hint="eastAsia"/>
                <w:vertAlign w:val="baseline"/>
                <w:lang w:eastAsia="zh-CN"/>
              </w:rPr>
            </w:pPr>
            <w:r>
              <w:rPr>
                <w:rFonts w:hint="eastAsia"/>
                <w:vertAlign w:val="baseline"/>
                <w:lang w:eastAsia="zh-CN"/>
              </w:rPr>
              <w:t>油烟净化器</w:t>
            </w:r>
          </w:p>
        </w:tc>
        <w:tc>
          <w:tcPr>
            <w:tcW w:w="1311" w:type="dxa"/>
            <w:vAlign w:val="center"/>
          </w:tcPr>
          <w:p>
            <w:pPr>
              <w:jc w:val="center"/>
              <w:rPr>
                <w:rFonts w:hint="eastAsia"/>
                <w:vertAlign w:val="baseline"/>
                <w:lang w:val="en-US" w:eastAsia="zh-CN"/>
              </w:rPr>
            </w:pPr>
            <w:r>
              <w:rPr>
                <w:rFonts w:hint="eastAsia"/>
                <w:vertAlign w:val="baseline"/>
                <w:lang w:val="en-US" w:eastAsia="zh-CN"/>
              </w:rPr>
              <w:t>75%</w:t>
            </w:r>
          </w:p>
        </w:tc>
        <w:tc>
          <w:tcPr>
            <w:tcW w:w="1311" w:type="dxa"/>
            <w:gridSpan w:val="2"/>
            <w:vAlign w:val="center"/>
          </w:tcPr>
          <w:p>
            <w:pPr>
              <w:jc w:val="center"/>
              <w:rPr>
                <w:rFonts w:hint="eastAsia"/>
                <w:vertAlign w:val="baseline"/>
                <w:lang w:val="en-US" w:eastAsia="zh-CN"/>
              </w:rPr>
            </w:pPr>
            <w:r>
              <w:rPr>
                <w:rFonts w:hint="eastAsia"/>
                <w:vertAlign w:val="baseline"/>
                <w:lang w:val="en-US" w:eastAsia="zh-CN"/>
              </w:rPr>
              <w:t>10000</w:t>
            </w:r>
          </w:p>
        </w:tc>
        <w:tc>
          <w:tcPr>
            <w:tcW w:w="1311" w:type="dxa"/>
            <w:vAlign w:val="center"/>
          </w:tcPr>
          <w:p>
            <w:pPr>
              <w:jc w:val="center"/>
              <w:rPr>
                <w:rFonts w:hint="eastAsia"/>
                <w:vertAlign w:val="baseline"/>
                <w:lang w:val="en-US" w:eastAsia="zh-CN"/>
              </w:rPr>
            </w:pPr>
            <w:r>
              <w:rPr>
                <w:rFonts w:hint="eastAsia"/>
                <w:vertAlign w:val="baseline"/>
                <w:lang w:val="en-US" w:eastAsia="zh-CN"/>
              </w:rPr>
              <w:t>0.425</w:t>
            </w:r>
          </w:p>
        </w:tc>
        <w:tc>
          <w:tcPr>
            <w:tcW w:w="1311" w:type="dxa"/>
            <w:vAlign w:val="center"/>
          </w:tcPr>
          <w:p>
            <w:pPr>
              <w:jc w:val="center"/>
              <w:rPr>
                <w:rFonts w:hint="eastAsia"/>
                <w:vertAlign w:val="baseline"/>
                <w:lang w:val="en-US" w:eastAsia="zh-CN"/>
              </w:rPr>
            </w:pPr>
            <w:r>
              <w:rPr>
                <w:rFonts w:hint="eastAsia"/>
                <w:vertAlign w:val="baseline"/>
                <w:lang w:val="en-US" w:eastAsia="zh-CN"/>
              </w:rPr>
              <w:t>0.006</w:t>
            </w:r>
          </w:p>
        </w:tc>
        <w:tc>
          <w:tcPr>
            <w:tcW w:w="1311" w:type="dxa"/>
            <w:gridSpan w:val="2"/>
            <w:vAlign w:val="center"/>
          </w:tcPr>
          <w:p>
            <w:pPr>
              <w:jc w:val="center"/>
              <w:rPr>
                <w:rFonts w:hint="eastAsia" w:eastAsia="宋体"/>
                <w:vertAlign w:val="baseline"/>
                <w:lang w:val="en-US" w:eastAsia="zh-CN"/>
              </w:rPr>
            </w:pPr>
            <w:r>
              <w:rPr>
                <w:rFonts w:hint="eastAsia"/>
                <w:vertAlign w:val="baseline"/>
                <w:lang w:val="en-US" w:eastAsia="zh-CN"/>
              </w:rPr>
              <w:t>5</w:t>
            </w:r>
          </w:p>
        </w:tc>
      </w:tr>
    </w:tbl>
    <w:p>
      <w:pPr>
        <w:jc w:val="center"/>
        <w:rPr>
          <w:rFonts w:hint="default" w:ascii="Times New Roman" w:hAnsi="Times New Roman" w:eastAsia="宋体" w:cs="Times New Roman"/>
          <w:b/>
          <w:bCs/>
          <w:sz w:val="24"/>
          <w:szCs w:val="22"/>
          <w:lang w:eastAsia="zh-CN"/>
        </w:rPr>
      </w:pPr>
    </w:p>
    <w:p>
      <w:pPr>
        <w:jc w:val="center"/>
      </w:pPr>
      <w:r>
        <w:rPr>
          <w:rFonts w:hint="default" w:ascii="Times New Roman" w:hAnsi="Times New Roman" w:eastAsia="宋体" w:cs="Times New Roman"/>
          <w:b/>
          <w:bCs/>
          <w:sz w:val="24"/>
          <w:szCs w:val="22"/>
          <w:lang w:eastAsia="zh-CN"/>
        </w:rPr>
        <w:t>表</w:t>
      </w:r>
      <w:r>
        <w:rPr>
          <w:rFonts w:hint="eastAsia" w:cs="Times New Roman"/>
          <w:b/>
          <w:bCs/>
          <w:sz w:val="24"/>
          <w:szCs w:val="22"/>
          <w:lang w:val="en-US" w:eastAsia="zh-CN"/>
        </w:rPr>
        <w:t>28</w:t>
      </w:r>
      <w:r>
        <w:rPr>
          <w:rFonts w:hint="default" w:ascii="Times New Roman" w:hAnsi="Times New Roman" w:eastAsia="宋体" w:cs="Times New Roman"/>
          <w:b/>
          <w:bCs/>
          <w:sz w:val="24"/>
          <w:szCs w:val="22"/>
          <w:lang w:val="en-US" w:eastAsia="zh-CN"/>
        </w:rPr>
        <w:t xml:space="preserve">  </w:t>
      </w:r>
      <w:r>
        <w:rPr>
          <w:rFonts w:hint="eastAsia" w:cs="Times New Roman"/>
          <w:b/>
          <w:bCs/>
          <w:sz w:val="24"/>
          <w:szCs w:val="22"/>
          <w:lang w:val="en-US" w:eastAsia="zh-CN"/>
        </w:rPr>
        <w:t>废水</w:t>
      </w:r>
      <w:r>
        <w:rPr>
          <w:rFonts w:hint="default" w:ascii="Times New Roman" w:hAnsi="Times New Roman" w:eastAsia="宋体" w:cs="Times New Roman"/>
          <w:b/>
          <w:bCs/>
          <w:sz w:val="24"/>
          <w:szCs w:val="22"/>
          <w:lang w:eastAsia="zh-CN"/>
        </w:rPr>
        <w:t>污染源排放清单</w:t>
      </w:r>
    </w:p>
    <w:tbl>
      <w:tblPr>
        <w:tblStyle w:val="35"/>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852"/>
        <w:gridCol w:w="1938"/>
        <w:gridCol w:w="1310"/>
        <w:gridCol w:w="1310"/>
        <w:gridCol w:w="1"/>
        <w:gridCol w:w="1309"/>
        <w:gridCol w:w="1311"/>
        <w:gridCol w:w="1"/>
        <w:gridCol w:w="1310"/>
        <w:gridCol w:w="1311"/>
        <w:gridCol w:w="1311"/>
        <w:gridCol w:w="1"/>
        <w:gridCol w:w="131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Merge w:val="restart"/>
            <w:vAlign w:val="center"/>
          </w:tcPr>
          <w:p>
            <w:pPr>
              <w:jc w:val="center"/>
              <w:rPr>
                <w:rFonts w:hint="eastAsia" w:eastAsia="宋体"/>
                <w:vertAlign w:val="baseline"/>
                <w:lang w:val="en-US" w:eastAsia="zh-CN"/>
              </w:rPr>
            </w:pPr>
            <w:r>
              <w:rPr>
                <w:rFonts w:hint="eastAsia"/>
                <w:vertAlign w:val="baseline"/>
                <w:lang w:val="en-US" w:eastAsia="zh-CN"/>
              </w:rPr>
              <w:t>工序/生产线</w:t>
            </w:r>
          </w:p>
        </w:tc>
        <w:tc>
          <w:tcPr>
            <w:tcW w:w="852" w:type="dxa"/>
            <w:vMerge w:val="restart"/>
            <w:vAlign w:val="center"/>
          </w:tcPr>
          <w:p>
            <w:pPr>
              <w:jc w:val="center"/>
              <w:rPr>
                <w:rFonts w:hint="eastAsia" w:eastAsia="宋体"/>
                <w:vertAlign w:val="baseline"/>
                <w:lang w:eastAsia="zh-CN"/>
              </w:rPr>
            </w:pPr>
            <w:r>
              <w:rPr>
                <w:rFonts w:hint="eastAsia"/>
                <w:vertAlign w:val="baseline"/>
                <w:lang w:eastAsia="zh-CN"/>
              </w:rPr>
              <w:t>污染物</w:t>
            </w:r>
          </w:p>
        </w:tc>
        <w:tc>
          <w:tcPr>
            <w:tcW w:w="4559" w:type="dxa"/>
            <w:gridSpan w:val="4"/>
            <w:vAlign w:val="center"/>
          </w:tcPr>
          <w:p>
            <w:pPr>
              <w:jc w:val="center"/>
              <w:rPr>
                <w:rFonts w:hint="eastAsia" w:eastAsia="宋体"/>
                <w:vertAlign w:val="baseline"/>
                <w:lang w:eastAsia="zh-CN"/>
              </w:rPr>
            </w:pPr>
            <w:r>
              <w:rPr>
                <w:rFonts w:hint="eastAsia"/>
                <w:vertAlign w:val="baseline"/>
                <w:lang w:eastAsia="zh-CN"/>
              </w:rPr>
              <w:t>污染物产生</w:t>
            </w:r>
          </w:p>
        </w:tc>
        <w:tc>
          <w:tcPr>
            <w:tcW w:w="2621" w:type="dxa"/>
            <w:gridSpan w:val="3"/>
            <w:vAlign w:val="center"/>
          </w:tcPr>
          <w:p>
            <w:pPr>
              <w:jc w:val="center"/>
              <w:rPr>
                <w:rFonts w:hint="eastAsia" w:eastAsia="宋体"/>
                <w:vertAlign w:val="baseline"/>
                <w:lang w:eastAsia="zh-CN"/>
              </w:rPr>
            </w:pPr>
            <w:r>
              <w:rPr>
                <w:rFonts w:hint="eastAsia"/>
                <w:vertAlign w:val="baseline"/>
                <w:lang w:eastAsia="zh-CN"/>
              </w:rPr>
              <w:t>治理措施</w:t>
            </w:r>
          </w:p>
        </w:tc>
        <w:tc>
          <w:tcPr>
            <w:tcW w:w="3933" w:type="dxa"/>
            <w:gridSpan w:val="4"/>
            <w:vAlign w:val="center"/>
          </w:tcPr>
          <w:p>
            <w:pPr>
              <w:jc w:val="center"/>
              <w:rPr>
                <w:rFonts w:hint="eastAsia"/>
                <w:vertAlign w:val="baseline"/>
                <w:lang w:eastAsia="zh-CN"/>
              </w:rPr>
            </w:pPr>
            <w:r>
              <w:rPr>
                <w:rFonts w:hint="eastAsia"/>
                <w:vertAlign w:val="baseline"/>
                <w:lang w:eastAsia="zh-CN"/>
              </w:rPr>
              <w:t>污染物排放</w:t>
            </w:r>
          </w:p>
        </w:tc>
        <w:tc>
          <w:tcPr>
            <w:tcW w:w="1311" w:type="dxa"/>
            <w:gridSpan w:val="2"/>
            <w:vAlign w:val="center"/>
          </w:tcPr>
          <w:p>
            <w:pPr>
              <w:jc w:val="center"/>
              <w:rPr>
                <w:rFonts w:hint="eastAsia"/>
                <w:vertAlign w:val="baseline"/>
                <w:lang w:eastAsia="zh-CN"/>
              </w:rPr>
            </w:pPr>
            <w:r>
              <w:rPr>
                <w:rFonts w:hint="eastAsia"/>
                <w:vertAlign w:val="baseline"/>
                <w:lang w:eastAsia="zh-CN"/>
              </w:rPr>
              <w:t>排放时间（</w:t>
            </w:r>
            <w:r>
              <w:rPr>
                <w:rFonts w:hint="eastAsia"/>
                <w:vertAlign w:val="baseline"/>
                <w:lang w:val="en-US" w:eastAsia="zh-CN"/>
              </w:rPr>
              <w:t>h/d</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140" w:type="dxa"/>
            <w:vMerge w:val="continue"/>
            <w:vAlign w:val="center"/>
          </w:tcPr>
          <w:p>
            <w:pPr>
              <w:jc w:val="center"/>
              <w:rPr>
                <w:vertAlign w:val="baseline"/>
              </w:rPr>
            </w:pPr>
          </w:p>
        </w:tc>
        <w:tc>
          <w:tcPr>
            <w:tcW w:w="852" w:type="dxa"/>
            <w:vMerge w:val="continue"/>
            <w:vAlign w:val="center"/>
          </w:tcPr>
          <w:p>
            <w:pPr>
              <w:jc w:val="center"/>
              <w:rPr>
                <w:vertAlign w:val="baseline"/>
              </w:rPr>
            </w:pPr>
          </w:p>
        </w:tc>
        <w:tc>
          <w:tcPr>
            <w:tcW w:w="1938" w:type="dxa"/>
            <w:vAlign w:val="center"/>
          </w:tcPr>
          <w:p>
            <w:pPr>
              <w:jc w:val="center"/>
              <w:rPr>
                <w:rFonts w:hint="eastAsia" w:eastAsia="宋体"/>
                <w:vertAlign w:val="baseline"/>
                <w:lang w:eastAsia="zh-CN"/>
              </w:rPr>
            </w:pPr>
            <w:r>
              <w:rPr>
                <w:rFonts w:hint="eastAsia"/>
                <w:vertAlign w:val="baseline"/>
                <w:lang w:eastAsia="zh-CN"/>
              </w:rPr>
              <w:t>产生废水量（</w:t>
            </w:r>
            <w:r>
              <w:rPr>
                <w:rFonts w:hint="eastAsia"/>
                <w:vertAlign w:val="baseline"/>
                <w:lang w:val="en-US" w:eastAsia="zh-CN"/>
              </w:rPr>
              <w:t>m</w:t>
            </w:r>
            <w:r>
              <w:rPr>
                <w:rFonts w:hint="eastAsia"/>
                <w:vertAlign w:val="superscript"/>
                <w:lang w:val="en-US" w:eastAsia="zh-CN"/>
              </w:rPr>
              <w:t>3</w:t>
            </w:r>
            <w:r>
              <w:rPr>
                <w:rFonts w:hint="eastAsia"/>
                <w:vertAlign w:val="baseline"/>
                <w:lang w:val="en-US" w:eastAsia="zh-CN"/>
              </w:rPr>
              <w:t>/a</w:t>
            </w:r>
            <w:r>
              <w:rPr>
                <w:rFonts w:hint="eastAsia"/>
                <w:vertAlign w:val="baseline"/>
                <w:lang w:eastAsia="zh-CN"/>
              </w:rPr>
              <w:t>）</w:t>
            </w:r>
          </w:p>
        </w:tc>
        <w:tc>
          <w:tcPr>
            <w:tcW w:w="1310" w:type="dxa"/>
            <w:vAlign w:val="center"/>
          </w:tcPr>
          <w:p>
            <w:pPr>
              <w:jc w:val="center"/>
              <w:rPr>
                <w:rFonts w:hint="eastAsia" w:eastAsia="宋体"/>
                <w:vertAlign w:val="baseline"/>
                <w:lang w:eastAsia="zh-CN"/>
              </w:rPr>
            </w:pPr>
            <w:r>
              <w:rPr>
                <w:rFonts w:hint="eastAsia"/>
                <w:vertAlign w:val="baseline"/>
                <w:lang w:eastAsia="zh-CN"/>
              </w:rPr>
              <w:t>产生浓度（</w:t>
            </w:r>
            <w:r>
              <w:rPr>
                <w:rFonts w:hint="eastAsia"/>
                <w:vertAlign w:val="baseline"/>
                <w:lang w:val="en-US" w:eastAsia="zh-CN"/>
              </w:rPr>
              <w:t>mg/m</w:t>
            </w:r>
            <w:r>
              <w:rPr>
                <w:rFonts w:hint="eastAsia"/>
                <w:vertAlign w:val="superscript"/>
                <w:lang w:val="en-US" w:eastAsia="zh-CN"/>
              </w:rPr>
              <w:t>3</w:t>
            </w:r>
            <w:r>
              <w:rPr>
                <w:rFonts w:hint="eastAsia"/>
                <w:vertAlign w:val="baseline"/>
                <w:lang w:eastAsia="zh-CN"/>
              </w:rPr>
              <w:t>）</w:t>
            </w:r>
          </w:p>
        </w:tc>
        <w:tc>
          <w:tcPr>
            <w:tcW w:w="1310" w:type="dxa"/>
            <w:vAlign w:val="center"/>
          </w:tcPr>
          <w:p>
            <w:pPr>
              <w:jc w:val="center"/>
              <w:rPr>
                <w:rFonts w:hint="eastAsia" w:eastAsia="宋体"/>
                <w:vertAlign w:val="baseline"/>
                <w:lang w:eastAsia="zh-CN"/>
              </w:rPr>
            </w:pPr>
            <w:r>
              <w:rPr>
                <w:rFonts w:hint="eastAsia"/>
                <w:vertAlign w:val="baseline"/>
                <w:lang w:eastAsia="zh-CN"/>
              </w:rPr>
              <w:t>产生量（</w:t>
            </w:r>
            <w:r>
              <w:rPr>
                <w:rFonts w:hint="eastAsia"/>
                <w:vertAlign w:val="baseline"/>
                <w:lang w:val="en-US" w:eastAsia="zh-CN"/>
              </w:rPr>
              <w:t>t/a</w:t>
            </w:r>
            <w:r>
              <w:rPr>
                <w:rFonts w:hint="eastAsia"/>
                <w:vertAlign w:val="baseline"/>
                <w:lang w:eastAsia="zh-CN"/>
              </w:rPr>
              <w:t>）</w:t>
            </w:r>
          </w:p>
        </w:tc>
        <w:tc>
          <w:tcPr>
            <w:tcW w:w="1310" w:type="dxa"/>
            <w:gridSpan w:val="2"/>
            <w:vAlign w:val="center"/>
          </w:tcPr>
          <w:p>
            <w:pPr>
              <w:jc w:val="center"/>
              <w:rPr>
                <w:rFonts w:hint="eastAsia" w:eastAsia="宋体"/>
                <w:vertAlign w:val="baseline"/>
                <w:lang w:eastAsia="zh-CN"/>
              </w:rPr>
            </w:pPr>
            <w:r>
              <w:rPr>
                <w:rFonts w:hint="eastAsia"/>
                <w:vertAlign w:val="baseline"/>
                <w:lang w:eastAsia="zh-CN"/>
              </w:rPr>
              <w:t>工艺</w:t>
            </w:r>
          </w:p>
        </w:tc>
        <w:tc>
          <w:tcPr>
            <w:tcW w:w="1311" w:type="dxa"/>
            <w:vAlign w:val="center"/>
          </w:tcPr>
          <w:p>
            <w:pPr>
              <w:jc w:val="center"/>
              <w:rPr>
                <w:rFonts w:hint="eastAsia" w:eastAsia="宋体"/>
                <w:vertAlign w:val="baseline"/>
                <w:lang w:eastAsia="zh-CN"/>
              </w:rPr>
            </w:pPr>
            <w:r>
              <w:rPr>
                <w:rFonts w:hint="eastAsia"/>
                <w:vertAlign w:val="baseline"/>
                <w:lang w:eastAsia="zh-CN"/>
              </w:rPr>
              <w:t>效率</w:t>
            </w:r>
          </w:p>
        </w:tc>
        <w:tc>
          <w:tcPr>
            <w:tcW w:w="1311" w:type="dxa"/>
            <w:gridSpan w:val="2"/>
            <w:vAlign w:val="center"/>
          </w:tcPr>
          <w:p>
            <w:pPr>
              <w:jc w:val="center"/>
              <w:rPr>
                <w:rFonts w:hint="eastAsia" w:eastAsia="宋体"/>
                <w:vertAlign w:val="baseline"/>
                <w:lang w:eastAsia="zh-CN"/>
              </w:rPr>
            </w:pPr>
            <w:r>
              <w:rPr>
                <w:rFonts w:hint="eastAsia"/>
                <w:vertAlign w:val="baseline"/>
                <w:lang w:eastAsia="zh-CN"/>
              </w:rPr>
              <w:t>排放废水量（</w:t>
            </w:r>
            <w:r>
              <w:rPr>
                <w:rFonts w:hint="eastAsia"/>
                <w:vertAlign w:val="baseline"/>
                <w:lang w:val="en-US" w:eastAsia="zh-CN"/>
              </w:rPr>
              <w:t>m</w:t>
            </w:r>
            <w:r>
              <w:rPr>
                <w:rFonts w:hint="eastAsia"/>
                <w:vertAlign w:val="superscript"/>
                <w:lang w:val="en-US" w:eastAsia="zh-CN"/>
              </w:rPr>
              <w:t>3</w:t>
            </w:r>
            <w:r>
              <w:rPr>
                <w:rFonts w:hint="eastAsia"/>
                <w:vertAlign w:val="baseline"/>
                <w:lang w:val="en-US" w:eastAsia="zh-CN"/>
              </w:rPr>
              <w:t>/a</w:t>
            </w:r>
            <w:r>
              <w:rPr>
                <w:rFonts w:hint="eastAsia"/>
                <w:vertAlign w:val="baseline"/>
                <w:lang w:eastAsia="zh-CN"/>
              </w:rPr>
              <w:t>）</w:t>
            </w:r>
          </w:p>
        </w:tc>
        <w:tc>
          <w:tcPr>
            <w:tcW w:w="1311" w:type="dxa"/>
            <w:vAlign w:val="center"/>
          </w:tcPr>
          <w:p>
            <w:pPr>
              <w:jc w:val="center"/>
              <w:rPr>
                <w:rFonts w:hint="eastAsia" w:eastAsia="宋体"/>
                <w:vertAlign w:val="baseline"/>
                <w:lang w:eastAsia="zh-CN"/>
              </w:rPr>
            </w:pPr>
            <w:r>
              <w:rPr>
                <w:rFonts w:hint="eastAsia"/>
                <w:vertAlign w:val="baseline"/>
                <w:lang w:eastAsia="zh-CN"/>
              </w:rPr>
              <w:t>排放浓度（</w:t>
            </w:r>
            <w:r>
              <w:rPr>
                <w:rFonts w:hint="eastAsia"/>
                <w:vertAlign w:val="baseline"/>
                <w:lang w:val="en-US" w:eastAsia="zh-CN"/>
              </w:rPr>
              <w:t>mg/m</w:t>
            </w:r>
            <w:r>
              <w:rPr>
                <w:rFonts w:hint="eastAsia"/>
                <w:vertAlign w:val="superscript"/>
                <w:lang w:val="en-US" w:eastAsia="zh-CN"/>
              </w:rPr>
              <w:t>3</w:t>
            </w:r>
            <w:r>
              <w:rPr>
                <w:rFonts w:hint="eastAsia"/>
                <w:vertAlign w:val="baseline"/>
                <w:lang w:eastAsia="zh-CN"/>
              </w:rPr>
              <w:t>）</w:t>
            </w:r>
          </w:p>
        </w:tc>
        <w:tc>
          <w:tcPr>
            <w:tcW w:w="1311" w:type="dxa"/>
            <w:vAlign w:val="center"/>
          </w:tcPr>
          <w:p>
            <w:pPr>
              <w:jc w:val="center"/>
              <w:rPr>
                <w:rFonts w:hint="eastAsia" w:eastAsia="宋体"/>
                <w:vertAlign w:val="baseline"/>
                <w:lang w:eastAsia="zh-CN"/>
              </w:rPr>
            </w:pPr>
            <w:r>
              <w:rPr>
                <w:rFonts w:hint="eastAsia"/>
                <w:vertAlign w:val="baseline"/>
                <w:lang w:eastAsia="zh-CN"/>
              </w:rPr>
              <w:t>排放量（</w:t>
            </w:r>
            <w:r>
              <w:rPr>
                <w:rFonts w:hint="eastAsia"/>
                <w:vertAlign w:val="baseline"/>
                <w:lang w:val="en-US" w:eastAsia="zh-CN"/>
              </w:rPr>
              <w:t>t/a</w:t>
            </w:r>
            <w:r>
              <w:rPr>
                <w:rFonts w:hint="eastAsia"/>
                <w:vertAlign w:val="baseline"/>
                <w:lang w:eastAsia="zh-CN"/>
              </w:rPr>
              <w:t>）</w:t>
            </w:r>
          </w:p>
        </w:tc>
        <w:tc>
          <w:tcPr>
            <w:tcW w:w="1311" w:type="dxa"/>
            <w:gridSpan w:val="2"/>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03" w:hRule="atLeast"/>
        </w:trPr>
        <w:tc>
          <w:tcPr>
            <w:tcW w:w="1140" w:type="dxa"/>
            <w:vMerge w:val="restart"/>
            <w:vAlign w:val="center"/>
          </w:tcPr>
          <w:p>
            <w:pPr>
              <w:jc w:val="center"/>
              <w:rPr>
                <w:rFonts w:hint="eastAsia" w:eastAsia="宋体"/>
                <w:vertAlign w:val="baseline"/>
                <w:lang w:eastAsia="zh-CN"/>
              </w:rPr>
            </w:pPr>
            <w:r>
              <w:rPr>
                <w:rFonts w:hint="eastAsia"/>
                <w:vertAlign w:val="baseline"/>
                <w:lang w:eastAsia="zh-CN"/>
              </w:rPr>
              <w:t>生活污水</w:t>
            </w:r>
          </w:p>
        </w:tc>
        <w:tc>
          <w:tcPr>
            <w:tcW w:w="852" w:type="dxa"/>
            <w:vAlign w:val="center"/>
          </w:tcPr>
          <w:p>
            <w:pPr>
              <w:jc w:val="center"/>
              <w:rPr>
                <w:rFonts w:hint="eastAsia" w:eastAsia="宋体"/>
                <w:vertAlign w:val="baseline"/>
                <w:lang w:eastAsia="zh-CN"/>
              </w:rPr>
            </w:pPr>
            <w:r>
              <w:rPr>
                <w:rFonts w:hint="eastAsia" w:eastAsia="宋体"/>
                <w:vertAlign w:val="baseline"/>
                <w:lang w:eastAsia="zh-CN"/>
              </w:rPr>
              <w:t>COD</w:t>
            </w:r>
            <w:r>
              <w:rPr>
                <w:rFonts w:hint="eastAsia" w:eastAsia="宋体"/>
                <w:vertAlign w:val="subscript"/>
                <w:lang w:eastAsia="zh-CN"/>
              </w:rPr>
              <w:t>Cr</w:t>
            </w:r>
          </w:p>
        </w:tc>
        <w:tc>
          <w:tcPr>
            <w:tcW w:w="1938" w:type="dxa"/>
            <w:vMerge w:val="restart"/>
            <w:vAlign w:val="center"/>
          </w:tcPr>
          <w:p>
            <w:pPr>
              <w:jc w:val="center"/>
              <w:rPr>
                <w:rFonts w:hint="eastAsia" w:eastAsia="宋体"/>
                <w:vertAlign w:val="baseline"/>
                <w:lang w:val="en-US" w:eastAsia="zh-CN"/>
              </w:rPr>
            </w:pPr>
            <w:r>
              <w:rPr>
                <w:rFonts w:hint="eastAsia"/>
                <w:vertAlign w:val="baseline"/>
                <w:lang w:val="en-US" w:eastAsia="zh-CN"/>
              </w:rPr>
              <w:t>1680</w:t>
            </w:r>
          </w:p>
        </w:tc>
        <w:tc>
          <w:tcPr>
            <w:tcW w:w="1310" w:type="dxa"/>
            <w:vAlign w:val="center"/>
          </w:tcPr>
          <w:p>
            <w:pPr>
              <w:jc w:val="center"/>
              <w:rPr>
                <w:rFonts w:hint="eastAsia" w:eastAsia="宋体"/>
                <w:vertAlign w:val="baseline"/>
                <w:lang w:val="en-US" w:eastAsia="zh-CN"/>
              </w:rPr>
            </w:pPr>
            <w:r>
              <w:rPr>
                <w:rFonts w:hint="eastAsia"/>
                <w:vertAlign w:val="baseline"/>
                <w:lang w:val="en-US" w:eastAsia="zh-CN"/>
              </w:rPr>
              <w:t>300</w:t>
            </w:r>
          </w:p>
        </w:tc>
        <w:tc>
          <w:tcPr>
            <w:tcW w:w="1310" w:type="dxa"/>
            <w:vAlign w:val="center"/>
          </w:tcPr>
          <w:p>
            <w:pPr>
              <w:jc w:val="center"/>
              <w:rPr>
                <w:rFonts w:hint="eastAsia" w:eastAsia="宋体"/>
                <w:vertAlign w:val="baseline"/>
                <w:lang w:val="en-US" w:eastAsia="zh-CN"/>
              </w:rPr>
            </w:pPr>
            <w:r>
              <w:rPr>
                <w:rFonts w:hint="eastAsia"/>
                <w:vertAlign w:val="baseline"/>
                <w:lang w:val="en-US" w:eastAsia="zh-CN"/>
              </w:rPr>
              <w:t>0.15</w:t>
            </w:r>
          </w:p>
        </w:tc>
        <w:tc>
          <w:tcPr>
            <w:tcW w:w="1310" w:type="dxa"/>
            <w:gridSpan w:val="2"/>
            <w:vMerge w:val="restart"/>
            <w:vAlign w:val="center"/>
          </w:tcPr>
          <w:p>
            <w:pPr>
              <w:jc w:val="center"/>
              <w:rPr>
                <w:vertAlign w:val="baseline"/>
              </w:rPr>
            </w:pPr>
            <w:r>
              <w:rPr>
                <w:rFonts w:hint="eastAsia"/>
                <w:vertAlign w:val="baseline"/>
                <w:lang w:eastAsia="zh-CN"/>
              </w:rPr>
              <w:t>经过隔油池、化粪池处理后，定期清运用于农田</w:t>
            </w:r>
          </w:p>
        </w:tc>
        <w:tc>
          <w:tcPr>
            <w:tcW w:w="1311" w:type="dxa"/>
            <w:vMerge w:val="restart"/>
            <w:vAlign w:val="center"/>
          </w:tcPr>
          <w:p>
            <w:pPr>
              <w:jc w:val="center"/>
              <w:rPr>
                <w:vertAlign w:val="baseline"/>
              </w:rPr>
            </w:pPr>
            <w:r>
              <w:rPr>
                <w:rFonts w:hint="eastAsia"/>
                <w:vertAlign w:val="baseline"/>
                <w:lang w:val="en-US" w:eastAsia="zh-CN"/>
              </w:rPr>
              <w:t>100%</w:t>
            </w:r>
          </w:p>
        </w:tc>
        <w:tc>
          <w:tcPr>
            <w:tcW w:w="1311" w:type="dxa"/>
            <w:gridSpan w:val="2"/>
            <w:vMerge w:val="restart"/>
            <w:vAlign w:val="center"/>
          </w:tcPr>
          <w:p>
            <w:pPr>
              <w:jc w:val="center"/>
              <w:rPr>
                <w:vertAlign w:val="baseline"/>
              </w:rPr>
            </w:pPr>
            <w:r>
              <w:rPr>
                <w:rFonts w:hint="eastAsia"/>
                <w:vertAlign w:val="baseline"/>
                <w:lang w:val="en-US" w:eastAsia="zh-CN"/>
              </w:rPr>
              <w:t>2520</w:t>
            </w:r>
          </w:p>
        </w:tc>
        <w:tc>
          <w:tcPr>
            <w:tcW w:w="1311" w:type="dxa"/>
            <w:vMerge w:val="restart"/>
            <w:vAlign w:val="center"/>
          </w:tcPr>
          <w:p>
            <w:pPr>
              <w:jc w:val="center"/>
              <w:rPr>
                <w:rFonts w:hint="eastAsia" w:eastAsia="宋体"/>
                <w:vertAlign w:val="baseline"/>
                <w:lang w:val="en-US" w:eastAsia="zh-CN"/>
              </w:rPr>
            </w:pPr>
            <w:r>
              <w:rPr>
                <w:rFonts w:hint="eastAsia"/>
                <w:vertAlign w:val="baseline"/>
                <w:lang w:val="en-US" w:eastAsia="zh-CN"/>
              </w:rPr>
              <w:t>0</w:t>
            </w:r>
          </w:p>
        </w:tc>
        <w:tc>
          <w:tcPr>
            <w:tcW w:w="1311" w:type="dxa"/>
            <w:vMerge w:val="restart"/>
            <w:vAlign w:val="center"/>
          </w:tcPr>
          <w:p>
            <w:pPr>
              <w:jc w:val="center"/>
              <w:rPr>
                <w:vertAlign w:val="baseline"/>
              </w:rPr>
            </w:pPr>
            <w:r>
              <w:rPr>
                <w:rFonts w:hint="eastAsia"/>
                <w:vertAlign w:val="baseline"/>
                <w:lang w:val="en-US" w:eastAsia="zh-CN"/>
              </w:rPr>
              <w:t>0</w:t>
            </w:r>
          </w:p>
        </w:tc>
        <w:tc>
          <w:tcPr>
            <w:tcW w:w="1311" w:type="dxa"/>
            <w:gridSpan w:val="2"/>
            <w:vMerge w:val="restart"/>
            <w:vAlign w:val="center"/>
          </w:tcPr>
          <w:p>
            <w:pPr>
              <w:jc w:val="center"/>
              <w:rPr>
                <w:rFonts w:hint="eastAsia" w:eastAsia="宋体"/>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4" w:hRule="atLeast"/>
        </w:trPr>
        <w:tc>
          <w:tcPr>
            <w:tcW w:w="1140" w:type="dxa"/>
            <w:vMerge w:val="continue"/>
            <w:vAlign w:val="center"/>
          </w:tcPr>
          <w:p>
            <w:pPr>
              <w:jc w:val="center"/>
              <w:rPr>
                <w:vertAlign w:val="baseline"/>
              </w:rPr>
            </w:pPr>
          </w:p>
        </w:tc>
        <w:tc>
          <w:tcPr>
            <w:tcW w:w="852" w:type="dxa"/>
            <w:vAlign w:val="center"/>
          </w:tcPr>
          <w:p>
            <w:pPr>
              <w:jc w:val="center"/>
              <w:rPr>
                <w:rFonts w:hint="eastAsia" w:eastAsia="宋体"/>
                <w:vertAlign w:val="baseline"/>
                <w:lang w:val="en-US" w:eastAsia="zh-CN"/>
              </w:rPr>
            </w:pPr>
            <w:r>
              <w:rPr>
                <w:rFonts w:hint="eastAsia"/>
                <w:vertAlign w:val="baseline"/>
                <w:lang w:val="en-US" w:eastAsia="zh-CN"/>
              </w:rPr>
              <w:t>BOD</w:t>
            </w:r>
            <w:r>
              <w:rPr>
                <w:rFonts w:hint="eastAsia"/>
                <w:vertAlign w:val="subscript"/>
                <w:lang w:val="en-US" w:eastAsia="zh-CN"/>
              </w:rPr>
              <w:t>5</w:t>
            </w:r>
          </w:p>
        </w:tc>
        <w:tc>
          <w:tcPr>
            <w:tcW w:w="1938" w:type="dxa"/>
            <w:vMerge w:val="continue"/>
            <w:vAlign w:val="center"/>
          </w:tcPr>
          <w:p>
            <w:pPr>
              <w:jc w:val="center"/>
              <w:rPr>
                <w:vertAlign w:val="baseline"/>
              </w:rPr>
            </w:pPr>
          </w:p>
        </w:tc>
        <w:tc>
          <w:tcPr>
            <w:tcW w:w="1310" w:type="dxa"/>
            <w:vAlign w:val="center"/>
          </w:tcPr>
          <w:p>
            <w:pPr>
              <w:jc w:val="center"/>
              <w:rPr>
                <w:rFonts w:hint="eastAsia" w:eastAsia="宋体"/>
                <w:vertAlign w:val="baseline"/>
                <w:lang w:val="en-US" w:eastAsia="zh-CN"/>
              </w:rPr>
            </w:pPr>
            <w:r>
              <w:rPr>
                <w:rFonts w:hint="eastAsia"/>
                <w:vertAlign w:val="baseline"/>
                <w:lang w:val="en-US" w:eastAsia="zh-CN"/>
              </w:rPr>
              <w:t>200</w:t>
            </w:r>
          </w:p>
        </w:tc>
        <w:tc>
          <w:tcPr>
            <w:tcW w:w="1310" w:type="dxa"/>
            <w:vAlign w:val="center"/>
          </w:tcPr>
          <w:p>
            <w:pPr>
              <w:jc w:val="center"/>
              <w:rPr>
                <w:rFonts w:hint="eastAsia" w:eastAsia="宋体"/>
                <w:vertAlign w:val="baseline"/>
                <w:lang w:val="en-US" w:eastAsia="zh-CN"/>
              </w:rPr>
            </w:pPr>
            <w:r>
              <w:rPr>
                <w:rFonts w:hint="eastAsia"/>
                <w:vertAlign w:val="baseline"/>
                <w:lang w:val="en-US" w:eastAsia="zh-CN"/>
              </w:rPr>
              <w:t>0.10</w:t>
            </w:r>
          </w:p>
        </w:tc>
        <w:tc>
          <w:tcPr>
            <w:tcW w:w="1310" w:type="dxa"/>
            <w:gridSpan w:val="2"/>
            <w:vMerge w:val="continue"/>
            <w:vAlign w:val="center"/>
          </w:tcPr>
          <w:p>
            <w:pPr>
              <w:jc w:val="center"/>
              <w:rPr>
                <w:rFonts w:hint="eastAsia" w:eastAsia="宋体"/>
                <w:vertAlign w:val="baseline"/>
                <w:lang w:val="en-US" w:eastAsia="zh-CN"/>
              </w:rPr>
            </w:pPr>
          </w:p>
        </w:tc>
        <w:tc>
          <w:tcPr>
            <w:tcW w:w="1311" w:type="dxa"/>
            <w:vMerge w:val="continue"/>
            <w:vAlign w:val="center"/>
          </w:tcPr>
          <w:p>
            <w:pPr>
              <w:jc w:val="center"/>
              <w:rPr>
                <w:rFonts w:hint="eastAsia" w:eastAsia="宋体"/>
                <w:vertAlign w:val="baseline"/>
                <w:lang w:val="en-US" w:eastAsia="zh-CN"/>
              </w:rPr>
            </w:pPr>
          </w:p>
        </w:tc>
        <w:tc>
          <w:tcPr>
            <w:tcW w:w="1311" w:type="dxa"/>
            <w:gridSpan w:val="2"/>
            <w:vMerge w:val="continue"/>
            <w:vAlign w:val="center"/>
          </w:tcPr>
          <w:p>
            <w:pPr>
              <w:jc w:val="center"/>
              <w:rPr>
                <w:vertAlign w:val="baseline"/>
              </w:rPr>
            </w:pPr>
          </w:p>
        </w:tc>
        <w:tc>
          <w:tcPr>
            <w:tcW w:w="1311" w:type="dxa"/>
            <w:vMerge w:val="continue"/>
            <w:vAlign w:val="center"/>
          </w:tcPr>
          <w:p>
            <w:pPr>
              <w:jc w:val="center"/>
              <w:rPr>
                <w:vertAlign w:val="baseline"/>
              </w:rPr>
            </w:pPr>
          </w:p>
        </w:tc>
        <w:tc>
          <w:tcPr>
            <w:tcW w:w="1311" w:type="dxa"/>
            <w:vMerge w:val="continue"/>
            <w:vAlign w:val="center"/>
          </w:tcPr>
          <w:p>
            <w:pPr>
              <w:jc w:val="center"/>
              <w:rPr>
                <w:vertAlign w:val="baseline"/>
              </w:rPr>
            </w:pPr>
          </w:p>
        </w:tc>
        <w:tc>
          <w:tcPr>
            <w:tcW w:w="1311"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10" w:hRule="atLeast"/>
        </w:trPr>
        <w:tc>
          <w:tcPr>
            <w:tcW w:w="1140" w:type="dxa"/>
            <w:vMerge w:val="continue"/>
            <w:vAlign w:val="center"/>
          </w:tcPr>
          <w:p>
            <w:pPr>
              <w:jc w:val="center"/>
              <w:rPr>
                <w:vertAlign w:val="baseline"/>
              </w:rPr>
            </w:pPr>
          </w:p>
        </w:tc>
        <w:tc>
          <w:tcPr>
            <w:tcW w:w="852" w:type="dxa"/>
            <w:vAlign w:val="center"/>
          </w:tcPr>
          <w:p>
            <w:pPr>
              <w:jc w:val="center"/>
              <w:rPr>
                <w:rFonts w:hint="eastAsia" w:eastAsia="宋体"/>
                <w:vertAlign w:val="baseline"/>
                <w:lang w:val="en-US" w:eastAsia="zh-CN"/>
              </w:rPr>
            </w:pPr>
            <w:r>
              <w:rPr>
                <w:rFonts w:hint="eastAsia"/>
                <w:vertAlign w:val="baseline"/>
                <w:lang w:val="en-US" w:eastAsia="zh-CN"/>
              </w:rPr>
              <w:t>SS</w:t>
            </w:r>
          </w:p>
        </w:tc>
        <w:tc>
          <w:tcPr>
            <w:tcW w:w="1938" w:type="dxa"/>
            <w:vMerge w:val="continue"/>
            <w:vAlign w:val="center"/>
          </w:tcPr>
          <w:p>
            <w:pPr>
              <w:jc w:val="center"/>
              <w:rPr>
                <w:vertAlign w:val="baseline"/>
              </w:rPr>
            </w:pPr>
          </w:p>
        </w:tc>
        <w:tc>
          <w:tcPr>
            <w:tcW w:w="1310" w:type="dxa"/>
            <w:vAlign w:val="center"/>
          </w:tcPr>
          <w:p>
            <w:pPr>
              <w:jc w:val="center"/>
              <w:rPr>
                <w:rFonts w:hint="eastAsia" w:eastAsia="宋体"/>
                <w:vertAlign w:val="baseline"/>
                <w:lang w:val="en-US" w:eastAsia="zh-CN"/>
              </w:rPr>
            </w:pPr>
            <w:r>
              <w:rPr>
                <w:rFonts w:hint="eastAsia"/>
                <w:vertAlign w:val="baseline"/>
                <w:lang w:val="en-US" w:eastAsia="zh-CN"/>
              </w:rPr>
              <w:t>200</w:t>
            </w:r>
          </w:p>
        </w:tc>
        <w:tc>
          <w:tcPr>
            <w:tcW w:w="1310" w:type="dxa"/>
            <w:vAlign w:val="center"/>
          </w:tcPr>
          <w:p>
            <w:pPr>
              <w:jc w:val="center"/>
              <w:rPr>
                <w:rFonts w:hint="eastAsia" w:eastAsia="宋体"/>
                <w:vertAlign w:val="baseline"/>
                <w:lang w:val="en-US" w:eastAsia="zh-CN"/>
              </w:rPr>
            </w:pPr>
            <w:r>
              <w:rPr>
                <w:rFonts w:hint="eastAsia"/>
                <w:vertAlign w:val="baseline"/>
                <w:lang w:val="en-US" w:eastAsia="zh-CN"/>
              </w:rPr>
              <w:t>0.10</w:t>
            </w:r>
          </w:p>
        </w:tc>
        <w:tc>
          <w:tcPr>
            <w:tcW w:w="1310" w:type="dxa"/>
            <w:gridSpan w:val="2"/>
            <w:vMerge w:val="continue"/>
            <w:vAlign w:val="center"/>
          </w:tcPr>
          <w:p>
            <w:pPr>
              <w:jc w:val="center"/>
              <w:rPr>
                <w:vertAlign w:val="baseline"/>
              </w:rPr>
            </w:pPr>
          </w:p>
        </w:tc>
        <w:tc>
          <w:tcPr>
            <w:tcW w:w="1311" w:type="dxa"/>
            <w:vMerge w:val="continue"/>
            <w:vAlign w:val="center"/>
          </w:tcPr>
          <w:p>
            <w:pPr>
              <w:jc w:val="center"/>
              <w:rPr>
                <w:vertAlign w:val="baseline"/>
              </w:rPr>
            </w:pPr>
          </w:p>
        </w:tc>
        <w:tc>
          <w:tcPr>
            <w:tcW w:w="1311" w:type="dxa"/>
            <w:gridSpan w:val="2"/>
            <w:vMerge w:val="continue"/>
            <w:vAlign w:val="center"/>
          </w:tcPr>
          <w:p>
            <w:pPr>
              <w:jc w:val="center"/>
              <w:rPr>
                <w:vertAlign w:val="baseline"/>
              </w:rPr>
            </w:pPr>
          </w:p>
        </w:tc>
        <w:tc>
          <w:tcPr>
            <w:tcW w:w="1311" w:type="dxa"/>
            <w:vMerge w:val="continue"/>
            <w:vAlign w:val="center"/>
          </w:tcPr>
          <w:p>
            <w:pPr>
              <w:jc w:val="center"/>
              <w:rPr>
                <w:vertAlign w:val="baseline"/>
              </w:rPr>
            </w:pPr>
          </w:p>
        </w:tc>
        <w:tc>
          <w:tcPr>
            <w:tcW w:w="1311" w:type="dxa"/>
            <w:vMerge w:val="continue"/>
            <w:vAlign w:val="center"/>
          </w:tcPr>
          <w:p>
            <w:pPr>
              <w:jc w:val="center"/>
              <w:rPr>
                <w:vertAlign w:val="baseline"/>
              </w:rPr>
            </w:pPr>
          </w:p>
        </w:tc>
        <w:tc>
          <w:tcPr>
            <w:tcW w:w="1311"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72" w:hRule="atLeast"/>
        </w:trPr>
        <w:tc>
          <w:tcPr>
            <w:tcW w:w="1140" w:type="dxa"/>
            <w:vMerge w:val="continue"/>
            <w:vAlign w:val="center"/>
          </w:tcPr>
          <w:p>
            <w:pPr>
              <w:jc w:val="center"/>
              <w:rPr>
                <w:vertAlign w:val="baseline"/>
              </w:rPr>
            </w:pPr>
          </w:p>
        </w:tc>
        <w:tc>
          <w:tcPr>
            <w:tcW w:w="852" w:type="dxa"/>
            <w:vAlign w:val="center"/>
          </w:tcPr>
          <w:p>
            <w:pPr>
              <w:jc w:val="center"/>
              <w:rPr>
                <w:rFonts w:hint="eastAsia"/>
                <w:vertAlign w:val="baseline"/>
                <w:lang w:val="en-US" w:eastAsia="zh-CN"/>
              </w:rPr>
            </w:pPr>
            <w:r>
              <w:rPr>
                <w:rFonts w:hint="eastAsia"/>
                <w:vertAlign w:val="baseline"/>
                <w:lang w:val="en-US" w:eastAsia="zh-CN"/>
              </w:rPr>
              <w:t>氨氮</w:t>
            </w:r>
          </w:p>
        </w:tc>
        <w:tc>
          <w:tcPr>
            <w:tcW w:w="1938" w:type="dxa"/>
            <w:vMerge w:val="continue"/>
            <w:vAlign w:val="center"/>
          </w:tcPr>
          <w:p>
            <w:pPr>
              <w:jc w:val="center"/>
              <w:rPr>
                <w:rFonts w:hint="eastAsia"/>
                <w:vertAlign w:val="baseline"/>
                <w:lang w:val="en-US" w:eastAsia="zh-CN"/>
              </w:rPr>
            </w:pPr>
          </w:p>
        </w:tc>
        <w:tc>
          <w:tcPr>
            <w:tcW w:w="1310" w:type="dxa"/>
            <w:vAlign w:val="center"/>
          </w:tcPr>
          <w:p>
            <w:pPr>
              <w:jc w:val="center"/>
              <w:rPr>
                <w:rFonts w:hint="eastAsia"/>
                <w:vertAlign w:val="baseline"/>
                <w:lang w:val="en-US" w:eastAsia="zh-CN"/>
              </w:rPr>
            </w:pPr>
            <w:r>
              <w:rPr>
                <w:rFonts w:hint="eastAsia"/>
                <w:vertAlign w:val="baseline"/>
                <w:lang w:val="en-US" w:eastAsia="zh-CN"/>
              </w:rPr>
              <w:t>25</w:t>
            </w:r>
          </w:p>
        </w:tc>
        <w:tc>
          <w:tcPr>
            <w:tcW w:w="1310" w:type="dxa"/>
            <w:vAlign w:val="center"/>
          </w:tcPr>
          <w:p>
            <w:pPr>
              <w:jc w:val="center"/>
              <w:rPr>
                <w:rFonts w:hint="eastAsia"/>
                <w:vertAlign w:val="baseline"/>
                <w:lang w:val="en-US" w:eastAsia="zh-CN"/>
              </w:rPr>
            </w:pPr>
            <w:r>
              <w:rPr>
                <w:rFonts w:hint="eastAsia"/>
                <w:vertAlign w:val="baseline"/>
                <w:lang w:val="en-US" w:eastAsia="zh-CN"/>
              </w:rPr>
              <w:t>0.01</w:t>
            </w:r>
          </w:p>
        </w:tc>
        <w:tc>
          <w:tcPr>
            <w:tcW w:w="1310" w:type="dxa"/>
            <w:gridSpan w:val="2"/>
            <w:vMerge w:val="continue"/>
            <w:vAlign w:val="center"/>
          </w:tcPr>
          <w:p>
            <w:pPr>
              <w:jc w:val="center"/>
              <w:rPr>
                <w:rFonts w:hint="eastAsia"/>
                <w:vertAlign w:val="baseline"/>
                <w:lang w:eastAsia="zh-CN"/>
              </w:rPr>
            </w:pPr>
          </w:p>
        </w:tc>
        <w:tc>
          <w:tcPr>
            <w:tcW w:w="1311" w:type="dxa"/>
            <w:vMerge w:val="continue"/>
            <w:vAlign w:val="center"/>
          </w:tcPr>
          <w:p>
            <w:pPr>
              <w:jc w:val="center"/>
              <w:rPr>
                <w:rFonts w:hint="eastAsia"/>
                <w:vertAlign w:val="baseline"/>
                <w:lang w:val="en-US" w:eastAsia="zh-CN"/>
              </w:rPr>
            </w:pPr>
          </w:p>
        </w:tc>
        <w:tc>
          <w:tcPr>
            <w:tcW w:w="1311" w:type="dxa"/>
            <w:gridSpan w:val="2"/>
            <w:vMerge w:val="continue"/>
            <w:vAlign w:val="center"/>
          </w:tcPr>
          <w:p>
            <w:pPr>
              <w:jc w:val="center"/>
              <w:rPr>
                <w:rFonts w:hint="eastAsia"/>
                <w:vertAlign w:val="baseline"/>
                <w:lang w:val="en-US" w:eastAsia="zh-CN"/>
              </w:rPr>
            </w:pPr>
          </w:p>
        </w:tc>
        <w:tc>
          <w:tcPr>
            <w:tcW w:w="1311" w:type="dxa"/>
            <w:vMerge w:val="continue"/>
            <w:vAlign w:val="center"/>
          </w:tcPr>
          <w:p>
            <w:pPr>
              <w:jc w:val="center"/>
              <w:rPr>
                <w:rFonts w:hint="eastAsia"/>
                <w:vertAlign w:val="baseline"/>
                <w:lang w:val="en-US" w:eastAsia="zh-CN"/>
              </w:rPr>
            </w:pPr>
          </w:p>
        </w:tc>
        <w:tc>
          <w:tcPr>
            <w:tcW w:w="1311" w:type="dxa"/>
            <w:vMerge w:val="continue"/>
            <w:vAlign w:val="center"/>
          </w:tcPr>
          <w:p>
            <w:pPr>
              <w:jc w:val="center"/>
              <w:rPr>
                <w:rFonts w:hint="eastAsia"/>
                <w:vertAlign w:val="baseline"/>
                <w:lang w:val="en-US" w:eastAsia="zh-CN"/>
              </w:rPr>
            </w:pPr>
          </w:p>
        </w:tc>
        <w:tc>
          <w:tcPr>
            <w:tcW w:w="1311"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72" w:hRule="atLeast"/>
        </w:trPr>
        <w:tc>
          <w:tcPr>
            <w:tcW w:w="1140" w:type="dxa"/>
            <w:vAlign w:val="center"/>
          </w:tcPr>
          <w:p>
            <w:pPr>
              <w:jc w:val="center"/>
              <w:rPr>
                <w:rFonts w:hint="eastAsia" w:eastAsia="宋体"/>
                <w:vertAlign w:val="baseline"/>
                <w:lang w:eastAsia="zh-CN"/>
              </w:rPr>
            </w:pPr>
            <w:r>
              <w:rPr>
                <w:rFonts w:hint="eastAsia"/>
                <w:vertAlign w:val="baseline"/>
                <w:lang w:eastAsia="zh-CN"/>
              </w:rPr>
              <w:t>生产废水</w:t>
            </w:r>
          </w:p>
        </w:tc>
        <w:tc>
          <w:tcPr>
            <w:tcW w:w="852" w:type="dxa"/>
            <w:vAlign w:val="center"/>
          </w:tcPr>
          <w:p>
            <w:pPr>
              <w:jc w:val="center"/>
              <w:rPr>
                <w:rFonts w:hint="eastAsia"/>
                <w:vertAlign w:val="baseline"/>
                <w:lang w:val="en-US" w:eastAsia="zh-CN"/>
              </w:rPr>
            </w:pPr>
            <w:r>
              <w:rPr>
                <w:rFonts w:hint="eastAsia"/>
                <w:vertAlign w:val="baseline"/>
                <w:lang w:val="en-US" w:eastAsia="zh-CN"/>
              </w:rPr>
              <w:t>SS</w:t>
            </w:r>
          </w:p>
        </w:tc>
        <w:tc>
          <w:tcPr>
            <w:tcW w:w="1938" w:type="dxa"/>
            <w:vAlign w:val="center"/>
          </w:tcPr>
          <w:p>
            <w:pPr>
              <w:jc w:val="center"/>
              <w:rPr>
                <w:rFonts w:hint="eastAsia"/>
                <w:vertAlign w:val="baseline"/>
                <w:lang w:val="en-US" w:eastAsia="zh-CN"/>
              </w:rPr>
            </w:pPr>
            <w:r>
              <w:rPr>
                <w:rFonts w:hint="eastAsia"/>
                <w:vertAlign w:val="baseline"/>
                <w:lang w:val="en-US" w:eastAsia="zh-CN"/>
              </w:rPr>
              <w:t>11509</w:t>
            </w:r>
          </w:p>
        </w:tc>
        <w:tc>
          <w:tcPr>
            <w:tcW w:w="1310" w:type="dxa"/>
            <w:vAlign w:val="center"/>
          </w:tcPr>
          <w:p>
            <w:pPr>
              <w:jc w:val="center"/>
              <w:rPr>
                <w:rFonts w:hint="eastAsia"/>
                <w:vertAlign w:val="baseline"/>
                <w:lang w:val="en-US" w:eastAsia="zh-CN"/>
              </w:rPr>
            </w:pPr>
            <w:r>
              <w:rPr>
                <w:rFonts w:hint="eastAsia"/>
                <w:vertAlign w:val="baseline"/>
                <w:lang w:val="en-US" w:eastAsia="zh-CN"/>
              </w:rPr>
              <w:t>/</w:t>
            </w:r>
          </w:p>
        </w:tc>
        <w:tc>
          <w:tcPr>
            <w:tcW w:w="1310" w:type="dxa"/>
            <w:vAlign w:val="center"/>
          </w:tcPr>
          <w:p>
            <w:pPr>
              <w:jc w:val="center"/>
              <w:rPr>
                <w:rFonts w:hint="eastAsia"/>
                <w:vertAlign w:val="baseline"/>
                <w:lang w:val="en-US" w:eastAsia="zh-CN"/>
              </w:rPr>
            </w:pPr>
            <w:r>
              <w:rPr>
                <w:rFonts w:hint="eastAsia"/>
                <w:vertAlign w:val="baseline"/>
                <w:lang w:val="en-US" w:eastAsia="zh-CN"/>
              </w:rPr>
              <w:t>/</w:t>
            </w:r>
          </w:p>
        </w:tc>
        <w:tc>
          <w:tcPr>
            <w:tcW w:w="1310" w:type="dxa"/>
            <w:gridSpan w:val="2"/>
            <w:vAlign w:val="center"/>
          </w:tcPr>
          <w:p>
            <w:pPr>
              <w:jc w:val="center"/>
              <w:rPr>
                <w:rFonts w:hint="eastAsia"/>
                <w:vertAlign w:val="baseline"/>
                <w:lang w:eastAsia="zh-CN"/>
              </w:rPr>
            </w:pPr>
            <w:r>
              <w:rPr>
                <w:rFonts w:hint="eastAsia"/>
                <w:vertAlign w:val="baseline"/>
                <w:lang w:eastAsia="zh-CN"/>
              </w:rPr>
              <w:t>通过深锥浓缩机与压滤机处理后回用生产</w:t>
            </w:r>
          </w:p>
        </w:tc>
        <w:tc>
          <w:tcPr>
            <w:tcW w:w="1311" w:type="dxa"/>
            <w:vAlign w:val="center"/>
          </w:tcPr>
          <w:p>
            <w:pPr>
              <w:jc w:val="center"/>
              <w:rPr>
                <w:rFonts w:hint="eastAsia"/>
                <w:vertAlign w:val="baseline"/>
                <w:lang w:val="en-US" w:eastAsia="zh-CN"/>
              </w:rPr>
            </w:pPr>
            <w:r>
              <w:rPr>
                <w:rFonts w:hint="eastAsia"/>
                <w:vertAlign w:val="baseline"/>
                <w:lang w:val="en-US" w:eastAsia="zh-CN"/>
              </w:rPr>
              <w:t>100%</w:t>
            </w:r>
          </w:p>
        </w:tc>
        <w:tc>
          <w:tcPr>
            <w:tcW w:w="1311" w:type="dxa"/>
            <w:gridSpan w:val="2"/>
            <w:vAlign w:val="center"/>
          </w:tcPr>
          <w:p>
            <w:pPr>
              <w:jc w:val="center"/>
              <w:rPr>
                <w:rFonts w:hint="eastAsia"/>
                <w:vertAlign w:val="baseline"/>
                <w:lang w:val="en-US" w:eastAsia="zh-CN"/>
              </w:rPr>
            </w:pPr>
            <w:r>
              <w:rPr>
                <w:rFonts w:hint="eastAsia"/>
                <w:vertAlign w:val="baseline"/>
                <w:lang w:val="en-US" w:eastAsia="zh-CN"/>
              </w:rPr>
              <w:t>0</w:t>
            </w:r>
          </w:p>
        </w:tc>
        <w:tc>
          <w:tcPr>
            <w:tcW w:w="1311" w:type="dxa"/>
            <w:vAlign w:val="center"/>
          </w:tcPr>
          <w:p>
            <w:pPr>
              <w:jc w:val="center"/>
              <w:rPr>
                <w:rFonts w:hint="eastAsia"/>
                <w:vertAlign w:val="baseline"/>
                <w:lang w:val="en-US" w:eastAsia="zh-CN"/>
              </w:rPr>
            </w:pPr>
            <w:r>
              <w:rPr>
                <w:rFonts w:hint="eastAsia"/>
                <w:vertAlign w:val="baseline"/>
                <w:lang w:val="en-US" w:eastAsia="zh-CN"/>
              </w:rPr>
              <w:t>0</w:t>
            </w:r>
          </w:p>
        </w:tc>
        <w:tc>
          <w:tcPr>
            <w:tcW w:w="1311" w:type="dxa"/>
            <w:vAlign w:val="center"/>
          </w:tcPr>
          <w:p>
            <w:pPr>
              <w:jc w:val="center"/>
              <w:rPr>
                <w:rFonts w:hint="eastAsia"/>
                <w:vertAlign w:val="baseline"/>
                <w:lang w:val="en-US" w:eastAsia="zh-CN"/>
              </w:rPr>
            </w:pPr>
            <w:r>
              <w:rPr>
                <w:rFonts w:hint="eastAsia"/>
                <w:vertAlign w:val="baseline"/>
                <w:lang w:val="en-US" w:eastAsia="zh-CN"/>
              </w:rPr>
              <w:t>0</w:t>
            </w:r>
          </w:p>
        </w:tc>
        <w:tc>
          <w:tcPr>
            <w:tcW w:w="1311" w:type="dxa"/>
            <w:gridSpan w:val="2"/>
            <w:vAlign w:val="center"/>
          </w:tcPr>
          <w:p>
            <w:pPr>
              <w:jc w:val="center"/>
              <w:rPr>
                <w:rFonts w:hint="eastAsia" w:eastAsia="宋体"/>
                <w:vertAlign w:val="baseline"/>
                <w:lang w:val="en-US" w:eastAsia="zh-CN"/>
              </w:rPr>
            </w:pPr>
            <w:r>
              <w:rPr>
                <w:rFonts w:hint="eastAsia"/>
                <w:vertAlign w:val="baseline"/>
                <w:lang w:val="en-US" w:eastAsia="zh-CN"/>
              </w:rPr>
              <w:t>0</w:t>
            </w:r>
          </w:p>
        </w:tc>
      </w:tr>
    </w:tbl>
    <w:p>
      <w:pPr>
        <w:jc w:val="center"/>
        <w:rPr>
          <w:rFonts w:hint="default" w:ascii="Times New Roman" w:hAnsi="Times New Roman" w:eastAsia="宋体" w:cs="Times New Roman"/>
          <w:b/>
          <w:bCs/>
          <w:sz w:val="24"/>
          <w:szCs w:val="22"/>
          <w:lang w:eastAsia="zh-CN"/>
        </w:rPr>
      </w:pPr>
      <w:bookmarkStart w:id="22" w:name="OLE_LINK1"/>
    </w:p>
    <w:p>
      <w:pPr>
        <w:pStyle w:val="2"/>
        <w:rPr>
          <w:rFonts w:hint="default"/>
          <w:lang w:eastAsia="zh-CN"/>
        </w:rPr>
      </w:pPr>
    </w:p>
    <w:p>
      <w:pPr>
        <w:jc w:val="center"/>
      </w:pPr>
      <w:r>
        <w:rPr>
          <w:rFonts w:hint="default" w:ascii="Times New Roman" w:hAnsi="Times New Roman" w:eastAsia="宋体" w:cs="Times New Roman"/>
          <w:b/>
          <w:bCs/>
          <w:sz w:val="24"/>
          <w:szCs w:val="22"/>
          <w:lang w:eastAsia="zh-CN"/>
        </w:rPr>
        <w:t>表</w:t>
      </w:r>
      <w:r>
        <w:rPr>
          <w:rFonts w:hint="eastAsia" w:cs="Times New Roman"/>
          <w:b/>
          <w:bCs/>
          <w:sz w:val="24"/>
          <w:szCs w:val="22"/>
          <w:lang w:val="en-US" w:eastAsia="zh-CN"/>
        </w:rPr>
        <w:t>29</w:t>
      </w:r>
      <w:r>
        <w:rPr>
          <w:rFonts w:hint="default" w:ascii="Times New Roman" w:hAnsi="Times New Roman" w:eastAsia="宋体" w:cs="Times New Roman"/>
          <w:b/>
          <w:bCs/>
          <w:sz w:val="24"/>
          <w:szCs w:val="22"/>
          <w:lang w:val="en-US" w:eastAsia="zh-CN"/>
        </w:rPr>
        <w:t xml:space="preserve">  </w:t>
      </w:r>
      <w:r>
        <w:rPr>
          <w:rFonts w:hint="eastAsia" w:cs="Times New Roman"/>
          <w:b/>
          <w:bCs/>
          <w:sz w:val="24"/>
          <w:szCs w:val="22"/>
          <w:lang w:val="en-US" w:eastAsia="zh-CN"/>
        </w:rPr>
        <w:t>噪声</w:t>
      </w:r>
      <w:r>
        <w:rPr>
          <w:rFonts w:hint="default" w:ascii="Times New Roman" w:hAnsi="Times New Roman" w:eastAsia="宋体" w:cs="Times New Roman"/>
          <w:b/>
          <w:bCs/>
          <w:sz w:val="24"/>
          <w:szCs w:val="22"/>
          <w:lang w:eastAsia="zh-CN"/>
        </w:rPr>
        <w:t>污染源排放清单</w:t>
      </w:r>
      <w:bookmarkEnd w:id="22"/>
    </w:p>
    <w:tbl>
      <w:tblPr>
        <w:tblStyle w:val="35"/>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852"/>
        <w:gridCol w:w="1938"/>
        <w:gridCol w:w="2620"/>
        <w:gridCol w:w="1"/>
        <w:gridCol w:w="2620"/>
        <w:gridCol w:w="1"/>
        <w:gridCol w:w="2621"/>
        <w:gridCol w:w="1311"/>
        <w:gridCol w:w="1"/>
        <w:gridCol w:w="131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Merge w:val="restart"/>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工序/生产线</w:t>
            </w:r>
          </w:p>
        </w:tc>
        <w:tc>
          <w:tcPr>
            <w:tcW w:w="852" w:type="dxa"/>
            <w:vMerge w:val="restart"/>
            <w:vAlign w:val="center"/>
          </w:tcPr>
          <w:p>
            <w:pPr>
              <w:jc w:val="center"/>
              <w:rPr>
                <w:rFonts w:hint="eastAsia" w:eastAsia="宋体"/>
                <w:highlight w:val="none"/>
                <w:vertAlign w:val="baseline"/>
                <w:lang w:eastAsia="zh-CN"/>
              </w:rPr>
            </w:pPr>
            <w:r>
              <w:rPr>
                <w:rFonts w:hint="eastAsia"/>
                <w:highlight w:val="none"/>
                <w:vertAlign w:val="baseline"/>
                <w:lang w:eastAsia="zh-CN"/>
              </w:rPr>
              <w:t>污染物</w:t>
            </w:r>
          </w:p>
        </w:tc>
        <w:tc>
          <w:tcPr>
            <w:tcW w:w="4559" w:type="dxa"/>
            <w:gridSpan w:val="3"/>
            <w:vAlign w:val="center"/>
          </w:tcPr>
          <w:p>
            <w:pPr>
              <w:jc w:val="center"/>
              <w:rPr>
                <w:rFonts w:hint="eastAsia" w:eastAsia="宋体"/>
                <w:highlight w:val="none"/>
                <w:vertAlign w:val="baseline"/>
                <w:lang w:eastAsia="zh-CN"/>
              </w:rPr>
            </w:pPr>
            <w:r>
              <w:rPr>
                <w:rFonts w:hint="eastAsia"/>
                <w:highlight w:val="none"/>
                <w:vertAlign w:val="baseline"/>
                <w:lang w:eastAsia="zh-CN"/>
              </w:rPr>
              <w:t>污染物产生</w:t>
            </w:r>
          </w:p>
        </w:tc>
        <w:tc>
          <w:tcPr>
            <w:tcW w:w="2621" w:type="dxa"/>
            <w:gridSpan w:val="2"/>
            <w:vAlign w:val="center"/>
          </w:tcPr>
          <w:p>
            <w:pPr>
              <w:jc w:val="center"/>
              <w:rPr>
                <w:rFonts w:hint="eastAsia" w:eastAsia="宋体"/>
                <w:highlight w:val="none"/>
                <w:vertAlign w:val="baseline"/>
                <w:lang w:eastAsia="zh-CN"/>
              </w:rPr>
            </w:pPr>
            <w:r>
              <w:rPr>
                <w:rFonts w:hint="eastAsia"/>
                <w:highlight w:val="none"/>
                <w:vertAlign w:val="baseline"/>
                <w:lang w:eastAsia="zh-CN"/>
              </w:rPr>
              <w:t>治理措施</w:t>
            </w:r>
          </w:p>
        </w:tc>
        <w:tc>
          <w:tcPr>
            <w:tcW w:w="3933" w:type="dxa"/>
            <w:gridSpan w:val="3"/>
            <w:vAlign w:val="center"/>
          </w:tcPr>
          <w:p>
            <w:pPr>
              <w:jc w:val="center"/>
              <w:rPr>
                <w:rFonts w:hint="eastAsia"/>
                <w:highlight w:val="none"/>
                <w:vertAlign w:val="baseline"/>
                <w:lang w:eastAsia="zh-CN"/>
              </w:rPr>
            </w:pPr>
            <w:r>
              <w:rPr>
                <w:rFonts w:hint="eastAsia"/>
                <w:highlight w:val="none"/>
                <w:vertAlign w:val="baseline"/>
                <w:lang w:eastAsia="zh-CN"/>
              </w:rPr>
              <w:t>污染物排放</w:t>
            </w:r>
          </w:p>
        </w:tc>
        <w:tc>
          <w:tcPr>
            <w:tcW w:w="1311" w:type="dxa"/>
            <w:gridSpan w:val="2"/>
            <w:vAlign w:val="center"/>
          </w:tcPr>
          <w:p>
            <w:pPr>
              <w:jc w:val="center"/>
              <w:rPr>
                <w:rFonts w:hint="eastAsia"/>
                <w:highlight w:val="none"/>
                <w:vertAlign w:val="baseline"/>
                <w:lang w:eastAsia="zh-CN"/>
              </w:rPr>
            </w:pPr>
            <w:r>
              <w:rPr>
                <w:rFonts w:hint="eastAsia"/>
                <w:highlight w:val="none"/>
                <w:vertAlign w:val="baseline"/>
                <w:lang w:eastAsia="zh-CN"/>
              </w:rPr>
              <w:t>排放时间（</w:t>
            </w:r>
            <w:r>
              <w:rPr>
                <w:rFonts w:hint="eastAsia"/>
                <w:highlight w:val="none"/>
                <w:vertAlign w:val="baseline"/>
                <w:lang w:val="en-US" w:eastAsia="zh-CN"/>
              </w:rPr>
              <w:t>h/d</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140" w:type="dxa"/>
            <w:vMerge w:val="continue"/>
            <w:vAlign w:val="center"/>
          </w:tcPr>
          <w:p>
            <w:pPr>
              <w:jc w:val="center"/>
              <w:rPr>
                <w:highlight w:val="none"/>
                <w:vertAlign w:val="baseline"/>
              </w:rPr>
            </w:pPr>
          </w:p>
        </w:tc>
        <w:tc>
          <w:tcPr>
            <w:tcW w:w="852" w:type="dxa"/>
            <w:vMerge w:val="continue"/>
            <w:vAlign w:val="center"/>
          </w:tcPr>
          <w:p>
            <w:pPr>
              <w:jc w:val="center"/>
              <w:rPr>
                <w:highlight w:val="none"/>
                <w:vertAlign w:val="baseline"/>
              </w:rPr>
            </w:pPr>
          </w:p>
        </w:tc>
        <w:tc>
          <w:tcPr>
            <w:tcW w:w="1938" w:type="dxa"/>
            <w:vAlign w:val="center"/>
          </w:tcPr>
          <w:p>
            <w:pPr>
              <w:jc w:val="center"/>
              <w:rPr>
                <w:rFonts w:hint="eastAsia" w:eastAsia="宋体"/>
                <w:highlight w:val="none"/>
                <w:vertAlign w:val="baseline"/>
                <w:lang w:eastAsia="zh-CN"/>
              </w:rPr>
            </w:pPr>
            <w:r>
              <w:rPr>
                <w:rFonts w:hint="eastAsia"/>
                <w:highlight w:val="none"/>
                <w:vertAlign w:val="baseline"/>
                <w:lang w:eastAsia="zh-CN"/>
              </w:rPr>
              <w:t>产生设备</w:t>
            </w:r>
          </w:p>
        </w:tc>
        <w:tc>
          <w:tcPr>
            <w:tcW w:w="2620" w:type="dxa"/>
            <w:vAlign w:val="center"/>
          </w:tcPr>
          <w:p>
            <w:pPr>
              <w:jc w:val="center"/>
              <w:rPr>
                <w:rFonts w:hint="eastAsia" w:eastAsia="宋体"/>
                <w:highlight w:val="none"/>
                <w:vertAlign w:val="baseline"/>
                <w:lang w:eastAsia="zh-CN"/>
              </w:rPr>
            </w:pPr>
            <w:r>
              <w:rPr>
                <w:rFonts w:hint="eastAsia"/>
                <w:highlight w:val="none"/>
                <w:vertAlign w:val="baseline"/>
                <w:lang w:eastAsia="zh-CN"/>
              </w:rPr>
              <w:t>产生量</w:t>
            </w:r>
            <w:r>
              <w:rPr>
                <w:rFonts w:hint="eastAsia"/>
                <w:highlight w:val="none"/>
                <w:vertAlign w:val="baseline"/>
                <w:lang w:val="en-US" w:eastAsia="zh-CN"/>
              </w:rPr>
              <w:t>dB</w:t>
            </w:r>
            <w:r>
              <w:rPr>
                <w:rFonts w:hint="eastAsia"/>
                <w:highlight w:val="none"/>
                <w:vertAlign w:val="baseline"/>
                <w:lang w:eastAsia="zh-CN"/>
              </w:rPr>
              <w:t>（</w:t>
            </w:r>
            <w:r>
              <w:rPr>
                <w:rFonts w:hint="eastAsia"/>
                <w:highlight w:val="none"/>
                <w:vertAlign w:val="baseline"/>
                <w:lang w:val="en-US" w:eastAsia="zh-CN"/>
              </w:rPr>
              <w:t>A</w:t>
            </w:r>
            <w:r>
              <w:rPr>
                <w:rFonts w:hint="eastAsia"/>
                <w:highlight w:val="none"/>
                <w:vertAlign w:val="baseline"/>
                <w:lang w:eastAsia="zh-CN"/>
              </w:rPr>
              <w:t>）</w:t>
            </w:r>
          </w:p>
        </w:tc>
        <w:tc>
          <w:tcPr>
            <w:tcW w:w="2621" w:type="dxa"/>
            <w:gridSpan w:val="2"/>
            <w:vAlign w:val="center"/>
          </w:tcPr>
          <w:p>
            <w:pPr>
              <w:jc w:val="center"/>
              <w:rPr>
                <w:rFonts w:hint="eastAsia" w:eastAsia="宋体"/>
                <w:highlight w:val="none"/>
                <w:vertAlign w:val="baseline"/>
                <w:lang w:eastAsia="zh-CN"/>
              </w:rPr>
            </w:pPr>
            <w:r>
              <w:rPr>
                <w:rFonts w:hint="eastAsia"/>
                <w:highlight w:val="none"/>
                <w:vertAlign w:val="baseline"/>
                <w:lang w:eastAsia="zh-CN"/>
              </w:rPr>
              <w:t>工艺</w:t>
            </w:r>
          </w:p>
        </w:tc>
        <w:tc>
          <w:tcPr>
            <w:tcW w:w="2622" w:type="dxa"/>
            <w:gridSpan w:val="2"/>
            <w:vAlign w:val="center"/>
          </w:tcPr>
          <w:p>
            <w:pPr>
              <w:jc w:val="center"/>
              <w:rPr>
                <w:rFonts w:hint="eastAsia" w:eastAsia="宋体"/>
                <w:highlight w:val="none"/>
                <w:vertAlign w:val="baseline"/>
                <w:lang w:eastAsia="zh-CN"/>
              </w:rPr>
            </w:pPr>
            <w:r>
              <w:rPr>
                <w:rFonts w:hint="eastAsia"/>
                <w:highlight w:val="none"/>
                <w:vertAlign w:val="baseline"/>
                <w:lang w:eastAsia="zh-CN"/>
              </w:rPr>
              <w:t>排放量</w:t>
            </w:r>
            <w:r>
              <w:rPr>
                <w:rFonts w:hint="eastAsia"/>
                <w:highlight w:val="none"/>
                <w:vertAlign w:val="baseline"/>
                <w:lang w:val="en-US" w:eastAsia="zh-CN"/>
              </w:rPr>
              <w:t>dB</w:t>
            </w:r>
            <w:r>
              <w:rPr>
                <w:rFonts w:hint="eastAsia"/>
                <w:highlight w:val="none"/>
                <w:vertAlign w:val="baseline"/>
                <w:lang w:eastAsia="zh-CN"/>
              </w:rPr>
              <w:t>（</w:t>
            </w:r>
            <w:r>
              <w:rPr>
                <w:rFonts w:hint="eastAsia"/>
                <w:highlight w:val="none"/>
                <w:vertAlign w:val="baseline"/>
                <w:lang w:val="en-US" w:eastAsia="zh-CN"/>
              </w:rPr>
              <w:t>A</w:t>
            </w:r>
            <w:r>
              <w:rPr>
                <w:rFonts w:hint="eastAsia"/>
                <w:highlight w:val="none"/>
                <w:vertAlign w:val="baseline"/>
                <w:lang w:eastAsia="zh-CN"/>
              </w:rPr>
              <w:t>）</w:t>
            </w:r>
          </w:p>
        </w:tc>
        <w:tc>
          <w:tcPr>
            <w:tcW w:w="1311" w:type="dxa"/>
            <w:vAlign w:val="center"/>
          </w:tcPr>
          <w:p>
            <w:pPr>
              <w:jc w:val="center"/>
              <w:rPr>
                <w:rFonts w:hint="eastAsia" w:eastAsia="宋体"/>
                <w:highlight w:val="none"/>
                <w:vertAlign w:val="baseline"/>
                <w:lang w:eastAsia="zh-CN"/>
              </w:rPr>
            </w:pPr>
            <w:r>
              <w:rPr>
                <w:rFonts w:hint="eastAsia"/>
                <w:highlight w:val="none"/>
                <w:vertAlign w:val="baseline"/>
                <w:lang w:eastAsia="zh-CN"/>
              </w:rPr>
              <w:t>昼</w:t>
            </w:r>
            <w:r>
              <w:rPr>
                <w:rFonts w:hint="eastAsia"/>
                <w:highlight w:val="none"/>
                <w:vertAlign w:val="baseline"/>
                <w:lang w:val="en-US" w:eastAsia="zh-CN"/>
              </w:rPr>
              <w:t>/</w:t>
            </w:r>
            <w:r>
              <w:rPr>
                <w:rFonts w:hint="eastAsia"/>
                <w:highlight w:val="none"/>
                <w:vertAlign w:val="baseline"/>
                <w:lang w:eastAsia="zh-CN"/>
              </w:rPr>
              <w:t>夜</w:t>
            </w:r>
          </w:p>
        </w:tc>
        <w:tc>
          <w:tcPr>
            <w:tcW w:w="1311" w:type="dxa"/>
            <w:gridSpan w:val="2"/>
            <w:vAlign w:val="center"/>
          </w:tcPr>
          <w:p>
            <w:pPr>
              <w:jc w:val="center"/>
              <w:rPr>
                <w:rFonts w:hint="eastAsia"/>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15" w:hRule="atLeast"/>
        </w:trPr>
        <w:tc>
          <w:tcPr>
            <w:tcW w:w="1140" w:type="dxa"/>
            <w:vMerge w:val="restart"/>
            <w:vAlign w:val="center"/>
          </w:tcPr>
          <w:p>
            <w:pPr>
              <w:jc w:val="center"/>
              <w:rPr>
                <w:rFonts w:hint="eastAsia" w:eastAsia="宋体"/>
                <w:highlight w:val="none"/>
                <w:vertAlign w:val="baseline"/>
                <w:lang w:eastAsia="zh-CN"/>
              </w:rPr>
            </w:pPr>
            <w:r>
              <w:rPr>
                <w:rFonts w:hint="eastAsia"/>
                <w:highlight w:val="none"/>
                <w:vertAlign w:val="baseline"/>
                <w:lang w:eastAsia="zh-CN"/>
              </w:rPr>
              <w:t>破碎</w:t>
            </w:r>
          </w:p>
        </w:tc>
        <w:tc>
          <w:tcPr>
            <w:tcW w:w="852" w:type="dxa"/>
            <w:vMerge w:val="restart"/>
            <w:vAlign w:val="center"/>
          </w:tcPr>
          <w:p>
            <w:pPr>
              <w:jc w:val="center"/>
              <w:rPr>
                <w:rFonts w:hint="eastAsia"/>
                <w:highlight w:val="none"/>
                <w:vertAlign w:val="baseline"/>
                <w:lang w:val="en-US" w:eastAsia="zh-CN"/>
              </w:rPr>
            </w:pPr>
            <w:r>
              <w:rPr>
                <w:rFonts w:hint="eastAsia"/>
                <w:highlight w:val="none"/>
                <w:vertAlign w:val="baseline"/>
                <w:lang w:eastAsia="zh-CN"/>
              </w:rPr>
              <w:t>噪声</w:t>
            </w:r>
          </w:p>
        </w:tc>
        <w:tc>
          <w:tcPr>
            <w:tcW w:w="1938"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双齿破碎机</w:t>
            </w:r>
          </w:p>
        </w:tc>
        <w:tc>
          <w:tcPr>
            <w:tcW w:w="2620"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95</w:t>
            </w:r>
          </w:p>
        </w:tc>
        <w:tc>
          <w:tcPr>
            <w:tcW w:w="2621" w:type="dxa"/>
            <w:gridSpan w:val="2"/>
            <w:vAlign w:val="center"/>
          </w:tcPr>
          <w:p>
            <w:pPr>
              <w:jc w:val="center"/>
              <w:rPr>
                <w:highlight w:val="none"/>
                <w:vertAlign w:val="baseline"/>
              </w:rPr>
            </w:pPr>
            <w:r>
              <w:rPr>
                <w:rFonts w:hint="eastAsia"/>
                <w:highlight w:val="none"/>
                <w:vertAlign w:val="baseline"/>
                <w:lang w:eastAsia="zh-CN"/>
              </w:rPr>
              <w:t>减震垫、厂房隔声</w:t>
            </w:r>
          </w:p>
        </w:tc>
        <w:tc>
          <w:tcPr>
            <w:tcW w:w="2622" w:type="dxa"/>
            <w:gridSpan w:val="2"/>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85</w:t>
            </w:r>
          </w:p>
        </w:tc>
        <w:tc>
          <w:tcPr>
            <w:tcW w:w="1311" w:type="dxa"/>
            <w:vAlign w:val="center"/>
          </w:tcPr>
          <w:p>
            <w:pPr>
              <w:jc w:val="center"/>
              <w:rPr>
                <w:highlight w:val="none"/>
                <w:vertAlign w:val="baseline"/>
              </w:rPr>
            </w:pPr>
            <w:r>
              <w:rPr>
                <w:rFonts w:hint="eastAsia"/>
                <w:highlight w:val="none"/>
                <w:vertAlign w:val="baseline"/>
                <w:lang w:eastAsia="zh-CN"/>
              </w:rPr>
              <w:t>昼</w:t>
            </w:r>
          </w:p>
        </w:tc>
        <w:tc>
          <w:tcPr>
            <w:tcW w:w="1311" w:type="dxa"/>
            <w:gridSpan w:val="2"/>
            <w:vMerge w:val="restart"/>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0" w:hRule="atLeast"/>
        </w:trPr>
        <w:tc>
          <w:tcPr>
            <w:tcW w:w="1140" w:type="dxa"/>
            <w:vMerge w:val="continue"/>
            <w:vAlign w:val="center"/>
          </w:tcPr>
          <w:p>
            <w:pPr>
              <w:jc w:val="center"/>
              <w:rPr>
                <w:rFonts w:hint="eastAsia"/>
                <w:highlight w:val="none"/>
                <w:vertAlign w:val="baseline"/>
                <w:lang w:eastAsia="zh-CN"/>
              </w:rPr>
            </w:pPr>
          </w:p>
        </w:tc>
        <w:tc>
          <w:tcPr>
            <w:tcW w:w="852" w:type="dxa"/>
            <w:vMerge w:val="continue"/>
            <w:vAlign w:val="center"/>
          </w:tcPr>
          <w:p>
            <w:pPr>
              <w:jc w:val="center"/>
              <w:rPr>
                <w:rFonts w:hint="eastAsia"/>
                <w:highlight w:val="none"/>
                <w:vertAlign w:val="baseline"/>
                <w:lang w:eastAsia="zh-CN"/>
              </w:rPr>
            </w:pPr>
          </w:p>
        </w:tc>
        <w:tc>
          <w:tcPr>
            <w:tcW w:w="1938" w:type="dxa"/>
            <w:vAlign w:val="center"/>
          </w:tcPr>
          <w:p>
            <w:pPr>
              <w:jc w:val="center"/>
              <w:rPr>
                <w:rFonts w:hint="eastAsia"/>
                <w:highlight w:val="none"/>
                <w:vertAlign w:val="baseline"/>
                <w:lang w:val="en-US" w:eastAsia="zh-CN"/>
              </w:rPr>
            </w:pPr>
            <w:r>
              <w:rPr>
                <w:rFonts w:hint="eastAsia"/>
                <w:highlight w:val="none"/>
                <w:vertAlign w:val="baseline"/>
                <w:lang w:val="en-US" w:eastAsia="zh-CN"/>
              </w:rPr>
              <w:t>圆锥破碎机</w:t>
            </w:r>
          </w:p>
        </w:tc>
        <w:tc>
          <w:tcPr>
            <w:tcW w:w="2620" w:type="dxa"/>
            <w:vAlign w:val="center"/>
          </w:tcPr>
          <w:p>
            <w:pPr>
              <w:jc w:val="center"/>
              <w:rPr>
                <w:rFonts w:hint="eastAsia"/>
                <w:highlight w:val="none"/>
                <w:vertAlign w:val="baseline"/>
                <w:lang w:val="en-US" w:eastAsia="zh-CN"/>
              </w:rPr>
            </w:pPr>
            <w:r>
              <w:rPr>
                <w:rFonts w:hint="eastAsia"/>
                <w:highlight w:val="none"/>
                <w:vertAlign w:val="baseline"/>
                <w:lang w:val="en-US" w:eastAsia="zh-CN"/>
              </w:rPr>
              <w:t>95</w:t>
            </w:r>
          </w:p>
        </w:tc>
        <w:tc>
          <w:tcPr>
            <w:tcW w:w="2621" w:type="dxa"/>
            <w:gridSpan w:val="2"/>
            <w:vAlign w:val="center"/>
          </w:tcPr>
          <w:p>
            <w:pPr>
              <w:jc w:val="center"/>
              <w:rPr>
                <w:rFonts w:hint="eastAsia"/>
                <w:highlight w:val="none"/>
                <w:vertAlign w:val="baseline"/>
                <w:lang w:val="en-US" w:eastAsia="zh-CN"/>
              </w:rPr>
            </w:pPr>
            <w:r>
              <w:rPr>
                <w:rFonts w:hint="eastAsia"/>
                <w:highlight w:val="none"/>
                <w:vertAlign w:val="baseline"/>
                <w:lang w:eastAsia="zh-CN"/>
              </w:rPr>
              <w:t>减震垫、厂房隔声</w:t>
            </w:r>
          </w:p>
        </w:tc>
        <w:tc>
          <w:tcPr>
            <w:tcW w:w="2622"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85</w:t>
            </w:r>
          </w:p>
        </w:tc>
        <w:tc>
          <w:tcPr>
            <w:tcW w:w="1311" w:type="dxa"/>
            <w:vAlign w:val="center"/>
          </w:tcPr>
          <w:p>
            <w:pPr>
              <w:jc w:val="center"/>
              <w:rPr>
                <w:rFonts w:hint="eastAsia"/>
                <w:highlight w:val="none"/>
                <w:vertAlign w:val="baseline"/>
                <w:lang w:val="en-US" w:eastAsia="zh-CN"/>
              </w:rPr>
            </w:pPr>
            <w:r>
              <w:rPr>
                <w:rFonts w:hint="eastAsia"/>
                <w:highlight w:val="none"/>
                <w:vertAlign w:val="baseline"/>
                <w:lang w:eastAsia="zh-CN"/>
              </w:rPr>
              <w:t>昼</w:t>
            </w:r>
          </w:p>
        </w:tc>
        <w:tc>
          <w:tcPr>
            <w:tcW w:w="1311" w:type="dxa"/>
            <w:gridSpan w:val="2"/>
            <w:vMerge w:val="continue"/>
            <w:vAlign w:val="center"/>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9" w:hRule="atLeast"/>
        </w:trPr>
        <w:tc>
          <w:tcPr>
            <w:tcW w:w="1140" w:type="dxa"/>
            <w:vAlign w:val="center"/>
          </w:tcPr>
          <w:p>
            <w:pPr>
              <w:jc w:val="center"/>
              <w:rPr>
                <w:rFonts w:hint="eastAsia" w:eastAsia="宋体"/>
                <w:highlight w:val="none"/>
                <w:vertAlign w:val="baseline"/>
                <w:lang w:eastAsia="zh-CN"/>
              </w:rPr>
            </w:pPr>
            <w:r>
              <w:rPr>
                <w:rFonts w:hint="eastAsia"/>
                <w:highlight w:val="none"/>
                <w:vertAlign w:val="baseline"/>
                <w:lang w:eastAsia="zh-CN"/>
              </w:rPr>
              <w:t>洗煤</w:t>
            </w:r>
          </w:p>
        </w:tc>
        <w:tc>
          <w:tcPr>
            <w:tcW w:w="852" w:type="dxa"/>
            <w:vMerge w:val="continue"/>
            <w:vAlign w:val="center"/>
          </w:tcPr>
          <w:p>
            <w:pPr>
              <w:jc w:val="center"/>
              <w:rPr>
                <w:rFonts w:hint="eastAsia"/>
                <w:highlight w:val="none"/>
                <w:vertAlign w:val="baseline"/>
                <w:lang w:eastAsia="zh-CN"/>
              </w:rPr>
            </w:pPr>
          </w:p>
        </w:tc>
        <w:tc>
          <w:tcPr>
            <w:tcW w:w="1938" w:type="dxa"/>
            <w:vAlign w:val="center"/>
          </w:tcPr>
          <w:p>
            <w:pPr>
              <w:jc w:val="center"/>
              <w:rPr>
                <w:rFonts w:hint="eastAsia"/>
                <w:highlight w:val="none"/>
                <w:vertAlign w:val="baseline"/>
                <w:lang w:val="en-US" w:eastAsia="zh-CN"/>
              </w:rPr>
            </w:pPr>
            <w:r>
              <w:rPr>
                <w:rFonts w:hint="eastAsia"/>
                <w:highlight w:val="none"/>
                <w:vertAlign w:val="baseline"/>
                <w:lang w:val="en-US" w:eastAsia="zh-CN"/>
              </w:rPr>
              <w:t>跳汰洗煤机</w:t>
            </w:r>
          </w:p>
        </w:tc>
        <w:tc>
          <w:tcPr>
            <w:tcW w:w="2620" w:type="dxa"/>
            <w:vAlign w:val="center"/>
          </w:tcPr>
          <w:p>
            <w:pPr>
              <w:jc w:val="center"/>
              <w:rPr>
                <w:rFonts w:hint="eastAsia"/>
                <w:highlight w:val="none"/>
                <w:vertAlign w:val="baseline"/>
                <w:lang w:val="en-US" w:eastAsia="zh-CN"/>
              </w:rPr>
            </w:pPr>
            <w:r>
              <w:rPr>
                <w:rFonts w:hint="eastAsia"/>
                <w:highlight w:val="none"/>
                <w:vertAlign w:val="baseline"/>
                <w:lang w:val="en-US" w:eastAsia="zh-CN"/>
              </w:rPr>
              <w:t>85</w:t>
            </w:r>
          </w:p>
        </w:tc>
        <w:tc>
          <w:tcPr>
            <w:tcW w:w="2621" w:type="dxa"/>
            <w:gridSpan w:val="2"/>
            <w:vAlign w:val="center"/>
          </w:tcPr>
          <w:p>
            <w:pPr>
              <w:jc w:val="center"/>
              <w:rPr>
                <w:rFonts w:hint="eastAsia"/>
                <w:highlight w:val="none"/>
                <w:vertAlign w:val="baseline"/>
                <w:lang w:val="en-US" w:eastAsia="zh-CN"/>
              </w:rPr>
            </w:pPr>
            <w:r>
              <w:rPr>
                <w:rFonts w:hint="eastAsia"/>
                <w:highlight w:val="none"/>
                <w:vertAlign w:val="baseline"/>
                <w:lang w:eastAsia="zh-CN"/>
              </w:rPr>
              <w:t>减震垫、厂房隔声</w:t>
            </w:r>
          </w:p>
        </w:tc>
        <w:tc>
          <w:tcPr>
            <w:tcW w:w="2622"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70</w:t>
            </w:r>
          </w:p>
        </w:tc>
        <w:tc>
          <w:tcPr>
            <w:tcW w:w="1311" w:type="dxa"/>
            <w:vAlign w:val="center"/>
          </w:tcPr>
          <w:p>
            <w:pPr>
              <w:jc w:val="center"/>
              <w:rPr>
                <w:rFonts w:hint="eastAsia"/>
                <w:highlight w:val="none"/>
                <w:vertAlign w:val="baseline"/>
                <w:lang w:val="en-US" w:eastAsia="zh-CN"/>
              </w:rPr>
            </w:pPr>
            <w:r>
              <w:rPr>
                <w:rFonts w:hint="eastAsia"/>
                <w:highlight w:val="none"/>
                <w:vertAlign w:val="baseline"/>
                <w:lang w:eastAsia="zh-CN"/>
              </w:rPr>
              <w:t>昼</w:t>
            </w:r>
          </w:p>
        </w:tc>
        <w:tc>
          <w:tcPr>
            <w:tcW w:w="1311" w:type="dxa"/>
            <w:gridSpan w:val="2"/>
            <w:vMerge w:val="continue"/>
            <w:vAlign w:val="center"/>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0" w:hRule="atLeast"/>
        </w:trPr>
        <w:tc>
          <w:tcPr>
            <w:tcW w:w="1140" w:type="dxa"/>
            <w:vAlign w:val="center"/>
          </w:tcPr>
          <w:p>
            <w:pPr>
              <w:jc w:val="center"/>
              <w:rPr>
                <w:rFonts w:hint="eastAsia" w:eastAsia="宋体"/>
                <w:highlight w:val="none"/>
                <w:vertAlign w:val="baseline"/>
                <w:lang w:eastAsia="zh-CN"/>
              </w:rPr>
            </w:pPr>
            <w:r>
              <w:rPr>
                <w:rFonts w:hint="eastAsia"/>
                <w:highlight w:val="none"/>
                <w:vertAlign w:val="baseline"/>
                <w:lang w:eastAsia="zh-CN"/>
              </w:rPr>
              <w:t>压滤</w:t>
            </w:r>
          </w:p>
        </w:tc>
        <w:tc>
          <w:tcPr>
            <w:tcW w:w="852" w:type="dxa"/>
            <w:vMerge w:val="continue"/>
            <w:vAlign w:val="center"/>
          </w:tcPr>
          <w:p>
            <w:pPr>
              <w:jc w:val="center"/>
              <w:rPr>
                <w:rFonts w:hint="eastAsia" w:eastAsia="宋体"/>
                <w:highlight w:val="none"/>
                <w:vertAlign w:val="baseline"/>
                <w:lang w:val="en-US" w:eastAsia="zh-CN"/>
              </w:rPr>
            </w:pPr>
          </w:p>
        </w:tc>
        <w:tc>
          <w:tcPr>
            <w:tcW w:w="1938" w:type="dxa"/>
            <w:vAlign w:val="center"/>
          </w:tcPr>
          <w:p>
            <w:pPr>
              <w:jc w:val="center"/>
              <w:rPr>
                <w:rFonts w:hint="eastAsia" w:eastAsia="宋体"/>
                <w:highlight w:val="none"/>
                <w:vertAlign w:val="baseline"/>
                <w:lang w:eastAsia="zh-CN"/>
              </w:rPr>
            </w:pPr>
            <w:r>
              <w:rPr>
                <w:rFonts w:hint="eastAsia"/>
                <w:highlight w:val="none"/>
                <w:vertAlign w:val="baseline"/>
                <w:lang w:eastAsia="zh-CN"/>
              </w:rPr>
              <w:t>压滤机</w:t>
            </w:r>
          </w:p>
        </w:tc>
        <w:tc>
          <w:tcPr>
            <w:tcW w:w="2620"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90</w:t>
            </w:r>
          </w:p>
        </w:tc>
        <w:tc>
          <w:tcPr>
            <w:tcW w:w="2621" w:type="dxa"/>
            <w:gridSpan w:val="2"/>
            <w:vAlign w:val="center"/>
          </w:tcPr>
          <w:p>
            <w:pPr>
              <w:jc w:val="center"/>
              <w:rPr>
                <w:rFonts w:hint="eastAsia" w:eastAsia="宋体"/>
                <w:highlight w:val="none"/>
                <w:vertAlign w:val="baseline"/>
                <w:lang w:val="en-US" w:eastAsia="zh-CN"/>
              </w:rPr>
            </w:pPr>
            <w:r>
              <w:rPr>
                <w:rFonts w:hint="eastAsia"/>
                <w:highlight w:val="none"/>
                <w:vertAlign w:val="baseline"/>
                <w:lang w:eastAsia="zh-CN"/>
              </w:rPr>
              <w:t>减震垫、减震基础</w:t>
            </w:r>
          </w:p>
        </w:tc>
        <w:tc>
          <w:tcPr>
            <w:tcW w:w="2622" w:type="dxa"/>
            <w:gridSpan w:val="2"/>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75</w:t>
            </w:r>
          </w:p>
        </w:tc>
        <w:tc>
          <w:tcPr>
            <w:tcW w:w="1311" w:type="dxa"/>
            <w:vAlign w:val="center"/>
          </w:tcPr>
          <w:p>
            <w:pPr>
              <w:jc w:val="center"/>
              <w:rPr>
                <w:highlight w:val="none"/>
                <w:vertAlign w:val="baseline"/>
              </w:rPr>
            </w:pPr>
            <w:r>
              <w:rPr>
                <w:rFonts w:hint="eastAsia"/>
                <w:highlight w:val="none"/>
                <w:vertAlign w:val="baseline"/>
                <w:lang w:eastAsia="zh-CN"/>
              </w:rPr>
              <w:t>昼</w:t>
            </w:r>
          </w:p>
        </w:tc>
        <w:tc>
          <w:tcPr>
            <w:tcW w:w="1311" w:type="dxa"/>
            <w:gridSpan w:val="2"/>
            <w:vMerge w:val="continue"/>
            <w:vAlign w:val="center"/>
          </w:tcPr>
          <w:p>
            <w:pPr>
              <w:jc w:val="center"/>
              <w:rPr>
                <w:rFonts w:hint="eastAsia" w:eastAsia="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140" w:type="dxa"/>
            <w:vAlign w:val="center"/>
          </w:tcPr>
          <w:p>
            <w:pPr>
              <w:jc w:val="center"/>
              <w:rPr>
                <w:rFonts w:hint="eastAsia" w:eastAsia="宋体"/>
                <w:highlight w:val="none"/>
                <w:vertAlign w:val="baseline"/>
                <w:lang w:eastAsia="zh-CN"/>
              </w:rPr>
            </w:pPr>
            <w:r>
              <w:rPr>
                <w:rFonts w:hint="eastAsia"/>
                <w:highlight w:val="none"/>
                <w:vertAlign w:val="baseline"/>
                <w:lang w:eastAsia="zh-CN"/>
              </w:rPr>
              <w:t>制砖</w:t>
            </w:r>
          </w:p>
        </w:tc>
        <w:tc>
          <w:tcPr>
            <w:tcW w:w="852" w:type="dxa"/>
            <w:vMerge w:val="continue"/>
            <w:vAlign w:val="center"/>
          </w:tcPr>
          <w:p>
            <w:pPr>
              <w:jc w:val="center"/>
              <w:rPr>
                <w:rFonts w:hint="eastAsia" w:eastAsia="宋体"/>
                <w:highlight w:val="none"/>
                <w:vertAlign w:val="baseline"/>
                <w:lang w:val="en-US" w:eastAsia="zh-CN"/>
              </w:rPr>
            </w:pPr>
          </w:p>
        </w:tc>
        <w:tc>
          <w:tcPr>
            <w:tcW w:w="1938" w:type="dxa"/>
            <w:vAlign w:val="center"/>
          </w:tcPr>
          <w:p>
            <w:pPr>
              <w:jc w:val="center"/>
              <w:rPr>
                <w:rFonts w:hint="eastAsia" w:eastAsia="宋体"/>
                <w:highlight w:val="none"/>
                <w:vertAlign w:val="baseline"/>
                <w:lang w:eastAsia="zh-CN"/>
              </w:rPr>
            </w:pPr>
            <w:r>
              <w:rPr>
                <w:rFonts w:hint="eastAsia"/>
                <w:highlight w:val="none"/>
                <w:vertAlign w:val="baseline"/>
                <w:lang w:eastAsia="zh-CN"/>
              </w:rPr>
              <w:t>砖机</w:t>
            </w:r>
          </w:p>
        </w:tc>
        <w:tc>
          <w:tcPr>
            <w:tcW w:w="2620"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85</w:t>
            </w:r>
          </w:p>
        </w:tc>
        <w:tc>
          <w:tcPr>
            <w:tcW w:w="2621" w:type="dxa"/>
            <w:gridSpan w:val="2"/>
            <w:vAlign w:val="center"/>
          </w:tcPr>
          <w:p>
            <w:pPr>
              <w:jc w:val="center"/>
              <w:rPr>
                <w:highlight w:val="none"/>
                <w:vertAlign w:val="baseline"/>
              </w:rPr>
            </w:pPr>
            <w:r>
              <w:rPr>
                <w:rFonts w:hint="eastAsia"/>
                <w:highlight w:val="none"/>
                <w:vertAlign w:val="baseline"/>
                <w:lang w:eastAsia="zh-CN"/>
              </w:rPr>
              <w:t>减震垫、厂房隔声</w:t>
            </w:r>
          </w:p>
        </w:tc>
        <w:tc>
          <w:tcPr>
            <w:tcW w:w="2622" w:type="dxa"/>
            <w:gridSpan w:val="2"/>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75</w:t>
            </w:r>
          </w:p>
        </w:tc>
        <w:tc>
          <w:tcPr>
            <w:tcW w:w="1311" w:type="dxa"/>
            <w:vAlign w:val="center"/>
          </w:tcPr>
          <w:p>
            <w:pPr>
              <w:jc w:val="center"/>
              <w:rPr>
                <w:highlight w:val="none"/>
                <w:vertAlign w:val="baseline"/>
              </w:rPr>
            </w:pPr>
            <w:r>
              <w:rPr>
                <w:rFonts w:hint="eastAsia"/>
                <w:highlight w:val="none"/>
                <w:vertAlign w:val="baseline"/>
                <w:lang w:eastAsia="zh-CN"/>
              </w:rPr>
              <w:t>昼</w:t>
            </w:r>
          </w:p>
        </w:tc>
        <w:tc>
          <w:tcPr>
            <w:tcW w:w="1311" w:type="dxa"/>
            <w:gridSpan w:val="2"/>
            <w:vMerge w:val="continue"/>
            <w:vAlign w:val="center"/>
          </w:tcPr>
          <w:p>
            <w:pPr>
              <w:jc w:val="center"/>
              <w:rPr>
                <w:rFonts w:hint="eastAsia" w:eastAsia="宋体"/>
                <w:highlight w:val="none"/>
                <w:vertAlign w:val="baseline"/>
                <w:lang w:val="en-US" w:eastAsia="zh-CN"/>
              </w:rPr>
            </w:pPr>
          </w:p>
        </w:tc>
      </w:tr>
    </w:tbl>
    <w:p>
      <w:pPr>
        <w:jc w:val="center"/>
        <w:rPr>
          <w:rFonts w:hint="default" w:ascii="Times New Roman" w:hAnsi="Times New Roman" w:eastAsia="宋体" w:cs="Times New Roman"/>
          <w:b/>
          <w:bCs/>
          <w:sz w:val="24"/>
          <w:szCs w:val="22"/>
          <w:highlight w:val="none"/>
          <w:lang w:eastAsia="zh-CN"/>
        </w:rPr>
      </w:pPr>
    </w:p>
    <w:p>
      <w:pPr>
        <w:jc w:val="center"/>
        <w:rPr>
          <w:highlight w:val="none"/>
        </w:rPr>
      </w:pPr>
      <w:r>
        <w:rPr>
          <w:rFonts w:hint="default" w:ascii="Times New Roman" w:hAnsi="Times New Roman" w:eastAsia="宋体" w:cs="Times New Roman"/>
          <w:b/>
          <w:bCs/>
          <w:sz w:val="24"/>
          <w:szCs w:val="22"/>
          <w:highlight w:val="none"/>
          <w:lang w:eastAsia="zh-CN"/>
        </w:rPr>
        <w:t>表</w:t>
      </w:r>
      <w:r>
        <w:rPr>
          <w:rFonts w:hint="eastAsia" w:cs="Times New Roman"/>
          <w:b/>
          <w:bCs/>
          <w:sz w:val="24"/>
          <w:szCs w:val="22"/>
          <w:highlight w:val="none"/>
          <w:lang w:val="en-US" w:eastAsia="zh-CN"/>
        </w:rPr>
        <w:t>30</w:t>
      </w:r>
      <w:r>
        <w:rPr>
          <w:rFonts w:hint="default" w:ascii="Times New Roman" w:hAnsi="Times New Roman" w:eastAsia="宋体" w:cs="Times New Roman"/>
          <w:b/>
          <w:bCs/>
          <w:sz w:val="24"/>
          <w:szCs w:val="22"/>
          <w:highlight w:val="none"/>
          <w:lang w:val="en-US" w:eastAsia="zh-CN"/>
        </w:rPr>
        <w:t xml:space="preserve"> </w:t>
      </w:r>
      <w:r>
        <w:rPr>
          <w:rFonts w:hint="eastAsia" w:cs="Times New Roman"/>
          <w:b/>
          <w:bCs/>
          <w:sz w:val="24"/>
          <w:szCs w:val="22"/>
          <w:highlight w:val="none"/>
          <w:lang w:val="en-US" w:eastAsia="zh-CN"/>
        </w:rPr>
        <w:t xml:space="preserve"> 固体废弃物</w:t>
      </w:r>
      <w:r>
        <w:rPr>
          <w:rFonts w:hint="default" w:ascii="Times New Roman" w:hAnsi="Times New Roman" w:eastAsia="宋体" w:cs="Times New Roman"/>
          <w:b/>
          <w:bCs/>
          <w:sz w:val="24"/>
          <w:szCs w:val="22"/>
          <w:highlight w:val="none"/>
          <w:lang w:eastAsia="zh-CN"/>
        </w:rPr>
        <w:t>污染源排放清单</w:t>
      </w:r>
    </w:p>
    <w:tbl>
      <w:tblPr>
        <w:tblStyle w:val="35"/>
        <w:tblW w:w="14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43"/>
        <w:gridCol w:w="798"/>
        <w:gridCol w:w="1347"/>
        <w:gridCol w:w="2900"/>
        <w:gridCol w:w="2900"/>
        <w:gridCol w:w="1"/>
        <w:gridCol w:w="435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Merge w:val="restart"/>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工序/生产线</w:t>
            </w:r>
          </w:p>
        </w:tc>
        <w:tc>
          <w:tcPr>
            <w:tcW w:w="943" w:type="dxa"/>
            <w:vMerge w:val="restart"/>
            <w:vAlign w:val="center"/>
          </w:tcPr>
          <w:p>
            <w:pPr>
              <w:jc w:val="center"/>
              <w:rPr>
                <w:rFonts w:hint="eastAsia" w:eastAsia="宋体"/>
                <w:highlight w:val="none"/>
                <w:vertAlign w:val="baseline"/>
                <w:lang w:eastAsia="zh-CN"/>
              </w:rPr>
            </w:pPr>
            <w:r>
              <w:rPr>
                <w:rFonts w:hint="eastAsia"/>
                <w:highlight w:val="none"/>
                <w:vertAlign w:val="baseline"/>
                <w:lang w:eastAsia="zh-CN"/>
              </w:rPr>
              <w:t>污染物</w:t>
            </w:r>
          </w:p>
        </w:tc>
        <w:tc>
          <w:tcPr>
            <w:tcW w:w="5045" w:type="dxa"/>
            <w:gridSpan w:val="3"/>
            <w:vAlign w:val="center"/>
          </w:tcPr>
          <w:p>
            <w:pPr>
              <w:jc w:val="center"/>
              <w:rPr>
                <w:rFonts w:hint="eastAsia" w:eastAsia="宋体"/>
                <w:highlight w:val="none"/>
                <w:vertAlign w:val="baseline"/>
                <w:lang w:eastAsia="zh-CN"/>
              </w:rPr>
            </w:pPr>
            <w:r>
              <w:rPr>
                <w:rFonts w:hint="eastAsia"/>
                <w:highlight w:val="none"/>
                <w:vertAlign w:val="baseline"/>
                <w:lang w:eastAsia="zh-CN"/>
              </w:rPr>
              <w:t>污染物产生</w:t>
            </w:r>
          </w:p>
        </w:tc>
        <w:tc>
          <w:tcPr>
            <w:tcW w:w="2901" w:type="dxa"/>
            <w:gridSpan w:val="2"/>
            <w:vAlign w:val="center"/>
          </w:tcPr>
          <w:p>
            <w:pPr>
              <w:jc w:val="center"/>
              <w:rPr>
                <w:rFonts w:hint="eastAsia" w:eastAsia="宋体"/>
                <w:highlight w:val="none"/>
                <w:vertAlign w:val="baseline"/>
                <w:lang w:eastAsia="zh-CN"/>
              </w:rPr>
            </w:pPr>
            <w:r>
              <w:rPr>
                <w:rFonts w:hint="eastAsia"/>
                <w:highlight w:val="none"/>
                <w:vertAlign w:val="baseline"/>
                <w:lang w:eastAsia="zh-CN"/>
              </w:rPr>
              <w:t>治理措施</w:t>
            </w:r>
          </w:p>
        </w:tc>
        <w:tc>
          <w:tcPr>
            <w:tcW w:w="4353" w:type="dxa"/>
            <w:gridSpan w:val="2"/>
            <w:vAlign w:val="center"/>
          </w:tcPr>
          <w:p>
            <w:pPr>
              <w:jc w:val="center"/>
              <w:rPr>
                <w:rFonts w:hint="eastAsia"/>
                <w:highlight w:val="none"/>
                <w:vertAlign w:val="baseline"/>
                <w:lang w:eastAsia="zh-CN"/>
              </w:rPr>
            </w:pPr>
            <w:r>
              <w:rPr>
                <w:rFonts w:hint="eastAsia"/>
                <w:highlight w:val="none"/>
                <w:vertAlign w:val="baseline"/>
                <w:lang w:eastAsia="zh-CN"/>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262" w:type="dxa"/>
            <w:vMerge w:val="continue"/>
            <w:vAlign w:val="center"/>
          </w:tcPr>
          <w:p>
            <w:pPr>
              <w:jc w:val="center"/>
              <w:rPr>
                <w:highlight w:val="none"/>
                <w:vertAlign w:val="baseline"/>
              </w:rPr>
            </w:pPr>
          </w:p>
        </w:tc>
        <w:tc>
          <w:tcPr>
            <w:tcW w:w="943" w:type="dxa"/>
            <w:vMerge w:val="continue"/>
            <w:vAlign w:val="center"/>
          </w:tcPr>
          <w:p>
            <w:pPr>
              <w:jc w:val="center"/>
              <w:rPr>
                <w:highlight w:val="none"/>
                <w:vertAlign w:val="baseline"/>
              </w:rPr>
            </w:pPr>
          </w:p>
        </w:tc>
        <w:tc>
          <w:tcPr>
            <w:tcW w:w="2145" w:type="dxa"/>
            <w:gridSpan w:val="2"/>
            <w:vAlign w:val="center"/>
          </w:tcPr>
          <w:p>
            <w:pPr>
              <w:jc w:val="center"/>
              <w:rPr>
                <w:rFonts w:hint="eastAsia" w:eastAsia="宋体"/>
                <w:highlight w:val="none"/>
                <w:vertAlign w:val="baseline"/>
                <w:lang w:eastAsia="zh-CN"/>
              </w:rPr>
            </w:pPr>
            <w:r>
              <w:rPr>
                <w:rFonts w:hint="eastAsia"/>
                <w:highlight w:val="none"/>
                <w:vertAlign w:val="baseline"/>
                <w:lang w:eastAsia="zh-CN"/>
              </w:rPr>
              <w:t>产生设备</w:t>
            </w:r>
          </w:p>
        </w:tc>
        <w:tc>
          <w:tcPr>
            <w:tcW w:w="2900" w:type="dxa"/>
            <w:vAlign w:val="center"/>
          </w:tcPr>
          <w:p>
            <w:pPr>
              <w:jc w:val="center"/>
              <w:rPr>
                <w:rFonts w:hint="eastAsia" w:eastAsia="宋体"/>
                <w:highlight w:val="none"/>
                <w:vertAlign w:val="baseline"/>
                <w:lang w:eastAsia="zh-CN"/>
              </w:rPr>
            </w:pPr>
            <w:r>
              <w:rPr>
                <w:rFonts w:hint="eastAsia"/>
                <w:highlight w:val="none"/>
                <w:vertAlign w:val="baseline"/>
                <w:lang w:eastAsia="zh-CN"/>
              </w:rPr>
              <w:t>产生量（</w:t>
            </w:r>
            <w:r>
              <w:rPr>
                <w:rFonts w:hint="eastAsia"/>
                <w:highlight w:val="none"/>
                <w:vertAlign w:val="baseline"/>
                <w:lang w:val="en-US" w:eastAsia="zh-CN"/>
              </w:rPr>
              <w:t>t/a</w:t>
            </w:r>
            <w:r>
              <w:rPr>
                <w:rFonts w:hint="eastAsia"/>
                <w:highlight w:val="none"/>
                <w:vertAlign w:val="baseline"/>
                <w:lang w:eastAsia="zh-CN"/>
              </w:rPr>
              <w:t>）</w:t>
            </w:r>
          </w:p>
        </w:tc>
        <w:tc>
          <w:tcPr>
            <w:tcW w:w="2900" w:type="dxa"/>
            <w:vAlign w:val="center"/>
          </w:tcPr>
          <w:p>
            <w:pPr>
              <w:jc w:val="center"/>
              <w:rPr>
                <w:rFonts w:hint="eastAsia" w:eastAsia="宋体"/>
                <w:highlight w:val="none"/>
                <w:vertAlign w:val="baseline"/>
                <w:lang w:eastAsia="zh-CN"/>
              </w:rPr>
            </w:pPr>
            <w:r>
              <w:rPr>
                <w:rFonts w:hint="eastAsia"/>
                <w:highlight w:val="none"/>
                <w:vertAlign w:val="baseline"/>
                <w:lang w:eastAsia="zh-CN"/>
              </w:rPr>
              <w:t>工艺</w:t>
            </w:r>
          </w:p>
        </w:tc>
        <w:tc>
          <w:tcPr>
            <w:tcW w:w="4353" w:type="dxa"/>
            <w:gridSpan w:val="2"/>
            <w:vAlign w:val="center"/>
          </w:tcPr>
          <w:p>
            <w:pPr>
              <w:jc w:val="center"/>
              <w:rPr>
                <w:rFonts w:hint="eastAsia" w:eastAsia="宋体"/>
                <w:highlight w:val="none"/>
                <w:vertAlign w:val="baseline"/>
                <w:lang w:eastAsia="zh-CN"/>
              </w:rPr>
            </w:pPr>
            <w:r>
              <w:rPr>
                <w:rFonts w:hint="eastAsia"/>
                <w:highlight w:val="none"/>
                <w:vertAlign w:val="baseline"/>
                <w:lang w:eastAsia="zh-CN"/>
              </w:rPr>
              <w:t>排放量（</w:t>
            </w:r>
            <w:r>
              <w:rPr>
                <w:rFonts w:hint="eastAsia"/>
                <w:highlight w:val="none"/>
                <w:vertAlign w:val="baseline"/>
                <w:lang w:val="en-US" w:eastAsia="zh-CN"/>
              </w:rPr>
              <w:t>t/a</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262" w:type="dxa"/>
            <w:vAlign w:val="center"/>
          </w:tcPr>
          <w:p>
            <w:pPr>
              <w:jc w:val="center"/>
              <w:rPr>
                <w:rFonts w:hint="eastAsia" w:eastAsia="宋体"/>
                <w:highlight w:val="none"/>
                <w:vertAlign w:val="baseline"/>
                <w:lang w:eastAsia="zh-CN"/>
              </w:rPr>
            </w:pPr>
            <w:r>
              <w:rPr>
                <w:rFonts w:hint="eastAsia"/>
                <w:highlight w:val="none"/>
                <w:vertAlign w:val="baseline"/>
                <w:lang w:eastAsia="zh-CN"/>
              </w:rPr>
              <w:t>洗煤</w:t>
            </w:r>
          </w:p>
        </w:tc>
        <w:tc>
          <w:tcPr>
            <w:tcW w:w="943"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煤矸石</w:t>
            </w:r>
          </w:p>
        </w:tc>
        <w:tc>
          <w:tcPr>
            <w:tcW w:w="2145" w:type="dxa"/>
            <w:gridSpan w:val="2"/>
            <w:vAlign w:val="center"/>
          </w:tcPr>
          <w:p>
            <w:pPr>
              <w:jc w:val="center"/>
              <w:rPr>
                <w:rFonts w:hint="eastAsia" w:eastAsia="宋体"/>
                <w:highlight w:val="none"/>
                <w:vertAlign w:val="baseline"/>
                <w:lang w:eastAsia="zh-CN"/>
              </w:rPr>
            </w:pPr>
            <w:r>
              <w:rPr>
                <w:rFonts w:hint="eastAsia"/>
                <w:highlight w:val="none"/>
                <w:vertAlign w:val="baseline"/>
                <w:lang w:val="en-US" w:eastAsia="zh-CN"/>
              </w:rPr>
              <w:t>跳汰洗煤机</w:t>
            </w:r>
          </w:p>
        </w:tc>
        <w:tc>
          <w:tcPr>
            <w:tcW w:w="2900" w:type="dxa"/>
            <w:vAlign w:val="center"/>
          </w:tcPr>
          <w:p>
            <w:pPr>
              <w:jc w:val="center"/>
              <w:rPr>
                <w:rFonts w:hint="eastAsia" w:eastAsia="宋体"/>
                <w:highlight w:val="none"/>
                <w:vertAlign w:val="baseline"/>
                <w:lang w:val="en-US" w:eastAsia="zh-CN"/>
              </w:rPr>
            </w:pPr>
            <w:r>
              <w:rPr>
                <w:rFonts w:hint="eastAsia"/>
                <w:highlight w:val="none"/>
                <w:vertAlign w:val="baseline"/>
                <w:lang w:val="en-US" w:eastAsia="zh-CN"/>
              </w:rPr>
              <w:t>24万</w:t>
            </w:r>
          </w:p>
        </w:tc>
        <w:tc>
          <w:tcPr>
            <w:tcW w:w="2900" w:type="dxa"/>
            <w:vAlign w:val="center"/>
          </w:tcPr>
          <w:p>
            <w:pPr>
              <w:jc w:val="center"/>
              <w:rPr>
                <w:highlight w:val="none"/>
                <w:vertAlign w:val="baseline"/>
              </w:rPr>
            </w:pPr>
            <w:r>
              <w:rPr>
                <w:rFonts w:hint="eastAsia"/>
                <w:highlight w:val="none"/>
                <w:vertAlign w:val="baseline"/>
                <w:lang w:eastAsia="zh-CN"/>
              </w:rPr>
              <w:t>回用制砖</w:t>
            </w:r>
          </w:p>
        </w:tc>
        <w:tc>
          <w:tcPr>
            <w:tcW w:w="4353" w:type="dxa"/>
            <w:gridSpan w:val="2"/>
            <w:vAlign w:val="center"/>
          </w:tcPr>
          <w:p>
            <w:pPr>
              <w:jc w:val="center"/>
              <w:rPr>
                <w:highlight w:val="none"/>
                <w:vertAlign w:val="baseline"/>
              </w:rPr>
            </w:pPr>
            <w:r>
              <w:rPr>
                <w:rFonts w:hint="eastAsia"/>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02" w:hRule="atLeast"/>
        </w:trPr>
        <w:tc>
          <w:tcPr>
            <w:tcW w:w="1262" w:type="dxa"/>
            <w:vMerge w:val="restart"/>
            <w:vAlign w:val="center"/>
          </w:tcPr>
          <w:p>
            <w:pPr>
              <w:jc w:val="center"/>
              <w:rPr>
                <w:rFonts w:hint="eastAsia"/>
                <w:highlight w:val="none"/>
                <w:vertAlign w:val="baseline"/>
                <w:lang w:eastAsia="zh-CN"/>
              </w:rPr>
            </w:pPr>
            <w:r>
              <w:rPr>
                <w:rFonts w:hint="eastAsia"/>
                <w:highlight w:val="none"/>
                <w:vertAlign w:val="baseline"/>
                <w:lang w:eastAsia="zh-CN"/>
              </w:rPr>
              <w:t>破碎</w:t>
            </w:r>
          </w:p>
        </w:tc>
        <w:tc>
          <w:tcPr>
            <w:tcW w:w="943" w:type="dxa"/>
            <w:vMerge w:val="restart"/>
            <w:vAlign w:val="center"/>
          </w:tcPr>
          <w:p>
            <w:pPr>
              <w:jc w:val="center"/>
              <w:rPr>
                <w:rFonts w:hint="eastAsia"/>
                <w:highlight w:val="none"/>
                <w:vertAlign w:val="baseline"/>
                <w:lang w:val="en-US" w:eastAsia="zh-CN"/>
              </w:rPr>
            </w:pPr>
            <w:r>
              <w:rPr>
                <w:rFonts w:hint="eastAsia"/>
                <w:highlight w:val="none"/>
                <w:vertAlign w:val="baseline"/>
                <w:lang w:val="en-US" w:eastAsia="zh-CN"/>
              </w:rPr>
              <w:t>粉尘</w:t>
            </w:r>
          </w:p>
        </w:tc>
        <w:tc>
          <w:tcPr>
            <w:tcW w:w="798" w:type="dxa"/>
            <w:vMerge w:val="restart"/>
            <w:tcBorders>
              <w:right w:val="single" w:color="000000" w:sz="4" w:space="0"/>
            </w:tcBorders>
            <w:vAlign w:val="center"/>
          </w:tcPr>
          <w:p>
            <w:pPr>
              <w:jc w:val="center"/>
              <w:rPr>
                <w:rFonts w:hint="eastAsia"/>
                <w:highlight w:val="none"/>
                <w:vertAlign w:val="baseline"/>
                <w:lang w:val="en-US" w:eastAsia="zh-CN"/>
              </w:rPr>
            </w:pPr>
            <w:r>
              <w:rPr>
                <w:rFonts w:hint="eastAsia"/>
                <w:highlight w:val="none"/>
                <w:vertAlign w:val="baseline"/>
                <w:lang w:val="en-US" w:eastAsia="zh-CN"/>
              </w:rPr>
              <w:t>布袋除尘器</w:t>
            </w:r>
          </w:p>
        </w:tc>
        <w:tc>
          <w:tcPr>
            <w:tcW w:w="1347" w:type="dxa"/>
            <w:tcBorders>
              <w:left w:val="single" w:color="000000" w:sz="4" w:space="0"/>
            </w:tcBorders>
            <w:vAlign w:val="center"/>
          </w:tcPr>
          <w:p>
            <w:pPr>
              <w:jc w:val="center"/>
              <w:rPr>
                <w:rFonts w:hint="eastAsia"/>
                <w:highlight w:val="none"/>
                <w:vertAlign w:val="baseline"/>
                <w:lang w:val="en-US" w:eastAsia="zh-CN"/>
              </w:rPr>
            </w:pPr>
            <w:r>
              <w:rPr>
                <w:rFonts w:hint="eastAsia"/>
                <w:highlight w:val="none"/>
                <w:vertAlign w:val="baseline"/>
                <w:lang w:val="en-US" w:eastAsia="zh-CN"/>
              </w:rPr>
              <w:t>洗煤生产线</w:t>
            </w:r>
          </w:p>
        </w:tc>
        <w:tc>
          <w:tcPr>
            <w:tcW w:w="2900" w:type="dxa"/>
            <w:vAlign w:val="center"/>
          </w:tcPr>
          <w:p>
            <w:pPr>
              <w:jc w:val="center"/>
              <w:rPr>
                <w:rFonts w:hint="eastAsia"/>
                <w:highlight w:val="none"/>
                <w:vertAlign w:val="baseline"/>
                <w:lang w:val="en-US" w:eastAsia="zh-CN"/>
              </w:rPr>
            </w:pPr>
            <w:r>
              <w:rPr>
                <w:rFonts w:hint="eastAsia"/>
                <w:highlight w:val="none"/>
                <w:vertAlign w:val="baseline"/>
                <w:lang w:val="en-US" w:eastAsia="zh-CN"/>
              </w:rPr>
              <w:t>296.93</w:t>
            </w:r>
          </w:p>
        </w:tc>
        <w:tc>
          <w:tcPr>
            <w:tcW w:w="2900" w:type="dxa"/>
            <w:vAlign w:val="center"/>
          </w:tcPr>
          <w:p>
            <w:pPr>
              <w:jc w:val="center"/>
              <w:rPr>
                <w:rFonts w:hint="eastAsia"/>
                <w:highlight w:val="none"/>
                <w:vertAlign w:val="baseline"/>
                <w:lang w:eastAsia="zh-CN"/>
              </w:rPr>
            </w:pPr>
            <w:r>
              <w:rPr>
                <w:rFonts w:hint="eastAsia"/>
                <w:highlight w:val="none"/>
                <w:vertAlign w:val="baseline"/>
                <w:lang w:eastAsia="zh-CN"/>
              </w:rPr>
              <w:t>与煤泥混合后外售</w:t>
            </w:r>
          </w:p>
        </w:tc>
        <w:tc>
          <w:tcPr>
            <w:tcW w:w="4353" w:type="dxa"/>
            <w:gridSpan w:val="2"/>
            <w:vMerge w:val="restart"/>
            <w:vAlign w:val="center"/>
          </w:tcPr>
          <w:p>
            <w:pPr>
              <w:jc w:val="center"/>
              <w:rPr>
                <w:rFonts w:hint="eastAsia"/>
                <w:highlight w:val="none"/>
                <w:vertAlign w:val="baseline"/>
                <w:lang w:val="en-US" w:eastAsia="zh-CN"/>
              </w:rPr>
            </w:pPr>
            <w:r>
              <w:rPr>
                <w:rFonts w:hint="eastAsia"/>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262" w:type="dxa"/>
            <w:vMerge w:val="continue"/>
            <w:vAlign w:val="center"/>
          </w:tcPr>
          <w:p>
            <w:pPr>
              <w:jc w:val="center"/>
              <w:rPr>
                <w:rFonts w:hint="eastAsia"/>
                <w:highlight w:val="none"/>
                <w:vertAlign w:val="baseline"/>
                <w:lang w:eastAsia="zh-CN"/>
              </w:rPr>
            </w:pPr>
          </w:p>
        </w:tc>
        <w:tc>
          <w:tcPr>
            <w:tcW w:w="943" w:type="dxa"/>
            <w:vMerge w:val="continue"/>
            <w:vAlign w:val="center"/>
          </w:tcPr>
          <w:p>
            <w:pPr>
              <w:jc w:val="center"/>
              <w:rPr>
                <w:rFonts w:hint="eastAsia"/>
                <w:highlight w:val="none"/>
                <w:vertAlign w:val="baseline"/>
                <w:lang w:val="en-US" w:eastAsia="zh-CN"/>
              </w:rPr>
            </w:pPr>
          </w:p>
        </w:tc>
        <w:tc>
          <w:tcPr>
            <w:tcW w:w="798" w:type="dxa"/>
            <w:vMerge w:val="continue"/>
            <w:tcBorders>
              <w:right w:val="single" w:color="000000" w:sz="4" w:space="0"/>
            </w:tcBorders>
            <w:vAlign w:val="center"/>
          </w:tcPr>
          <w:p>
            <w:pPr>
              <w:jc w:val="center"/>
              <w:rPr>
                <w:rFonts w:hint="eastAsia"/>
                <w:highlight w:val="none"/>
                <w:vertAlign w:val="baseline"/>
                <w:lang w:val="en-US" w:eastAsia="zh-CN"/>
              </w:rPr>
            </w:pPr>
          </w:p>
        </w:tc>
        <w:tc>
          <w:tcPr>
            <w:tcW w:w="1347" w:type="dxa"/>
            <w:tcBorders>
              <w:left w:val="single" w:color="000000" w:sz="4" w:space="0"/>
            </w:tcBorders>
            <w:vAlign w:val="center"/>
          </w:tcPr>
          <w:p>
            <w:pPr>
              <w:jc w:val="center"/>
              <w:rPr>
                <w:rFonts w:hint="eastAsia"/>
                <w:highlight w:val="none"/>
                <w:vertAlign w:val="baseline"/>
                <w:lang w:val="en-US" w:eastAsia="zh-CN"/>
              </w:rPr>
            </w:pPr>
            <w:r>
              <w:rPr>
                <w:rFonts w:hint="eastAsia"/>
                <w:highlight w:val="none"/>
                <w:vertAlign w:val="baseline"/>
                <w:lang w:val="en-US" w:eastAsia="zh-CN"/>
              </w:rPr>
              <w:t>制砖生产线</w:t>
            </w:r>
          </w:p>
        </w:tc>
        <w:tc>
          <w:tcPr>
            <w:tcW w:w="2900" w:type="dxa"/>
            <w:vAlign w:val="center"/>
          </w:tcPr>
          <w:p>
            <w:pPr>
              <w:jc w:val="center"/>
              <w:rPr>
                <w:rFonts w:hint="eastAsia"/>
                <w:highlight w:val="none"/>
                <w:vertAlign w:val="baseline"/>
                <w:lang w:val="en-US" w:eastAsia="zh-CN"/>
              </w:rPr>
            </w:pPr>
            <w:r>
              <w:rPr>
                <w:rFonts w:hint="eastAsia"/>
                <w:highlight w:val="none"/>
                <w:vertAlign w:val="baseline"/>
                <w:lang w:val="en-US" w:eastAsia="zh-CN"/>
              </w:rPr>
              <w:t>22.10</w:t>
            </w:r>
          </w:p>
        </w:tc>
        <w:tc>
          <w:tcPr>
            <w:tcW w:w="2900" w:type="dxa"/>
            <w:vAlign w:val="center"/>
          </w:tcPr>
          <w:p>
            <w:pPr>
              <w:jc w:val="center"/>
              <w:rPr>
                <w:rFonts w:hint="eastAsia"/>
                <w:highlight w:val="none"/>
                <w:vertAlign w:val="baseline"/>
                <w:lang w:eastAsia="zh-CN"/>
              </w:rPr>
            </w:pPr>
            <w:r>
              <w:rPr>
                <w:rFonts w:hint="eastAsia"/>
                <w:highlight w:val="none"/>
                <w:vertAlign w:val="baseline"/>
                <w:lang w:eastAsia="zh-CN"/>
              </w:rPr>
              <w:t>回用与制砖工段生产</w:t>
            </w:r>
          </w:p>
        </w:tc>
        <w:tc>
          <w:tcPr>
            <w:tcW w:w="4353" w:type="dxa"/>
            <w:gridSpan w:val="2"/>
            <w:vMerge w:val="continue"/>
            <w:vAlign w:val="center"/>
          </w:tcPr>
          <w:p>
            <w:p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262" w:type="dxa"/>
            <w:vAlign w:val="center"/>
          </w:tcPr>
          <w:p>
            <w:pPr>
              <w:jc w:val="center"/>
              <w:rPr>
                <w:rFonts w:hint="eastAsia"/>
                <w:highlight w:val="none"/>
                <w:vertAlign w:val="baseline"/>
                <w:lang w:eastAsia="zh-CN"/>
              </w:rPr>
            </w:pPr>
            <w:r>
              <w:rPr>
                <w:rFonts w:hint="eastAsia"/>
                <w:highlight w:val="none"/>
                <w:vertAlign w:val="baseline"/>
                <w:lang w:eastAsia="zh-CN"/>
              </w:rPr>
              <w:t>制砖</w:t>
            </w:r>
          </w:p>
        </w:tc>
        <w:tc>
          <w:tcPr>
            <w:tcW w:w="943" w:type="dxa"/>
            <w:vAlign w:val="center"/>
          </w:tcPr>
          <w:p>
            <w:pPr>
              <w:jc w:val="center"/>
              <w:rPr>
                <w:rFonts w:hint="eastAsia"/>
                <w:highlight w:val="none"/>
                <w:vertAlign w:val="baseline"/>
                <w:lang w:val="en-US" w:eastAsia="zh-CN"/>
              </w:rPr>
            </w:pPr>
            <w:r>
              <w:rPr>
                <w:rFonts w:hint="eastAsia"/>
                <w:highlight w:val="none"/>
                <w:vertAlign w:val="baseline"/>
                <w:lang w:val="en-US" w:eastAsia="zh-CN"/>
              </w:rPr>
              <w:t>损坏成品</w:t>
            </w:r>
          </w:p>
        </w:tc>
        <w:tc>
          <w:tcPr>
            <w:tcW w:w="2145"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厂内转运过程</w:t>
            </w:r>
          </w:p>
        </w:tc>
        <w:tc>
          <w:tcPr>
            <w:tcW w:w="2900" w:type="dxa"/>
            <w:vAlign w:val="center"/>
          </w:tcPr>
          <w:p>
            <w:pPr>
              <w:jc w:val="center"/>
              <w:rPr>
                <w:rFonts w:hint="eastAsia"/>
                <w:highlight w:val="none"/>
                <w:vertAlign w:val="baseline"/>
                <w:lang w:val="en-US" w:eastAsia="zh-CN"/>
              </w:rPr>
            </w:pPr>
            <w:r>
              <w:rPr>
                <w:rFonts w:hint="eastAsia"/>
                <w:highlight w:val="none"/>
                <w:vertAlign w:val="baseline"/>
                <w:lang w:val="en-US" w:eastAsia="zh-CN"/>
              </w:rPr>
              <w:t>24</w:t>
            </w:r>
          </w:p>
        </w:tc>
        <w:tc>
          <w:tcPr>
            <w:tcW w:w="2900" w:type="dxa"/>
            <w:vAlign w:val="center"/>
          </w:tcPr>
          <w:p>
            <w:pPr>
              <w:jc w:val="center"/>
              <w:rPr>
                <w:rFonts w:hint="eastAsia"/>
                <w:highlight w:val="none"/>
                <w:vertAlign w:val="baseline"/>
                <w:lang w:eastAsia="zh-CN"/>
              </w:rPr>
            </w:pPr>
            <w:r>
              <w:rPr>
                <w:rFonts w:hint="eastAsia"/>
                <w:highlight w:val="none"/>
                <w:vertAlign w:val="baseline"/>
                <w:lang w:eastAsia="zh-CN"/>
              </w:rPr>
              <w:t>回用制砖</w:t>
            </w:r>
          </w:p>
        </w:tc>
        <w:tc>
          <w:tcPr>
            <w:tcW w:w="4353"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262" w:type="dxa"/>
            <w:vMerge w:val="restart"/>
            <w:vAlign w:val="center"/>
          </w:tcPr>
          <w:p>
            <w:pPr>
              <w:jc w:val="center"/>
              <w:rPr>
                <w:rFonts w:hint="eastAsia"/>
                <w:highlight w:val="none"/>
                <w:vertAlign w:val="baseline"/>
                <w:lang w:eastAsia="zh-CN"/>
              </w:rPr>
            </w:pPr>
            <w:r>
              <w:rPr>
                <w:rFonts w:hint="eastAsia"/>
                <w:highlight w:val="none"/>
                <w:vertAlign w:val="baseline"/>
                <w:lang w:eastAsia="zh-CN"/>
              </w:rPr>
              <w:t>生活</w:t>
            </w:r>
          </w:p>
        </w:tc>
        <w:tc>
          <w:tcPr>
            <w:tcW w:w="943" w:type="dxa"/>
            <w:vAlign w:val="center"/>
          </w:tcPr>
          <w:p>
            <w:pPr>
              <w:jc w:val="center"/>
              <w:rPr>
                <w:rFonts w:hint="eastAsia"/>
                <w:highlight w:val="none"/>
                <w:vertAlign w:val="baseline"/>
                <w:lang w:val="en-US" w:eastAsia="zh-CN"/>
              </w:rPr>
            </w:pPr>
            <w:r>
              <w:rPr>
                <w:rFonts w:hint="eastAsia"/>
                <w:highlight w:val="none"/>
                <w:vertAlign w:val="baseline"/>
                <w:lang w:val="en-US" w:eastAsia="zh-CN"/>
              </w:rPr>
              <w:t>废油脂</w:t>
            </w:r>
          </w:p>
        </w:tc>
        <w:tc>
          <w:tcPr>
            <w:tcW w:w="2145"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隔油池</w:t>
            </w:r>
          </w:p>
        </w:tc>
        <w:tc>
          <w:tcPr>
            <w:tcW w:w="2900" w:type="dxa"/>
            <w:vAlign w:val="center"/>
          </w:tcPr>
          <w:p>
            <w:pPr>
              <w:jc w:val="center"/>
              <w:rPr>
                <w:rFonts w:hint="eastAsia"/>
                <w:highlight w:val="none"/>
                <w:vertAlign w:val="baseline"/>
                <w:lang w:val="en-US" w:eastAsia="zh-CN"/>
              </w:rPr>
            </w:pPr>
            <w:r>
              <w:rPr>
                <w:rFonts w:hint="eastAsia"/>
                <w:highlight w:val="none"/>
                <w:vertAlign w:val="baseline"/>
                <w:lang w:val="en-US" w:eastAsia="zh-CN"/>
              </w:rPr>
              <w:t>1.26</w:t>
            </w:r>
          </w:p>
        </w:tc>
        <w:tc>
          <w:tcPr>
            <w:tcW w:w="2900" w:type="dxa"/>
            <w:vAlign w:val="center"/>
          </w:tcPr>
          <w:p>
            <w:pPr>
              <w:jc w:val="center"/>
              <w:rPr>
                <w:rFonts w:hint="eastAsia"/>
                <w:highlight w:val="none"/>
                <w:vertAlign w:val="baseline"/>
                <w:lang w:eastAsia="zh-CN"/>
              </w:rPr>
            </w:pPr>
            <w:r>
              <w:rPr>
                <w:rFonts w:hint="eastAsia"/>
                <w:highlight w:val="none"/>
                <w:vertAlign w:val="baseline"/>
                <w:lang w:eastAsia="zh-CN"/>
              </w:rPr>
              <w:t>委托有资质单位转运处置</w:t>
            </w:r>
          </w:p>
        </w:tc>
        <w:tc>
          <w:tcPr>
            <w:tcW w:w="4353"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262" w:type="dxa"/>
            <w:vMerge w:val="continue"/>
            <w:vAlign w:val="center"/>
          </w:tcPr>
          <w:p>
            <w:pPr>
              <w:jc w:val="center"/>
              <w:rPr>
                <w:rFonts w:hint="eastAsia"/>
                <w:highlight w:val="none"/>
                <w:vertAlign w:val="baseline"/>
                <w:lang w:eastAsia="zh-CN"/>
              </w:rPr>
            </w:pPr>
          </w:p>
        </w:tc>
        <w:tc>
          <w:tcPr>
            <w:tcW w:w="943" w:type="dxa"/>
            <w:vAlign w:val="center"/>
          </w:tcPr>
          <w:p>
            <w:pPr>
              <w:jc w:val="center"/>
              <w:rPr>
                <w:rFonts w:hint="eastAsia"/>
                <w:highlight w:val="none"/>
                <w:vertAlign w:val="baseline"/>
                <w:lang w:val="en-US" w:eastAsia="zh-CN"/>
              </w:rPr>
            </w:pPr>
            <w:r>
              <w:rPr>
                <w:rFonts w:hint="eastAsia"/>
                <w:highlight w:val="none"/>
                <w:vertAlign w:val="baseline"/>
                <w:lang w:val="en-US" w:eastAsia="zh-CN"/>
              </w:rPr>
              <w:t>生活餐饮垃圾</w:t>
            </w:r>
          </w:p>
        </w:tc>
        <w:tc>
          <w:tcPr>
            <w:tcW w:w="2145"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w:t>
            </w:r>
          </w:p>
        </w:tc>
        <w:tc>
          <w:tcPr>
            <w:tcW w:w="2900" w:type="dxa"/>
            <w:vAlign w:val="center"/>
          </w:tcPr>
          <w:p>
            <w:pPr>
              <w:jc w:val="center"/>
              <w:rPr>
                <w:rFonts w:hint="eastAsia"/>
                <w:highlight w:val="none"/>
                <w:vertAlign w:val="baseline"/>
                <w:lang w:val="en-US" w:eastAsia="zh-CN"/>
              </w:rPr>
            </w:pPr>
            <w:r>
              <w:rPr>
                <w:rFonts w:hint="eastAsia"/>
                <w:highlight w:val="none"/>
                <w:vertAlign w:val="baseline"/>
                <w:lang w:val="en-US" w:eastAsia="zh-CN"/>
              </w:rPr>
              <w:t>68.6</w:t>
            </w:r>
          </w:p>
        </w:tc>
        <w:tc>
          <w:tcPr>
            <w:tcW w:w="2900" w:type="dxa"/>
            <w:vAlign w:val="center"/>
          </w:tcPr>
          <w:p>
            <w:pPr>
              <w:jc w:val="center"/>
              <w:rPr>
                <w:rFonts w:hint="eastAsia"/>
                <w:highlight w:val="none"/>
                <w:vertAlign w:val="baseline"/>
                <w:lang w:eastAsia="zh-CN"/>
              </w:rPr>
            </w:pPr>
            <w:r>
              <w:rPr>
                <w:rFonts w:hint="eastAsia"/>
                <w:highlight w:val="none"/>
                <w:vertAlign w:val="baseline"/>
                <w:lang w:eastAsia="zh-CN"/>
              </w:rPr>
              <w:t>定点收集，由环卫部门清运</w:t>
            </w:r>
          </w:p>
        </w:tc>
        <w:tc>
          <w:tcPr>
            <w:tcW w:w="4353"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262" w:type="dxa"/>
            <w:vAlign w:val="center"/>
          </w:tcPr>
          <w:p>
            <w:pPr>
              <w:jc w:val="center"/>
              <w:rPr>
                <w:rFonts w:hint="eastAsia"/>
                <w:highlight w:val="none"/>
                <w:vertAlign w:val="baseline"/>
                <w:lang w:eastAsia="zh-CN"/>
              </w:rPr>
            </w:pPr>
            <w:r>
              <w:rPr>
                <w:rFonts w:hint="eastAsia"/>
                <w:highlight w:val="none"/>
                <w:vertAlign w:val="baseline"/>
                <w:lang w:eastAsia="zh-CN"/>
              </w:rPr>
              <w:t>设备维护</w:t>
            </w:r>
          </w:p>
        </w:tc>
        <w:tc>
          <w:tcPr>
            <w:tcW w:w="943" w:type="dxa"/>
            <w:vAlign w:val="center"/>
          </w:tcPr>
          <w:p>
            <w:pPr>
              <w:jc w:val="center"/>
              <w:rPr>
                <w:rFonts w:hint="eastAsia"/>
                <w:highlight w:val="none"/>
                <w:vertAlign w:val="baseline"/>
                <w:lang w:val="en-US" w:eastAsia="zh-CN"/>
              </w:rPr>
            </w:pPr>
            <w:r>
              <w:rPr>
                <w:rFonts w:hint="eastAsia"/>
                <w:highlight w:val="none"/>
                <w:vertAlign w:val="baseline"/>
                <w:lang w:val="en-US" w:eastAsia="zh-CN"/>
              </w:rPr>
              <w:t>废机油</w:t>
            </w:r>
          </w:p>
        </w:tc>
        <w:tc>
          <w:tcPr>
            <w:tcW w:w="2145"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设备维护</w:t>
            </w:r>
          </w:p>
        </w:tc>
        <w:tc>
          <w:tcPr>
            <w:tcW w:w="2900" w:type="dxa"/>
            <w:vAlign w:val="center"/>
          </w:tcPr>
          <w:p>
            <w:pPr>
              <w:jc w:val="center"/>
              <w:rPr>
                <w:rFonts w:hint="eastAsia"/>
                <w:highlight w:val="none"/>
                <w:vertAlign w:val="baseline"/>
                <w:lang w:val="en-US" w:eastAsia="zh-CN"/>
              </w:rPr>
            </w:pPr>
            <w:r>
              <w:rPr>
                <w:rFonts w:hint="eastAsia"/>
                <w:highlight w:val="none"/>
                <w:vertAlign w:val="baseline"/>
                <w:lang w:val="en-US" w:eastAsia="zh-CN"/>
              </w:rPr>
              <w:t>0.1</w:t>
            </w:r>
          </w:p>
        </w:tc>
        <w:tc>
          <w:tcPr>
            <w:tcW w:w="2900" w:type="dxa"/>
            <w:vAlign w:val="center"/>
          </w:tcPr>
          <w:p>
            <w:pPr>
              <w:jc w:val="center"/>
              <w:rPr>
                <w:rFonts w:hint="eastAsia"/>
                <w:highlight w:val="none"/>
                <w:vertAlign w:val="baseline"/>
                <w:lang w:eastAsia="zh-CN"/>
              </w:rPr>
            </w:pPr>
            <w:r>
              <w:rPr>
                <w:rFonts w:hint="eastAsia"/>
                <w:highlight w:val="none"/>
                <w:vertAlign w:val="baseline"/>
                <w:lang w:eastAsia="zh-CN"/>
              </w:rPr>
              <w:t>定点收集存放于危废暂存间内，定期委托有资质单位处置</w:t>
            </w:r>
          </w:p>
        </w:tc>
        <w:tc>
          <w:tcPr>
            <w:tcW w:w="4353" w:type="dxa"/>
            <w:gridSpan w:val="2"/>
            <w:vAlign w:val="center"/>
          </w:tcPr>
          <w:p>
            <w:pPr>
              <w:jc w:val="center"/>
              <w:rPr>
                <w:rFonts w:hint="eastAsia"/>
                <w:highlight w:val="none"/>
                <w:vertAlign w:val="baseline"/>
                <w:lang w:val="en-US" w:eastAsia="zh-CN"/>
              </w:rPr>
            </w:pPr>
            <w:r>
              <w:rPr>
                <w:rFonts w:hint="eastAsia"/>
                <w:highlight w:val="none"/>
                <w:vertAlign w:val="baseline"/>
                <w:lang w:val="en-US" w:eastAsia="zh-CN"/>
              </w:rPr>
              <w:t>0.1</w:t>
            </w:r>
          </w:p>
        </w:tc>
      </w:tr>
    </w:tbl>
    <w:p/>
    <w:p/>
    <w:p/>
    <w:p/>
    <w:p/>
    <w:p>
      <w:pPr>
        <w:pStyle w:val="2"/>
        <w:sectPr>
          <w:pgSz w:w="16840" w:h="11907" w:orient="landscape"/>
          <w:pgMar w:top="1701" w:right="1418"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ind w:firstLine="321"/>
        <w:jc w:val="left"/>
        <w:rPr>
          <w:rFonts w:ascii="Times New Roman" w:eastAsia="宋体"/>
          <w:b/>
          <w:sz w:val="32"/>
          <w:szCs w:val="32"/>
        </w:rPr>
      </w:pPr>
      <w:r>
        <w:rPr>
          <w:rFonts w:ascii="Times New Roman" w:eastAsia="宋体"/>
          <w:b/>
          <w:sz w:val="32"/>
          <w:szCs w:val="32"/>
        </w:rPr>
        <w:t>建设项目拟采取的防治措施及预期治理效果</w:t>
      </w:r>
      <w:bookmarkEnd w:id="21"/>
    </w:p>
    <w:tbl>
      <w:tblPr>
        <w:tblStyle w:val="34"/>
        <w:tblW w:w="928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45"/>
        <w:gridCol w:w="1774"/>
        <w:gridCol w:w="2285"/>
        <w:gridCol w:w="26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42" w:type="dxa"/>
            <w:tcBorders>
              <w:tl2br w:val="nil"/>
              <w:tr2bl w:val="nil"/>
            </w:tcBorders>
          </w:tcPr>
          <w:p>
            <w:pPr>
              <w:ind w:firstLine="310" w:firstLineChars="147"/>
              <w:rPr>
                <w:b/>
                <w:bCs/>
                <w:sz w:val="21"/>
                <w:szCs w:val="21"/>
              </w:rPr>
            </w:pPr>
            <w:r>
              <w:rPr>
                <w:rFonts w:hint="eastAsia"/>
                <w:b/>
                <w:bCs/>
                <w:sz w:val="21"/>
                <w:szCs w:val="21"/>
              </w:rPr>
              <w:t>内容</w:t>
            </w:r>
          </w:p>
          <w:p>
            <w:pPr>
              <w:rPr>
                <w:b/>
                <w:bCs/>
                <w:sz w:val="21"/>
                <w:szCs w:val="21"/>
              </w:rPr>
            </w:pPr>
            <w:r>
              <w:rPr>
                <w:b/>
                <w:bCs/>
                <w:sz w:val="21"/>
                <w:szCs w:val="21"/>
              </w:rPr>
              <w:t>类型</w:t>
            </w:r>
          </w:p>
        </w:tc>
        <w:tc>
          <w:tcPr>
            <w:tcW w:w="1345" w:type="dxa"/>
            <w:tcBorders>
              <w:tl2br w:val="nil"/>
              <w:tr2bl w:val="nil"/>
            </w:tcBorders>
            <w:vAlign w:val="center"/>
          </w:tcPr>
          <w:p>
            <w:pPr>
              <w:jc w:val="center"/>
              <w:rPr>
                <w:b/>
                <w:bCs/>
                <w:sz w:val="21"/>
                <w:szCs w:val="21"/>
              </w:rPr>
            </w:pPr>
            <w:r>
              <w:rPr>
                <w:b/>
                <w:bCs/>
                <w:sz w:val="21"/>
                <w:szCs w:val="21"/>
              </w:rPr>
              <w:t>排放源</w:t>
            </w:r>
          </w:p>
        </w:tc>
        <w:tc>
          <w:tcPr>
            <w:tcW w:w="1774" w:type="dxa"/>
            <w:tcBorders>
              <w:tl2br w:val="nil"/>
              <w:tr2bl w:val="nil"/>
            </w:tcBorders>
            <w:vAlign w:val="center"/>
          </w:tcPr>
          <w:p>
            <w:pPr>
              <w:jc w:val="center"/>
              <w:rPr>
                <w:b/>
                <w:bCs/>
                <w:sz w:val="21"/>
                <w:szCs w:val="21"/>
              </w:rPr>
            </w:pPr>
            <w:r>
              <w:rPr>
                <w:b/>
                <w:bCs/>
                <w:sz w:val="21"/>
                <w:szCs w:val="21"/>
              </w:rPr>
              <w:t>污染物</w:t>
            </w:r>
          </w:p>
          <w:p>
            <w:pPr>
              <w:jc w:val="center"/>
              <w:rPr>
                <w:b/>
                <w:bCs/>
                <w:sz w:val="21"/>
                <w:szCs w:val="21"/>
              </w:rPr>
            </w:pPr>
            <w:r>
              <w:rPr>
                <w:b/>
                <w:bCs/>
                <w:sz w:val="21"/>
                <w:szCs w:val="21"/>
              </w:rPr>
              <w:t>名称</w:t>
            </w:r>
          </w:p>
        </w:tc>
        <w:tc>
          <w:tcPr>
            <w:tcW w:w="2285" w:type="dxa"/>
            <w:tcBorders>
              <w:tl2br w:val="nil"/>
              <w:tr2bl w:val="nil"/>
            </w:tcBorders>
            <w:vAlign w:val="center"/>
          </w:tcPr>
          <w:p>
            <w:pPr>
              <w:ind w:firstLine="281"/>
              <w:jc w:val="center"/>
              <w:rPr>
                <w:b/>
                <w:bCs/>
                <w:sz w:val="21"/>
                <w:szCs w:val="21"/>
              </w:rPr>
            </w:pPr>
            <w:r>
              <w:rPr>
                <w:b/>
                <w:bCs/>
                <w:sz w:val="21"/>
                <w:szCs w:val="21"/>
              </w:rPr>
              <w:t>防治措施</w:t>
            </w:r>
          </w:p>
        </w:tc>
        <w:tc>
          <w:tcPr>
            <w:tcW w:w="2642" w:type="dxa"/>
            <w:tcBorders>
              <w:tl2br w:val="nil"/>
              <w:tr2bl w:val="nil"/>
            </w:tcBorders>
            <w:vAlign w:val="center"/>
          </w:tcPr>
          <w:p>
            <w:pPr>
              <w:ind w:firstLine="281"/>
              <w:jc w:val="center"/>
              <w:rPr>
                <w:b/>
                <w:bCs/>
                <w:sz w:val="21"/>
                <w:szCs w:val="21"/>
              </w:rPr>
            </w:pPr>
            <w:r>
              <w:rPr>
                <w:b/>
                <w:bCs/>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1242" w:type="dxa"/>
            <w:vMerge w:val="restart"/>
            <w:tcBorders>
              <w:tl2br w:val="nil"/>
              <w:tr2bl w:val="nil"/>
            </w:tcBorders>
            <w:vAlign w:val="center"/>
          </w:tcPr>
          <w:p>
            <w:pPr>
              <w:spacing w:line="240" w:lineRule="auto"/>
              <w:ind w:left="-5" w:leftChars="-6" w:hanging="8" w:hangingChars="4"/>
              <w:jc w:val="center"/>
              <w:rPr>
                <w:b/>
                <w:bCs/>
                <w:sz w:val="21"/>
                <w:szCs w:val="21"/>
              </w:rPr>
            </w:pPr>
            <w:r>
              <w:rPr>
                <w:b/>
                <w:bCs/>
                <w:sz w:val="21"/>
                <w:szCs w:val="21"/>
              </w:rPr>
              <w:t>大气</w:t>
            </w:r>
          </w:p>
          <w:p>
            <w:pPr>
              <w:spacing w:line="240" w:lineRule="auto"/>
              <w:ind w:left="-5" w:leftChars="-6" w:hanging="8" w:hangingChars="4"/>
              <w:jc w:val="center"/>
              <w:rPr>
                <w:b/>
                <w:bCs/>
                <w:sz w:val="21"/>
                <w:szCs w:val="21"/>
              </w:rPr>
            </w:pPr>
            <w:r>
              <w:rPr>
                <w:b/>
                <w:bCs/>
                <w:sz w:val="21"/>
                <w:szCs w:val="21"/>
              </w:rPr>
              <w:t>污染物</w:t>
            </w:r>
          </w:p>
        </w:tc>
        <w:tc>
          <w:tcPr>
            <w:tcW w:w="1345" w:type="dxa"/>
            <w:tcBorders>
              <w:tl2br w:val="nil"/>
              <w:tr2bl w:val="nil"/>
            </w:tcBorders>
            <w:vAlign w:val="center"/>
          </w:tcPr>
          <w:p>
            <w:pPr>
              <w:jc w:val="center"/>
              <w:rPr>
                <w:rFonts w:hint="eastAsia"/>
                <w:lang w:eastAsia="zh-CN"/>
              </w:rPr>
            </w:pPr>
            <w:r>
              <w:rPr>
                <w:rFonts w:hint="eastAsia"/>
                <w:lang w:eastAsia="zh-CN"/>
              </w:rPr>
              <w:t>洗煤工段</w:t>
            </w:r>
          </w:p>
          <w:p>
            <w:pPr>
              <w:spacing w:line="240" w:lineRule="auto"/>
              <w:jc w:val="center"/>
              <w:rPr>
                <w:sz w:val="21"/>
                <w:szCs w:val="21"/>
              </w:rPr>
            </w:pPr>
            <w:r>
              <w:rPr>
                <w:rFonts w:hint="eastAsia"/>
                <w:lang w:eastAsia="zh-CN"/>
              </w:rPr>
              <w:t>筛分破碎</w:t>
            </w:r>
          </w:p>
        </w:tc>
        <w:tc>
          <w:tcPr>
            <w:tcW w:w="1774" w:type="dxa"/>
            <w:tcBorders>
              <w:tl2br w:val="nil"/>
              <w:tr2bl w:val="nil"/>
            </w:tcBorders>
            <w:vAlign w:val="center"/>
          </w:tcPr>
          <w:p>
            <w:pPr>
              <w:spacing w:line="240" w:lineRule="auto"/>
              <w:ind w:firstLine="240"/>
              <w:jc w:val="center"/>
              <w:rPr>
                <w:rFonts w:hint="eastAsia" w:eastAsia="宋体"/>
                <w:sz w:val="21"/>
                <w:szCs w:val="21"/>
                <w:lang w:eastAsia="zh-CN"/>
              </w:rPr>
            </w:pPr>
            <w:r>
              <w:rPr>
                <w:rFonts w:hint="eastAsia"/>
                <w:sz w:val="21"/>
                <w:szCs w:val="21"/>
                <w:lang w:eastAsia="zh-CN"/>
              </w:rPr>
              <w:t>粉尘</w:t>
            </w:r>
          </w:p>
        </w:tc>
        <w:tc>
          <w:tcPr>
            <w:tcW w:w="2285" w:type="dxa"/>
            <w:tcBorders>
              <w:tl2br w:val="nil"/>
              <w:tr2bl w:val="nil"/>
            </w:tcBorders>
            <w:vAlign w:val="center"/>
          </w:tcPr>
          <w:p>
            <w:pPr>
              <w:snapToGrid w:val="0"/>
              <w:jc w:val="center"/>
              <w:rPr>
                <w:rFonts w:hint="eastAsia" w:eastAsia="宋体"/>
                <w:sz w:val="21"/>
                <w:szCs w:val="21"/>
                <w:lang w:eastAsia="zh-CN"/>
              </w:rPr>
            </w:pPr>
            <w:r>
              <w:rPr>
                <w:rFonts w:hint="eastAsia"/>
                <w:lang w:eastAsia="zh-CN"/>
              </w:rPr>
              <w:t>集气罩收集后由布袋除尘器处理，</w:t>
            </w:r>
            <w:r>
              <w:rPr>
                <w:rFonts w:hint="eastAsia"/>
                <w:lang w:val="en-US" w:eastAsia="zh-CN"/>
              </w:rPr>
              <w:t>15m排气筒排放，设置</w:t>
            </w:r>
            <w:r>
              <w:rPr>
                <w:rFonts w:hint="eastAsia"/>
                <w:color w:val="auto"/>
                <w:szCs w:val="21"/>
                <w:lang w:val="en-US" w:eastAsia="zh-CN"/>
              </w:rPr>
              <w:t>喷淋洒水装置</w:t>
            </w:r>
          </w:p>
        </w:tc>
        <w:tc>
          <w:tcPr>
            <w:tcW w:w="2642" w:type="dxa"/>
            <w:tcBorders>
              <w:tl2br w:val="nil"/>
              <w:tr2bl w:val="nil"/>
            </w:tcBorders>
            <w:vAlign w:val="center"/>
          </w:tcPr>
          <w:p>
            <w:pPr>
              <w:spacing w:line="240" w:lineRule="auto"/>
              <w:rPr>
                <w:sz w:val="21"/>
                <w:szCs w:val="21"/>
              </w:rPr>
            </w:pPr>
            <w:r>
              <w:rPr>
                <w:rFonts w:hint="eastAsia"/>
                <w:b w:val="0"/>
                <w:color w:val="auto"/>
                <w:sz w:val="21"/>
                <w:szCs w:val="21"/>
              </w:rPr>
              <w:t>满足《煤炭工业污染物排放标准》（GB20426-2006）表4中颗粒物浓度限值小于80mg/m</w:t>
            </w:r>
            <w:r>
              <w:rPr>
                <w:rFonts w:hint="eastAsia"/>
                <w:b w:val="0"/>
                <w:color w:val="auto"/>
                <w:sz w:val="21"/>
                <w:szCs w:val="21"/>
                <w:vertAlign w:val="superscript"/>
              </w:rPr>
              <w:t>3</w:t>
            </w:r>
            <w:r>
              <w:rPr>
                <w:rFonts w:hint="eastAsia"/>
                <w:b w:val="0"/>
                <w:color w:val="auto"/>
                <w:sz w:val="21"/>
                <w:szCs w:val="21"/>
              </w:rPr>
              <w:t>及其表5中无组织排放限值低于1.0mg/m</w:t>
            </w:r>
            <w:r>
              <w:rPr>
                <w:rFonts w:hint="eastAsia"/>
                <w:b w:val="0"/>
                <w:color w:val="auto"/>
                <w:sz w:val="21"/>
                <w:szCs w:val="21"/>
                <w:vertAlign w:val="superscript"/>
              </w:rPr>
              <w:t>3</w:t>
            </w:r>
            <w:r>
              <w:rPr>
                <w:rFonts w:hint="eastAsia"/>
                <w:b w:val="0"/>
                <w:color w:val="auto"/>
                <w:sz w:val="21"/>
                <w:szCs w:val="21"/>
              </w:rPr>
              <w:t>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2" w:type="dxa"/>
            <w:vMerge w:val="continue"/>
            <w:tcBorders>
              <w:tl2br w:val="nil"/>
              <w:tr2bl w:val="nil"/>
            </w:tcBorders>
            <w:vAlign w:val="center"/>
          </w:tcPr>
          <w:p>
            <w:pPr>
              <w:spacing w:line="240" w:lineRule="auto"/>
              <w:ind w:left="-5" w:leftChars="-6" w:hanging="8" w:hangingChars="4"/>
              <w:jc w:val="center"/>
              <w:rPr>
                <w:b/>
                <w:bCs/>
                <w:sz w:val="21"/>
                <w:szCs w:val="21"/>
              </w:rPr>
            </w:pPr>
          </w:p>
        </w:tc>
        <w:tc>
          <w:tcPr>
            <w:tcW w:w="1345" w:type="dxa"/>
            <w:tcBorders>
              <w:tl2br w:val="nil"/>
              <w:tr2bl w:val="nil"/>
            </w:tcBorders>
            <w:vAlign w:val="center"/>
          </w:tcPr>
          <w:p>
            <w:pPr>
              <w:jc w:val="center"/>
              <w:rPr>
                <w:rFonts w:hint="eastAsia"/>
                <w:lang w:eastAsia="zh-CN"/>
              </w:rPr>
            </w:pPr>
            <w:r>
              <w:rPr>
                <w:rFonts w:hint="eastAsia"/>
                <w:lang w:eastAsia="zh-CN"/>
              </w:rPr>
              <w:t>制砖工段</w:t>
            </w:r>
          </w:p>
          <w:p>
            <w:pPr>
              <w:spacing w:line="240" w:lineRule="auto"/>
              <w:jc w:val="center"/>
              <w:rPr>
                <w:rFonts w:hint="eastAsia" w:eastAsia="宋体"/>
                <w:sz w:val="21"/>
                <w:szCs w:val="21"/>
                <w:lang w:eastAsia="zh-CN"/>
              </w:rPr>
            </w:pPr>
            <w:r>
              <w:rPr>
                <w:rFonts w:hint="eastAsia"/>
                <w:sz w:val="21"/>
                <w:szCs w:val="21"/>
                <w:lang w:eastAsia="zh-CN"/>
              </w:rPr>
              <w:t>煤矸石破碎</w:t>
            </w:r>
          </w:p>
        </w:tc>
        <w:tc>
          <w:tcPr>
            <w:tcW w:w="1774" w:type="dxa"/>
            <w:tcBorders>
              <w:tl2br w:val="nil"/>
              <w:tr2bl w:val="nil"/>
            </w:tcBorders>
            <w:vAlign w:val="center"/>
          </w:tcPr>
          <w:p>
            <w:pPr>
              <w:spacing w:line="240" w:lineRule="auto"/>
              <w:jc w:val="center"/>
              <w:rPr>
                <w:sz w:val="21"/>
                <w:szCs w:val="21"/>
              </w:rPr>
            </w:pPr>
            <w:r>
              <w:rPr>
                <w:rFonts w:hint="eastAsia"/>
                <w:sz w:val="21"/>
                <w:szCs w:val="21"/>
              </w:rPr>
              <w:t>粉尘</w:t>
            </w:r>
          </w:p>
        </w:tc>
        <w:tc>
          <w:tcPr>
            <w:tcW w:w="2285" w:type="dxa"/>
            <w:tcBorders>
              <w:tl2br w:val="nil"/>
              <w:tr2bl w:val="nil"/>
            </w:tcBorders>
            <w:vAlign w:val="center"/>
          </w:tcPr>
          <w:p>
            <w:pPr>
              <w:spacing w:line="240" w:lineRule="auto"/>
              <w:jc w:val="left"/>
              <w:rPr>
                <w:rFonts w:hint="eastAsia" w:eastAsia="宋体"/>
                <w:sz w:val="21"/>
                <w:szCs w:val="21"/>
                <w:lang w:eastAsia="zh-CN"/>
              </w:rPr>
            </w:pPr>
            <w:r>
              <w:rPr>
                <w:rFonts w:hint="eastAsia"/>
                <w:lang w:eastAsia="zh-CN"/>
              </w:rPr>
              <w:t>集气罩收集后由布袋除尘器处理，</w:t>
            </w:r>
            <w:r>
              <w:rPr>
                <w:rFonts w:hint="eastAsia"/>
                <w:lang w:val="en-US" w:eastAsia="zh-CN"/>
              </w:rPr>
              <w:t>15m排气筒</w:t>
            </w:r>
          </w:p>
        </w:tc>
        <w:tc>
          <w:tcPr>
            <w:tcW w:w="2642" w:type="dxa"/>
            <w:tcBorders>
              <w:tl2br w:val="nil"/>
              <w:tr2bl w:val="nil"/>
            </w:tcBorders>
            <w:vAlign w:val="center"/>
          </w:tcPr>
          <w:p>
            <w:pPr>
              <w:spacing w:line="240" w:lineRule="auto"/>
              <w:rPr>
                <w:sz w:val="21"/>
                <w:szCs w:val="21"/>
              </w:rPr>
            </w:pPr>
            <w:r>
              <w:rPr>
                <w:rFonts w:hint="eastAsia"/>
                <w:bCs/>
                <w:color w:val="auto"/>
                <w:szCs w:val="21"/>
              </w:rPr>
              <w:t>满足GB16297-1996《大气污染物综合排放标准》表2中的二级标准规定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1242" w:type="dxa"/>
            <w:vMerge w:val="continue"/>
            <w:tcBorders>
              <w:tl2br w:val="nil"/>
              <w:tr2bl w:val="nil"/>
            </w:tcBorders>
            <w:vAlign w:val="center"/>
          </w:tcPr>
          <w:p>
            <w:pPr>
              <w:spacing w:line="240" w:lineRule="auto"/>
              <w:ind w:left="-5" w:leftChars="-6" w:hanging="8" w:hangingChars="4"/>
              <w:jc w:val="center"/>
              <w:rPr>
                <w:b/>
                <w:bCs/>
                <w:sz w:val="21"/>
                <w:szCs w:val="21"/>
              </w:rPr>
            </w:pPr>
          </w:p>
        </w:tc>
        <w:tc>
          <w:tcPr>
            <w:tcW w:w="1345" w:type="dxa"/>
            <w:tcBorders>
              <w:tl2br w:val="nil"/>
              <w:tr2bl w:val="nil"/>
            </w:tcBorders>
            <w:vAlign w:val="center"/>
          </w:tcPr>
          <w:p>
            <w:pPr>
              <w:spacing w:line="240" w:lineRule="auto"/>
              <w:jc w:val="center"/>
              <w:rPr>
                <w:rFonts w:hint="eastAsia" w:eastAsia="宋体"/>
                <w:sz w:val="21"/>
                <w:szCs w:val="21"/>
                <w:lang w:eastAsia="zh-CN"/>
              </w:rPr>
            </w:pPr>
            <w:r>
              <w:rPr>
                <w:rFonts w:hint="eastAsia"/>
                <w:sz w:val="21"/>
                <w:szCs w:val="21"/>
                <w:lang w:eastAsia="zh-CN"/>
              </w:rPr>
              <w:t>粉料储罐</w:t>
            </w:r>
          </w:p>
        </w:tc>
        <w:tc>
          <w:tcPr>
            <w:tcW w:w="1774" w:type="dxa"/>
            <w:vMerge w:val="restart"/>
            <w:tcBorders>
              <w:tl2br w:val="nil"/>
              <w:tr2bl w:val="nil"/>
            </w:tcBorders>
            <w:vAlign w:val="center"/>
          </w:tcPr>
          <w:p>
            <w:pPr>
              <w:spacing w:line="240" w:lineRule="auto"/>
              <w:jc w:val="center"/>
              <w:rPr>
                <w:rFonts w:hint="eastAsia" w:eastAsia="宋体"/>
                <w:sz w:val="21"/>
                <w:szCs w:val="21"/>
                <w:lang w:eastAsia="zh-CN"/>
              </w:rPr>
            </w:pPr>
            <w:r>
              <w:rPr>
                <w:rFonts w:hint="eastAsia"/>
                <w:sz w:val="21"/>
                <w:szCs w:val="21"/>
                <w:lang w:eastAsia="zh-CN"/>
              </w:rPr>
              <w:t>粉尘</w:t>
            </w:r>
          </w:p>
        </w:tc>
        <w:tc>
          <w:tcPr>
            <w:tcW w:w="2285" w:type="dxa"/>
            <w:tcBorders>
              <w:tl2br w:val="nil"/>
              <w:tr2bl w:val="nil"/>
            </w:tcBorders>
            <w:vAlign w:val="center"/>
          </w:tcPr>
          <w:p>
            <w:pPr>
              <w:spacing w:line="240" w:lineRule="auto"/>
              <w:jc w:val="center"/>
              <w:rPr>
                <w:rFonts w:hint="eastAsia" w:eastAsia="宋体"/>
                <w:sz w:val="21"/>
                <w:szCs w:val="21"/>
                <w:lang w:eastAsia="zh-CN"/>
              </w:rPr>
            </w:pPr>
            <w:r>
              <w:rPr>
                <w:rFonts w:hint="eastAsia"/>
                <w:color w:val="auto"/>
                <w:szCs w:val="21"/>
                <w:lang w:eastAsia="zh-CN"/>
              </w:rPr>
              <w:t>仓顶除尘器高于</w:t>
            </w:r>
            <w:r>
              <w:rPr>
                <w:rFonts w:hint="eastAsia"/>
                <w:color w:val="auto"/>
                <w:szCs w:val="21"/>
                <w:lang w:val="en-US" w:eastAsia="zh-CN"/>
              </w:rPr>
              <w:t>15m排气筒排放</w:t>
            </w:r>
          </w:p>
        </w:tc>
        <w:tc>
          <w:tcPr>
            <w:tcW w:w="2642" w:type="dxa"/>
            <w:tcBorders>
              <w:tl2br w:val="nil"/>
              <w:tr2bl w:val="nil"/>
            </w:tcBorders>
            <w:vAlign w:val="center"/>
          </w:tcPr>
          <w:p>
            <w:pPr>
              <w:spacing w:line="240" w:lineRule="auto"/>
              <w:rPr>
                <w:sz w:val="21"/>
                <w:szCs w:val="21"/>
              </w:rPr>
            </w:pPr>
            <w:r>
              <w:rPr>
                <w:color w:val="auto"/>
                <w:kern w:val="24"/>
                <w:sz w:val="21"/>
                <w:szCs w:val="21"/>
              </w:rPr>
              <w:t>粉尘排放</w:t>
            </w:r>
            <w:r>
              <w:rPr>
                <w:rFonts w:hint="eastAsia"/>
                <w:color w:val="auto"/>
                <w:kern w:val="24"/>
                <w:sz w:val="21"/>
                <w:szCs w:val="21"/>
                <w:lang w:eastAsia="zh-CN"/>
              </w:rPr>
              <w:t>达到</w:t>
            </w:r>
            <w:r>
              <w:rPr>
                <w:color w:val="auto"/>
                <w:kern w:val="24"/>
                <w:sz w:val="21"/>
                <w:szCs w:val="21"/>
              </w:rPr>
              <w:t>《</w:t>
            </w:r>
            <w:r>
              <w:rPr>
                <w:rFonts w:hint="eastAsia"/>
                <w:color w:val="auto"/>
                <w:kern w:val="24"/>
                <w:sz w:val="21"/>
                <w:szCs w:val="21"/>
                <w:lang w:eastAsia="zh-CN"/>
              </w:rPr>
              <w:t>关中地区重点行业大气污染物排放限值</w:t>
            </w:r>
            <w:r>
              <w:rPr>
                <w:color w:val="auto"/>
                <w:kern w:val="24"/>
                <w:sz w:val="21"/>
                <w:szCs w:val="21"/>
              </w:rPr>
              <w:t>》（</w:t>
            </w:r>
            <w:r>
              <w:rPr>
                <w:rFonts w:hint="eastAsia"/>
                <w:color w:val="auto"/>
                <w:kern w:val="24"/>
                <w:sz w:val="21"/>
                <w:szCs w:val="21"/>
                <w:lang w:val="en-US" w:eastAsia="zh-CN"/>
              </w:rPr>
              <w:t>DB61/941-2014</w:t>
            </w:r>
            <w:r>
              <w:rPr>
                <w:color w:val="auto"/>
                <w:kern w:val="24"/>
                <w:sz w:val="21"/>
                <w:szCs w:val="21"/>
              </w:rPr>
              <w:t>）</w:t>
            </w:r>
            <w:r>
              <w:rPr>
                <w:rFonts w:hint="eastAsia"/>
                <w:color w:val="auto"/>
                <w:kern w:val="24"/>
                <w:sz w:val="21"/>
                <w:szCs w:val="21"/>
                <w:lang w:eastAsia="zh-CN"/>
              </w:rPr>
              <w:t>中表</w:t>
            </w:r>
            <w:r>
              <w:rPr>
                <w:rFonts w:hint="eastAsia"/>
                <w:color w:val="auto"/>
                <w:kern w:val="24"/>
                <w:sz w:val="21"/>
                <w:szCs w:val="21"/>
                <w:lang w:val="en-US" w:eastAsia="zh-CN"/>
              </w:rPr>
              <w:t>2水泥行业排放浓度限值</w:t>
            </w:r>
            <w:r>
              <w:rPr>
                <w:color w:val="auto"/>
                <w:kern w:val="24"/>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242" w:type="dxa"/>
            <w:vMerge w:val="continue"/>
            <w:tcBorders>
              <w:tl2br w:val="nil"/>
              <w:tr2bl w:val="nil"/>
            </w:tcBorders>
            <w:vAlign w:val="center"/>
          </w:tcPr>
          <w:p>
            <w:pPr>
              <w:spacing w:line="240" w:lineRule="auto"/>
              <w:ind w:left="-5" w:leftChars="-6" w:hanging="8" w:hangingChars="4"/>
              <w:jc w:val="center"/>
              <w:rPr>
                <w:b/>
                <w:bCs/>
                <w:sz w:val="21"/>
                <w:szCs w:val="21"/>
              </w:rPr>
            </w:pPr>
          </w:p>
        </w:tc>
        <w:tc>
          <w:tcPr>
            <w:tcW w:w="1345" w:type="dxa"/>
            <w:tcBorders>
              <w:tl2br w:val="nil"/>
              <w:tr2bl w:val="nil"/>
            </w:tcBorders>
            <w:vAlign w:val="center"/>
          </w:tcPr>
          <w:p>
            <w:pPr>
              <w:spacing w:line="240" w:lineRule="auto"/>
              <w:jc w:val="center"/>
              <w:rPr>
                <w:rFonts w:hint="eastAsia"/>
                <w:sz w:val="21"/>
                <w:szCs w:val="21"/>
                <w:lang w:eastAsia="zh-CN"/>
              </w:rPr>
            </w:pPr>
            <w:r>
              <w:rPr>
                <w:rFonts w:hint="eastAsia"/>
                <w:sz w:val="21"/>
                <w:szCs w:val="21"/>
                <w:lang w:eastAsia="zh-CN"/>
              </w:rPr>
              <w:t>原料仓库</w:t>
            </w:r>
          </w:p>
        </w:tc>
        <w:tc>
          <w:tcPr>
            <w:tcW w:w="1774" w:type="dxa"/>
            <w:vMerge w:val="continue"/>
            <w:tcBorders>
              <w:tl2br w:val="nil"/>
              <w:tr2bl w:val="nil"/>
            </w:tcBorders>
            <w:vAlign w:val="center"/>
          </w:tcPr>
          <w:p>
            <w:pPr>
              <w:spacing w:line="240" w:lineRule="exact"/>
              <w:jc w:val="center"/>
              <w:rPr>
                <w:rFonts w:hint="eastAsia"/>
                <w:sz w:val="21"/>
                <w:szCs w:val="21"/>
                <w:lang w:eastAsia="zh-CN"/>
              </w:rPr>
            </w:pPr>
          </w:p>
        </w:tc>
        <w:tc>
          <w:tcPr>
            <w:tcW w:w="2285" w:type="dxa"/>
            <w:tcBorders>
              <w:tl2br w:val="nil"/>
              <w:tr2bl w:val="nil"/>
            </w:tcBorders>
            <w:vAlign w:val="center"/>
          </w:tcPr>
          <w:p>
            <w:pPr>
              <w:snapToGrid w:val="0"/>
              <w:spacing w:line="240" w:lineRule="exact"/>
              <w:jc w:val="center"/>
              <w:rPr>
                <w:rFonts w:hint="eastAsia"/>
                <w:sz w:val="21"/>
                <w:szCs w:val="21"/>
                <w:lang w:eastAsia="zh-CN"/>
              </w:rPr>
            </w:pPr>
            <w:r>
              <w:rPr>
                <w:rFonts w:hint="eastAsia"/>
                <w:color w:val="auto"/>
                <w:szCs w:val="21"/>
                <w:lang w:eastAsia="zh-CN"/>
              </w:rPr>
              <w:t>堆场在全密闭厂房内，并设置洒水降尘设施</w:t>
            </w:r>
          </w:p>
        </w:tc>
        <w:tc>
          <w:tcPr>
            <w:tcW w:w="2642" w:type="dxa"/>
            <w:tcBorders>
              <w:tl2br w:val="nil"/>
              <w:tr2bl w:val="nil"/>
            </w:tcBorders>
            <w:vAlign w:val="center"/>
          </w:tcPr>
          <w:p>
            <w:pPr>
              <w:rPr>
                <w:color w:val="auto"/>
                <w:kern w:val="24"/>
                <w:sz w:val="21"/>
                <w:szCs w:val="21"/>
              </w:rPr>
            </w:pPr>
            <w:r>
              <w:rPr>
                <w:rFonts w:hint="eastAsia"/>
                <w:b w:val="0"/>
                <w:color w:val="auto"/>
                <w:sz w:val="21"/>
                <w:szCs w:val="21"/>
              </w:rPr>
              <w:t>满足《煤炭工业污染物排放标准》（GB20426-2006）表5中无组织排放限值低于1.0mg/m</w:t>
            </w:r>
            <w:r>
              <w:rPr>
                <w:rFonts w:hint="eastAsia"/>
                <w:b w:val="0"/>
                <w:color w:val="auto"/>
                <w:sz w:val="21"/>
                <w:szCs w:val="21"/>
                <w:vertAlign w:val="superscript"/>
              </w:rPr>
              <w:t>3</w:t>
            </w:r>
            <w:r>
              <w:rPr>
                <w:rFonts w:hint="eastAsia"/>
                <w:b w:val="0"/>
                <w:color w:val="auto"/>
                <w:sz w:val="21"/>
                <w:szCs w:val="21"/>
              </w:rPr>
              <w:t>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1242" w:type="dxa"/>
            <w:vMerge w:val="continue"/>
            <w:tcBorders>
              <w:tl2br w:val="nil"/>
              <w:tr2bl w:val="nil"/>
            </w:tcBorders>
            <w:vAlign w:val="center"/>
          </w:tcPr>
          <w:p>
            <w:pPr>
              <w:spacing w:line="240" w:lineRule="auto"/>
              <w:ind w:left="-5" w:leftChars="-6" w:hanging="8" w:hangingChars="4"/>
              <w:jc w:val="center"/>
              <w:rPr>
                <w:b/>
                <w:bCs/>
                <w:sz w:val="21"/>
                <w:szCs w:val="21"/>
              </w:rPr>
            </w:pPr>
          </w:p>
        </w:tc>
        <w:tc>
          <w:tcPr>
            <w:tcW w:w="1345" w:type="dxa"/>
            <w:tcBorders>
              <w:tl2br w:val="nil"/>
              <w:tr2bl w:val="nil"/>
            </w:tcBorders>
            <w:vAlign w:val="center"/>
          </w:tcPr>
          <w:p>
            <w:pPr>
              <w:spacing w:line="240" w:lineRule="auto"/>
              <w:jc w:val="center"/>
              <w:rPr>
                <w:rFonts w:hint="eastAsia"/>
                <w:sz w:val="21"/>
                <w:szCs w:val="21"/>
                <w:lang w:eastAsia="zh-CN"/>
              </w:rPr>
            </w:pPr>
            <w:r>
              <w:rPr>
                <w:rFonts w:hint="eastAsia"/>
                <w:color w:val="auto"/>
                <w:szCs w:val="21"/>
                <w:lang w:eastAsia="zh-CN"/>
              </w:rPr>
              <w:t>转运</w:t>
            </w:r>
          </w:p>
        </w:tc>
        <w:tc>
          <w:tcPr>
            <w:tcW w:w="1774" w:type="dxa"/>
            <w:tcBorders>
              <w:tl2br w:val="nil"/>
              <w:tr2bl w:val="nil"/>
            </w:tcBorders>
            <w:vAlign w:val="center"/>
          </w:tcPr>
          <w:p>
            <w:pPr>
              <w:spacing w:line="240" w:lineRule="exact"/>
              <w:jc w:val="center"/>
              <w:rPr>
                <w:rFonts w:hint="eastAsia"/>
                <w:sz w:val="21"/>
                <w:szCs w:val="21"/>
                <w:lang w:eastAsia="zh-CN"/>
              </w:rPr>
            </w:pPr>
            <w:r>
              <w:rPr>
                <w:rFonts w:hint="eastAsia"/>
                <w:color w:val="auto"/>
                <w:szCs w:val="21"/>
                <w:lang w:eastAsia="zh-CN"/>
              </w:rPr>
              <w:t>粉尘</w:t>
            </w:r>
          </w:p>
        </w:tc>
        <w:tc>
          <w:tcPr>
            <w:tcW w:w="2285" w:type="dxa"/>
            <w:tcBorders>
              <w:tl2br w:val="nil"/>
              <w:tr2bl w:val="nil"/>
            </w:tcBorders>
            <w:vAlign w:val="center"/>
          </w:tcPr>
          <w:p>
            <w:pPr>
              <w:snapToGrid w:val="0"/>
              <w:spacing w:line="240" w:lineRule="exact"/>
              <w:jc w:val="center"/>
              <w:rPr>
                <w:rFonts w:hint="eastAsia"/>
                <w:color w:val="auto"/>
                <w:szCs w:val="21"/>
                <w:lang w:eastAsia="zh-CN"/>
              </w:rPr>
            </w:pPr>
            <w:r>
              <w:rPr>
                <w:rFonts w:hint="eastAsia"/>
                <w:color w:val="auto"/>
                <w:szCs w:val="21"/>
                <w:lang w:eastAsia="zh-CN"/>
              </w:rPr>
              <w:t>封闭式传送带</w:t>
            </w:r>
          </w:p>
        </w:tc>
        <w:tc>
          <w:tcPr>
            <w:tcW w:w="2642" w:type="dxa"/>
            <w:tcBorders>
              <w:tl2br w:val="nil"/>
              <w:tr2bl w:val="nil"/>
            </w:tcBorders>
            <w:vAlign w:val="center"/>
          </w:tcPr>
          <w:p>
            <w:pPr>
              <w:rPr>
                <w:rFonts w:hint="eastAsia"/>
                <w:b w:val="0"/>
                <w:color w:val="auto"/>
                <w:sz w:val="21"/>
                <w:szCs w:val="21"/>
              </w:rPr>
            </w:pPr>
            <w:r>
              <w:rPr>
                <w:rFonts w:hint="eastAsia"/>
                <w:b w:val="0"/>
                <w:color w:val="auto"/>
                <w:sz w:val="21"/>
                <w:szCs w:val="21"/>
              </w:rPr>
              <w:t>满足《煤炭工业污染物排放标准》（GB20426-2006）表5中无组织排放限值低于1.0mg/m</w:t>
            </w:r>
            <w:r>
              <w:rPr>
                <w:rFonts w:hint="eastAsia"/>
                <w:b w:val="0"/>
                <w:color w:val="auto"/>
                <w:sz w:val="21"/>
                <w:szCs w:val="21"/>
                <w:vertAlign w:val="superscript"/>
              </w:rPr>
              <w:t>3</w:t>
            </w:r>
            <w:r>
              <w:rPr>
                <w:rFonts w:hint="eastAsia"/>
                <w:b w:val="0"/>
                <w:color w:val="auto"/>
                <w:sz w:val="21"/>
                <w:szCs w:val="21"/>
              </w:rPr>
              <w:t>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2" w:type="dxa"/>
            <w:vMerge w:val="continue"/>
            <w:tcBorders>
              <w:tl2br w:val="nil"/>
              <w:tr2bl w:val="nil"/>
            </w:tcBorders>
            <w:vAlign w:val="center"/>
          </w:tcPr>
          <w:p>
            <w:pPr>
              <w:spacing w:line="240" w:lineRule="auto"/>
              <w:ind w:left="-5" w:leftChars="-6" w:hanging="8" w:hangingChars="4"/>
              <w:jc w:val="center"/>
              <w:rPr>
                <w:b/>
                <w:bCs/>
                <w:sz w:val="21"/>
                <w:szCs w:val="21"/>
              </w:rPr>
            </w:pPr>
          </w:p>
        </w:tc>
        <w:tc>
          <w:tcPr>
            <w:tcW w:w="1345" w:type="dxa"/>
            <w:tcBorders>
              <w:tl2br w:val="nil"/>
              <w:tr2bl w:val="nil"/>
            </w:tcBorders>
            <w:vAlign w:val="center"/>
          </w:tcPr>
          <w:p>
            <w:pPr>
              <w:spacing w:line="240" w:lineRule="auto"/>
              <w:jc w:val="center"/>
              <w:rPr>
                <w:rFonts w:hint="eastAsia"/>
                <w:color w:val="auto"/>
                <w:szCs w:val="21"/>
                <w:lang w:eastAsia="zh-CN"/>
              </w:rPr>
            </w:pPr>
            <w:r>
              <w:rPr>
                <w:rFonts w:hint="eastAsia"/>
                <w:color w:val="auto"/>
                <w:szCs w:val="21"/>
                <w:lang w:eastAsia="zh-CN"/>
              </w:rPr>
              <w:t>厨房</w:t>
            </w:r>
          </w:p>
        </w:tc>
        <w:tc>
          <w:tcPr>
            <w:tcW w:w="1774" w:type="dxa"/>
            <w:tcBorders>
              <w:tl2br w:val="nil"/>
              <w:tr2bl w:val="nil"/>
            </w:tcBorders>
            <w:vAlign w:val="center"/>
          </w:tcPr>
          <w:p>
            <w:pPr>
              <w:spacing w:line="240" w:lineRule="exact"/>
              <w:jc w:val="center"/>
              <w:rPr>
                <w:rFonts w:hint="eastAsia"/>
                <w:color w:val="auto"/>
                <w:szCs w:val="21"/>
                <w:lang w:eastAsia="zh-CN"/>
              </w:rPr>
            </w:pPr>
            <w:r>
              <w:rPr>
                <w:rFonts w:hint="eastAsia"/>
                <w:color w:val="auto"/>
                <w:szCs w:val="21"/>
                <w:lang w:eastAsia="zh-CN"/>
              </w:rPr>
              <w:t>油烟</w:t>
            </w:r>
          </w:p>
        </w:tc>
        <w:tc>
          <w:tcPr>
            <w:tcW w:w="2285" w:type="dxa"/>
            <w:tcBorders>
              <w:tl2br w:val="nil"/>
              <w:tr2bl w:val="nil"/>
            </w:tcBorders>
            <w:vAlign w:val="center"/>
          </w:tcPr>
          <w:p>
            <w:pPr>
              <w:snapToGrid w:val="0"/>
              <w:spacing w:line="240" w:lineRule="exact"/>
              <w:jc w:val="center"/>
              <w:rPr>
                <w:rFonts w:hint="eastAsia"/>
                <w:color w:val="auto"/>
                <w:szCs w:val="21"/>
                <w:lang w:eastAsia="zh-CN"/>
              </w:rPr>
            </w:pPr>
            <w:r>
              <w:rPr>
                <w:rFonts w:hint="eastAsia"/>
                <w:color w:val="auto"/>
                <w:szCs w:val="21"/>
                <w:lang w:eastAsia="zh-CN"/>
              </w:rPr>
              <w:t>油烟净化器处理后引致高空排放</w:t>
            </w:r>
          </w:p>
        </w:tc>
        <w:tc>
          <w:tcPr>
            <w:tcW w:w="2642" w:type="dxa"/>
            <w:tcBorders>
              <w:tl2br w:val="nil"/>
              <w:tr2bl w:val="nil"/>
            </w:tcBorders>
            <w:vAlign w:val="center"/>
          </w:tcPr>
          <w:p>
            <w:pPr>
              <w:rPr>
                <w:rFonts w:hint="eastAsia"/>
                <w:b w:val="0"/>
                <w:color w:val="auto"/>
                <w:sz w:val="21"/>
                <w:szCs w:val="21"/>
              </w:rPr>
            </w:pPr>
            <w:r>
              <w:rPr>
                <w:rFonts w:hint="eastAsia"/>
                <w:b w:val="0"/>
                <w:color w:val="auto"/>
                <w:sz w:val="21"/>
                <w:szCs w:val="21"/>
              </w:rPr>
              <w:t>满足《饮食业油烟排放标准》（GB18483-2001）中中型食堂标准要求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42" w:type="dxa"/>
            <w:vMerge w:val="restart"/>
            <w:tcBorders>
              <w:tl2br w:val="nil"/>
              <w:tr2bl w:val="nil"/>
            </w:tcBorders>
            <w:vAlign w:val="center"/>
          </w:tcPr>
          <w:p>
            <w:pPr>
              <w:jc w:val="center"/>
              <w:rPr>
                <w:b/>
                <w:bCs/>
                <w:sz w:val="21"/>
                <w:szCs w:val="21"/>
              </w:rPr>
            </w:pPr>
            <w:r>
              <w:rPr>
                <w:b/>
                <w:bCs/>
                <w:sz w:val="21"/>
                <w:szCs w:val="21"/>
              </w:rPr>
              <w:t>水</w:t>
            </w:r>
          </w:p>
          <w:p>
            <w:pPr>
              <w:jc w:val="center"/>
              <w:rPr>
                <w:b/>
                <w:bCs/>
                <w:sz w:val="21"/>
                <w:szCs w:val="21"/>
              </w:rPr>
            </w:pPr>
            <w:r>
              <w:rPr>
                <w:b/>
                <w:bCs/>
                <w:sz w:val="21"/>
                <w:szCs w:val="21"/>
              </w:rPr>
              <w:t>污染物</w:t>
            </w:r>
          </w:p>
        </w:tc>
        <w:tc>
          <w:tcPr>
            <w:tcW w:w="1345" w:type="dxa"/>
            <w:tcBorders>
              <w:tl2br w:val="nil"/>
              <w:tr2bl w:val="nil"/>
            </w:tcBorders>
            <w:vAlign w:val="center"/>
          </w:tcPr>
          <w:p>
            <w:pPr>
              <w:jc w:val="center"/>
              <w:rPr>
                <w:sz w:val="21"/>
                <w:szCs w:val="21"/>
              </w:rPr>
            </w:pPr>
            <w:r>
              <w:rPr>
                <w:rFonts w:hint="eastAsia"/>
                <w:sz w:val="21"/>
                <w:szCs w:val="21"/>
              </w:rPr>
              <w:t>生活污水</w:t>
            </w:r>
          </w:p>
        </w:tc>
        <w:tc>
          <w:tcPr>
            <w:tcW w:w="1774" w:type="dxa"/>
            <w:tcBorders>
              <w:tl2br w:val="nil"/>
              <w:tr2bl w:val="nil"/>
            </w:tcBorders>
            <w:vAlign w:val="center"/>
          </w:tcPr>
          <w:p>
            <w:pPr>
              <w:spacing w:line="360" w:lineRule="exact"/>
              <w:jc w:val="center"/>
              <w:rPr>
                <w:sz w:val="21"/>
                <w:szCs w:val="21"/>
              </w:rPr>
            </w:pPr>
            <w:r>
              <w:rPr>
                <w:rFonts w:hint="eastAsia"/>
                <w:sz w:val="21"/>
                <w:szCs w:val="21"/>
              </w:rPr>
              <w:t>COD</w:t>
            </w:r>
            <w:r>
              <w:rPr>
                <w:rFonts w:hint="eastAsia"/>
                <w:sz w:val="21"/>
                <w:szCs w:val="21"/>
                <w:vertAlign w:val="subscript"/>
              </w:rPr>
              <w:t>Cr</w:t>
            </w:r>
            <w:r>
              <w:rPr>
                <w:rFonts w:hint="eastAsia"/>
                <w:sz w:val="21"/>
                <w:szCs w:val="21"/>
              </w:rPr>
              <w:t>、BOD</w:t>
            </w:r>
            <w:r>
              <w:rPr>
                <w:rFonts w:hint="eastAsia"/>
                <w:sz w:val="21"/>
                <w:szCs w:val="21"/>
                <w:vertAlign w:val="subscript"/>
              </w:rPr>
              <w:t>5</w:t>
            </w:r>
            <w:r>
              <w:rPr>
                <w:rFonts w:hint="eastAsia"/>
                <w:sz w:val="21"/>
                <w:szCs w:val="21"/>
              </w:rPr>
              <w:t>、NH</w:t>
            </w:r>
            <w:r>
              <w:rPr>
                <w:rFonts w:hint="eastAsia"/>
                <w:sz w:val="21"/>
                <w:szCs w:val="21"/>
                <w:vertAlign w:val="subscript"/>
              </w:rPr>
              <w:t>3</w:t>
            </w:r>
            <w:r>
              <w:rPr>
                <w:rFonts w:hint="eastAsia"/>
                <w:sz w:val="21"/>
                <w:szCs w:val="21"/>
              </w:rPr>
              <w:t>-N、SS</w:t>
            </w:r>
          </w:p>
        </w:tc>
        <w:tc>
          <w:tcPr>
            <w:tcW w:w="2285" w:type="dxa"/>
            <w:tcBorders>
              <w:tl2br w:val="nil"/>
              <w:tr2bl w:val="nil"/>
            </w:tcBorders>
            <w:vAlign w:val="center"/>
          </w:tcPr>
          <w:p>
            <w:pPr>
              <w:jc w:val="center"/>
              <w:rPr>
                <w:sz w:val="21"/>
                <w:szCs w:val="21"/>
              </w:rPr>
            </w:pPr>
            <w:r>
              <w:rPr>
                <w:rFonts w:hint="eastAsia"/>
                <w:sz w:val="21"/>
                <w:szCs w:val="21"/>
              </w:rPr>
              <w:t>生活污水进入</w:t>
            </w:r>
            <w:r>
              <w:rPr>
                <w:rFonts w:hint="eastAsia"/>
                <w:sz w:val="21"/>
                <w:szCs w:val="21"/>
                <w:lang w:eastAsia="zh-CN"/>
              </w:rPr>
              <w:t>储粪池</w:t>
            </w:r>
            <w:r>
              <w:rPr>
                <w:rFonts w:hint="eastAsia"/>
                <w:sz w:val="21"/>
                <w:szCs w:val="21"/>
              </w:rPr>
              <w:t>处理后，</w:t>
            </w:r>
            <w:r>
              <w:rPr>
                <w:rFonts w:hint="eastAsia"/>
                <w:sz w:val="21"/>
                <w:szCs w:val="21"/>
                <w:lang w:eastAsia="zh-CN"/>
              </w:rPr>
              <w:t>定期清掏</w:t>
            </w:r>
          </w:p>
        </w:tc>
        <w:tc>
          <w:tcPr>
            <w:tcW w:w="2642"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42" w:type="dxa"/>
            <w:vMerge w:val="continue"/>
            <w:tcBorders>
              <w:tl2br w:val="nil"/>
              <w:tr2bl w:val="nil"/>
            </w:tcBorders>
            <w:vAlign w:val="center"/>
          </w:tcPr>
          <w:p>
            <w:pPr>
              <w:jc w:val="center"/>
              <w:rPr>
                <w:b/>
                <w:bCs/>
                <w:sz w:val="21"/>
                <w:szCs w:val="21"/>
              </w:rPr>
            </w:pPr>
          </w:p>
        </w:tc>
        <w:tc>
          <w:tcPr>
            <w:tcW w:w="1345" w:type="dxa"/>
            <w:tcBorders>
              <w:tl2br w:val="nil"/>
              <w:tr2bl w:val="nil"/>
            </w:tcBorders>
            <w:vAlign w:val="center"/>
          </w:tcPr>
          <w:p>
            <w:pPr>
              <w:snapToGrid w:val="0"/>
              <w:jc w:val="center"/>
              <w:rPr>
                <w:rFonts w:hint="eastAsia"/>
                <w:sz w:val="21"/>
                <w:szCs w:val="21"/>
              </w:rPr>
            </w:pPr>
            <w:r>
              <w:rPr>
                <w:rFonts w:hint="eastAsia"/>
                <w:color w:val="auto"/>
                <w:szCs w:val="21"/>
                <w:lang w:eastAsia="zh-CN"/>
              </w:rPr>
              <w:t>洗煤生产废水</w:t>
            </w:r>
          </w:p>
        </w:tc>
        <w:tc>
          <w:tcPr>
            <w:tcW w:w="1774" w:type="dxa"/>
            <w:vMerge w:val="restart"/>
            <w:tcBorders>
              <w:tl2br w:val="nil"/>
              <w:tr2bl w:val="nil"/>
            </w:tcBorders>
            <w:vAlign w:val="center"/>
          </w:tcPr>
          <w:p>
            <w:pPr>
              <w:snapToGrid w:val="0"/>
              <w:jc w:val="center"/>
              <w:rPr>
                <w:rFonts w:hint="eastAsia" w:eastAsia="宋体"/>
                <w:sz w:val="21"/>
                <w:szCs w:val="21"/>
                <w:lang w:val="en-US" w:eastAsia="zh-CN"/>
              </w:rPr>
            </w:pPr>
            <w:r>
              <w:rPr>
                <w:rFonts w:hint="eastAsia"/>
                <w:sz w:val="21"/>
                <w:szCs w:val="21"/>
                <w:lang w:val="en-US" w:eastAsia="zh-CN"/>
              </w:rPr>
              <w:t>SS、</w:t>
            </w:r>
            <w:r>
              <w:rPr>
                <w:rFonts w:hint="eastAsia"/>
                <w:sz w:val="21"/>
                <w:szCs w:val="21"/>
              </w:rPr>
              <w:t>COD</w:t>
            </w:r>
            <w:r>
              <w:rPr>
                <w:rFonts w:hint="eastAsia"/>
                <w:sz w:val="21"/>
                <w:szCs w:val="21"/>
                <w:vertAlign w:val="subscript"/>
              </w:rPr>
              <w:t>Cr</w:t>
            </w:r>
          </w:p>
        </w:tc>
        <w:tc>
          <w:tcPr>
            <w:tcW w:w="2285" w:type="dxa"/>
            <w:tcBorders>
              <w:tl2br w:val="nil"/>
              <w:tr2bl w:val="nil"/>
            </w:tcBorders>
            <w:vAlign w:val="center"/>
          </w:tcPr>
          <w:p>
            <w:pPr>
              <w:snapToGrid w:val="0"/>
              <w:jc w:val="center"/>
              <w:rPr>
                <w:rFonts w:hint="eastAsia"/>
                <w:sz w:val="21"/>
                <w:szCs w:val="21"/>
              </w:rPr>
            </w:pPr>
            <w:r>
              <w:rPr>
                <w:rFonts w:hint="eastAsia"/>
                <w:color w:val="auto"/>
                <w:szCs w:val="21"/>
                <w:lang w:eastAsia="zh-CN"/>
              </w:rPr>
              <w:t>深锥浓缩机、压滤机及循环系统管道连接</w:t>
            </w:r>
          </w:p>
        </w:tc>
        <w:tc>
          <w:tcPr>
            <w:tcW w:w="2642" w:type="dxa"/>
            <w:vMerge w:val="restart"/>
            <w:tcBorders>
              <w:tl2br w:val="nil"/>
              <w:tr2bl w:val="nil"/>
            </w:tcBorders>
            <w:vAlign w:val="center"/>
          </w:tcPr>
          <w:p>
            <w:pPr>
              <w:jc w:val="center"/>
              <w:rPr>
                <w:rFonts w:hint="eastAsia"/>
                <w:sz w:val="21"/>
                <w:szCs w:val="21"/>
                <w:lang w:eastAsia="zh-CN"/>
              </w:rPr>
            </w:pPr>
            <w:r>
              <w:rPr>
                <w:rFonts w:hint="eastAsia"/>
                <w:sz w:val="21"/>
                <w:szCs w:val="21"/>
                <w:lang w:eastAsia="zh-CN"/>
              </w:rPr>
              <w:t>闭路循环不外排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42" w:type="dxa"/>
            <w:vMerge w:val="continue"/>
            <w:tcBorders>
              <w:tl2br w:val="nil"/>
              <w:tr2bl w:val="nil"/>
            </w:tcBorders>
            <w:vAlign w:val="center"/>
          </w:tcPr>
          <w:p>
            <w:pPr>
              <w:jc w:val="center"/>
              <w:rPr>
                <w:b/>
                <w:bCs/>
                <w:sz w:val="21"/>
                <w:szCs w:val="21"/>
              </w:rPr>
            </w:pPr>
          </w:p>
        </w:tc>
        <w:tc>
          <w:tcPr>
            <w:tcW w:w="1345" w:type="dxa"/>
            <w:tcBorders>
              <w:tl2br w:val="nil"/>
              <w:tr2bl w:val="nil"/>
            </w:tcBorders>
            <w:vAlign w:val="center"/>
          </w:tcPr>
          <w:p>
            <w:pPr>
              <w:snapToGrid w:val="0"/>
              <w:jc w:val="center"/>
              <w:rPr>
                <w:rFonts w:hint="eastAsia"/>
                <w:sz w:val="21"/>
                <w:szCs w:val="21"/>
              </w:rPr>
            </w:pPr>
            <w:r>
              <w:rPr>
                <w:rFonts w:hint="eastAsia"/>
                <w:color w:val="auto"/>
                <w:szCs w:val="21"/>
                <w:lang w:eastAsia="zh-CN"/>
              </w:rPr>
              <w:t>事故水、初期雨水</w:t>
            </w:r>
          </w:p>
        </w:tc>
        <w:tc>
          <w:tcPr>
            <w:tcW w:w="1774" w:type="dxa"/>
            <w:vMerge w:val="continue"/>
            <w:tcBorders>
              <w:tl2br w:val="nil"/>
              <w:tr2bl w:val="nil"/>
            </w:tcBorders>
            <w:vAlign w:val="center"/>
          </w:tcPr>
          <w:p>
            <w:pPr>
              <w:snapToGrid w:val="0"/>
              <w:jc w:val="center"/>
              <w:rPr>
                <w:rFonts w:hint="eastAsia"/>
                <w:sz w:val="21"/>
                <w:szCs w:val="21"/>
              </w:rPr>
            </w:pPr>
          </w:p>
        </w:tc>
        <w:tc>
          <w:tcPr>
            <w:tcW w:w="2285" w:type="dxa"/>
            <w:tcBorders>
              <w:tl2br w:val="nil"/>
              <w:tr2bl w:val="nil"/>
            </w:tcBorders>
            <w:vAlign w:val="center"/>
          </w:tcPr>
          <w:p>
            <w:pPr>
              <w:snapToGrid w:val="0"/>
              <w:jc w:val="center"/>
              <w:rPr>
                <w:rFonts w:hint="eastAsia"/>
                <w:sz w:val="21"/>
                <w:szCs w:val="21"/>
              </w:rPr>
            </w:pPr>
            <w:r>
              <w:rPr>
                <w:rFonts w:hint="eastAsia"/>
                <w:color w:val="auto"/>
                <w:szCs w:val="21"/>
                <w:lang w:eastAsia="zh-CN"/>
              </w:rPr>
              <w:t>事故水池（</w:t>
            </w:r>
            <w:r>
              <w:rPr>
                <w:rFonts w:hint="eastAsia"/>
                <w:color w:val="auto"/>
                <w:szCs w:val="21"/>
                <w:lang w:val="en-US" w:eastAsia="zh-CN"/>
              </w:rPr>
              <w:t>300m</w:t>
            </w:r>
            <w:r>
              <w:rPr>
                <w:rFonts w:hint="eastAsia"/>
                <w:color w:val="auto"/>
                <w:szCs w:val="21"/>
                <w:vertAlign w:val="superscript"/>
                <w:lang w:val="en-US" w:eastAsia="zh-CN"/>
              </w:rPr>
              <w:t>3</w:t>
            </w:r>
            <w:r>
              <w:rPr>
                <w:rFonts w:hint="eastAsia"/>
                <w:color w:val="auto"/>
                <w:szCs w:val="21"/>
                <w:lang w:eastAsia="zh-CN"/>
              </w:rPr>
              <w:t>）并防渗处理、初期雨水收集与西侧蓄水池中</w:t>
            </w:r>
          </w:p>
        </w:tc>
        <w:tc>
          <w:tcPr>
            <w:tcW w:w="2642" w:type="dxa"/>
            <w:vMerge w:val="continue"/>
            <w:tcBorders>
              <w:tl2br w:val="nil"/>
              <w:tr2bl w:val="nil"/>
            </w:tcBorders>
            <w:vAlign w:val="center"/>
          </w:tcPr>
          <w:p>
            <w:pPr>
              <w:jc w:val="center"/>
              <w:rPr>
                <w:rFonts w:hint="eastAsia"/>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42" w:type="dxa"/>
            <w:vMerge w:val="continue"/>
            <w:tcBorders>
              <w:tl2br w:val="nil"/>
              <w:tr2bl w:val="nil"/>
            </w:tcBorders>
            <w:vAlign w:val="center"/>
          </w:tcPr>
          <w:p>
            <w:pPr>
              <w:jc w:val="center"/>
              <w:rPr>
                <w:b/>
                <w:bCs/>
                <w:sz w:val="21"/>
                <w:szCs w:val="21"/>
              </w:rPr>
            </w:pPr>
          </w:p>
        </w:tc>
        <w:tc>
          <w:tcPr>
            <w:tcW w:w="1345"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食堂废水</w:t>
            </w:r>
          </w:p>
        </w:tc>
        <w:tc>
          <w:tcPr>
            <w:tcW w:w="1774" w:type="dxa"/>
            <w:tcBorders>
              <w:tl2br w:val="nil"/>
              <w:tr2bl w:val="nil"/>
            </w:tcBorders>
            <w:vAlign w:val="center"/>
          </w:tcPr>
          <w:p>
            <w:pPr>
              <w:spacing w:line="360" w:lineRule="exact"/>
              <w:jc w:val="center"/>
              <w:rPr>
                <w:rFonts w:hint="eastAsia" w:eastAsia="宋体"/>
                <w:sz w:val="21"/>
                <w:szCs w:val="21"/>
                <w:lang w:eastAsia="zh-CN"/>
              </w:rPr>
            </w:pPr>
            <w:r>
              <w:rPr>
                <w:rFonts w:hint="eastAsia"/>
                <w:sz w:val="21"/>
                <w:szCs w:val="21"/>
                <w:lang w:eastAsia="zh-CN"/>
              </w:rPr>
              <w:t>油脂</w:t>
            </w:r>
          </w:p>
        </w:tc>
        <w:tc>
          <w:tcPr>
            <w:tcW w:w="2285"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平流式隔油池</w:t>
            </w:r>
          </w:p>
        </w:tc>
        <w:tc>
          <w:tcPr>
            <w:tcW w:w="2642" w:type="dxa"/>
            <w:tcBorders>
              <w:tl2br w:val="nil"/>
              <w:tr2bl w:val="nil"/>
            </w:tcBorders>
            <w:vAlign w:val="center"/>
          </w:tcPr>
          <w:p>
            <w:pPr>
              <w:jc w:val="center"/>
              <w:rPr>
                <w:rFonts w:hint="eastAsia"/>
                <w:sz w:val="21"/>
                <w:szCs w:val="21"/>
                <w:lang w:eastAsia="zh-CN"/>
              </w:rPr>
            </w:pPr>
            <w:r>
              <w:rPr>
                <w:rFonts w:hint="eastAsia"/>
                <w:sz w:val="21"/>
                <w:szCs w:val="21"/>
                <w:lang w:eastAsia="zh-CN"/>
              </w:rPr>
              <w:t>隔油效率大于</w:t>
            </w:r>
            <w:r>
              <w:rPr>
                <w:rFonts w:hint="eastAsia"/>
                <w:sz w:val="21"/>
                <w:szCs w:val="21"/>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242" w:type="dxa"/>
            <w:vMerge w:val="restart"/>
            <w:tcBorders>
              <w:tl2br w:val="nil"/>
              <w:tr2bl w:val="nil"/>
            </w:tcBorders>
            <w:vAlign w:val="center"/>
          </w:tcPr>
          <w:p>
            <w:pPr>
              <w:jc w:val="center"/>
              <w:rPr>
                <w:b/>
                <w:bCs/>
                <w:sz w:val="21"/>
                <w:szCs w:val="21"/>
              </w:rPr>
            </w:pPr>
            <w:r>
              <w:rPr>
                <w:b/>
                <w:bCs/>
                <w:sz w:val="21"/>
                <w:szCs w:val="21"/>
              </w:rPr>
              <w:t>固</w:t>
            </w:r>
          </w:p>
          <w:p>
            <w:pPr>
              <w:jc w:val="center"/>
              <w:rPr>
                <w:b/>
                <w:bCs/>
                <w:sz w:val="21"/>
                <w:szCs w:val="21"/>
              </w:rPr>
            </w:pPr>
            <w:r>
              <w:rPr>
                <w:b/>
                <w:bCs/>
                <w:sz w:val="21"/>
                <w:szCs w:val="21"/>
              </w:rPr>
              <w:t>体</w:t>
            </w:r>
          </w:p>
          <w:p>
            <w:pPr>
              <w:jc w:val="center"/>
              <w:rPr>
                <w:b/>
                <w:bCs/>
                <w:sz w:val="21"/>
                <w:szCs w:val="21"/>
              </w:rPr>
            </w:pPr>
            <w:r>
              <w:rPr>
                <w:b/>
                <w:bCs/>
                <w:sz w:val="21"/>
                <w:szCs w:val="21"/>
              </w:rPr>
              <w:t>废</w:t>
            </w:r>
          </w:p>
          <w:p>
            <w:pPr>
              <w:jc w:val="center"/>
              <w:rPr>
                <w:b/>
                <w:bCs/>
                <w:sz w:val="21"/>
                <w:szCs w:val="21"/>
              </w:rPr>
            </w:pPr>
            <w:r>
              <w:rPr>
                <w:b/>
                <w:bCs/>
                <w:sz w:val="21"/>
                <w:szCs w:val="21"/>
              </w:rPr>
              <w:t>物</w:t>
            </w:r>
          </w:p>
        </w:tc>
        <w:tc>
          <w:tcPr>
            <w:tcW w:w="1345"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跳汰机</w:t>
            </w:r>
          </w:p>
        </w:tc>
        <w:tc>
          <w:tcPr>
            <w:tcW w:w="1774"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煤矸石</w:t>
            </w:r>
          </w:p>
        </w:tc>
        <w:tc>
          <w:tcPr>
            <w:tcW w:w="2285"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回用生产</w:t>
            </w:r>
          </w:p>
        </w:tc>
        <w:tc>
          <w:tcPr>
            <w:tcW w:w="2642" w:type="dxa"/>
            <w:tcBorders>
              <w:tl2br w:val="nil"/>
              <w:tr2bl w:val="nil"/>
            </w:tcBorders>
            <w:vAlign w:val="center"/>
          </w:tcPr>
          <w:p>
            <w:pPr>
              <w:ind w:firstLine="240"/>
              <w:jc w:val="center"/>
              <w:rPr>
                <w:sz w:val="21"/>
                <w:szCs w:val="21"/>
              </w:rPr>
            </w:pPr>
            <w:r>
              <w:rPr>
                <w:rFonts w:hint="eastAsia"/>
                <w:sz w:val="21"/>
                <w:szCs w:val="21"/>
              </w:rPr>
              <w:t>资源化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242" w:type="dxa"/>
            <w:vMerge w:val="continue"/>
            <w:tcBorders>
              <w:tl2br w:val="nil"/>
              <w:tr2bl w:val="nil"/>
            </w:tcBorders>
            <w:vAlign w:val="center"/>
          </w:tcPr>
          <w:p>
            <w:pPr>
              <w:spacing w:line="400" w:lineRule="exact"/>
              <w:ind w:firstLine="241"/>
              <w:jc w:val="center"/>
              <w:rPr>
                <w:b/>
                <w:bCs/>
                <w:sz w:val="21"/>
                <w:szCs w:val="21"/>
              </w:rPr>
            </w:pPr>
          </w:p>
        </w:tc>
        <w:tc>
          <w:tcPr>
            <w:tcW w:w="1345"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布袋除尘器</w:t>
            </w:r>
          </w:p>
        </w:tc>
        <w:tc>
          <w:tcPr>
            <w:tcW w:w="1774"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粉尘</w:t>
            </w:r>
          </w:p>
        </w:tc>
        <w:tc>
          <w:tcPr>
            <w:tcW w:w="2285" w:type="dxa"/>
            <w:tcBorders>
              <w:tl2br w:val="nil"/>
              <w:tr2bl w:val="nil"/>
            </w:tcBorders>
            <w:vAlign w:val="center"/>
          </w:tcPr>
          <w:p>
            <w:pPr>
              <w:jc w:val="center"/>
              <w:rPr>
                <w:sz w:val="21"/>
                <w:szCs w:val="21"/>
              </w:rPr>
            </w:pPr>
            <w:r>
              <w:rPr>
                <w:rFonts w:hint="eastAsia"/>
                <w:sz w:val="21"/>
                <w:szCs w:val="21"/>
                <w:lang w:eastAsia="zh-CN"/>
              </w:rPr>
              <w:t>煤粉与煤泥混合后外售，煤矸石粉回用制砖生产</w:t>
            </w:r>
          </w:p>
        </w:tc>
        <w:tc>
          <w:tcPr>
            <w:tcW w:w="2642" w:type="dxa"/>
            <w:tcBorders>
              <w:tl2br w:val="nil"/>
              <w:tr2bl w:val="nil"/>
            </w:tcBorders>
            <w:vAlign w:val="center"/>
          </w:tcPr>
          <w:p>
            <w:pPr>
              <w:ind w:firstLine="240"/>
              <w:jc w:val="center"/>
              <w:rPr>
                <w:sz w:val="21"/>
                <w:szCs w:val="21"/>
              </w:rPr>
            </w:pPr>
            <w:r>
              <w:rPr>
                <w:rFonts w:hint="eastAsia"/>
                <w:sz w:val="21"/>
                <w:szCs w:val="21"/>
              </w:rPr>
              <w:t>资源化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42" w:type="dxa"/>
            <w:vMerge w:val="continue"/>
            <w:tcBorders>
              <w:tl2br w:val="nil"/>
              <w:tr2bl w:val="nil"/>
            </w:tcBorders>
            <w:vAlign w:val="center"/>
          </w:tcPr>
          <w:p>
            <w:pPr>
              <w:spacing w:line="400" w:lineRule="exact"/>
              <w:ind w:firstLine="241"/>
              <w:jc w:val="center"/>
              <w:rPr>
                <w:b/>
                <w:bCs/>
                <w:sz w:val="21"/>
                <w:szCs w:val="21"/>
              </w:rPr>
            </w:pPr>
          </w:p>
        </w:tc>
        <w:tc>
          <w:tcPr>
            <w:tcW w:w="1345" w:type="dxa"/>
            <w:vMerge w:val="restart"/>
            <w:tcBorders>
              <w:tl2br w:val="nil"/>
              <w:tr2bl w:val="nil"/>
            </w:tcBorders>
            <w:vAlign w:val="center"/>
          </w:tcPr>
          <w:p>
            <w:pPr>
              <w:jc w:val="center"/>
              <w:rPr>
                <w:rFonts w:hint="eastAsia" w:eastAsia="宋体"/>
                <w:sz w:val="21"/>
                <w:szCs w:val="21"/>
                <w:lang w:eastAsia="zh-CN"/>
              </w:rPr>
            </w:pPr>
            <w:r>
              <w:rPr>
                <w:rFonts w:hint="eastAsia"/>
                <w:sz w:val="21"/>
                <w:szCs w:val="21"/>
                <w:lang w:eastAsia="zh-CN"/>
              </w:rPr>
              <w:t>制砖</w:t>
            </w:r>
          </w:p>
        </w:tc>
        <w:tc>
          <w:tcPr>
            <w:tcW w:w="1774"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边角料</w:t>
            </w:r>
          </w:p>
        </w:tc>
        <w:tc>
          <w:tcPr>
            <w:tcW w:w="2285" w:type="dxa"/>
            <w:tcBorders>
              <w:tl2br w:val="nil"/>
              <w:tr2bl w:val="nil"/>
            </w:tcBorders>
            <w:vAlign w:val="center"/>
          </w:tcPr>
          <w:p>
            <w:pPr>
              <w:jc w:val="center"/>
              <w:rPr>
                <w:sz w:val="21"/>
                <w:szCs w:val="21"/>
              </w:rPr>
            </w:pPr>
            <w:r>
              <w:rPr>
                <w:rFonts w:hint="eastAsia"/>
                <w:sz w:val="21"/>
                <w:szCs w:val="21"/>
                <w:lang w:eastAsia="zh-CN"/>
              </w:rPr>
              <w:t>回用生产</w:t>
            </w:r>
          </w:p>
        </w:tc>
        <w:tc>
          <w:tcPr>
            <w:tcW w:w="2642" w:type="dxa"/>
            <w:tcBorders>
              <w:tl2br w:val="nil"/>
              <w:tr2bl w:val="nil"/>
            </w:tcBorders>
            <w:vAlign w:val="center"/>
          </w:tcPr>
          <w:p>
            <w:pPr>
              <w:ind w:firstLine="240"/>
              <w:jc w:val="center"/>
              <w:rPr>
                <w:sz w:val="21"/>
                <w:szCs w:val="21"/>
              </w:rPr>
            </w:pPr>
            <w:r>
              <w:rPr>
                <w:rFonts w:hint="eastAsia"/>
                <w:sz w:val="21"/>
                <w:szCs w:val="21"/>
              </w:rPr>
              <w:t>资源化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42" w:type="dxa"/>
            <w:vMerge w:val="continue"/>
            <w:tcBorders>
              <w:tl2br w:val="nil"/>
              <w:tr2bl w:val="nil"/>
            </w:tcBorders>
            <w:vAlign w:val="center"/>
          </w:tcPr>
          <w:p>
            <w:pPr>
              <w:spacing w:line="400" w:lineRule="exact"/>
              <w:ind w:firstLine="241"/>
              <w:jc w:val="center"/>
              <w:rPr>
                <w:b/>
                <w:bCs/>
                <w:sz w:val="21"/>
                <w:szCs w:val="21"/>
              </w:rPr>
            </w:pPr>
          </w:p>
        </w:tc>
        <w:tc>
          <w:tcPr>
            <w:tcW w:w="1345" w:type="dxa"/>
            <w:vMerge w:val="continue"/>
            <w:tcBorders>
              <w:tl2br w:val="nil"/>
              <w:tr2bl w:val="nil"/>
            </w:tcBorders>
            <w:vAlign w:val="center"/>
          </w:tcPr>
          <w:p>
            <w:pPr>
              <w:jc w:val="center"/>
              <w:rPr>
                <w:rFonts w:hint="eastAsia"/>
                <w:sz w:val="21"/>
                <w:szCs w:val="21"/>
                <w:lang w:eastAsia="zh-CN"/>
              </w:rPr>
            </w:pPr>
          </w:p>
        </w:tc>
        <w:tc>
          <w:tcPr>
            <w:tcW w:w="1774" w:type="dxa"/>
            <w:tcBorders>
              <w:tl2br w:val="nil"/>
              <w:tr2bl w:val="nil"/>
            </w:tcBorders>
            <w:vAlign w:val="center"/>
          </w:tcPr>
          <w:p>
            <w:pPr>
              <w:jc w:val="center"/>
              <w:rPr>
                <w:rFonts w:hint="eastAsia"/>
                <w:sz w:val="21"/>
                <w:szCs w:val="21"/>
                <w:lang w:eastAsia="zh-CN"/>
              </w:rPr>
            </w:pPr>
            <w:r>
              <w:rPr>
                <w:rFonts w:hint="eastAsia"/>
                <w:sz w:val="21"/>
                <w:szCs w:val="21"/>
                <w:lang w:eastAsia="zh-CN"/>
              </w:rPr>
              <w:t>损坏成品</w:t>
            </w:r>
          </w:p>
        </w:tc>
        <w:tc>
          <w:tcPr>
            <w:tcW w:w="2285" w:type="dxa"/>
            <w:tcBorders>
              <w:tl2br w:val="nil"/>
              <w:tr2bl w:val="nil"/>
            </w:tcBorders>
            <w:vAlign w:val="center"/>
          </w:tcPr>
          <w:p>
            <w:pPr>
              <w:jc w:val="center"/>
              <w:rPr>
                <w:rFonts w:hint="eastAsia"/>
                <w:sz w:val="21"/>
                <w:szCs w:val="21"/>
                <w:lang w:eastAsia="zh-CN"/>
              </w:rPr>
            </w:pPr>
            <w:r>
              <w:rPr>
                <w:rFonts w:hint="eastAsia"/>
                <w:sz w:val="21"/>
                <w:szCs w:val="21"/>
                <w:lang w:eastAsia="zh-CN"/>
              </w:rPr>
              <w:t>破碎后回用生产</w:t>
            </w:r>
          </w:p>
        </w:tc>
        <w:tc>
          <w:tcPr>
            <w:tcW w:w="2642" w:type="dxa"/>
            <w:tcBorders>
              <w:tl2br w:val="nil"/>
              <w:tr2bl w:val="nil"/>
            </w:tcBorders>
            <w:vAlign w:val="center"/>
          </w:tcPr>
          <w:p>
            <w:pPr>
              <w:ind w:firstLine="240"/>
              <w:jc w:val="center"/>
              <w:rPr>
                <w:rFonts w:hint="eastAsia" w:eastAsia="宋体"/>
                <w:sz w:val="21"/>
                <w:szCs w:val="21"/>
                <w:lang w:eastAsia="zh-CN"/>
              </w:rPr>
            </w:pPr>
            <w:r>
              <w:rPr>
                <w:rFonts w:hint="eastAsia"/>
                <w:sz w:val="21"/>
                <w:szCs w:val="21"/>
                <w:lang w:eastAsia="zh-CN"/>
              </w:rPr>
              <w:t>资源化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242" w:type="dxa"/>
            <w:vMerge w:val="continue"/>
            <w:tcBorders>
              <w:tl2br w:val="nil"/>
              <w:tr2bl w:val="nil"/>
            </w:tcBorders>
            <w:vAlign w:val="center"/>
          </w:tcPr>
          <w:p>
            <w:pPr>
              <w:spacing w:line="400" w:lineRule="exact"/>
              <w:ind w:firstLine="241"/>
              <w:jc w:val="center"/>
              <w:rPr>
                <w:b/>
                <w:bCs/>
                <w:sz w:val="21"/>
                <w:szCs w:val="21"/>
              </w:rPr>
            </w:pPr>
          </w:p>
        </w:tc>
        <w:tc>
          <w:tcPr>
            <w:tcW w:w="1345" w:type="dxa"/>
            <w:vMerge w:val="restart"/>
            <w:tcBorders>
              <w:tl2br w:val="nil"/>
              <w:tr2bl w:val="nil"/>
            </w:tcBorders>
            <w:vAlign w:val="center"/>
          </w:tcPr>
          <w:p>
            <w:pPr>
              <w:jc w:val="center"/>
              <w:rPr>
                <w:sz w:val="21"/>
                <w:szCs w:val="21"/>
              </w:rPr>
            </w:pPr>
            <w:r>
              <w:rPr>
                <w:rFonts w:hint="eastAsia"/>
                <w:sz w:val="21"/>
                <w:szCs w:val="21"/>
              </w:rPr>
              <w:t>职工生活</w:t>
            </w:r>
          </w:p>
        </w:tc>
        <w:tc>
          <w:tcPr>
            <w:tcW w:w="1774" w:type="dxa"/>
            <w:tcBorders>
              <w:tl2br w:val="nil"/>
              <w:tr2bl w:val="nil"/>
            </w:tcBorders>
            <w:vAlign w:val="center"/>
          </w:tcPr>
          <w:p>
            <w:pPr>
              <w:ind w:firstLine="240"/>
              <w:jc w:val="center"/>
              <w:rPr>
                <w:sz w:val="21"/>
                <w:szCs w:val="21"/>
              </w:rPr>
            </w:pPr>
            <w:r>
              <w:rPr>
                <w:rFonts w:hint="eastAsia"/>
                <w:sz w:val="21"/>
                <w:szCs w:val="21"/>
              </w:rPr>
              <w:t>生活</w:t>
            </w:r>
            <w:r>
              <w:rPr>
                <w:rFonts w:hint="eastAsia"/>
                <w:sz w:val="21"/>
                <w:szCs w:val="21"/>
                <w:lang w:eastAsia="zh-CN"/>
              </w:rPr>
              <w:t>、餐饮</w:t>
            </w:r>
            <w:r>
              <w:rPr>
                <w:rFonts w:hint="eastAsia"/>
                <w:sz w:val="21"/>
                <w:szCs w:val="21"/>
              </w:rPr>
              <w:t>垃圾</w:t>
            </w:r>
          </w:p>
        </w:tc>
        <w:tc>
          <w:tcPr>
            <w:tcW w:w="2285" w:type="dxa"/>
            <w:tcBorders>
              <w:tl2br w:val="nil"/>
              <w:tr2bl w:val="nil"/>
            </w:tcBorders>
            <w:vAlign w:val="center"/>
          </w:tcPr>
          <w:p>
            <w:pPr>
              <w:jc w:val="center"/>
              <w:rPr>
                <w:sz w:val="21"/>
                <w:szCs w:val="21"/>
              </w:rPr>
            </w:pPr>
            <w:r>
              <w:rPr>
                <w:rFonts w:hint="eastAsia"/>
                <w:sz w:val="21"/>
                <w:szCs w:val="21"/>
              </w:rPr>
              <w:t>环卫部门统一清运</w:t>
            </w:r>
          </w:p>
        </w:tc>
        <w:tc>
          <w:tcPr>
            <w:tcW w:w="2642" w:type="dxa"/>
            <w:tcBorders>
              <w:tl2br w:val="nil"/>
              <w:tr2bl w:val="nil"/>
            </w:tcBorders>
            <w:vAlign w:val="center"/>
          </w:tcPr>
          <w:p>
            <w:pPr>
              <w:ind w:firstLine="240"/>
              <w:jc w:val="center"/>
              <w:rPr>
                <w:sz w:val="21"/>
                <w:szCs w:val="21"/>
              </w:rPr>
            </w:pPr>
            <w:r>
              <w:rPr>
                <w:rFonts w:hint="eastAsia"/>
                <w:sz w:val="21"/>
                <w:szCs w:val="21"/>
              </w:rPr>
              <w:t>无害化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242" w:type="dxa"/>
            <w:vMerge w:val="continue"/>
            <w:tcBorders>
              <w:tl2br w:val="nil"/>
              <w:tr2bl w:val="nil"/>
            </w:tcBorders>
            <w:vAlign w:val="center"/>
          </w:tcPr>
          <w:p>
            <w:pPr>
              <w:spacing w:line="400" w:lineRule="exact"/>
              <w:ind w:firstLine="241"/>
              <w:jc w:val="center"/>
              <w:rPr>
                <w:b/>
                <w:bCs/>
                <w:sz w:val="21"/>
                <w:szCs w:val="21"/>
              </w:rPr>
            </w:pPr>
          </w:p>
        </w:tc>
        <w:tc>
          <w:tcPr>
            <w:tcW w:w="1345" w:type="dxa"/>
            <w:vMerge w:val="continue"/>
            <w:tcBorders>
              <w:tl2br w:val="nil"/>
              <w:tr2bl w:val="nil"/>
            </w:tcBorders>
            <w:vAlign w:val="center"/>
          </w:tcPr>
          <w:p>
            <w:pPr>
              <w:jc w:val="center"/>
              <w:rPr>
                <w:rFonts w:hint="eastAsia" w:eastAsia="宋体"/>
                <w:sz w:val="21"/>
                <w:szCs w:val="21"/>
                <w:lang w:eastAsia="zh-CN"/>
              </w:rPr>
            </w:pPr>
          </w:p>
        </w:tc>
        <w:tc>
          <w:tcPr>
            <w:tcW w:w="1774" w:type="dxa"/>
            <w:tcBorders>
              <w:tl2br w:val="nil"/>
              <w:tr2bl w:val="nil"/>
            </w:tcBorders>
            <w:vAlign w:val="center"/>
          </w:tcPr>
          <w:p>
            <w:pPr>
              <w:ind w:firstLine="240"/>
              <w:jc w:val="center"/>
              <w:rPr>
                <w:rFonts w:hint="eastAsia" w:eastAsia="宋体"/>
                <w:sz w:val="21"/>
                <w:szCs w:val="21"/>
                <w:lang w:eastAsia="zh-CN"/>
              </w:rPr>
            </w:pPr>
            <w:r>
              <w:rPr>
                <w:rFonts w:hint="eastAsia"/>
                <w:sz w:val="21"/>
                <w:szCs w:val="21"/>
                <w:lang w:eastAsia="zh-CN"/>
              </w:rPr>
              <w:t>废油脂</w:t>
            </w:r>
          </w:p>
        </w:tc>
        <w:tc>
          <w:tcPr>
            <w:tcW w:w="2285"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交有资质单位处理</w:t>
            </w:r>
          </w:p>
        </w:tc>
        <w:tc>
          <w:tcPr>
            <w:tcW w:w="2642" w:type="dxa"/>
            <w:tcBorders>
              <w:tl2br w:val="nil"/>
              <w:tr2bl w:val="nil"/>
            </w:tcBorders>
            <w:vAlign w:val="center"/>
          </w:tcPr>
          <w:p>
            <w:pPr>
              <w:ind w:firstLine="240"/>
              <w:jc w:val="center"/>
              <w:rPr>
                <w:rFonts w:hint="eastAsia"/>
                <w:sz w:val="21"/>
                <w:szCs w:val="21"/>
              </w:rPr>
            </w:pPr>
            <w:r>
              <w:rPr>
                <w:rFonts w:hint="eastAsia"/>
                <w:sz w:val="21"/>
                <w:szCs w:val="21"/>
              </w:rPr>
              <w:t>无害化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242" w:type="dxa"/>
            <w:vMerge w:val="continue"/>
            <w:tcBorders>
              <w:tl2br w:val="nil"/>
              <w:tr2bl w:val="nil"/>
            </w:tcBorders>
            <w:vAlign w:val="center"/>
          </w:tcPr>
          <w:p>
            <w:pPr>
              <w:spacing w:line="400" w:lineRule="exact"/>
              <w:ind w:firstLine="241"/>
              <w:jc w:val="center"/>
              <w:rPr>
                <w:b/>
                <w:bCs/>
                <w:sz w:val="21"/>
                <w:szCs w:val="21"/>
              </w:rPr>
            </w:pPr>
          </w:p>
        </w:tc>
        <w:tc>
          <w:tcPr>
            <w:tcW w:w="1345" w:type="dxa"/>
            <w:tcBorders>
              <w:tl2br w:val="nil"/>
              <w:tr2bl w:val="nil"/>
            </w:tcBorders>
            <w:vAlign w:val="center"/>
          </w:tcPr>
          <w:p>
            <w:pPr>
              <w:jc w:val="center"/>
              <w:rPr>
                <w:rFonts w:hint="eastAsia" w:eastAsia="宋体"/>
                <w:sz w:val="21"/>
                <w:szCs w:val="21"/>
                <w:lang w:eastAsia="zh-CN"/>
              </w:rPr>
            </w:pPr>
            <w:r>
              <w:rPr>
                <w:rFonts w:hint="eastAsia"/>
                <w:sz w:val="21"/>
                <w:szCs w:val="21"/>
                <w:lang w:eastAsia="zh-CN"/>
              </w:rPr>
              <w:t>设备维护</w:t>
            </w:r>
          </w:p>
        </w:tc>
        <w:tc>
          <w:tcPr>
            <w:tcW w:w="1774" w:type="dxa"/>
            <w:tcBorders>
              <w:tl2br w:val="nil"/>
              <w:tr2bl w:val="nil"/>
            </w:tcBorders>
            <w:vAlign w:val="center"/>
          </w:tcPr>
          <w:p>
            <w:pPr>
              <w:ind w:firstLine="240"/>
              <w:jc w:val="center"/>
              <w:rPr>
                <w:rFonts w:hint="eastAsia"/>
                <w:sz w:val="21"/>
                <w:szCs w:val="21"/>
                <w:lang w:eastAsia="zh-CN"/>
              </w:rPr>
            </w:pPr>
            <w:r>
              <w:rPr>
                <w:rFonts w:hint="eastAsia"/>
                <w:sz w:val="21"/>
                <w:szCs w:val="21"/>
                <w:lang w:eastAsia="zh-CN"/>
              </w:rPr>
              <w:t>废机油</w:t>
            </w:r>
          </w:p>
        </w:tc>
        <w:tc>
          <w:tcPr>
            <w:tcW w:w="2285" w:type="dxa"/>
            <w:tcBorders>
              <w:tl2br w:val="nil"/>
              <w:tr2bl w:val="nil"/>
            </w:tcBorders>
            <w:vAlign w:val="center"/>
          </w:tcPr>
          <w:p>
            <w:pPr>
              <w:jc w:val="center"/>
              <w:rPr>
                <w:rFonts w:hint="eastAsia"/>
                <w:sz w:val="21"/>
                <w:szCs w:val="21"/>
                <w:lang w:eastAsia="zh-CN"/>
              </w:rPr>
            </w:pPr>
            <w:r>
              <w:rPr>
                <w:rFonts w:hint="eastAsia"/>
                <w:sz w:val="21"/>
                <w:szCs w:val="21"/>
                <w:lang w:eastAsia="zh-CN"/>
              </w:rPr>
              <w:t>存放于危废暂存间内，定期委托有资质单位转运处置</w:t>
            </w:r>
          </w:p>
        </w:tc>
        <w:tc>
          <w:tcPr>
            <w:tcW w:w="2642" w:type="dxa"/>
            <w:tcBorders>
              <w:tl2br w:val="nil"/>
              <w:tr2bl w:val="nil"/>
            </w:tcBorders>
            <w:vAlign w:val="center"/>
          </w:tcPr>
          <w:p>
            <w:pPr>
              <w:ind w:firstLine="240"/>
              <w:jc w:val="center"/>
              <w:rPr>
                <w:rFonts w:hint="eastAsia" w:eastAsia="宋体"/>
                <w:sz w:val="21"/>
                <w:szCs w:val="21"/>
                <w:lang w:eastAsia="zh-CN"/>
              </w:rPr>
            </w:pPr>
            <w:r>
              <w:rPr>
                <w:rFonts w:hint="eastAsia"/>
                <w:sz w:val="21"/>
                <w:szCs w:val="21"/>
                <w:lang w:eastAsia="zh-CN"/>
              </w:rPr>
              <w:t>无害化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1242" w:type="dxa"/>
            <w:tcBorders>
              <w:tl2br w:val="nil"/>
              <w:tr2bl w:val="nil"/>
            </w:tcBorders>
            <w:vAlign w:val="center"/>
          </w:tcPr>
          <w:p>
            <w:pPr>
              <w:spacing w:line="240" w:lineRule="auto"/>
              <w:jc w:val="center"/>
              <w:rPr>
                <w:b/>
                <w:bCs/>
                <w:sz w:val="21"/>
                <w:szCs w:val="21"/>
              </w:rPr>
            </w:pPr>
            <w:r>
              <w:rPr>
                <w:b/>
                <w:bCs/>
                <w:sz w:val="21"/>
                <w:szCs w:val="21"/>
              </w:rPr>
              <w:t>噪</w:t>
            </w:r>
          </w:p>
          <w:p>
            <w:pPr>
              <w:spacing w:line="240" w:lineRule="auto"/>
              <w:jc w:val="center"/>
              <w:rPr>
                <w:b/>
                <w:bCs/>
                <w:sz w:val="21"/>
                <w:szCs w:val="21"/>
              </w:rPr>
            </w:pPr>
            <w:r>
              <w:rPr>
                <w:b/>
                <w:bCs/>
                <w:sz w:val="21"/>
                <w:szCs w:val="21"/>
              </w:rPr>
              <w:t>声</w:t>
            </w:r>
          </w:p>
        </w:tc>
        <w:tc>
          <w:tcPr>
            <w:tcW w:w="1345" w:type="dxa"/>
            <w:tcBorders>
              <w:tl2br w:val="nil"/>
              <w:tr2bl w:val="nil"/>
            </w:tcBorders>
            <w:vAlign w:val="center"/>
          </w:tcPr>
          <w:p>
            <w:pPr>
              <w:spacing w:line="240" w:lineRule="auto"/>
              <w:jc w:val="center"/>
              <w:rPr>
                <w:rFonts w:hint="eastAsia" w:eastAsia="宋体"/>
                <w:sz w:val="21"/>
                <w:szCs w:val="21"/>
                <w:lang w:eastAsia="zh-CN"/>
              </w:rPr>
            </w:pPr>
            <w:r>
              <w:rPr>
                <w:rFonts w:hint="eastAsia"/>
                <w:sz w:val="21"/>
                <w:szCs w:val="21"/>
                <w:lang w:eastAsia="zh-CN"/>
              </w:rPr>
              <w:t>生产设备</w:t>
            </w:r>
          </w:p>
        </w:tc>
        <w:tc>
          <w:tcPr>
            <w:tcW w:w="1774" w:type="dxa"/>
            <w:tcBorders>
              <w:tl2br w:val="nil"/>
              <w:tr2bl w:val="nil"/>
            </w:tcBorders>
            <w:vAlign w:val="center"/>
          </w:tcPr>
          <w:p>
            <w:pPr>
              <w:spacing w:line="240" w:lineRule="auto"/>
              <w:jc w:val="center"/>
              <w:rPr>
                <w:rFonts w:hint="eastAsia" w:eastAsia="宋体"/>
                <w:sz w:val="21"/>
                <w:szCs w:val="21"/>
                <w:lang w:eastAsia="zh-CN"/>
              </w:rPr>
            </w:pPr>
            <w:r>
              <w:rPr>
                <w:rFonts w:hint="eastAsia"/>
                <w:sz w:val="21"/>
                <w:szCs w:val="21"/>
                <w:lang w:eastAsia="zh-CN"/>
              </w:rPr>
              <w:t>机械噪声</w:t>
            </w:r>
          </w:p>
        </w:tc>
        <w:tc>
          <w:tcPr>
            <w:tcW w:w="2285" w:type="dxa"/>
            <w:tcBorders>
              <w:tl2br w:val="nil"/>
              <w:tr2bl w:val="nil"/>
            </w:tcBorders>
            <w:vAlign w:val="center"/>
          </w:tcPr>
          <w:p>
            <w:pPr>
              <w:pStyle w:val="137"/>
              <w:spacing w:line="240" w:lineRule="auto"/>
              <w:jc w:val="both"/>
              <w:rPr>
                <w:sz w:val="21"/>
                <w:szCs w:val="21"/>
              </w:rPr>
            </w:pPr>
            <w:r>
              <w:rPr>
                <w:rFonts w:ascii="Times New Roman" w:hAnsi="Times New Roman"/>
                <w:b w:val="0"/>
                <w:bCs/>
                <w:color w:val="000000"/>
                <w:sz w:val="21"/>
                <w:szCs w:val="21"/>
              </w:rPr>
              <w:t>采取减振</w:t>
            </w:r>
            <w:r>
              <w:rPr>
                <w:rFonts w:hint="eastAsia" w:ascii="Times New Roman" w:hAnsi="Times New Roman"/>
                <w:b w:val="0"/>
                <w:bCs/>
                <w:color w:val="000000"/>
                <w:sz w:val="21"/>
                <w:szCs w:val="21"/>
                <w:lang w:eastAsia="zh-CN"/>
              </w:rPr>
              <w:t>、</w:t>
            </w:r>
            <w:r>
              <w:rPr>
                <w:rFonts w:ascii="Times New Roman" w:hAnsi="Times New Roman"/>
                <w:b w:val="0"/>
                <w:bCs/>
                <w:color w:val="000000"/>
                <w:sz w:val="21"/>
                <w:szCs w:val="21"/>
              </w:rPr>
              <w:t>降噪措施</w:t>
            </w:r>
            <w:r>
              <w:rPr>
                <w:rFonts w:hint="eastAsia" w:ascii="Times New Roman" w:hAnsi="Times New Roman"/>
                <w:b w:val="0"/>
                <w:bCs/>
                <w:color w:val="000000"/>
                <w:sz w:val="21"/>
                <w:szCs w:val="21"/>
                <w:lang w:eastAsia="zh-CN"/>
              </w:rPr>
              <w:t>，将高噪声设备放入厂房中，平面布置尽量位于厂区中央</w:t>
            </w:r>
          </w:p>
        </w:tc>
        <w:tc>
          <w:tcPr>
            <w:tcW w:w="2642" w:type="dxa"/>
            <w:tcBorders>
              <w:tl2br w:val="nil"/>
              <w:tr2bl w:val="nil"/>
            </w:tcBorders>
            <w:vAlign w:val="center"/>
          </w:tcPr>
          <w:p>
            <w:pPr>
              <w:spacing w:line="240" w:lineRule="auto"/>
              <w:rPr>
                <w:sz w:val="21"/>
                <w:szCs w:val="21"/>
              </w:rPr>
            </w:pPr>
            <w:r>
              <w:rPr>
                <w:rFonts w:hint="default" w:ascii="Times New Roman" w:hAnsi="Times New Roman" w:eastAsia="宋体" w:cs="Times New Roman"/>
                <w:b w:val="0"/>
                <w:bCs w:val="0"/>
                <w:color w:val="000000"/>
                <w:sz w:val="21"/>
                <w:szCs w:val="21"/>
              </w:rPr>
              <w:t>满足</w:t>
            </w:r>
            <w:r>
              <w:rPr>
                <w:rFonts w:hint="default" w:ascii="Times New Roman" w:hAnsi="Times New Roman" w:eastAsia="宋体" w:cs="Times New Roman"/>
                <w:b w:val="0"/>
                <w:bCs w:val="0"/>
                <w:sz w:val="21"/>
                <w:szCs w:val="21"/>
              </w:rPr>
              <w:t>《工业企业厂界环境噪声排放标准》(GB12348-2008)</w:t>
            </w:r>
            <w:r>
              <w:rPr>
                <w:rFonts w:hint="eastAsia" w:cs="Times New Roman"/>
                <w:b w:val="0"/>
                <w:bCs w:val="0"/>
                <w:sz w:val="21"/>
                <w:szCs w:val="21"/>
                <w:lang w:val="en-US" w:eastAsia="zh-CN"/>
              </w:rPr>
              <w:t>2</w:t>
            </w:r>
            <w:r>
              <w:rPr>
                <w:rFonts w:hint="default" w:ascii="Times New Roman" w:hAnsi="Times New Roman" w:eastAsia="宋体" w:cs="Times New Roman"/>
                <w:b w:val="0"/>
                <w:bCs w:val="0"/>
                <w:sz w:val="21"/>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288" w:type="dxa"/>
            <w:gridSpan w:val="5"/>
            <w:tcBorders>
              <w:tl2br w:val="nil"/>
              <w:tr2bl w:val="nil"/>
            </w:tcBorders>
          </w:tcPr>
          <w:p>
            <w:pPr>
              <w:spacing w:line="360" w:lineRule="auto"/>
              <w:ind w:firstLine="241"/>
              <w:rPr>
                <w:b/>
                <w:bCs/>
                <w:sz w:val="24"/>
                <w:szCs w:val="24"/>
              </w:rPr>
            </w:pPr>
            <w:r>
              <w:rPr>
                <w:b/>
                <w:bCs/>
                <w:sz w:val="24"/>
                <w:szCs w:val="24"/>
              </w:rPr>
              <w:t>生态保护措施及预期效果</w:t>
            </w:r>
          </w:p>
          <w:p>
            <w:pPr>
              <w:autoSpaceDN w:val="0"/>
              <w:spacing w:line="360" w:lineRule="auto"/>
              <w:ind w:firstLine="480" w:firstLineChars="200"/>
              <w:rPr>
                <w:rFonts w:hint="eastAsia"/>
                <w:sz w:val="24"/>
              </w:rPr>
            </w:pPr>
            <w:r>
              <w:rPr>
                <w:rFonts w:ascii="Times New Roman" w:hAnsi="Times New Roman"/>
                <w:sz w:val="24"/>
                <w:szCs w:val="24"/>
              </w:rPr>
              <w:t>工程施工期生态影响主要表现为水土流失和植被破坏</w:t>
            </w:r>
            <w:r>
              <w:rPr>
                <w:rFonts w:hint="eastAsia" w:ascii="Times New Roman" w:hAnsi="Times New Roman"/>
                <w:sz w:val="24"/>
                <w:szCs w:val="24"/>
              </w:rPr>
              <w:t>，</w:t>
            </w:r>
            <w:r>
              <w:rPr>
                <w:rFonts w:hint="eastAsia"/>
                <w:sz w:val="24"/>
              </w:rPr>
              <w:t>项目施工将改变原有地表形态及土地结构，若弃土堆渣不及时清理或无任何遮挡、覆盖等措施，在暴雨季节，将会导致水土流失。项目建成后，随着项目区生态恢复，以及对项目区四周、内外空地和道路两侧环境绿化措施实施，对周围的生态环境将产生一定恢复作用。</w:t>
            </w: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spacing w:line="360" w:lineRule="auto"/>
              <w:rPr>
                <w:sz w:val="24"/>
                <w:szCs w:val="24"/>
              </w:rPr>
            </w:pPr>
          </w:p>
        </w:tc>
      </w:tr>
    </w:tbl>
    <w:p>
      <w:pPr>
        <w:pStyle w:val="3"/>
        <w:ind w:firstLine="321"/>
        <w:jc w:val="left"/>
        <w:rPr>
          <w:rFonts w:ascii="Times New Roman" w:eastAsia="宋体"/>
          <w:b/>
          <w:sz w:val="32"/>
          <w:szCs w:val="32"/>
        </w:rPr>
      </w:pPr>
      <w:bookmarkStart w:id="23" w:name="_Toc325470788"/>
      <w:r>
        <w:rPr>
          <w:rFonts w:ascii="Times New Roman" w:eastAsia="宋体"/>
          <w:b/>
          <w:sz w:val="32"/>
          <w:szCs w:val="32"/>
        </w:rPr>
        <w:t>结论与建议</w:t>
      </w:r>
      <w:bookmarkEnd w:id="23"/>
    </w:p>
    <w:tbl>
      <w:tblPr>
        <w:tblStyle w:val="34"/>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46" w:hRule="atLeast"/>
        </w:trPr>
        <w:tc>
          <w:tcPr>
            <w:tcW w:w="9288" w:type="dxa"/>
          </w:tcPr>
          <w:p>
            <w:pPr>
              <w:adjustRightInd w:val="0"/>
              <w:snapToGrid w:val="0"/>
              <w:spacing w:line="360" w:lineRule="auto"/>
              <w:ind w:firstLine="480" w:firstLineChars="200"/>
              <w:rPr>
                <w:sz w:val="24"/>
                <w:szCs w:val="24"/>
              </w:rPr>
            </w:pPr>
            <w:r>
              <w:rPr>
                <w:sz w:val="24"/>
                <w:szCs w:val="24"/>
              </w:rPr>
              <w:t>1、项目概况</w:t>
            </w:r>
          </w:p>
          <w:p>
            <w:pPr>
              <w:spacing w:line="360" w:lineRule="auto"/>
              <w:ind w:firstLine="480" w:firstLineChars="200"/>
              <w:rPr>
                <w:rFonts w:hint="eastAsia"/>
                <w:sz w:val="24"/>
                <w:szCs w:val="24"/>
                <w:u w:val="none"/>
                <w:vertAlign w:val="baseline"/>
                <w:lang w:val="en-US" w:eastAsia="zh-CN"/>
              </w:rPr>
            </w:pPr>
            <w:r>
              <w:rPr>
                <w:rFonts w:hint="eastAsia"/>
                <w:sz w:val="24"/>
              </w:rPr>
              <w:t>铜川宜兴达物资储运有限公司</w:t>
            </w:r>
            <w:r>
              <w:rPr>
                <w:rFonts w:hint="eastAsia" w:hAnsi="宋体"/>
                <w:sz w:val="24"/>
              </w:rPr>
              <w:t>拟</w:t>
            </w:r>
            <w:r>
              <w:rPr>
                <w:rFonts w:hint="eastAsia" w:hAnsi="宋体"/>
                <w:sz w:val="24"/>
                <w:lang w:eastAsia="zh-CN"/>
              </w:rPr>
              <w:t>投资</w:t>
            </w:r>
            <w:r>
              <w:rPr>
                <w:rFonts w:hint="eastAsia" w:hAnsi="宋体"/>
                <w:sz w:val="24"/>
                <w:lang w:val="en-US" w:eastAsia="zh-CN"/>
              </w:rPr>
              <w:t>12000万元，建设</w:t>
            </w:r>
            <w:r>
              <w:rPr>
                <w:rFonts w:hint="eastAsia"/>
                <w:sz w:val="24"/>
                <w:szCs w:val="24"/>
                <w:u w:val="none"/>
              </w:rPr>
              <w:t>洁亿达煤炭精洗及煤矸石综合利用项目</w:t>
            </w:r>
            <w:r>
              <w:rPr>
                <w:rFonts w:hint="eastAsia"/>
                <w:sz w:val="24"/>
                <w:szCs w:val="24"/>
                <w:u w:val="none"/>
                <w:lang w:eastAsia="zh-CN"/>
              </w:rPr>
              <w:t>，本项目总占地面积</w:t>
            </w:r>
            <w:r>
              <w:rPr>
                <w:rFonts w:hint="eastAsia"/>
                <w:sz w:val="24"/>
                <w:szCs w:val="24"/>
                <w:u w:val="none"/>
                <w:lang w:val="en-US" w:eastAsia="zh-CN"/>
              </w:rPr>
              <w:t>64873m</w:t>
            </w:r>
            <w:r>
              <w:rPr>
                <w:rFonts w:hint="eastAsia"/>
                <w:sz w:val="24"/>
                <w:szCs w:val="24"/>
                <w:u w:val="none"/>
                <w:vertAlign w:val="superscript"/>
                <w:lang w:val="en-US" w:eastAsia="zh-CN"/>
              </w:rPr>
              <w:t>2</w:t>
            </w:r>
            <w:r>
              <w:rPr>
                <w:rFonts w:hint="eastAsia"/>
                <w:sz w:val="24"/>
                <w:szCs w:val="24"/>
                <w:u w:val="none"/>
                <w:vertAlign w:val="baseline"/>
                <w:lang w:val="en-US" w:eastAsia="zh-CN"/>
              </w:rPr>
              <w:t>，项目用地原为林地，后因延西高速建设，该地块被用作为弃土场，该弃土场依据地形地势自西向东，设置五级上升台阶。本项目依据该地形地势修建厂房，设置3条洗选煤生产线和1条制砖生产线，可实现年洗煤150万吨，混凝土铺地砖15万m</w:t>
            </w:r>
            <w:r>
              <w:rPr>
                <w:rFonts w:hint="eastAsia"/>
                <w:sz w:val="24"/>
                <w:szCs w:val="24"/>
                <w:u w:val="none"/>
                <w:vertAlign w:val="superscript"/>
                <w:lang w:val="en-US" w:eastAsia="zh-CN"/>
              </w:rPr>
              <w:t>2</w:t>
            </w:r>
            <w:r>
              <w:rPr>
                <w:rFonts w:hint="eastAsia"/>
                <w:sz w:val="24"/>
                <w:szCs w:val="24"/>
                <w:u w:val="none"/>
                <w:vertAlign w:val="baseline"/>
                <w:lang w:val="en-US" w:eastAsia="zh-CN"/>
              </w:rPr>
              <w:t>。本项目已取得宜君县发展和改革局《关于</w:t>
            </w:r>
            <w:r>
              <w:rPr>
                <w:rFonts w:hint="eastAsia"/>
                <w:sz w:val="24"/>
                <w:szCs w:val="24"/>
                <w:u w:val="none"/>
              </w:rPr>
              <w:t>洁亿达煤炭精洗及煤矸石综合利用项目</w:t>
            </w:r>
            <w:r>
              <w:rPr>
                <w:rFonts w:hint="eastAsia"/>
                <w:sz w:val="24"/>
                <w:szCs w:val="24"/>
                <w:u w:val="none"/>
                <w:lang w:eastAsia="zh-CN"/>
              </w:rPr>
              <w:t>备案确认的通知</w:t>
            </w:r>
            <w:r>
              <w:rPr>
                <w:rFonts w:hint="eastAsia"/>
                <w:sz w:val="24"/>
                <w:szCs w:val="24"/>
                <w:u w:val="none"/>
                <w:vertAlign w:val="baseline"/>
                <w:lang w:val="en-US" w:eastAsia="zh-CN"/>
              </w:rPr>
              <w:t>》（君发改[2017]268号），宜君县国土资源局《关于</w:t>
            </w:r>
            <w:r>
              <w:rPr>
                <w:rFonts w:hint="eastAsia"/>
                <w:sz w:val="24"/>
                <w:szCs w:val="24"/>
                <w:u w:val="none"/>
              </w:rPr>
              <w:t>洁亿达煤炭精洗及煤矸石综合利用项目</w:t>
            </w:r>
            <w:r>
              <w:rPr>
                <w:rFonts w:hint="eastAsia"/>
                <w:sz w:val="24"/>
                <w:szCs w:val="24"/>
                <w:u w:val="none"/>
                <w:lang w:eastAsia="zh-CN"/>
              </w:rPr>
              <w:t>用地预审的意见</w:t>
            </w:r>
            <w:r>
              <w:rPr>
                <w:rFonts w:hint="eastAsia"/>
                <w:sz w:val="24"/>
                <w:szCs w:val="24"/>
                <w:u w:val="none"/>
                <w:vertAlign w:val="baseline"/>
                <w:lang w:val="en-US" w:eastAsia="zh-CN"/>
              </w:rPr>
              <w:t>》（君国资发[2017]44号），陕西省林业厅准予行政许可决定书《使用林地审核同意书》（陕林资许准[2017]386号）。</w:t>
            </w:r>
          </w:p>
          <w:p>
            <w:pPr>
              <w:spacing w:line="360" w:lineRule="auto"/>
              <w:ind w:firstLine="480" w:firstLineChars="200"/>
              <w:rPr>
                <w:color w:val="auto"/>
                <w:sz w:val="24"/>
                <w:szCs w:val="24"/>
              </w:rPr>
            </w:pPr>
            <w:r>
              <w:rPr>
                <w:rFonts w:hint="eastAsia"/>
                <w:color w:val="auto"/>
                <w:sz w:val="24"/>
                <w:szCs w:val="24"/>
                <w:lang w:val="en-US" w:eastAsia="zh-CN"/>
              </w:rPr>
              <w:t>2</w:t>
            </w:r>
            <w:r>
              <w:rPr>
                <w:color w:val="auto"/>
                <w:sz w:val="24"/>
                <w:szCs w:val="24"/>
              </w:rPr>
              <w:t>、环境质量现状</w:t>
            </w:r>
          </w:p>
          <w:p>
            <w:pPr>
              <w:adjustRightInd w:val="0"/>
              <w:spacing w:line="360" w:lineRule="auto"/>
              <w:ind w:firstLine="600" w:firstLineChars="250"/>
              <w:textAlignment w:val="baseline"/>
              <w:rPr>
                <w:color w:val="auto"/>
                <w:sz w:val="24"/>
                <w:szCs w:val="24"/>
              </w:rPr>
            </w:pPr>
            <w:r>
              <w:rPr>
                <w:color w:val="auto"/>
                <w:sz w:val="24"/>
                <w:szCs w:val="24"/>
              </w:rPr>
              <w:t>（1）环境空气</w:t>
            </w:r>
          </w:p>
          <w:p>
            <w:pPr>
              <w:spacing w:line="360" w:lineRule="auto"/>
              <w:ind w:firstLine="480" w:firstLineChars="200"/>
              <w:rPr>
                <w:rFonts w:hint="eastAsia"/>
                <w:b/>
                <w:bCs/>
                <w:color w:val="auto"/>
                <w:sz w:val="24"/>
                <w:szCs w:val="24"/>
              </w:rPr>
            </w:pPr>
            <w:r>
              <w:rPr>
                <w:rFonts w:hint="eastAsia"/>
                <w:bCs/>
                <w:color w:val="auto"/>
                <w:sz w:val="24"/>
                <w:szCs w:val="24"/>
              </w:rPr>
              <w:t>项目所在区域环境空气质量监测因子</w:t>
            </w:r>
            <w:r>
              <w:rPr>
                <w:bCs/>
                <w:color w:val="auto"/>
                <w:sz w:val="24"/>
                <w:szCs w:val="24"/>
              </w:rPr>
              <w:t>SO</w:t>
            </w:r>
            <w:r>
              <w:rPr>
                <w:bCs/>
                <w:color w:val="auto"/>
                <w:sz w:val="24"/>
                <w:szCs w:val="24"/>
                <w:vertAlign w:val="subscript"/>
              </w:rPr>
              <w:t>2</w:t>
            </w:r>
            <w:r>
              <w:rPr>
                <w:bCs/>
                <w:color w:val="auto"/>
                <w:sz w:val="24"/>
                <w:szCs w:val="24"/>
              </w:rPr>
              <w:t>、NO</w:t>
            </w:r>
            <w:r>
              <w:rPr>
                <w:bCs/>
                <w:color w:val="auto"/>
                <w:sz w:val="24"/>
                <w:szCs w:val="24"/>
                <w:vertAlign w:val="subscript"/>
              </w:rPr>
              <w:t>2</w:t>
            </w:r>
            <w:r>
              <w:rPr>
                <w:spacing w:val="-20"/>
                <w:kern w:val="0"/>
                <w:sz w:val="24"/>
                <w:szCs w:val="24"/>
              </w:rPr>
              <w:t>1h</w:t>
            </w:r>
            <w:r>
              <w:rPr>
                <w:rFonts w:hint="eastAsia"/>
                <w:bCs/>
                <w:color w:val="auto"/>
                <w:sz w:val="24"/>
                <w:szCs w:val="24"/>
              </w:rPr>
              <w:t>平均浓度、</w:t>
            </w:r>
            <w:r>
              <w:rPr>
                <w:rFonts w:hint="eastAsia"/>
                <w:bCs/>
                <w:color w:val="auto"/>
                <w:sz w:val="24"/>
                <w:szCs w:val="24"/>
                <w:lang w:val="en-US" w:eastAsia="zh-CN"/>
              </w:rPr>
              <w:t>24h平</w:t>
            </w:r>
            <w:r>
              <w:rPr>
                <w:rFonts w:hint="eastAsia"/>
                <w:bCs/>
                <w:color w:val="auto"/>
                <w:sz w:val="24"/>
                <w:szCs w:val="24"/>
              </w:rPr>
              <w:t>均浓度</w:t>
            </w:r>
            <w:r>
              <w:rPr>
                <w:rFonts w:hint="eastAsia"/>
                <w:bCs/>
                <w:color w:val="auto"/>
                <w:sz w:val="24"/>
                <w:szCs w:val="24"/>
                <w:lang w:eastAsia="zh-CN"/>
              </w:rPr>
              <w:t>、</w:t>
            </w:r>
            <w:r>
              <w:rPr>
                <w:rFonts w:hint="eastAsia"/>
                <w:color w:val="auto"/>
                <w:sz w:val="24"/>
                <w:szCs w:val="24"/>
              </w:rPr>
              <w:t>PM</w:t>
            </w:r>
            <w:r>
              <w:rPr>
                <w:rFonts w:hint="eastAsia"/>
                <w:color w:val="auto"/>
                <w:sz w:val="24"/>
                <w:szCs w:val="24"/>
                <w:vertAlign w:val="subscript"/>
              </w:rPr>
              <w:t>10</w:t>
            </w:r>
            <w:r>
              <w:rPr>
                <w:rFonts w:hint="eastAsia"/>
                <w:color w:val="auto"/>
                <w:sz w:val="24"/>
                <w:szCs w:val="24"/>
                <w:lang w:val="en-US" w:eastAsia="zh-CN"/>
              </w:rPr>
              <w:t>24h平</w:t>
            </w:r>
            <w:r>
              <w:rPr>
                <w:rFonts w:hint="eastAsia"/>
                <w:color w:val="auto"/>
                <w:sz w:val="24"/>
                <w:szCs w:val="24"/>
              </w:rPr>
              <w:t>均</w:t>
            </w:r>
            <w:r>
              <w:rPr>
                <w:rFonts w:hint="eastAsia"/>
                <w:color w:val="auto"/>
                <w:sz w:val="24"/>
                <w:szCs w:val="24"/>
                <w:lang w:eastAsia="zh-CN"/>
              </w:rPr>
              <w:t>浓度</w:t>
            </w:r>
            <w:r>
              <w:rPr>
                <w:rFonts w:hint="eastAsia"/>
                <w:bCs/>
                <w:color w:val="auto"/>
                <w:sz w:val="24"/>
                <w:szCs w:val="24"/>
              </w:rPr>
              <w:t>均能够</w:t>
            </w:r>
            <w:r>
              <w:rPr>
                <w:bCs/>
                <w:color w:val="auto"/>
                <w:sz w:val="24"/>
                <w:szCs w:val="24"/>
              </w:rPr>
              <w:t>满足</w:t>
            </w:r>
            <w:r>
              <w:rPr>
                <w:color w:val="auto"/>
                <w:sz w:val="24"/>
                <w:szCs w:val="24"/>
              </w:rPr>
              <w:t>《环境空气质量标准》</w:t>
            </w:r>
            <w:r>
              <w:rPr>
                <w:rFonts w:hint="eastAsia"/>
                <w:bCs/>
                <w:color w:val="auto"/>
                <w:sz w:val="24"/>
                <w:szCs w:val="24"/>
              </w:rPr>
              <w:t>（</w:t>
            </w:r>
            <w:r>
              <w:rPr>
                <w:color w:val="auto"/>
                <w:sz w:val="24"/>
                <w:szCs w:val="24"/>
              </w:rPr>
              <w:t>GB3095</w:t>
            </w:r>
            <w:r>
              <w:rPr>
                <w:rFonts w:hint="eastAsia"/>
                <w:color w:val="auto"/>
                <w:sz w:val="24"/>
                <w:szCs w:val="24"/>
              </w:rPr>
              <w:t>-</w:t>
            </w:r>
            <w:r>
              <w:rPr>
                <w:color w:val="auto"/>
                <w:sz w:val="24"/>
                <w:szCs w:val="24"/>
              </w:rPr>
              <w:t>2012</w:t>
            </w:r>
            <w:r>
              <w:rPr>
                <w:rFonts w:hint="eastAsia"/>
                <w:color w:val="auto"/>
                <w:sz w:val="24"/>
                <w:szCs w:val="24"/>
              </w:rPr>
              <w:t>）</w:t>
            </w:r>
            <w:r>
              <w:rPr>
                <w:color w:val="auto"/>
                <w:sz w:val="24"/>
                <w:szCs w:val="24"/>
              </w:rPr>
              <w:t>中二级标准</w:t>
            </w:r>
            <w:r>
              <w:rPr>
                <w:rFonts w:hint="eastAsia"/>
                <w:color w:val="auto"/>
                <w:sz w:val="24"/>
                <w:szCs w:val="24"/>
                <w:lang w:eastAsia="zh-CN"/>
              </w:rPr>
              <w:t>。</w:t>
            </w:r>
          </w:p>
          <w:p>
            <w:pPr>
              <w:adjustRightInd w:val="0"/>
              <w:spacing w:line="360" w:lineRule="auto"/>
              <w:ind w:firstLine="600" w:firstLineChars="250"/>
              <w:textAlignment w:val="baseline"/>
              <w:rPr>
                <w:bCs/>
                <w:color w:val="auto"/>
                <w:sz w:val="24"/>
                <w:szCs w:val="24"/>
              </w:rPr>
            </w:pPr>
            <w:r>
              <w:rPr>
                <w:color w:val="auto"/>
                <w:sz w:val="24"/>
                <w:szCs w:val="24"/>
              </w:rPr>
              <w:t>（</w:t>
            </w:r>
            <w:r>
              <w:rPr>
                <w:rFonts w:hint="eastAsia"/>
                <w:color w:val="auto"/>
                <w:sz w:val="24"/>
                <w:szCs w:val="24"/>
              </w:rPr>
              <w:t>2</w:t>
            </w:r>
            <w:r>
              <w:rPr>
                <w:color w:val="auto"/>
                <w:sz w:val="24"/>
                <w:szCs w:val="24"/>
              </w:rPr>
              <w:t>）声环境</w:t>
            </w:r>
          </w:p>
          <w:p>
            <w:pPr>
              <w:spacing w:line="360" w:lineRule="auto"/>
              <w:ind w:firstLine="480" w:firstLineChars="200"/>
              <w:rPr>
                <w:color w:val="auto"/>
                <w:sz w:val="24"/>
                <w:szCs w:val="24"/>
              </w:rPr>
            </w:pPr>
            <w:r>
              <w:rPr>
                <w:rFonts w:hint="eastAsia"/>
                <w:color w:val="auto"/>
                <w:sz w:val="24"/>
                <w:szCs w:val="24"/>
                <w:lang w:eastAsia="zh-CN"/>
              </w:rPr>
              <w:t>项目</w:t>
            </w:r>
            <w:r>
              <w:rPr>
                <w:rFonts w:hint="eastAsia"/>
                <w:color w:val="auto"/>
                <w:sz w:val="24"/>
                <w:szCs w:val="24"/>
              </w:rPr>
              <w:t>四周厂界</w:t>
            </w:r>
            <w:r>
              <w:rPr>
                <w:color w:val="auto"/>
                <w:sz w:val="24"/>
                <w:szCs w:val="24"/>
              </w:rPr>
              <w:t>声环境现状</w:t>
            </w:r>
            <w:r>
              <w:rPr>
                <w:rFonts w:hint="eastAsia"/>
                <w:color w:val="auto"/>
                <w:sz w:val="24"/>
                <w:szCs w:val="24"/>
              </w:rPr>
              <w:t>监测</w:t>
            </w:r>
            <w:r>
              <w:rPr>
                <w:color w:val="auto"/>
                <w:sz w:val="24"/>
                <w:szCs w:val="24"/>
              </w:rPr>
              <w:t>值均能够</w:t>
            </w:r>
            <w:r>
              <w:rPr>
                <w:rFonts w:hint="eastAsia"/>
                <w:color w:val="auto"/>
                <w:sz w:val="24"/>
                <w:szCs w:val="24"/>
              </w:rPr>
              <w:t>达到</w:t>
            </w:r>
            <w:r>
              <w:rPr>
                <w:color w:val="auto"/>
                <w:sz w:val="24"/>
                <w:szCs w:val="24"/>
              </w:rPr>
              <w:t>GB3096-2008《声环境质量标准》中</w:t>
            </w:r>
            <w:r>
              <w:rPr>
                <w:rFonts w:hint="eastAsia"/>
                <w:color w:val="auto"/>
                <w:sz w:val="24"/>
                <w:szCs w:val="24"/>
                <w:lang w:val="en-US" w:eastAsia="zh-CN"/>
              </w:rPr>
              <w:t>3</w:t>
            </w:r>
            <w:r>
              <w:rPr>
                <w:color w:val="auto"/>
                <w:sz w:val="24"/>
                <w:szCs w:val="24"/>
              </w:rPr>
              <w:t>类标准昼、夜间噪声</w:t>
            </w:r>
            <w:r>
              <w:rPr>
                <w:rFonts w:hint="eastAsia"/>
                <w:color w:val="auto"/>
                <w:sz w:val="24"/>
                <w:szCs w:val="24"/>
              </w:rPr>
              <w:t>限值，</w:t>
            </w:r>
            <w:r>
              <w:rPr>
                <w:color w:val="auto"/>
                <w:sz w:val="24"/>
                <w:szCs w:val="24"/>
              </w:rPr>
              <w:t>声环境质量</w:t>
            </w:r>
            <w:r>
              <w:rPr>
                <w:rFonts w:hint="eastAsia"/>
                <w:color w:val="auto"/>
                <w:sz w:val="24"/>
                <w:szCs w:val="24"/>
              </w:rPr>
              <w:t>现状</w:t>
            </w:r>
            <w:r>
              <w:rPr>
                <w:color w:val="auto"/>
                <w:sz w:val="24"/>
                <w:szCs w:val="24"/>
              </w:rPr>
              <w:t>良好。</w:t>
            </w:r>
          </w:p>
          <w:p>
            <w:pPr>
              <w:adjustRightInd w:val="0"/>
              <w:spacing w:line="360" w:lineRule="auto"/>
              <w:ind w:firstLine="600" w:firstLineChars="250"/>
              <w:textAlignment w:val="baseline"/>
            </w:pPr>
            <w:r>
              <w:rPr>
                <w:color w:val="auto"/>
                <w:sz w:val="24"/>
                <w:szCs w:val="24"/>
              </w:rPr>
              <w:t>（</w:t>
            </w:r>
            <w:r>
              <w:rPr>
                <w:rFonts w:hint="eastAsia"/>
                <w:color w:val="auto"/>
                <w:sz w:val="24"/>
                <w:szCs w:val="24"/>
                <w:lang w:val="en-US" w:eastAsia="zh-CN"/>
              </w:rPr>
              <w:t>3</w:t>
            </w:r>
            <w:r>
              <w:rPr>
                <w:color w:val="auto"/>
                <w:sz w:val="24"/>
                <w:szCs w:val="24"/>
              </w:rPr>
              <w:t>）</w:t>
            </w:r>
            <w:r>
              <w:rPr>
                <w:rFonts w:hint="eastAsia"/>
                <w:color w:val="auto"/>
                <w:sz w:val="24"/>
                <w:szCs w:val="24"/>
                <w:lang w:eastAsia="zh-CN"/>
              </w:rPr>
              <w:t>地下水</w:t>
            </w:r>
            <w:r>
              <w:rPr>
                <w:color w:val="auto"/>
                <w:sz w:val="24"/>
                <w:szCs w:val="24"/>
              </w:rPr>
              <w:t>环境</w:t>
            </w:r>
          </w:p>
          <w:p>
            <w:pPr>
              <w:spacing w:line="360" w:lineRule="auto"/>
              <w:ind w:firstLine="480" w:firstLineChars="200"/>
            </w:pPr>
            <w:r>
              <w:rPr>
                <w:rFonts w:hint="eastAsia" w:ascii="Times New Roman" w:hAnsi="Times New Roman" w:eastAsia="宋体" w:cs="Times New Roman"/>
                <w:color w:val="auto"/>
                <w:sz w:val="24"/>
                <w:szCs w:val="24"/>
                <w:lang w:eastAsia="zh-CN"/>
              </w:rPr>
              <w:t>马坊村水井、石管子村泉水</w:t>
            </w:r>
            <w:r>
              <w:rPr>
                <w:rFonts w:hint="eastAsia"/>
                <w:color w:val="auto"/>
                <w:sz w:val="24"/>
                <w:szCs w:val="24"/>
                <w:highlight w:val="none"/>
              </w:rPr>
              <w:t>监测</w:t>
            </w:r>
            <w:r>
              <w:rPr>
                <w:color w:val="auto"/>
                <w:sz w:val="24"/>
                <w:szCs w:val="24"/>
                <w:highlight w:val="none"/>
              </w:rPr>
              <w:t>值均能够</w:t>
            </w:r>
            <w:r>
              <w:rPr>
                <w:rFonts w:hint="eastAsia"/>
                <w:color w:val="auto"/>
                <w:sz w:val="24"/>
                <w:szCs w:val="24"/>
                <w:highlight w:val="none"/>
              </w:rPr>
              <w:t>达到</w:t>
            </w:r>
            <w:r>
              <w:rPr>
                <w:rFonts w:hint="eastAsia"/>
                <w:color w:val="auto"/>
                <w:sz w:val="24"/>
                <w:szCs w:val="24"/>
                <w:lang w:val="en-US" w:eastAsia="zh-CN"/>
              </w:rPr>
              <w:t>《地下水质量标准》（GB/T14848-93）中的III类标准</w:t>
            </w:r>
            <w:r>
              <w:rPr>
                <w:rFonts w:hint="eastAsia"/>
                <w:color w:val="auto"/>
                <w:sz w:val="24"/>
                <w:szCs w:val="24"/>
                <w:highlight w:val="none"/>
              </w:rPr>
              <w:t>限值</w:t>
            </w:r>
            <w:r>
              <w:rPr>
                <w:rFonts w:hint="eastAsia"/>
                <w:color w:val="auto"/>
                <w:sz w:val="24"/>
                <w:szCs w:val="24"/>
                <w:highlight w:val="none"/>
                <w:lang w:eastAsia="zh-CN"/>
              </w:rPr>
              <w:t>，地下水环境质量良好</w:t>
            </w:r>
            <w:r>
              <w:rPr>
                <w:color w:val="auto"/>
                <w:sz w:val="24"/>
                <w:highlight w:val="none"/>
              </w:rPr>
              <w:t>。</w:t>
            </w:r>
          </w:p>
          <w:p>
            <w:pPr>
              <w:adjustRightInd w:val="0"/>
              <w:snapToGrid w:val="0"/>
              <w:spacing w:line="360" w:lineRule="auto"/>
              <w:ind w:firstLine="480" w:firstLineChars="200"/>
              <w:rPr>
                <w:sz w:val="24"/>
                <w:szCs w:val="24"/>
              </w:rPr>
            </w:pPr>
            <w:r>
              <w:rPr>
                <w:rFonts w:hint="eastAsia"/>
                <w:sz w:val="24"/>
                <w:szCs w:val="24"/>
                <w:lang w:val="en-US" w:eastAsia="zh-CN"/>
              </w:rPr>
              <w:t>3</w:t>
            </w:r>
            <w:r>
              <w:rPr>
                <w:sz w:val="24"/>
                <w:szCs w:val="24"/>
              </w:rPr>
              <w:t>、环境影响分析</w:t>
            </w:r>
          </w:p>
          <w:p>
            <w:pPr>
              <w:adjustRightInd w:val="0"/>
              <w:snapToGrid w:val="0"/>
              <w:spacing w:line="360" w:lineRule="auto"/>
              <w:ind w:firstLine="480" w:firstLineChars="200"/>
              <w:rPr>
                <w:sz w:val="24"/>
                <w:szCs w:val="24"/>
              </w:rPr>
            </w:pPr>
            <w:r>
              <w:rPr>
                <w:rFonts w:hint="eastAsia" w:ascii="宋体" w:hAnsi="宋体" w:cs="宋体"/>
                <w:sz w:val="24"/>
                <w:szCs w:val="24"/>
              </w:rPr>
              <w:t>（1）</w:t>
            </w:r>
            <w:r>
              <w:rPr>
                <w:sz w:val="24"/>
                <w:szCs w:val="24"/>
              </w:rPr>
              <w:t>废水</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项目生产过程中生产废水不外排，项目餐饮废水经隔油池处理后与生活废水一同排入化肥池，经过处理后定期清运肥田。</w:t>
            </w:r>
          </w:p>
          <w:p>
            <w:pPr>
              <w:adjustRightInd w:val="0"/>
              <w:snapToGrid w:val="0"/>
              <w:spacing w:line="360" w:lineRule="auto"/>
              <w:ind w:firstLine="480" w:firstLineChars="200"/>
              <w:rPr>
                <w:sz w:val="24"/>
                <w:szCs w:val="24"/>
              </w:rPr>
            </w:pPr>
            <w:r>
              <w:rPr>
                <w:rFonts w:hint="eastAsia" w:ascii="宋体" w:hAnsi="宋体" w:cs="宋体"/>
                <w:sz w:val="24"/>
                <w:szCs w:val="24"/>
              </w:rPr>
              <w:t>（2）</w:t>
            </w:r>
            <w:r>
              <w:rPr>
                <w:sz w:val="24"/>
                <w:szCs w:val="24"/>
              </w:rPr>
              <w:t>废气</w:t>
            </w:r>
          </w:p>
          <w:p>
            <w:pPr>
              <w:spacing w:line="360" w:lineRule="auto"/>
              <w:ind w:firstLine="480" w:firstLineChars="200"/>
              <w:rPr>
                <w:sz w:val="24"/>
                <w:szCs w:val="24"/>
              </w:rPr>
            </w:pPr>
            <w:r>
              <w:rPr>
                <w:sz w:val="24"/>
                <w:szCs w:val="24"/>
              </w:rPr>
              <w:fldChar w:fldCharType="begin"/>
            </w:r>
            <w:r>
              <w:rPr>
                <w:sz w:val="24"/>
                <w:szCs w:val="24"/>
              </w:rPr>
              <w:instrText xml:space="preserve"> </w:instrText>
            </w:r>
            <w:r>
              <w:rPr>
                <w:rFonts w:hint="eastAsia"/>
                <w:sz w:val="24"/>
                <w:szCs w:val="24"/>
              </w:rPr>
              <w:instrText xml:space="preserve">=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lang w:eastAsia="zh-CN"/>
              </w:rPr>
              <w:t>破碎筛分粉尘</w:t>
            </w:r>
          </w:p>
          <w:p>
            <w:pPr>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项目对破碎筛分机进行隔离封闭，物料输送全部为密闭通廊。在破碎筛分车间设集气罩+布袋除尘器，废气经除尘系统除尘后由1根15m排气筒排放。</w:t>
            </w:r>
            <w:r>
              <w:rPr>
                <w:rFonts w:hint="eastAsia" w:cs="Times New Roman"/>
                <w:sz w:val="24"/>
                <w:szCs w:val="24"/>
                <w:lang w:eastAsia="zh-CN"/>
              </w:rPr>
              <w:t>三个车间分别设置三套独立废气处理装置，由三根排气筒排放。</w:t>
            </w:r>
            <w:r>
              <w:rPr>
                <w:rFonts w:hint="default" w:ascii="Times New Roman" w:hAnsi="Times New Roman" w:eastAsia="宋体" w:cs="Times New Roman"/>
                <w:sz w:val="24"/>
                <w:szCs w:val="24"/>
              </w:rPr>
              <w:t>同时为了防止破碎筛分工序散溢到周围空气中的粉尘（对周围环境的影响，环评建议在产尘点设置洒水喷雾装置</w:t>
            </w:r>
            <w:r>
              <w:rPr>
                <w:rFonts w:hint="eastAsia" w:cs="Times New Roman"/>
                <w:sz w:val="24"/>
                <w:szCs w:val="24"/>
                <w:lang w:eastAsia="zh-CN"/>
              </w:rPr>
              <w:t>。</w:t>
            </w:r>
          </w:p>
          <w:p>
            <w:pPr>
              <w:adjustRightIn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采取以上措施后，项目破碎筛分工序产生粉尘分别满足《煤炭工业污染物排放标准》（GB20426-2006）表4中颗粒物浓度限值小于80mg/m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及其表5中无组织排放限值低于1.0mg/m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的要求</w:t>
            </w:r>
            <w:r>
              <w:rPr>
                <w:rFonts w:hint="eastAsia" w:cs="Times New Roman"/>
                <w:sz w:val="24"/>
                <w:szCs w:val="24"/>
                <w:lang w:eastAsia="zh-CN"/>
              </w:rPr>
              <w:t>，对环境影响较小。</w:t>
            </w:r>
          </w:p>
          <w:p>
            <w:pPr>
              <w:spacing w:line="360" w:lineRule="auto"/>
              <w:ind w:firstLine="480" w:firstLineChars="200"/>
              <w:rPr>
                <w:rFonts w:hint="eastAsia"/>
                <w:sz w:val="24"/>
                <w:szCs w:val="24"/>
                <w:lang w:eastAsia="zh-CN"/>
              </w:rPr>
            </w:pPr>
            <w:r>
              <w:rPr>
                <w:rFonts w:hint="eastAsia"/>
                <w:sz w:val="24"/>
                <w:szCs w:val="24"/>
                <w:lang w:eastAsia="zh-CN"/>
              </w:rPr>
              <w:fldChar w:fldCharType="begin"/>
            </w:r>
            <w:r>
              <w:rPr>
                <w:rFonts w:hint="eastAsia"/>
                <w:sz w:val="24"/>
                <w:szCs w:val="24"/>
                <w:lang w:eastAsia="zh-CN"/>
              </w:rPr>
              <w:instrText xml:space="preserve"> = 2 \* GB3 </w:instrText>
            </w:r>
            <w:r>
              <w:rPr>
                <w:rFonts w:hint="eastAsia"/>
                <w:sz w:val="24"/>
                <w:szCs w:val="24"/>
                <w:lang w:eastAsia="zh-CN"/>
              </w:rPr>
              <w:fldChar w:fldCharType="separate"/>
            </w:r>
            <w:r>
              <w:rPr>
                <w:rFonts w:hint="eastAsia"/>
                <w:sz w:val="24"/>
                <w:szCs w:val="24"/>
                <w:lang w:eastAsia="zh-CN"/>
              </w:rPr>
              <w:t>②</w:t>
            </w:r>
            <w:r>
              <w:rPr>
                <w:rFonts w:hint="eastAsia"/>
                <w:sz w:val="24"/>
                <w:szCs w:val="24"/>
                <w:lang w:eastAsia="zh-CN"/>
              </w:rPr>
              <w:fldChar w:fldCharType="end"/>
            </w:r>
            <w:r>
              <w:rPr>
                <w:rFonts w:hint="eastAsia"/>
                <w:sz w:val="24"/>
                <w:szCs w:val="24"/>
                <w:lang w:eastAsia="zh-CN"/>
              </w:rPr>
              <w:t>制砖工艺</w:t>
            </w:r>
            <w:r>
              <w:rPr>
                <w:rFonts w:hint="eastAsia"/>
                <w:sz w:val="24"/>
                <w:szCs w:val="24"/>
                <w:lang w:val="en-US" w:eastAsia="zh-CN"/>
              </w:rPr>
              <w:t>破碎粉尘</w:t>
            </w:r>
          </w:p>
          <w:p>
            <w:pPr>
              <w:numPr>
                <w:ilvl w:val="0"/>
                <w:numId w:val="0"/>
              </w:numPr>
              <w:adjustRightInd w:val="0"/>
              <w:snapToGrid w:val="0"/>
              <w:spacing w:line="360" w:lineRule="auto"/>
              <w:ind w:firstLine="480"/>
              <w:rPr>
                <w:rFonts w:hint="eastAsia"/>
                <w:color w:val="auto"/>
                <w:kern w:val="24"/>
                <w:sz w:val="24"/>
                <w:lang w:eastAsia="zh-CN"/>
              </w:rPr>
            </w:pPr>
            <w:r>
              <w:rPr>
                <w:rFonts w:hint="eastAsia"/>
                <w:color w:val="auto"/>
                <w:sz w:val="24"/>
                <w:shd w:val="clear" w:color="auto" w:fill="auto"/>
                <w:lang w:val="en-US" w:eastAsia="zh-CN"/>
              </w:rPr>
              <w:t>项目使用圆锥破碎机对煤矸石进行破碎，破碎产生的粉尘由集气罩收集经布袋除尘器处理后由15m排气筒排放，满足</w:t>
            </w:r>
            <w:r>
              <w:rPr>
                <w:rFonts w:hint="eastAsia"/>
                <w:color w:val="auto"/>
                <w:kern w:val="24"/>
                <w:sz w:val="24"/>
              </w:rPr>
              <w:t>GB16297-1996《大气污染物综合排放标准》表2中的二级标准规定</w:t>
            </w:r>
            <w:r>
              <w:rPr>
                <w:rFonts w:hint="eastAsia"/>
                <w:color w:val="auto"/>
                <w:kern w:val="24"/>
                <w:sz w:val="24"/>
                <w:lang w:eastAsia="zh-CN"/>
              </w:rPr>
              <w:t>，因此项目破碎粉尘对环境影响较小。</w:t>
            </w:r>
          </w:p>
          <w:p>
            <w:pPr>
              <w:spacing w:line="360" w:lineRule="auto"/>
              <w:ind w:firstLine="480" w:firstLineChars="200"/>
              <w:rPr>
                <w:sz w:val="24"/>
                <w:szCs w:val="24"/>
              </w:rPr>
            </w:pPr>
            <w:r>
              <w:rPr>
                <w:sz w:val="24"/>
                <w:szCs w:val="24"/>
              </w:rPr>
              <w:fldChar w:fldCharType="begin"/>
            </w:r>
            <w:r>
              <w:rPr>
                <w:sz w:val="24"/>
                <w:szCs w:val="24"/>
              </w:rPr>
              <w:instrText xml:space="preserve"> </w:instrText>
            </w:r>
            <w:r>
              <w:rPr>
                <w:rFonts w:hint="eastAsia"/>
                <w:sz w:val="24"/>
                <w:szCs w:val="24"/>
              </w:rPr>
              <w:instrText xml:space="preserve">=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lang w:eastAsia="zh-CN"/>
              </w:rPr>
              <w:t>粉料储罐粉尘</w:t>
            </w:r>
          </w:p>
          <w:p>
            <w:pPr>
              <w:snapToGrid w:val="0"/>
              <w:spacing w:line="360" w:lineRule="auto"/>
              <w:ind w:firstLine="480" w:firstLineChars="200"/>
              <w:contextualSpacing/>
              <w:rPr>
                <w:rFonts w:hint="eastAsia"/>
                <w:bCs/>
                <w:sz w:val="24"/>
                <w:highlight w:val="none"/>
                <w:lang w:eastAsia="zh-CN"/>
              </w:rPr>
            </w:pPr>
            <w:r>
              <w:rPr>
                <w:rFonts w:hint="eastAsia"/>
                <w:bCs/>
                <w:sz w:val="24"/>
                <w:highlight w:val="none"/>
              </w:rPr>
              <w:t>粉料仓呼吸粉尘</w:t>
            </w:r>
            <w:r>
              <w:rPr>
                <w:bCs/>
                <w:sz w:val="24"/>
                <w:highlight w:val="none"/>
              </w:rPr>
              <w:t>排放浓度</w:t>
            </w:r>
            <w:r>
              <w:rPr>
                <w:rFonts w:hint="eastAsia"/>
                <w:bCs/>
                <w:sz w:val="24"/>
                <w:highlight w:val="none"/>
                <w:lang w:eastAsia="zh-CN"/>
              </w:rPr>
              <w:t>满足</w:t>
            </w:r>
            <w:r>
              <w:rPr>
                <w:rFonts w:hint="eastAsia"/>
                <w:bCs/>
                <w:sz w:val="24"/>
                <w:highlight w:val="none"/>
              </w:rPr>
              <w:t>《关中地区重点行业大气污染物排放限值》（DB61/941-2014）中排气筒高度不低于15m及10mg/m</w:t>
            </w:r>
            <w:r>
              <w:rPr>
                <w:rFonts w:hint="eastAsia"/>
                <w:bCs/>
                <w:sz w:val="24"/>
                <w:highlight w:val="none"/>
                <w:vertAlign w:val="superscript"/>
              </w:rPr>
              <w:t>3</w:t>
            </w:r>
            <w:r>
              <w:rPr>
                <w:rFonts w:hint="eastAsia"/>
                <w:bCs/>
                <w:sz w:val="24"/>
                <w:highlight w:val="none"/>
              </w:rPr>
              <w:t>的排放浓度限值要求</w:t>
            </w:r>
            <w:r>
              <w:rPr>
                <w:rFonts w:hint="eastAsia"/>
                <w:bCs/>
                <w:sz w:val="24"/>
                <w:highlight w:val="none"/>
                <w:lang w:eastAsia="zh-CN"/>
              </w:rPr>
              <w:t>，对周边环境影响较小。</w:t>
            </w:r>
          </w:p>
          <w:p>
            <w:pPr>
              <w:pStyle w:val="2"/>
              <w:spacing w:line="360" w:lineRule="auto"/>
              <w:ind w:firstLine="440" w:firstLineChars="200"/>
              <w:rPr>
                <w:rFonts w:hint="default" w:ascii="Times New Roman" w:hAnsi="Times New Roman" w:eastAsia="宋体" w:cs="Times New Roman"/>
                <w:bCs/>
                <w:sz w:val="24"/>
                <w:szCs w:val="24"/>
                <w:highlight w:val="none"/>
                <w:lang w:eastAsia="zh-CN"/>
              </w:rPr>
            </w:pPr>
            <w:r>
              <w:rPr>
                <w:rFonts w:hint="default" w:ascii="Times New Roman" w:hAnsi="Times New Roman" w:eastAsia="宋体" w:cs="Times New Roman"/>
                <w:bCs/>
                <w:sz w:val="24"/>
                <w:szCs w:val="24"/>
                <w:highlight w:val="none"/>
                <w:lang w:eastAsia="zh-CN"/>
              </w:rPr>
              <w:t>④食堂油烟</w:t>
            </w:r>
          </w:p>
          <w:p>
            <w:pPr>
              <w:pStyle w:val="10"/>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食堂拟安装去除效率不低于75%的油烟净化装置，油烟经净化设施处理达标后，排气筒引至楼顶排放。油烟排放满足《饮食业油烟排放标准》（GB18483-2001）中中型食堂标准要求，对周边环境影响较小。</w:t>
            </w:r>
          </w:p>
          <w:p>
            <w:pPr>
              <w:adjustRightInd w:val="0"/>
              <w:snapToGrid w:val="0"/>
              <w:spacing w:line="360" w:lineRule="auto"/>
              <w:ind w:firstLine="480" w:firstLineChars="200"/>
              <w:rPr>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w:t>
            </w:r>
            <w:r>
              <w:rPr>
                <w:sz w:val="24"/>
                <w:szCs w:val="24"/>
              </w:rPr>
              <w:t>噪声</w:t>
            </w:r>
          </w:p>
          <w:p>
            <w:pPr>
              <w:spacing w:line="360" w:lineRule="auto"/>
              <w:ind w:firstLine="480" w:firstLineChars="200"/>
              <w:rPr>
                <w:sz w:val="24"/>
                <w:szCs w:val="24"/>
              </w:rPr>
            </w:pPr>
            <w:r>
              <w:rPr>
                <w:sz w:val="24"/>
                <w:szCs w:val="24"/>
              </w:rPr>
              <w:t>本项目噪声主要</w:t>
            </w:r>
            <w:r>
              <w:rPr>
                <w:rFonts w:hint="eastAsia"/>
                <w:sz w:val="24"/>
                <w:szCs w:val="24"/>
              </w:rPr>
              <w:t>为</w:t>
            </w:r>
            <w:r>
              <w:rPr>
                <w:sz w:val="24"/>
                <w:szCs w:val="24"/>
              </w:rPr>
              <w:t>设备运转时产生的噪声。</w:t>
            </w:r>
            <w:r>
              <w:rPr>
                <w:rFonts w:hint="eastAsia"/>
                <w:sz w:val="24"/>
                <w:szCs w:val="24"/>
              </w:rPr>
              <w:t>采取本环评提出的隔声降噪措施后</w:t>
            </w:r>
            <w:r>
              <w:rPr>
                <w:sz w:val="24"/>
                <w:szCs w:val="24"/>
              </w:rPr>
              <w:t>，</w:t>
            </w:r>
            <w:r>
              <w:rPr>
                <w:rFonts w:hint="eastAsia"/>
                <w:sz w:val="24"/>
                <w:szCs w:val="24"/>
              </w:rPr>
              <w:t>由预测结果可知：</w:t>
            </w:r>
            <w:r>
              <w:rPr>
                <w:sz w:val="24"/>
                <w:szCs w:val="24"/>
              </w:rPr>
              <w:t>项目</w:t>
            </w:r>
            <w:r>
              <w:rPr>
                <w:rFonts w:hint="eastAsia"/>
                <w:sz w:val="24"/>
                <w:szCs w:val="24"/>
              </w:rPr>
              <w:t>营运期间各侧</w:t>
            </w:r>
            <w:r>
              <w:rPr>
                <w:sz w:val="24"/>
                <w:szCs w:val="24"/>
              </w:rPr>
              <w:t>厂界噪声</w:t>
            </w:r>
            <w:r>
              <w:rPr>
                <w:rFonts w:hint="eastAsia"/>
                <w:sz w:val="24"/>
                <w:szCs w:val="24"/>
              </w:rPr>
              <w:t>预测</w:t>
            </w:r>
            <w:r>
              <w:rPr>
                <w:sz w:val="24"/>
                <w:szCs w:val="24"/>
              </w:rPr>
              <w:t>值均能够达到GB12348-2008《工业企业厂界环境噪声排放标准》中</w:t>
            </w:r>
            <w:r>
              <w:rPr>
                <w:rFonts w:hint="eastAsia"/>
                <w:sz w:val="24"/>
                <w:szCs w:val="24"/>
                <w:lang w:val="en-US" w:eastAsia="zh-CN"/>
              </w:rPr>
              <w:t>2</w:t>
            </w:r>
            <w:r>
              <w:rPr>
                <w:sz w:val="24"/>
                <w:szCs w:val="24"/>
              </w:rPr>
              <w:t>类标准</w:t>
            </w:r>
            <w:r>
              <w:rPr>
                <w:rFonts w:hint="eastAsia"/>
                <w:sz w:val="24"/>
                <w:szCs w:val="24"/>
              </w:rPr>
              <w:t>，</w:t>
            </w:r>
            <w:r>
              <w:rPr>
                <w:sz w:val="24"/>
                <w:szCs w:val="24"/>
              </w:rPr>
              <w:t>对</w:t>
            </w:r>
            <w:r>
              <w:rPr>
                <w:rFonts w:hint="eastAsia"/>
                <w:sz w:val="24"/>
                <w:szCs w:val="24"/>
              </w:rPr>
              <w:t>周边</w:t>
            </w:r>
            <w:r>
              <w:rPr>
                <w:sz w:val="24"/>
                <w:szCs w:val="24"/>
              </w:rPr>
              <w:t>声环境影响不大。</w:t>
            </w:r>
          </w:p>
          <w:p>
            <w:pPr>
              <w:adjustRightInd w:val="0"/>
              <w:snapToGrid w:val="0"/>
              <w:spacing w:line="360" w:lineRule="auto"/>
              <w:ind w:firstLine="480" w:firstLineChars="200"/>
              <w:rPr>
                <w:sz w:val="24"/>
                <w:szCs w:val="24"/>
              </w:rPr>
            </w:pPr>
            <w:r>
              <w:rPr>
                <w:rFonts w:hint="eastAsia" w:ascii="宋体" w:hAnsi="宋体" w:cs="宋体"/>
                <w:sz w:val="24"/>
                <w:szCs w:val="24"/>
              </w:rPr>
              <w:t>（4）</w:t>
            </w:r>
            <w:r>
              <w:rPr>
                <w:sz w:val="24"/>
                <w:szCs w:val="24"/>
              </w:rPr>
              <w:t>固体废物</w:t>
            </w:r>
          </w:p>
          <w:p>
            <w:pPr>
              <w:spacing w:line="360" w:lineRule="auto"/>
              <w:ind w:firstLine="480" w:firstLineChars="200"/>
              <w:rPr>
                <w:rFonts w:hint="eastAsia" w:eastAsia="宋体"/>
                <w:lang w:val="en-US" w:eastAsia="zh-CN"/>
              </w:rPr>
            </w:pPr>
            <w:r>
              <w:rPr>
                <w:sz w:val="24"/>
                <w:szCs w:val="24"/>
              </w:rPr>
              <w:t>本项目</w:t>
            </w:r>
            <w:r>
              <w:rPr>
                <w:sz w:val="24"/>
              </w:rPr>
              <w:t>生产过程中产生的固体废物主要</w:t>
            </w:r>
            <w:r>
              <w:rPr>
                <w:rFonts w:hint="eastAsia"/>
                <w:sz w:val="24"/>
              </w:rPr>
              <w:t>为</w:t>
            </w:r>
            <w:r>
              <w:rPr>
                <w:rFonts w:hint="eastAsia"/>
                <w:sz w:val="24"/>
                <w:lang w:eastAsia="zh-CN"/>
              </w:rPr>
              <w:t>煤矸石、除尘器收集的粉尘、制砖震压成型产生的边角料、</w:t>
            </w:r>
            <w:r>
              <w:rPr>
                <w:sz w:val="24"/>
                <w:szCs w:val="24"/>
              </w:rPr>
              <w:t>职工产生的生活垃圾</w:t>
            </w:r>
            <w:r>
              <w:rPr>
                <w:rFonts w:hint="eastAsia"/>
                <w:sz w:val="24"/>
                <w:szCs w:val="24"/>
                <w:lang w:eastAsia="zh-CN"/>
              </w:rPr>
              <w:t>和废油脂</w:t>
            </w:r>
            <w:r>
              <w:rPr>
                <w:sz w:val="24"/>
                <w:szCs w:val="24"/>
              </w:rPr>
              <w:t>。</w:t>
            </w:r>
          </w:p>
          <w:p>
            <w:pPr>
              <w:spacing w:line="360" w:lineRule="auto"/>
              <w:ind w:firstLine="480" w:firstLineChars="200"/>
              <w:rPr>
                <w:rFonts w:hint="eastAsia"/>
                <w:sz w:val="24"/>
                <w:szCs w:val="24"/>
                <w:lang w:eastAsia="zh-CN"/>
              </w:rPr>
            </w:pPr>
            <w:r>
              <w:rPr>
                <w:rFonts w:hint="eastAsia"/>
                <w:sz w:val="24"/>
                <w:szCs w:val="24"/>
                <w:lang w:eastAsia="zh-CN"/>
              </w:rPr>
              <w:t>项目洗选产生的煤矸石全部用作制砖工序原料，洗煤工段除尘器收集的粉尘与项目成品煤泥混合后外售，制砖生产线中破碎工段除尘器收集的粉尘回用制砖工艺生产过程，制砖震压成型产生的边角料全部回用于制砖生产，损坏的成品经过破碎后回用生产。设备维护产生的废机油存放于危废暂存间内，定期委托有资质单位转运处置。</w:t>
            </w:r>
          </w:p>
          <w:p>
            <w:pPr>
              <w:spacing w:line="360" w:lineRule="auto"/>
              <w:ind w:firstLine="480" w:firstLineChars="200"/>
              <w:rPr>
                <w:sz w:val="24"/>
                <w:szCs w:val="24"/>
              </w:rPr>
            </w:pPr>
            <w:r>
              <w:rPr>
                <w:rFonts w:hint="eastAsia"/>
                <w:sz w:val="24"/>
                <w:szCs w:val="24"/>
                <w:lang w:eastAsia="zh-CN"/>
              </w:rPr>
              <w:t>职工生活产生的生活垃圾委托环卫部门清运处置，隔油池产生的废油脂委托有资质单位外运处置。</w:t>
            </w:r>
            <w:r>
              <w:rPr>
                <w:sz w:val="24"/>
              </w:rPr>
              <w:t>本项目</w:t>
            </w:r>
            <w:r>
              <w:rPr>
                <w:rFonts w:hint="eastAsia"/>
                <w:sz w:val="24"/>
              </w:rPr>
              <w:t>营运期间</w:t>
            </w:r>
            <w:r>
              <w:rPr>
                <w:sz w:val="24"/>
              </w:rPr>
              <w:t>产生的固废种类明确，均可以得到及时的合理的处置，对周边环境产生影响</w:t>
            </w:r>
            <w:r>
              <w:rPr>
                <w:rFonts w:hint="eastAsia"/>
                <w:sz w:val="24"/>
              </w:rPr>
              <w:t>小。</w:t>
            </w:r>
          </w:p>
          <w:p>
            <w:pPr>
              <w:adjustRightInd w:val="0"/>
              <w:snapToGrid w:val="0"/>
              <w:spacing w:line="360" w:lineRule="auto"/>
              <w:ind w:firstLine="480" w:firstLineChars="200"/>
              <w:rPr>
                <w:sz w:val="24"/>
                <w:szCs w:val="24"/>
              </w:rPr>
            </w:pPr>
            <w:r>
              <w:rPr>
                <w:rFonts w:hint="eastAsia"/>
                <w:sz w:val="24"/>
                <w:szCs w:val="24"/>
                <w:lang w:val="en-US" w:eastAsia="zh-CN"/>
              </w:rPr>
              <w:t>4</w:t>
            </w:r>
            <w:r>
              <w:rPr>
                <w:sz w:val="24"/>
                <w:szCs w:val="24"/>
              </w:rPr>
              <w:t>、总结论</w:t>
            </w:r>
          </w:p>
          <w:p>
            <w:pPr>
              <w:adjustRightInd w:val="0"/>
              <w:snapToGrid w:val="0"/>
              <w:spacing w:line="360" w:lineRule="auto"/>
              <w:ind w:firstLine="480" w:firstLineChars="200"/>
              <w:rPr>
                <w:sz w:val="24"/>
              </w:rPr>
            </w:pPr>
            <w:r>
              <w:rPr>
                <w:sz w:val="24"/>
                <w:szCs w:val="24"/>
              </w:rPr>
              <w:t>本项目</w:t>
            </w:r>
            <w:r>
              <w:rPr>
                <w:rFonts w:hint="eastAsia"/>
                <w:sz w:val="24"/>
                <w:szCs w:val="24"/>
              </w:rPr>
              <w:t>的</w:t>
            </w:r>
            <w:r>
              <w:rPr>
                <w:sz w:val="24"/>
                <w:szCs w:val="24"/>
              </w:rPr>
              <w:t>建设符合国家产业政策，项目选址合理，平面布局科学，采用的生产工艺符合清洁生产要求，项目建设所在地区域内环境质量现状较好，项目建成后各类污染物均采取了相应的处理措施，经过处理后污染物可以实现达标排放，项目实施后所产生的三废及噪声对所在区域的环境影响轻微</w:t>
            </w:r>
            <w:r>
              <w:rPr>
                <w:rFonts w:hint="eastAsia"/>
                <w:sz w:val="24"/>
                <w:szCs w:val="24"/>
                <w:lang w:eastAsia="zh-CN"/>
              </w:rPr>
              <w:t>，</w:t>
            </w:r>
            <w:r>
              <w:rPr>
                <w:bCs/>
                <w:sz w:val="24"/>
              </w:rPr>
              <w:t>因此环评认为在切实落实环评报告提出的各项污染防治措施的基础上，</w:t>
            </w:r>
            <w:r>
              <w:rPr>
                <w:rFonts w:hint="eastAsia"/>
                <w:bCs/>
                <w:sz w:val="24"/>
              </w:rPr>
              <w:t>本项目从满足环境质量目标的要求分析，项目建设可行。</w:t>
            </w:r>
          </w:p>
          <w:p>
            <w:pPr>
              <w:adjustRightInd w:val="0"/>
              <w:snapToGrid w:val="0"/>
              <w:spacing w:line="360" w:lineRule="auto"/>
              <w:ind w:firstLine="480" w:firstLineChars="200"/>
              <w:rPr>
                <w:sz w:val="24"/>
                <w:szCs w:val="24"/>
              </w:rPr>
            </w:pPr>
            <w:r>
              <w:rPr>
                <w:rFonts w:hint="eastAsia"/>
                <w:sz w:val="24"/>
                <w:szCs w:val="24"/>
                <w:lang w:val="en-US" w:eastAsia="zh-CN"/>
              </w:rPr>
              <w:t>5</w:t>
            </w:r>
            <w:r>
              <w:rPr>
                <w:sz w:val="24"/>
                <w:szCs w:val="24"/>
              </w:rPr>
              <w:t>、要求与建议</w:t>
            </w:r>
          </w:p>
          <w:p>
            <w:pPr>
              <w:spacing w:line="360" w:lineRule="auto"/>
              <w:ind w:firstLine="480" w:firstLineChars="200"/>
              <w:rPr>
                <w:sz w:val="24"/>
                <w:szCs w:val="24"/>
              </w:rPr>
            </w:pPr>
            <w:r>
              <w:rPr>
                <w:sz w:val="24"/>
                <w:szCs w:val="24"/>
              </w:rPr>
              <w:t>（1）应加强生产工作的日常管理，对职工进行上岗前培训，提高职工素质，严格工艺操作管理，减少人为</w:t>
            </w:r>
            <w:r>
              <w:rPr>
                <w:rFonts w:hint="eastAsia"/>
                <w:sz w:val="24"/>
                <w:szCs w:val="24"/>
                <w:lang w:eastAsia="zh-CN"/>
              </w:rPr>
              <w:t>操作对环境产生的</w:t>
            </w:r>
            <w:r>
              <w:rPr>
                <w:sz w:val="24"/>
                <w:szCs w:val="24"/>
              </w:rPr>
              <w:t>影响。</w:t>
            </w:r>
          </w:p>
          <w:p>
            <w:pPr>
              <w:spacing w:line="360" w:lineRule="auto"/>
              <w:ind w:firstLine="480" w:firstLineChars="200"/>
              <w:rPr>
                <w:sz w:val="24"/>
                <w:szCs w:val="24"/>
              </w:rPr>
            </w:pPr>
            <w:r>
              <w:rPr>
                <w:sz w:val="24"/>
                <w:szCs w:val="24"/>
              </w:rPr>
              <w:t>（</w:t>
            </w:r>
            <w:r>
              <w:rPr>
                <w:rFonts w:hint="eastAsia"/>
                <w:sz w:val="24"/>
                <w:szCs w:val="24"/>
                <w:lang w:val="en-US" w:eastAsia="zh-CN"/>
              </w:rPr>
              <w:t>2</w:t>
            </w:r>
            <w:r>
              <w:rPr>
                <w:sz w:val="24"/>
                <w:szCs w:val="24"/>
              </w:rPr>
              <w:t>）加强生产设备的日常维修和保养，杜绝非正常排放，发现问题及时解决。</w:t>
            </w:r>
          </w:p>
          <w:p>
            <w:pPr>
              <w:pStyle w:val="7"/>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    （3）项目建成后及时进行自主环保验收。</w:t>
            </w:r>
          </w:p>
          <w:p>
            <w:pPr>
              <w:pStyle w:val="2"/>
              <w:rPr>
                <w:rFonts w:hint="eastAsia" w:eastAsia="楷体_GB2312"/>
                <w:lang w:val="en-US" w:eastAsia="zh-CN"/>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tabs>
                <w:tab w:val="left" w:pos="-210"/>
              </w:tabs>
              <w:spacing w:line="360" w:lineRule="auto"/>
              <w:rPr>
                <w:sz w:val="24"/>
                <w:szCs w:val="24"/>
              </w:rPr>
            </w:pPr>
          </w:p>
        </w:tc>
      </w:tr>
    </w:tbl>
    <w:p>
      <w:pPr>
        <w:ind w:firstLine="210"/>
        <w:rPr>
          <w:vanish/>
        </w:rPr>
      </w:pPr>
    </w:p>
    <w:tbl>
      <w:tblPr>
        <w:tblStyle w:val="34"/>
        <w:tblpPr w:leftFromText="180" w:rightFromText="180" w:horzAnchor="margin" w:tblpY="327"/>
        <w:tblW w:w="89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1" w:hRule="atLeast"/>
        </w:trPr>
        <w:tc>
          <w:tcPr>
            <w:tcW w:w="8925" w:type="dxa"/>
          </w:tcPr>
          <w:p>
            <w:pPr>
              <w:ind w:firstLine="241"/>
              <w:rPr>
                <w:b/>
                <w:bCs/>
                <w:sz w:val="24"/>
              </w:rPr>
            </w:pPr>
          </w:p>
          <w:p>
            <w:pPr>
              <w:ind w:firstLine="313" w:firstLineChars="98"/>
              <w:rPr>
                <w:b/>
                <w:bCs/>
                <w:sz w:val="32"/>
                <w:szCs w:val="32"/>
              </w:rPr>
            </w:pPr>
            <w:r>
              <w:rPr>
                <w:sz w:val="32"/>
                <w:szCs w:val="32"/>
              </w:rPr>
              <w:t>预审意见</w:t>
            </w:r>
            <w:r>
              <w:rPr>
                <w:b/>
                <w:bCs/>
                <w:sz w:val="32"/>
                <w:szCs w:val="32"/>
              </w:rPr>
              <w:t>：</w:t>
            </w:r>
          </w:p>
          <w:p>
            <w:pPr>
              <w:ind w:firstLine="301"/>
              <w:rPr>
                <w:b/>
                <w:bCs/>
                <w:sz w:val="30"/>
                <w:szCs w:val="30"/>
              </w:rPr>
            </w:pPr>
          </w:p>
          <w:p>
            <w:pPr>
              <w:ind w:firstLine="295" w:firstLineChars="98"/>
              <w:rPr>
                <w:b/>
                <w:bCs/>
                <w:sz w:val="30"/>
                <w:szCs w:val="30"/>
              </w:rPr>
            </w:pPr>
          </w:p>
          <w:p>
            <w:pPr>
              <w:ind w:firstLine="295" w:firstLineChars="98"/>
              <w:rPr>
                <w:b/>
                <w:bCs/>
                <w:sz w:val="30"/>
                <w:szCs w:val="30"/>
              </w:rPr>
            </w:pPr>
          </w:p>
          <w:p>
            <w:pPr>
              <w:ind w:firstLine="280"/>
              <w:rPr>
                <w:sz w:val="28"/>
              </w:rPr>
            </w:pPr>
          </w:p>
          <w:p>
            <w:pPr>
              <w:ind w:left="239" w:leftChars="114" w:firstLine="560" w:firstLineChars="200"/>
              <w:rPr>
                <w:sz w:val="28"/>
              </w:rPr>
            </w:pPr>
          </w:p>
          <w:p>
            <w:pPr>
              <w:ind w:left="239" w:leftChars="114" w:firstLine="640" w:firstLineChars="200"/>
              <w:rPr>
                <w:sz w:val="32"/>
                <w:szCs w:val="32"/>
              </w:rPr>
            </w:pPr>
            <w:r>
              <w:rPr>
                <w:sz w:val="32"/>
                <w:szCs w:val="32"/>
              </w:rPr>
              <w:t xml:space="preserve"> 公     章</w:t>
            </w:r>
          </w:p>
          <w:p>
            <w:pPr>
              <w:ind w:left="178" w:leftChars="85" w:firstLine="280"/>
              <w:rPr>
                <w:sz w:val="30"/>
                <w:szCs w:val="30"/>
              </w:rPr>
            </w:pPr>
          </w:p>
          <w:p>
            <w:pPr>
              <w:ind w:firstLine="300"/>
              <w:rPr>
                <w:sz w:val="30"/>
                <w:szCs w:val="30"/>
              </w:rPr>
            </w:pPr>
            <w:r>
              <w:rPr>
                <w:sz w:val="30"/>
                <w:szCs w:val="30"/>
              </w:rPr>
              <w:t>经办人：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2" w:hRule="atLeast"/>
        </w:trPr>
        <w:tc>
          <w:tcPr>
            <w:tcW w:w="8925" w:type="dxa"/>
          </w:tcPr>
          <w:p>
            <w:pPr>
              <w:ind w:firstLine="480" w:firstLineChars="200"/>
              <w:rPr>
                <w:sz w:val="24"/>
              </w:rPr>
            </w:pPr>
          </w:p>
          <w:p>
            <w:pPr>
              <w:ind w:firstLine="280"/>
              <w:rPr>
                <w:sz w:val="28"/>
                <w:szCs w:val="28"/>
              </w:rPr>
            </w:pPr>
            <w:r>
              <w:rPr>
                <w:sz w:val="28"/>
                <w:szCs w:val="28"/>
              </w:rPr>
              <w:t>下一级环保行政主管部门审查意见：</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rPr>
                <w:sz w:val="24"/>
              </w:rPr>
            </w:pPr>
          </w:p>
          <w:p>
            <w:pPr>
              <w:rPr>
                <w:sz w:val="24"/>
              </w:rPr>
            </w:pPr>
          </w:p>
          <w:p>
            <w:pPr>
              <w:ind w:firstLine="240"/>
              <w:rPr>
                <w:sz w:val="24"/>
              </w:rPr>
            </w:pPr>
          </w:p>
          <w:p>
            <w:pPr>
              <w:ind w:firstLine="240"/>
              <w:rPr>
                <w:sz w:val="24"/>
              </w:rPr>
            </w:pPr>
          </w:p>
          <w:p>
            <w:pPr>
              <w:ind w:firstLine="240"/>
              <w:rPr>
                <w:sz w:val="32"/>
                <w:szCs w:val="32"/>
              </w:rPr>
            </w:pPr>
            <w:r>
              <w:rPr>
                <w:sz w:val="32"/>
                <w:szCs w:val="32"/>
              </w:rPr>
              <w:t xml:space="preserve">    公    章</w:t>
            </w:r>
          </w:p>
          <w:p>
            <w:pPr>
              <w:ind w:firstLine="240"/>
              <w:rPr>
                <w:sz w:val="24"/>
              </w:rPr>
            </w:pPr>
          </w:p>
          <w:p>
            <w:pPr>
              <w:ind w:firstLine="320"/>
              <w:rPr>
                <w:sz w:val="32"/>
                <w:szCs w:val="32"/>
              </w:rPr>
            </w:pPr>
            <w:r>
              <w:rPr>
                <w:sz w:val="32"/>
                <w:szCs w:val="32"/>
              </w:rPr>
              <w:t>经办人：                        年   月   日</w:t>
            </w:r>
          </w:p>
          <w:p>
            <w:pPr>
              <w:rPr>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460" w:hRule="atLeast"/>
        </w:trPr>
        <w:tc>
          <w:tcPr>
            <w:tcW w:w="8925" w:type="dxa"/>
          </w:tcPr>
          <w:p>
            <w:pPr>
              <w:ind w:firstLine="313" w:firstLineChars="98"/>
              <w:rPr>
                <w:sz w:val="32"/>
                <w:szCs w:val="32"/>
              </w:rPr>
            </w:pPr>
          </w:p>
          <w:p>
            <w:pPr>
              <w:ind w:firstLine="313" w:firstLineChars="98"/>
              <w:rPr>
                <w:b/>
                <w:bCs/>
                <w:sz w:val="32"/>
                <w:szCs w:val="32"/>
              </w:rPr>
            </w:pPr>
            <w:r>
              <w:rPr>
                <w:sz w:val="32"/>
                <w:szCs w:val="32"/>
              </w:rPr>
              <w:t>审批意见</w:t>
            </w:r>
            <w:r>
              <w:rPr>
                <w:b/>
                <w:bCs/>
                <w:sz w:val="32"/>
                <w:szCs w:val="32"/>
              </w:rPr>
              <w:t>：</w:t>
            </w:r>
          </w:p>
          <w:p>
            <w:pPr>
              <w:ind w:firstLine="301"/>
              <w:rPr>
                <w:b/>
                <w:bCs/>
                <w:sz w:val="30"/>
                <w:szCs w:val="30"/>
              </w:rPr>
            </w:pPr>
          </w:p>
          <w:p>
            <w:pPr>
              <w:ind w:firstLine="295" w:firstLineChars="98"/>
              <w:rPr>
                <w:b/>
                <w:bCs/>
                <w:sz w:val="30"/>
                <w:szCs w:val="30"/>
              </w:rPr>
            </w:pPr>
          </w:p>
          <w:p>
            <w:pPr>
              <w:ind w:firstLine="295" w:firstLineChars="98"/>
              <w:rPr>
                <w:b/>
                <w:bCs/>
                <w:sz w:val="30"/>
                <w:szCs w:val="30"/>
              </w:rPr>
            </w:pPr>
          </w:p>
          <w:p>
            <w:pPr>
              <w:ind w:firstLine="280"/>
              <w:rPr>
                <w:sz w:val="28"/>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ind w:firstLine="240"/>
              <w:rPr>
                <w:sz w:val="24"/>
              </w:rPr>
            </w:pPr>
          </w:p>
          <w:p>
            <w:pPr>
              <w:rPr>
                <w:sz w:val="24"/>
              </w:rPr>
            </w:pPr>
          </w:p>
          <w:p>
            <w:pPr>
              <w:ind w:firstLine="240"/>
              <w:rPr>
                <w:sz w:val="24"/>
              </w:rPr>
            </w:pPr>
          </w:p>
          <w:p>
            <w:pPr>
              <w:ind w:firstLine="240"/>
              <w:rPr>
                <w:sz w:val="24"/>
              </w:rPr>
            </w:pPr>
          </w:p>
          <w:p>
            <w:pPr>
              <w:ind w:firstLine="240"/>
              <w:rPr>
                <w:sz w:val="32"/>
                <w:szCs w:val="32"/>
              </w:rPr>
            </w:pPr>
            <w:r>
              <w:rPr>
                <w:sz w:val="32"/>
                <w:szCs w:val="32"/>
              </w:rPr>
              <w:t xml:space="preserve">    公    章</w:t>
            </w:r>
          </w:p>
          <w:p>
            <w:pPr>
              <w:ind w:firstLine="240"/>
              <w:rPr>
                <w:sz w:val="24"/>
              </w:rPr>
            </w:pPr>
          </w:p>
          <w:p>
            <w:pPr>
              <w:ind w:firstLine="320"/>
              <w:rPr>
                <w:sz w:val="30"/>
                <w:szCs w:val="30"/>
              </w:rPr>
            </w:pPr>
            <w:r>
              <w:rPr>
                <w:sz w:val="32"/>
                <w:szCs w:val="32"/>
              </w:rPr>
              <w:t>经办人：                        年   月   日</w:t>
            </w:r>
          </w:p>
        </w:tc>
      </w:tr>
    </w:tbl>
    <w:p>
      <w:pPr>
        <w:spacing w:line="20" w:lineRule="exact"/>
        <w:ind w:firstLine="210"/>
      </w:pPr>
    </w:p>
    <w:sectPr>
      <w:pgSz w:w="11907" w:h="16840"/>
      <w:pgMar w:top="1418" w:right="1134" w:bottom="1134" w:left="170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汉鼎简书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蒂文徴明试用版">
    <w:panose1 w:val="03000600000000000000"/>
    <w:charset w:val="86"/>
    <w:family w:val="auto"/>
    <w:pitch w:val="default"/>
    <w:sig w:usb0="00000023" w:usb1="08000000" w:usb2="00000000" w:usb3="00000000" w:csb0="201E0001" w:csb1="00000000"/>
  </w:font>
  <w:font w:name="锐字巅峰粗黑简1.0">
    <w:panose1 w:val="02000500000000000000"/>
    <w:charset w:val="86"/>
    <w:family w:val="auto"/>
    <w:pitch w:val="default"/>
    <w:sig w:usb0="800002BF" w:usb1="184F6CFA" w:usb2="00000012" w:usb3="00000000" w:csb0="0004000F" w:csb1="00000000"/>
  </w:font>
  <w:font w:name="AR GangBiXingKaiB5 MD">
    <w:panose1 w:val="03000600000000000000"/>
    <w:charset w:val="88"/>
    <w:family w:val="auto"/>
    <w:pitch w:val="default"/>
    <w:sig w:usb0="800002E3" w:usb1="38CF7C7A" w:usb2="00000016" w:usb3="00000000" w:csb0="00100001" w:csb1="0000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roman"/>
    <w:pitch w:val="default"/>
    <w:sig w:usb0="80000287" w:usb1="280F3C52" w:usb2="00000016" w:usb3="00000000" w:csb0="0004001F" w:csb1="00000000"/>
  </w:font>
  <w:font w:name="宋?">
    <w:altName w:val="Arial Unicode MS"/>
    <w:panose1 w:val="00000000000000000000"/>
    <w:charset w:val="86"/>
    <w:family w:val="roman"/>
    <w:pitch w:val="default"/>
    <w:sig w:usb0="00000000" w:usb1="00000000" w:usb2="00000010" w:usb3="00000000" w:csb0="00040000" w:csb1="00000000"/>
  </w:font>
  <w:font w:name="Proxy 4">
    <w:panose1 w:val="00000400000000000000"/>
    <w:charset w:val="00"/>
    <w:family w:val="auto"/>
    <w:pitch w:val="default"/>
    <w:sig w:usb0="80000023" w:usb1="00000000" w:usb2="00000000" w:usb3="00000000" w:csb0="000001FF" w:csb1="00000000"/>
  </w:font>
  <w:font w:name="??">
    <w:altName w:val="Times New Roman"/>
    <w:panose1 w:val="00000000000000000000"/>
    <w:charset w:val="00"/>
    <w:family w:val="auto"/>
    <w:pitch w:val="default"/>
    <w:sig w:usb0="00000000" w:usb1="00000000" w:usb2="00000000" w:usb3="00000000" w:csb0="00040001" w:csb1="00000000"/>
  </w:font>
  <w:font w:name="SimSun,Bol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auto"/>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0000012" w:usb3="00000000" w:csb0="4002009F" w:csb1="DFD70000"/>
  </w:font>
  <w:font w:name="Haettenschweiler">
    <w:altName w:val="Impact"/>
    <w:panose1 w:val="020B0706040902060204"/>
    <w:charset w:val="00"/>
    <w:family w:val="auto"/>
    <w:pitch w:val="default"/>
    <w:sig w:usb0="00000000" w:usb1="00000000" w:usb2="00000000" w:usb3="00000000" w:csb0="2000009F" w:csb1="DFD70000"/>
  </w:font>
  <w:font w:name="Kozuka Gothic Pro M">
    <w:panose1 w:val="020B0700000000000000"/>
    <w:charset w:val="80"/>
    <w:family w:val="auto"/>
    <w:pitch w:val="default"/>
    <w:sig w:usb0="00000083" w:usb1="2AC71C11" w:usb2="00000012" w:usb3="00000000" w:csb0="20020005"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ingLiU_HKSCS-ExtB">
    <w:panose1 w:val="02020500000000000000"/>
    <w:charset w:val="88"/>
    <w:family w:val="roman"/>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Arial Narrow">
    <w:altName w:val="Arial"/>
    <w:panose1 w:val="020B0606020202030204"/>
    <w:charset w:val="00"/>
    <w:family w:val="swiss"/>
    <w:pitch w:val="default"/>
    <w:sig w:usb0="00000000" w:usb1="00000000" w:usb2="00000000" w:usb3="00000000" w:csb0="0000009F"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TimesNewRoman">
    <w:altName w:val="Times New Roman"/>
    <w:panose1 w:val="00000000000000000000"/>
    <w:charset w:val="00"/>
    <w:family w:val="roman"/>
    <w:pitch w:val="default"/>
    <w:sig w:usb0="00000000" w:usb1="00000000" w:usb2="00000010" w:usb3="00000000" w:csb0="00040001" w:csb1="00000000"/>
  </w:font>
  <w:font w:name="宋体-PUA">
    <w:altName w:val="Arial Unicode MS"/>
    <w:panose1 w:val="02010600030101010101"/>
    <w:charset w:val="86"/>
    <w:family w:val="auto"/>
    <w:pitch w:val="default"/>
    <w:sig w:usb0="00000000" w:usb1="00000000" w:usb2="00000010" w:usb3="00000000" w:csb0="00040000" w:csb1="00000000"/>
  </w:font>
  <w:font w:name="Garamond">
    <w:altName w:val="Adobe Garamond Pro"/>
    <w:panose1 w:val="02020404030301010803"/>
    <w:charset w:val="00"/>
    <w:family w:val="roman"/>
    <w:pitch w:val="default"/>
    <w:sig w:usb0="00000000" w:usb1="00000000" w:usb2="00000000" w:usb3="00000000" w:csb0="0000009F" w:csb1="00000000"/>
  </w:font>
  <w:font w:name="Adobe Garamond Pro">
    <w:panose1 w:val="02020502060506020403"/>
    <w:charset w:val="00"/>
    <w:family w:val="auto"/>
    <w:pitch w:val="default"/>
    <w:sig w:usb0="00000007" w:usb1="00000001" w:usb2="00000000" w:usb3="00000000" w:csb0="20000093" w:csb1="00000000"/>
  </w:font>
  <w:font w:name="五">
    <w:altName w:val="黑体"/>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New Gulim">
    <w:altName w:val="Dotum"/>
    <w:panose1 w:val="00000000000000000000"/>
    <w:charset w:val="81"/>
    <w:family w:val="roman"/>
    <w:pitch w:val="default"/>
    <w:sig w:usb0="00000000" w:usb1="00000000" w:usb2="00000030" w:usb3="00000000" w:csb0="0008009F" w:csb1="00000000"/>
  </w:font>
  <w:font w:name="Dotum">
    <w:panose1 w:val="020B0600000101010101"/>
    <w:charset w:val="81"/>
    <w:family w:val="auto"/>
    <w:pitch w:val="default"/>
    <w:sig w:usb0="B00002AF" w:usb1="69D77CFB" w:usb2="00000030" w:usb3="00000000" w:csb0="4008009F" w:csb1="DFD70000"/>
  </w:font>
  <w:font w:name="@楷体_GB2312">
    <w:altName w:val="宋体"/>
    <w:panose1 w:val="02010609030101010101"/>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仿宋_GBK">
    <w:altName w:val="宋体"/>
    <w:panose1 w:val="03000509000000000000"/>
    <w:charset w:val="86"/>
    <w:family w:val="script"/>
    <w:pitch w:val="default"/>
    <w:sig w:usb0="00000000" w:usb1="00000000" w:usb2="00000010" w:usb3="00000000" w:csb0="003C0041" w:csb1="00000000"/>
  </w:font>
  <w:font w:name="仿宋_GB2312">
    <w:altName w:val="仿宋"/>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RDBAOI+å®ä½">
    <w:altName w:val="Verdana"/>
    <w:panose1 w:val="02010600030101010101"/>
    <w:charset w:val="00"/>
    <w:family w:val="auto"/>
    <w:pitch w:val="default"/>
    <w:sig w:usb0="00000000" w:usb1="00000000" w:usb2="00000000" w:usb3="00000000" w:csb0="00000000" w:csb1="00000000"/>
  </w:font>
  <w:font w:name="RIFRVP+å®ä½">
    <w:altName w:val="Verdana"/>
    <w:panose1 w:val="02010600030101010101"/>
    <w:charset w:val="00"/>
    <w:family w:val="auto"/>
    <w:pitch w:val="default"/>
    <w:sig w:usb0="00000000" w:usb1="00000000" w:usb2="00000000" w:usb3="00000000" w:csb0="00000000" w:csb1="00000000"/>
  </w:font>
  <w:font w:name="JJPFFJ+é»ä½">
    <w:altName w:val="Segoe Print"/>
    <w:panose1 w:val="02010609060101010101"/>
    <w:charset w:val="00"/>
    <w:family w:val="auto"/>
    <w:pitch w:val="default"/>
    <w:sig w:usb0="00000000" w:usb1="00000000" w:usb2="00000000" w:usb3="00000000" w:csb0="00000000" w:csb1="00000000"/>
  </w:font>
  <w:font w:name="GWHMPW+é»ä½">
    <w:altName w:val="Segoe Print"/>
    <w:panose1 w:val="02010609060101010101"/>
    <w:charset w:val="00"/>
    <w:family w:val="auto"/>
    <w:pitch w:val="default"/>
    <w:sig w:usb0="00000000" w:usb1="00000000" w:usb2="00000000" w:usb3="00000000" w:csb0="00000000" w:csb1="00000000"/>
  </w:font>
  <w:font w:name="BEPGWA+åæå®ä½">
    <w:altName w:val="Segoe Print"/>
    <w:panose1 w:val="02010600040101010101"/>
    <w:charset w:val="00"/>
    <w:family w:val="auto"/>
    <w:pitch w:val="default"/>
    <w:sig w:usb0="00000000" w:usb1="00000000" w:usb2="00000000" w:usb3="00000000" w:csb0="00000000" w:csb1="00000000"/>
  </w:font>
  <w:font w:name="WMVPQP+åæå®ä½">
    <w:altName w:val="Segoe Print"/>
    <w:panose1 w:val="0201060004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180"/>
      <w:jc w:val="center"/>
    </w:pPr>
  </w:p>
  <w:p>
    <w:pPr>
      <w:pStyle w:val="20"/>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ind w:firstLine="180"/>
      <w:rPr>
        <w:rStyle w:val="31"/>
      </w:rPr>
    </w:pPr>
    <w:r>
      <w:fldChar w:fldCharType="begin"/>
    </w:r>
    <w:r>
      <w:rPr>
        <w:rStyle w:val="31"/>
      </w:rPr>
      <w:instrText xml:space="preserve">PAGE  </w:instrText>
    </w:r>
    <w:r>
      <w:fldChar w:fldCharType="end"/>
    </w:r>
  </w:p>
  <w:p>
    <w:pPr>
      <w:pStyle w:val="20"/>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180"/>
      <w:jc w:val="center"/>
    </w:pPr>
  </w:p>
  <w:p>
    <w:pPr>
      <w:pStyle w:val="2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180"/>
      <w:jc w:val="center"/>
    </w:pPr>
  </w:p>
  <w:p>
    <w:pPr>
      <w:pStyle w:val="2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180"/>
      <w:jc w:val="center"/>
    </w:pPr>
  </w:p>
  <w:p>
    <w:pPr>
      <w:pStyle w:val="2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sz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62F5A"/>
    <w:multiLevelType w:val="multilevel"/>
    <w:tmpl w:val="4F762F5A"/>
    <w:lvl w:ilvl="0" w:tentative="0">
      <w:start w:val="1"/>
      <w:numFmt w:val="decimalEnclosedCircle"/>
      <w:lvlText w:val="%1"/>
      <w:lvlJc w:val="left"/>
      <w:pPr>
        <w:tabs>
          <w:tab w:val="left" w:pos="0"/>
        </w:tabs>
        <w:ind w:left="840" w:hanging="36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
    <w:nsid w:val="58B62D42"/>
    <w:multiLevelType w:val="singleLevel"/>
    <w:tmpl w:val="58B62D42"/>
    <w:lvl w:ilvl="0" w:tentative="0">
      <w:start w:val="1"/>
      <w:numFmt w:val="decimal"/>
      <w:suff w:val="nothing"/>
      <w:lvlText w:val="（%1）"/>
      <w:lvlJc w:val="left"/>
    </w:lvl>
  </w:abstractNum>
  <w:abstractNum w:abstractNumId="2">
    <w:nsid w:val="58B78D61"/>
    <w:multiLevelType w:val="singleLevel"/>
    <w:tmpl w:val="58B78D61"/>
    <w:lvl w:ilvl="0" w:tentative="0">
      <w:start w:val="1"/>
      <w:numFmt w:val="decimal"/>
      <w:suff w:val="nothing"/>
      <w:lvlText w:val="%1、"/>
      <w:lvlJc w:val="left"/>
    </w:lvl>
  </w:abstractNum>
  <w:abstractNum w:abstractNumId="3">
    <w:nsid w:val="58B78DA3"/>
    <w:multiLevelType w:val="singleLevel"/>
    <w:tmpl w:val="58B78DA3"/>
    <w:lvl w:ilvl="0" w:tentative="0">
      <w:start w:val="1"/>
      <w:numFmt w:val="decimal"/>
      <w:suff w:val="nothing"/>
      <w:lvlText w:val="（%1）"/>
      <w:lvlJc w:val="left"/>
    </w:lvl>
  </w:abstractNum>
  <w:abstractNum w:abstractNumId="4">
    <w:nsid w:val="593FAAD3"/>
    <w:multiLevelType w:val="singleLevel"/>
    <w:tmpl w:val="593FAAD3"/>
    <w:lvl w:ilvl="0" w:tentative="0">
      <w:start w:val="1"/>
      <w:numFmt w:val="decimal"/>
      <w:suff w:val="nothing"/>
      <w:lvlText w:val="%1、"/>
      <w:lvlJc w:val="left"/>
    </w:lvl>
  </w:abstractNum>
  <w:abstractNum w:abstractNumId="5">
    <w:nsid w:val="593FAB69"/>
    <w:multiLevelType w:val="singleLevel"/>
    <w:tmpl w:val="593FAB69"/>
    <w:lvl w:ilvl="0" w:tentative="0">
      <w:start w:val="1"/>
      <w:numFmt w:val="decimal"/>
      <w:suff w:val="nothing"/>
      <w:lvlText w:val="%1、"/>
      <w:lvlJc w:val="left"/>
    </w:lvl>
  </w:abstractNum>
  <w:abstractNum w:abstractNumId="6">
    <w:nsid w:val="593FAB85"/>
    <w:multiLevelType w:val="singleLevel"/>
    <w:tmpl w:val="593FAB85"/>
    <w:lvl w:ilvl="0" w:tentative="0">
      <w:start w:val="1"/>
      <w:numFmt w:val="decimal"/>
      <w:suff w:val="nothing"/>
      <w:lvlText w:val="%1、"/>
      <w:lvlJc w:val="left"/>
    </w:lvl>
  </w:abstractNum>
  <w:abstractNum w:abstractNumId="7">
    <w:nsid w:val="59C06A31"/>
    <w:multiLevelType w:val="singleLevel"/>
    <w:tmpl w:val="59C06A31"/>
    <w:lvl w:ilvl="0" w:tentative="0">
      <w:start w:val="1"/>
      <w:numFmt w:val="chineseCounting"/>
      <w:suff w:val="nothing"/>
      <w:lvlText w:val="%1、"/>
      <w:lvlJc w:val="left"/>
    </w:lvl>
  </w:abstractNum>
  <w:abstractNum w:abstractNumId="8">
    <w:nsid w:val="59C0741A"/>
    <w:multiLevelType w:val="singleLevel"/>
    <w:tmpl w:val="59C0741A"/>
    <w:lvl w:ilvl="0" w:tentative="0">
      <w:start w:val="4"/>
      <w:numFmt w:val="decimal"/>
      <w:suff w:val="nothing"/>
      <w:lvlText w:val="（%1）"/>
      <w:lvlJc w:val="left"/>
    </w:lvl>
  </w:abstractNum>
  <w:abstractNum w:abstractNumId="9">
    <w:nsid w:val="59C0F2A0"/>
    <w:multiLevelType w:val="singleLevel"/>
    <w:tmpl w:val="59C0F2A0"/>
    <w:lvl w:ilvl="0" w:tentative="0">
      <w:start w:val="5"/>
      <w:numFmt w:val="decimal"/>
      <w:suff w:val="nothing"/>
      <w:lvlText w:val="%1、"/>
      <w:lvlJc w:val="left"/>
    </w:lvl>
  </w:abstractNum>
  <w:abstractNum w:abstractNumId="10">
    <w:nsid w:val="5A03F5AA"/>
    <w:multiLevelType w:val="singleLevel"/>
    <w:tmpl w:val="5A03F5AA"/>
    <w:lvl w:ilvl="0" w:tentative="0">
      <w:start w:val="1"/>
      <w:numFmt w:val="decimal"/>
      <w:suff w:val="nothing"/>
      <w:lvlText w:val="（%1）"/>
      <w:lvlJc w:val="left"/>
    </w:lvl>
  </w:abstractNum>
  <w:abstractNum w:abstractNumId="11">
    <w:nsid w:val="5A052585"/>
    <w:multiLevelType w:val="singleLevel"/>
    <w:tmpl w:val="5A052585"/>
    <w:lvl w:ilvl="0" w:tentative="0">
      <w:start w:val="1"/>
      <w:numFmt w:val="decimal"/>
      <w:lvlText w:val="%1."/>
      <w:lvlJc w:val="left"/>
      <w:pPr>
        <w:tabs>
          <w:tab w:val="left" w:pos="312"/>
        </w:tabs>
      </w:pPr>
    </w:lvl>
  </w:abstractNum>
  <w:num w:numId="1">
    <w:abstractNumId w:val="9"/>
  </w:num>
  <w:num w:numId="2">
    <w:abstractNumId w:val="10"/>
  </w:num>
  <w:num w:numId="3">
    <w:abstractNumId w:val="7"/>
  </w:num>
  <w:num w:numId="4">
    <w:abstractNumId w:val="8"/>
  </w:num>
  <w:num w:numId="5">
    <w:abstractNumId w:val="1"/>
  </w:num>
  <w:num w:numId="6">
    <w:abstractNumId w:val="0"/>
  </w:num>
  <w:num w:numId="7">
    <w:abstractNumId w:val="4"/>
  </w:num>
  <w:num w:numId="8">
    <w:abstractNumId w:val="5"/>
  </w:num>
  <w:num w:numId="9">
    <w:abstractNumId w:val="6"/>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NotTrackMoves/>
  <w:documentProtection w:enforcement="0"/>
  <w:defaultTabStop w:val="425"/>
  <w:drawingGridHorizontalSpacing w:val="2"/>
  <w:drawingGridVerticalSpacing w:val="3"/>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A8"/>
    <w:rsid w:val="00000801"/>
    <w:rsid w:val="000009E8"/>
    <w:rsid w:val="000009F8"/>
    <w:rsid w:val="00000E60"/>
    <w:rsid w:val="000016BA"/>
    <w:rsid w:val="000017DC"/>
    <w:rsid w:val="0000199B"/>
    <w:rsid w:val="00002226"/>
    <w:rsid w:val="00002A60"/>
    <w:rsid w:val="00002B91"/>
    <w:rsid w:val="000033A9"/>
    <w:rsid w:val="0000361E"/>
    <w:rsid w:val="00003B6D"/>
    <w:rsid w:val="0000402D"/>
    <w:rsid w:val="00004502"/>
    <w:rsid w:val="0000504D"/>
    <w:rsid w:val="000056A9"/>
    <w:rsid w:val="000058CC"/>
    <w:rsid w:val="000061B5"/>
    <w:rsid w:val="00006255"/>
    <w:rsid w:val="00007A19"/>
    <w:rsid w:val="00007CEB"/>
    <w:rsid w:val="000103B3"/>
    <w:rsid w:val="000103DF"/>
    <w:rsid w:val="000105D0"/>
    <w:rsid w:val="0001063C"/>
    <w:rsid w:val="00011D13"/>
    <w:rsid w:val="00011D7F"/>
    <w:rsid w:val="00012A4F"/>
    <w:rsid w:val="00013290"/>
    <w:rsid w:val="00013532"/>
    <w:rsid w:val="000135E6"/>
    <w:rsid w:val="00013C8A"/>
    <w:rsid w:val="00013FE9"/>
    <w:rsid w:val="0001489F"/>
    <w:rsid w:val="00014910"/>
    <w:rsid w:val="00015166"/>
    <w:rsid w:val="000151A2"/>
    <w:rsid w:val="000151B7"/>
    <w:rsid w:val="000151F6"/>
    <w:rsid w:val="0001521C"/>
    <w:rsid w:val="00015CA4"/>
    <w:rsid w:val="000160ED"/>
    <w:rsid w:val="000167F4"/>
    <w:rsid w:val="00016885"/>
    <w:rsid w:val="00016B9E"/>
    <w:rsid w:val="000170A8"/>
    <w:rsid w:val="000173BA"/>
    <w:rsid w:val="000174B0"/>
    <w:rsid w:val="0001795D"/>
    <w:rsid w:val="00017962"/>
    <w:rsid w:val="00017EB4"/>
    <w:rsid w:val="00020A14"/>
    <w:rsid w:val="00022716"/>
    <w:rsid w:val="000229C6"/>
    <w:rsid w:val="00022DDA"/>
    <w:rsid w:val="00022FB0"/>
    <w:rsid w:val="00023CB2"/>
    <w:rsid w:val="00024699"/>
    <w:rsid w:val="00024CF7"/>
    <w:rsid w:val="000254A7"/>
    <w:rsid w:val="000255E6"/>
    <w:rsid w:val="00025A5F"/>
    <w:rsid w:val="00026568"/>
    <w:rsid w:val="000269E6"/>
    <w:rsid w:val="000272CB"/>
    <w:rsid w:val="000305CC"/>
    <w:rsid w:val="00030B00"/>
    <w:rsid w:val="00031565"/>
    <w:rsid w:val="00031E8F"/>
    <w:rsid w:val="00032624"/>
    <w:rsid w:val="00032C6A"/>
    <w:rsid w:val="00032ED6"/>
    <w:rsid w:val="00032F4F"/>
    <w:rsid w:val="000331DD"/>
    <w:rsid w:val="00033441"/>
    <w:rsid w:val="00033ABC"/>
    <w:rsid w:val="00033C9A"/>
    <w:rsid w:val="00033F10"/>
    <w:rsid w:val="00034679"/>
    <w:rsid w:val="000346BD"/>
    <w:rsid w:val="00034CF3"/>
    <w:rsid w:val="00034F6D"/>
    <w:rsid w:val="00034FFB"/>
    <w:rsid w:val="00035235"/>
    <w:rsid w:val="000356A2"/>
    <w:rsid w:val="00035864"/>
    <w:rsid w:val="00035C85"/>
    <w:rsid w:val="00035E36"/>
    <w:rsid w:val="000364F2"/>
    <w:rsid w:val="0003661A"/>
    <w:rsid w:val="00036933"/>
    <w:rsid w:val="00037529"/>
    <w:rsid w:val="00037953"/>
    <w:rsid w:val="00040404"/>
    <w:rsid w:val="00040A83"/>
    <w:rsid w:val="00040EFD"/>
    <w:rsid w:val="00041135"/>
    <w:rsid w:val="00041E1C"/>
    <w:rsid w:val="0004293D"/>
    <w:rsid w:val="00043260"/>
    <w:rsid w:val="00043C04"/>
    <w:rsid w:val="00043CDE"/>
    <w:rsid w:val="000443F4"/>
    <w:rsid w:val="00044446"/>
    <w:rsid w:val="000446C6"/>
    <w:rsid w:val="0004502F"/>
    <w:rsid w:val="00045ED7"/>
    <w:rsid w:val="00046434"/>
    <w:rsid w:val="00046511"/>
    <w:rsid w:val="000467C7"/>
    <w:rsid w:val="000468D1"/>
    <w:rsid w:val="00046C9A"/>
    <w:rsid w:val="00047379"/>
    <w:rsid w:val="00047491"/>
    <w:rsid w:val="00047C35"/>
    <w:rsid w:val="00050C80"/>
    <w:rsid w:val="00050CA8"/>
    <w:rsid w:val="00051325"/>
    <w:rsid w:val="00051509"/>
    <w:rsid w:val="00051AB1"/>
    <w:rsid w:val="00051D58"/>
    <w:rsid w:val="0005240A"/>
    <w:rsid w:val="00052469"/>
    <w:rsid w:val="0005263F"/>
    <w:rsid w:val="000531A1"/>
    <w:rsid w:val="00053242"/>
    <w:rsid w:val="0005332F"/>
    <w:rsid w:val="00053D5B"/>
    <w:rsid w:val="000540F1"/>
    <w:rsid w:val="000546F0"/>
    <w:rsid w:val="00054798"/>
    <w:rsid w:val="00054AE9"/>
    <w:rsid w:val="00054CD7"/>
    <w:rsid w:val="00054D96"/>
    <w:rsid w:val="00054FF0"/>
    <w:rsid w:val="000553A4"/>
    <w:rsid w:val="00055FA7"/>
    <w:rsid w:val="00056331"/>
    <w:rsid w:val="000565A0"/>
    <w:rsid w:val="0005661E"/>
    <w:rsid w:val="000567D6"/>
    <w:rsid w:val="00056E80"/>
    <w:rsid w:val="000570F9"/>
    <w:rsid w:val="00057AE5"/>
    <w:rsid w:val="00057AE7"/>
    <w:rsid w:val="00057BEE"/>
    <w:rsid w:val="00057D0C"/>
    <w:rsid w:val="00057DD4"/>
    <w:rsid w:val="00060873"/>
    <w:rsid w:val="000608C8"/>
    <w:rsid w:val="0006092C"/>
    <w:rsid w:val="00060E79"/>
    <w:rsid w:val="00060F48"/>
    <w:rsid w:val="00061EAF"/>
    <w:rsid w:val="0006321F"/>
    <w:rsid w:val="000632DB"/>
    <w:rsid w:val="000635F0"/>
    <w:rsid w:val="000638A1"/>
    <w:rsid w:val="000639F4"/>
    <w:rsid w:val="00063D30"/>
    <w:rsid w:val="00063EB9"/>
    <w:rsid w:val="0006499A"/>
    <w:rsid w:val="00064E89"/>
    <w:rsid w:val="000650B6"/>
    <w:rsid w:val="000651B8"/>
    <w:rsid w:val="00065708"/>
    <w:rsid w:val="00065AE3"/>
    <w:rsid w:val="000662D4"/>
    <w:rsid w:val="00066FC4"/>
    <w:rsid w:val="0006758F"/>
    <w:rsid w:val="00067902"/>
    <w:rsid w:val="00067A35"/>
    <w:rsid w:val="00067D66"/>
    <w:rsid w:val="00070648"/>
    <w:rsid w:val="00070E69"/>
    <w:rsid w:val="0007112D"/>
    <w:rsid w:val="000717A7"/>
    <w:rsid w:val="00071A76"/>
    <w:rsid w:val="00071BCA"/>
    <w:rsid w:val="000722D5"/>
    <w:rsid w:val="00072E6B"/>
    <w:rsid w:val="00072EED"/>
    <w:rsid w:val="00074025"/>
    <w:rsid w:val="00074226"/>
    <w:rsid w:val="00074E49"/>
    <w:rsid w:val="000752C4"/>
    <w:rsid w:val="00075BF5"/>
    <w:rsid w:val="00075E28"/>
    <w:rsid w:val="00075F02"/>
    <w:rsid w:val="00075F63"/>
    <w:rsid w:val="00076C53"/>
    <w:rsid w:val="0008030D"/>
    <w:rsid w:val="0008083B"/>
    <w:rsid w:val="0008124D"/>
    <w:rsid w:val="00081913"/>
    <w:rsid w:val="00081C0C"/>
    <w:rsid w:val="00081D86"/>
    <w:rsid w:val="00081F9F"/>
    <w:rsid w:val="00082229"/>
    <w:rsid w:val="0008254C"/>
    <w:rsid w:val="00082CD7"/>
    <w:rsid w:val="000833AE"/>
    <w:rsid w:val="00083913"/>
    <w:rsid w:val="00083969"/>
    <w:rsid w:val="00084235"/>
    <w:rsid w:val="000846F8"/>
    <w:rsid w:val="000847CE"/>
    <w:rsid w:val="0008565E"/>
    <w:rsid w:val="00085EB0"/>
    <w:rsid w:val="000861F3"/>
    <w:rsid w:val="00086757"/>
    <w:rsid w:val="00086D15"/>
    <w:rsid w:val="00087ED3"/>
    <w:rsid w:val="00087F1E"/>
    <w:rsid w:val="0009006B"/>
    <w:rsid w:val="000901B3"/>
    <w:rsid w:val="00090FED"/>
    <w:rsid w:val="0009116E"/>
    <w:rsid w:val="000918D2"/>
    <w:rsid w:val="000919E9"/>
    <w:rsid w:val="00091B60"/>
    <w:rsid w:val="00091BD4"/>
    <w:rsid w:val="00091F39"/>
    <w:rsid w:val="00092968"/>
    <w:rsid w:val="00092979"/>
    <w:rsid w:val="00093486"/>
    <w:rsid w:val="00093BC9"/>
    <w:rsid w:val="0009520D"/>
    <w:rsid w:val="00095600"/>
    <w:rsid w:val="0009574C"/>
    <w:rsid w:val="00095911"/>
    <w:rsid w:val="00096140"/>
    <w:rsid w:val="00096FAC"/>
    <w:rsid w:val="00097631"/>
    <w:rsid w:val="00097AE4"/>
    <w:rsid w:val="000A044E"/>
    <w:rsid w:val="000A056C"/>
    <w:rsid w:val="000A0707"/>
    <w:rsid w:val="000A0EA3"/>
    <w:rsid w:val="000A1BDB"/>
    <w:rsid w:val="000A2B34"/>
    <w:rsid w:val="000A3862"/>
    <w:rsid w:val="000A4064"/>
    <w:rsid w:val="000A48CC"/>
    <w:rsid w:val="000A4C7C"/>
    <w:rsid w:val="000A5025"/>
    <w:rsid w:val="000A59CB"/>
    <w:rsid w:val="000A5BAD"/>
    <w:rsid w:val="000A64DA"/>
    <w:rsid w:val="000A66C1"/>
    <w:rsid w:val="000A6CA9"/>
    <w:rsid w:val="000A7170"/>
    <w:rsid w:val="000A71CF"/>
    <w:rsid w:val="000B0243"/>
    <w:rsid w:val="000B1094"/>
    <w:rsid w:val="000B14E0"/>
    <w:rsid w:val="000B175A"/>
    <w:rsid w:val="000B17E3"/>
    <w:rsid w:val="000B1B0B"/>
    <w:rsid w:val="000B1CB7"/>
    <w:rsid w:val="000B20D7"/>
    <w:rsid w:val="000B247D"/>
    <w:rsid w:val="000B268C"/>
    <w:rsid w:val="000B2826"/>
    <w:rsid w:val="000B29E5"/>
    <w:rsid w:val="000B2A21"/>
    <w:rsid w:val="000B2CAC"/>
    <w:rsid w:val="000B41BE"/>
    <w:rsid w:val="000B4534"/>
    <w:rsid w:val="000B45D7"/>
    <w:rsid w:val="000B4C7F"/>
    <w:rsid w:val="000B5085"/>
    <w:rsid w:val="000B550F"/>
    <w:rsid w:val="000B5700"/>
    <w:rsid w:val="000B647E"/>
    <w:rsid w:val="000B683C"/>
    <w:rsid w:val="000B6A2D"/>
    <w:rsid w:val="000B7256"/>
    <w:rsid w:val="000B7C49"/>
    <w:rsid w:val="000B7EB7"/>
    <w:rsid w:val="000C0205"/>
    <w:rsid w:val="000C0240"/>
    <w:rsid w:val="000C24BB"/>
    <w:rsid w:val="000C24F4"/>
    <w:rsid w:val="000C2801"/>
    <w:rsid w:val="000C2FBD"/>
    <w:rsid w:val="000C3022"/>
    <w:rsid w:val="000C3150"/>
    <w:rsid w:val="000C3458"/>
    <w:rsid w:val="000C3505"/>
    <w:rsid w:val="000C3969"/>
    <w:rsid w:val="000C4900"/>
    <w:rsid w:val="000C4DA5"/>
    <w:rsid w:val="000C5363"/>
    <w:rsid w:val="000C5EB5"/>
    <w:rsid w:val="000C5FAA"/>
    <w:rsid w:val="000C6090"/>
    <w:rsid w:val="000C665A"/>
    <w:rsid w:val="000C6A1C"/>
    <w:rsid w:val="000C6C69"/>
    <w:rsid w:val="000C73B7"/>
    <w:rsid w:val="000C79D0"/>
    <w:rsid w:val="000D0233"/>
    <w:rsid w:val="000D0333"/>
    <w:rsid w:val="000D06EF"/>
    <w:rsid w:val="000D09C1"/>
    <w:rsid w:val="000D0FCE"/>
    <w:rsid w:val="000D16EB"/>
    <w:rsid w:val="000D1A6D"/>
    <w:rsid w:val="000D1B26"/>
    <w:rsid w:val="000D1D2A"/>
    <w:rsid w:val="000D1ED7"/>
    <w:rsid w:val="000D3DA2"/>
    <w:rsid w:val="000D43F0"/>
    <w:rsid w:val="000D53FC"/>
    <w:rsid w:val="000D59BB"/>
    <w:rsid w:val="000D5C66"/>
    <w:rsid w:val="000D5CF7"/>
    <w:rsid w:val="000D600C"/>
    <w:rsid w:val="000D6273"/>
    <w:rsid w:val="000D66D3"/>
    <w:rsid w:val="000D6B7F"/>
    <w:rsid w:val="000D77A0"/>
    <w:rsid w:val="000D7B09"/>
    <w:rsid w:val="000E0034"/>
    <w:rsid w:val="000E0904"/>
    <w:rsid w:val="000E0BFE"/>
    <w:rsid w:val="000E0E81"/>
    <w:rsid w:val="000E1128"/>
    <w:rsid w:val="000E16F1"/>
    <w:rsid w:val="000E1A2F"/>
    <w:rsid w:val="000E1FB5"/>
    <w:rsid w:val="000E2BF0"/>
    <w:rsid w:val="000E353B"/>
    <w:rsid w:val="000E3822"/>
    <w:rsid w:val="000E3DED"/>
    <w:rsid w:val="000E40B5"/>
    <w:rsid w:val="000E49C3"/>
    <w:rsid w:val="000E5117"/>
    <w:rsid w:val="000E52AA"/>
    <w:rsid w:val="000E5E1B"/>
    <w:rsid w:val="000E646A"/>
    <w:rsid w:val="000E6618"/>
    <w:rsid w:val="000E6685"/>
    <w:rsid w:val="000E68CF"/>
    <w:rsid w:val="000E6B75"/>
    <w:rsid w:val="000E702D"/>
    <w:rsid w:val="000E7191"/>
    <w:rsid w:val="000E7455"/>
    <w:rsid w:val="000E75D2"/>
    <w:rsid w:val="000E7B84"/>
    <w:rsid w:val="000F06CA"/>
    <w:rsid w:val="000F0946"/>
    <w:rsid w:val="000F09A9"/>
    <w:rsid w:val="000F0B6B"/>
    <w:rsid w:val="000F0B6D"/>
    <w:rsid w:val="000F0C2F"/>
    <w:rsid w:val="000F0EDC"/>
    <w:rsid w:val="000F12E4"/>
    <w:rsid w:val="000F14BA"/>
    <w:rsid w:val="000F17A7"/>
    <w:rsid w:val="000F1A2A"/>
    <w:rsid w:val="000F1FAB"/>
    <w:rsid w:val="000F25EC"/>
    <w:rsid w:val="000F290C"/>
    <w:rsid w:val="000F34CD"/>
    <w:rsid w:val="000F3DD7"/>
    <w:rsid w:val="000F41BA"/>
    <w:rsid w:val="000F4380"/>
    <w:rsid w:val="000F5054"/>
    <w:rsid w:val="000F50DB"/>
    <w:rsid w:val="000F523E"/>
    <w:rsid w:val="000F58E4"/>
    <w:rsid w:val="000F5F63"/>
    <w:rsid w:val="000F661E"/>
    <w:rsid w:val="000F6A60"/>
    <w:rsid w:val="000F7173"/>
    <w:rsid w:val="000F7E31"/>
    <w:rsid w:val="001004FB"/>
    <w:rsid w:val="00100AA2"/>
    <w:rsid w:val="00100C80"/>
    <w:rsid w:val="00100EA9"/>
    <w:rsid w:val="001010D0"/>
    <w:rsid w:val="001015FE"/>
    <w:rsid w:val="00101AED"/>
    <w:rsid w:val="001022E7"/>
    <w:rsid w:val="001027A4"/>
    <w:rsid w:val="00102ACB"/>
    <w:rsid w:val="001035E6"/>
    <w:rsid w:val="00103880"/>
    <w:rsid w:val="00103D70"/>
    <w:rsid w:val="0010425A"/>
    <w:rsid w:val="00104460"/>
    <w:rsid w:val="00104D44"/>
    <w:rsid w:val="00104FBB"/>
    <w:rsid w:val="0010541B"/>
    <w:rsid w:val="001054A4"/>
    <w:rsid w:val="00105558"/>
    <w:rsid w:val="001056CE"/>
    <w:rsid w:val="0010581F"/>
    <w:rsid w:val="00105DB7"/>
    <w:rsid w:val="001068A8"/>
    <w:rsid w:val="00106FD9"/>
    <w:rsid w:val="0011004A"/>
    <w:rsid w:val="00110580"/>
    <w:rsid w:val="001111D4"/>
    <w:rsid w:val="00111339"/>
    <w:rsid w:val="001117BC"/>
    <w:rsid w:val="00111805"/>
    <w:rsid w:val="00111A40"/>
    <w:rsid w:val="00112166"/>
    <w:rsid w:val="001130DE"/>
    <w:rsid w:val="0011335C"/>
    <w:rsid w:val="001136AA"/>
    <w:rsid w:val="00113B52"/>
    <w:rsid w:val="0011482B"/>
    <w:rsid w:val="00114880"/>
    <w:rsid w:val="00114BB0"/>
    <w:rsid w:val="0011572D"/>
    <w:rsid w:val="00115EEC"/>
    <w:rsid w:val="001160EB"/>
    <w:rsid w:val="00116392"/>
    <w:rsid w:val="00116CF4"/>
    <w:rsid w:val="0011705A"/>
    <w:rsid w:val="001173B7"/>
    <w:rsid w:val="001207E5"/>
    <w:rsid w:val="001211E8"/>
    <w:rsid w:val="00121DEC"/>
    <w:rsid w:val="00122378"/>
    <w:rsid w:val="001227AC"/>
    <w:rsid w:val="001227F1"/>
    <w:rsid w:val="00122D3C"/>
    <w:rsid w:val="0012301F"/>
    <w:rsid w:val="001239AD"/>
    <w:rsid w:val="00123B77"/>
    <w:rsid w:val="00123D1D"/>
    <w:rsid w:val="00123D88"/>
    <w:rsid w:val="00123E97"/>
    <w:rsid w:val="001246B9"/>
    <w:rsid w:val="00124743"/>
    <w:rsid w:val="00124F85"/>
    <w:rsid w:val="00125888"/>
    <w:rsid w:val="001258DD"/>
    <w:rsid w:val="00125DA2"/>
    <w:rsid w:val="0012673B"/>
    <w:rsid w:val="00126AB9"/>
    <w:rsid w:val="00126E15"/>
    <w:rsid w:val="00126E3F"/>
    <w:rsid w:val="00126EE5"/>
    <w:rsid w:val="00127151"/>
    <w:rsid w:val="00127545"/>
    <w:rsid w:val="001277F4"/>
    <w:rsid w:val="00127A06"/>
    <w:rsid w:val="00127BC0"/>
    <w:rsid w:val="00127BE6"/>
    <w:rsid w:val="00130821"/>
    <w:rsid w:val="00130978"/>
    <w:rsid w:val="001309BD"/>
    <w:rsid w:val="00130ACD"/>
    <w:rsid w:val="00130C2F"/>
    <w:rsid w:val="00131391"/>
    <w:rsid w:val="00131573"/>
    <w:rsid w:val="0013194D"/>
    <w:rsid w:val="00131982"/>
    <w:rsid w:val="00131C75"/>
    <w:rsid w:val="0013214F"/>
    <w:rsid w:val="001321D8"/>
    <w:rsid w:val="001323E5"/>
    <w:rsid w:val="0013290F"/>
    <w:rsid w:val="00132E5B"/>
    <w:rsid w:val="001337A3"/>
    <w:rsid w:val="00133E95"/>
    <w:rsid w:val="001348E9"/>
    <w:rsid w:val="00134A5C"/>
    <w:rsid w:val="001356AA"/>
    <w:rsid w:val="001361CF"/>
    <w:rsid w:val="001362F2"/>
    <w:rsid w:val="00137F48"/>
    <w:rsid w:val="00140EEC"/>
    <w:rsid w:val="0014111F"/>
    <w:rsid w:val="001413BF"/>
    <w:rsid w:val="001417C7"/>
    <w:rsid w:val="001421AC"/>
    <w:rsid w:val="00142427"/>
    <w:rsid w:val="00142E09"/>
    <w:rsid w:val="00142FB1"/>
    <w:rsid w:val="00142FE7"/>
    <w:rsid w:val="00143734"/>
    <w:rsid w:val="00143827"/>
    <w:rsid w:val="00143828"/>
    <w:rsid w:val="00143CCA"/>
    <w:rsid w:val="00143F04"/>
    <w:rsid w:val="001441BF"/>
    <w:rsid w:val="00144225"/>
    <w:rsid w:val="0014437A"/>
    <w:rsid w:val="00144F81"/>
    <w:rsid w:val="00145149"/>
    <w:rsid w:val="0014556E"/>
    <w:rsid w:val="0014618F"/>
    <w:rsid w:val="00146A9A"/>
    <w:rsid w:val="00146C19"/>
    <w:rsid w:val="00146CC3"/>
    <w:rsid w:val="00147460"/>
    <w:rsid w:val="001476DA"/>
    <w:rsid w:val="00147A3D"/>
    <w:rsid w:val="00147C5C"/>
    <w:rsid w:val="00147E4F"/>
    <w:rsid w:val="00147FEA"/>
    <w:rsid w:val="00151920"/>
    <w:rsid w:val="00151E25"/>
    <w:rsid w:val="001527E6"/>
    <w:rsid w:val="00152C95"/>
    <w:rsid w:val="0015335F"/>
    <w:rsid w:val="0015339D"/>
    <w:rsid w:val="00153715"/>
    <w:rsid w:val="00153B09"/>
    <w:rsid w:val="00153DAC"/>
    <w:rsid w:val="00153ECA"/>
    <w:rsid w:val="00154027"/>
    <w:rsid w:val="001545D7"/>
    <w:rsid w:val="0015506E"/>
    <w:rsid w:val="001551CB"/>
    <w:rsid w:val="001556D2"/>
    <w:rsid w:val="001558A3"/>
    <w:rsid w:val="00155D23"/>
    <w:rsid w:val="00156872"/>
    <w:rsid w:val="00156A0E"/>
    <w:rsid w:val="00156C35"/>
    <w:rsid w:val="00156EF9"/>
    <w:rsid w:val="00157A7E"/>
    <w:rsid w:val="00157D54"/>
    <w:rsid w:val="00160525"/>
    <w:rsid w:val="0016091B"/>
    <w:rsid w:val="00160B5B"/>
    <w:rsid w:val="00160BA9"/>
    <w:rsid w:val="00160CBA"/>
    <w:rsid w:val="001613EB"/>
    <w:rsid w:val="00161B23"/>
    <w:rsid w:val="0016304B"/>
    <w:rsid w:val="001632E5"/>
    <w:rsid w:val="0016384B"/>
    <w:rsid w:val="00164843"/>
    <w:rsid w:val="00165759"/>
    <w:rsid w:val="00165ABF"/>
    <w:rsid w:val="00165AC7"/>
    <w:rsid w:val="00165AFA"/>
    <w:rsid w:val="00165FF3"/>
    <w:rsid w:val="00166466"/>
    <w:rsid w:val="00166E5D"/>
    <w:rsid w:val="00166FDB"/>
    <w:rsid w:val="0016727D"/>
    <w:rsid w:val="0016736C"/>
    <w:rsid w:val="001700FD"/>
    <w:rsid w:val="001704CD"/>
    <w:rsid w:val="0017067B"/>
    <w:rsid w:val="001706D2"/>
    <w:rsid w:val="001709A9"/>
    <w:rsid w:val="00170D16"/>
    <w:rsid w:val="00171192"/>
    <w:rsid w:val="00171198"/>
    <w:rsid w:val="001721A3"/>
    <w:rsid w:val="001728E3"/>
    <w:rsid w:val="00172A27"/>
    <w:rsid w:val="00172DCA"/>
    <w:rsid w:val="001730A6"/>
    <w:rsid w:val="0017389C"/>
    <w:rsid w:val="00173AFB"/>
    <w:rsid w:val="00173E21"/>
    <w:rsid w:val="001740B3"/>
    <w:rsid w:val="0017459E"/>
    <w:rsid w:val="00174A22"/>
    <w:rsid w:val="00174EAA"/>
    <w:rsid w:val="00175295"/>
    <w:rsid w:val="001755E3"/>
    <w:rsid w:val="0017587D"/>
    <w:rsid w:val="00175B0A"/>
    <w:rsid w:val="00176595"/>
    <w:rsid w:val="00177510"/>
    <w:rsid w:val="00180147"/>
    <w:rsid w:val="00180288"/>
    <w:rsid w:val="00180F69"/>
    <w:rsid w:val="0018200C"/>
    <w:rsid w:val="001820AB"/>
    <w:rsid w:val="00182399"/>
    <w:rsid w:val="00182C3B"/>
    <w:rsid w:val="00182D6F"/>
    <w:rsid w:val="00182FC9"/>
    <w:rsid w:val="00183165"/>
    <w:rsid w:val="001836A9"/>
    <w:rsid w:val="00183E4F"/>
    <w:rsid w:val="00183E79"/>
    <w:rsid w:val="0018446F"/>
    <w:rsid w:val="001844EB"/>
    <w:rsid w:val="00184935"/>
    <w:rsid w:val="00185431"/>
    <w:rsid w:val="00185786"/>
    <w:rsid w:val="001864EF"/>
    <w:rsid w:val="001870B5"/>
    <w:rsid w:val="0018729C"/>
    <w:rsid w:val="001875E9"/>
    <w:rsid w:val="0018773C"/>
    <w:rsid w:val="001877CF"/>
    <w:rsid w:val="00190C39"/>
    <w:rsid w:val="0019172C"/>
    <w:rsid w:val="0019180F"/>
    <w:rsid w:val="001918E8"/>
    <w:rsid w:val="00191963"/>
    <w:rsid w:val="001921AF"/>
    <w:rsid w:val="00192270"/>
    <w:rsid w:val="00192442"/>
    <w:rsid w:val="001927DE"/>
    <w:rsid w:val="001928DD"/>
    <w:rsid w:val="00192A39"/>
    <w:rsid w:val="00192C4F"/>
    <w:rsid w:val="00192F6A"/>
    <w:rsid w:val="001933EF"/>
    <w:rsid w:val="00193631"/>
    <w:rsid w:val="001939A6"/>
    <w:rsid w:val="00193AAF"/>
    <w:rsid w:val="00193AF4"/>
    <w:rsid w:val="00193C5B"/>
    <w:rsid w:val="00193D09"/>
    <w:rsid w:val="00193FB1"/>
    <w:rsid w:val="001942EF"/>
    <w:rsid w:val="0019493E"/>
    <w:rsid w:val="00194AE2"/>
    <w:rsid w:val="00195177"/>
    <w:rsid w:val="00195649"/>
    <w:rsid w:val="00195938"/>
    <w:rsid w:val="00195A3E"/>
    <w:rsid w:val="00195DD4"/>
    <w:rsid w:val="00196253"/>
    <w:rsid w:val="00196730"/>
    <w:rsid w:val="00196BCA"/>
    <w:rsid w:val="00196D1A"/>
    <w:rsid w:val="00196D32"/>
    <w:rsid w:val="00197102"/>
    <w:rsid w:val="00197198"/>
    <w:rsid w:val="0019744C"/>
    <w:rsid w:val="001A05C6"/>
    <w:rsid w:val="001A0A5E"/>
    <w:rsid w:val="001A0C91"/>
    <w:rsid w:val="001A101A"/>
    <w:rsid w:val="001A1066"/>
    <w:rsid w:val="001A1F25"/>
    <w:rsid w:val="001A20BC"/>
    <w:rsid w:val="001A2474"/>
    <w:rsid w:val="001A3313"/>
    <w:rsid w:val="001A3505"/>
    <w:rsid w:val="001A3F8D"/>
    <w:rsid w:val="001A451F"/>
    <w:rsid w:val="001A46B4"/>
    <w:rsid w:val="001A533B"/>
    <w:rsid w:val="001A57E2"/>
    <w:rsid w:val="001A59D8"/>
    <w:rsid w:val="001A6902"/>
    <w:rsid w:val="001A6B34"/>
    <w:rsid w:val="001A6B5F"/>
    <w:rsid w:val="001A6CE2"/>
    <w:rsid w:val="001A6FE0"/>
    <w:rsid w:val="001B018A"/>
    <w:rsid w:val="001B0639"/>
    <w:rsid w:val="001B109F"/>
    <w:rsid w:val="001B155B"/>
    <w:rsid w:val="001B25F7"/>
    <w:rsid w:val="001B2B74"/>
    <w:rsid w:val="001B36F4"/>
    <w:rsid w:val="001B38A2"/>
    <w:rsid w:val="001B3ED0"/>
    <w:rsid w:val="001B41B3"/>
    <w:rsid w:val="001B4B9E"/>
    <w:rsid w:val="001B4CDD"/>
    <w:rsid w:val="001B4D31"/>
    <w:rsid w:val="001B4E15"/>
    <w:rsid w:val="001B52B4"/>
    <w:rsid w:val="001B58CB"/>
    <w:rsid w:val="001B5960"/>
    <w:rsid w:val="001B59A0"/>
    <w:rsid w:val="001B5CBD"/>
    <w:rsid w:val="001B5EA6"/>
    <w:rsid w:val="001B6813"/>
    <w:rsid w:val="001B6F45"/>
    <w:rsid w:val="001B709D"/>
    <w:rsid w:val="001B75D7"/>
    <w:rsid w:val="001C04BD"/>
    <w:rsid w:val="001C04CD"/>
    <w:rsid w:val="001C1718"/>
    <w:rsid w:val="001C197A"/>
    <w:rsid w:val="001C1A19"/>
    <w:rsid w:val="001C1C5F"/>
    <w:rsid w:val="001C1CF6"/>
    <w:rsid w:val="001C1F77"/>
    <w:rsid w:val="001C21D1"/>
    <w:rsid w:val="001C2B20"/>
    <w:rsid w:val="001C2E93"/>
    <w:rsid w:val="001C2FD3"/>
    <w:rsid w:val="001C3577"/>
    <w:rsid w:val="001C47AD"/>
    <w:rsid w:val="001C4EC0"/>
    <w:rsid w:val="001C516C"/>
    <w:rsid w:val="001C5DFF"/>
    <w:rsid w:val="001C66EA"/>
    <w:rsid w:val="001C6BDA"/>
    <w:rsid w:val="001C6E8A"/>
    <w:rsid w:val="001C6EAA"/>
    <w:rsid w:val="001C6FF8"/>
    <w:rsid w:val="001C7397"/>
    <w:rsid w:val="001C7896"/>
    <w:rsid w:val="001D0277"/>
    <w:rsid w:val="001D060D"/>
    <w:rsid w:val="001D065A"/>
    <w:rsid w:val="001D0AAF"/>
    <w:rsid w:val="001D0E4A"/>
    <w:rsid w:val="001D0F1A"/>
    <w:rsid w:val="001D12A5"/>
    <w:rsid w:val="001D1AD5"/>
    <w:rsid w:val="001D1D72"/>
    <w:rsid w:val="001D22D3"/>
    <w:rsid w:val="001D2432"/>
    <w:rsid w:val="001D3864"/>
    <w:rsid w:val="001D3EAE"/>
    <w:rsid w:val="001D48F7"/>
    <w:rsid w:val="001D4956"/>
    <w:rsid w:val="001D4981"/>
    <w:rsid w:val="001D4D6C"/>
    <w:rsid w:val="001D4FCB"/>
    <w:rsid w:val="001D53FD"/>
    <w:rsid w:val="001D56AF"/>
    <w:rsid w:val="001D58B2"/>
    <w:rsid w:val="001D5E06"/>
    <w:rsid w:val="001D5E0C"/>
    <w:rsid w:val="001D6388"/>
    <w:rsid w:val="001D6B10"/>
    <w:rsid w:val="001D6C10"/>
    <w:rsid w:val="001D7DC9"/>
    <w:rsid w:val="001E0753"/>
    <w:rsid w:val="001E0A3D"/>
    <w:rsid w:val="001E1090"/>
    <w:rsid w:val="001E21D4"/>
    <w:rsid w:val="001E27F1"/>
    <w:rsid w:val="001E3207"/>
    <w:rsid w:val="001E37F9"/>
    <w:rsid w:val="001E3D95"/>
    <w:rsid w:val="001E40F6"/>
    <w:rsid w:val="001E420C"/>
    <w:rsid w:val="001E4980"/>
    <w:rsid w:val="001E4BB6"/>
    <w:rsid w:val="001E58C8"/>
    <w:rsid w:val="001E658E"/>
    <w:rsid w:val="001E6BC9"/>
    <w:rsid w:val="001E7151"/>
    <w:rsid w:val="001E783B"/>
    <w:rsid w:val="001E7CBB"/>
    <w:rsid w:val="001F0333"/>
    <w:rsid w:val="001F0517"/>
    <w:rsid w:val="001F0572"/>
    <w:rsid w:val="001F1379"/>
    <w:rsid w:val="001F17DF"/>
    <w:rsid w:val="001F1B8F"/>
    <w:rsid w:val="001F2D93"/>
    <w:rsid w:val="001F30AB"/>
    <w:rsid w:val="001F38DD"/>
    <w:rsid w:val="001F3CB7"/>
    <w:rsid w:val="001F3DE6"/>
    <w:rsid w:val="001F41E9"/>
    <w:rsid w:val="001F4B50"/>
    <w:rsid w:val="001F4B82"/>
    <w:rsid w:val="001F4C4A"/>
    <w:rsid w:val="001F52B4"/>
    <w:rsid w:val="001F5B6D"/>
    <w:rsid w:val="001F5E3E"/>
    <w:rsid w:val="001F6035"/>
    <w:rsid w:val="001F6402"/>
    <w:rsid w:val="001F665A"/>
    <w:rsid w:val="001F6C22"/>
    <w:rsid w:val="00200727"/>
    <w:rsid w:val="0020128B"/>
    <w:rsid w:val="0020153A"/>
    <w:rsid w:val="00201615"/>
    <w:rsid w:val="002016FB"/>
    <w:rsid w:val="002019D1"/>
    <w:rsid w:val="002019D5"/>
    <w:rsid w:val="00201A0B"/>
    <w:rsid w:val="00201CCB"/>
    <w:rsid w:val="00201EAB"/>
    <w:rsid w:val="002024EB"/>
    <w:rsid w:val="00202568"/>
    <w:rsid w:val="00202640"/>
    <w:rsid w:val="00202BFF"/>
    <w:rsid w:val="00202C77"/>
    <w:rsid w:val="00202EDA"/>
    <w:rsid w:val="002031A2"/>
    <w:rsid w:val="0020357E"/>
    <w:rsid w:val="002037A5"/>
    <w:rsid w:val="0020454C"/>
    <w:rsid w:val="0020562B"/>
    <w:rsid w:val="0020630E"/>
    <w:rsid w:val="0020660F"/>
    <w:rsid w:val="00207082"/>
    <w:rsid w:val="00207493"/>
    <w:rsid w:val="002076B1"/>
    <w:rsid w:val="002078A4"/>
    <w:rsid w:val="00207E69"/>
    <w:rsid w:val="00207F21"/>
    <w:rsid w:val="0021044A"/>
    <w:rsid w:val="002111DE"/>
    <w:rsid w:val="0021127D"/>
    <w:rsid w:val="002114EF"/>
    <w:rsid w:val="00211C5A"/>
    <w:rsid w:val="00212402"/>
    <w:rsid w:val="00212589"/>
    <w:rsid w:val="0021261A"/>
    <w:rsid w:val="002128AE"/>
    <w:rsid w:val="00212C98"/>
    <w:rsid w:val="00212E55"/>
    <w:rsid w:val="00212EBB"/>
    <w:rsid w:val="00212F4E"/>
    <w:rsid w:val="00213162"/>
    <w:rsid w:val="0021371D"/>
    <w:rsid w:val="0021472D"/>
    <w:rsid w:val="00214D04"/>
    <w:rsid w:val="00215500"/>
    <w:rsid w:val="00215750"/>
    <w:rsid w:val="00215A7C"/>
    <w:rsid w:val="00215D68"/>
    <w:rsid w:val="00215DD7"/>
    <w:rsid w:val="00216F06"/>
    <w:rsid w:val="00216F48"/>
    <w:rsid w:val="00217010"/>
    <w:rsid w:val="002171B2"/>
    <w:rsid w:val="00217420"/>
    <w:rsid w:val="002176D4"/>
    <w:rsid w:val="00220CA1"/>
    <w:rsid w:val="0022158A"/>
    <w:rsid w:val="00221B99"/>
    <w:rsid w:val="0022200F"/>
    <w:rsid w:val="002224D9"/>
    <w:rsid w:val="002229DC"/>
    <w:rsid w:val="002247B1"/>
    <w:rsid w:val="00224A66"/>
    <w:rsid w:val="00225196"/>
    <w:rsid w:val="00225AC6"/>
    <w:rsid w:val="00225B6A"/>
    <w:rsid w:val="00225CA0"/>
    <w:rsid w:val="00226542"/>
    <w:rsid w:val="00226680"/>
    <w:rsid w:val="00226787"/>
    <w:rsid w:val="00226A02"/>
    <w:rsid w:val="00226DF4"/>
    <w:rsid w:val="00226E01"/>
    <w:rsid w:val="00227AAC"/>
    <w:rsid w:val="002308B4"/>
    <w:rsid w:val="002310AC"/>
    <w:rsid w:val="0023195C"/>
    <w:rsid w:val="00231A93"/>
    <w:rsid w:val="00231CBB"/>
    <w:rsid w:val="00232460"/>
    <w:rsid w:val="00233300"/>
    <w:rsid w:val="00233844"/>
    <w:rsid w:val="00233C12"/>
    <w:rsid w:val="00233ED7"/>
    <w:rsid w:val="00234AD5"/>
    <w:rsid w:val="00234EC7"/>
    <w:rsid w:val="00235152"/>
    <w:rsid w:val="00235163"/>
    <w:rsid w:val="00235241"/>
    <w:rsid w:val="00235809"/>
    <w:rsid w:val="0023591D"/>
    <w:rsid w:val="00235D62"/>
    <w:rsid w:val="00235F69"/>
    <w:rsid w:val="00236291"/>
    <w:rsid w:val="002362C6"/>
    <w:rsid w:val="002366C8"/>
    <w:rsid w:val="00236A73"/>
    <w:rsid w:val="00237446"/>
    <w:rsid w:val="002374BB"/>
    <w:rsid w:val="002376D1"/>
    <w:rsid w:val="00237BEC"/>
    <w:rsid w:val="00237C71"/>
    <w:rsid w:val="00237EE2"/>
    <w:rsid w:val="002401B3"/>
    <w:rsid w:val="00240237"/>
    <w:rsid w:val="00240663"/>
    <w:rsid w:val="0024073F"/>
    <w:rsid w:val="0024094E"/>
    <w:rsid w:val="0024298E"/>
    <w:rsid w:val="00242998"/>
    <w:rsid w:val="00242CA9"/>
    <w:rsid w:val="00243219"/>
    <w:rsid w:val="00243556"/>
    <w:rsid w:val="00243E3F"/>
    <w:rsid w:val="0024473B"/>
    <w:rsid w:val="00245186"/>
    <w:rsid w:val="00245263"/>
    <w:rsid w:val="00245B3F"/>
    <w:rsid w:val="00245BCE"/>
    <w:rsid w:val="00245D09"/>
    <w:rsid w:val="00245DB4"/>
    <w:rsid w:val="00245F39"/>
    <w:rsid w:val="00246206"/>
    <w:rsid w:val="002466EF"/>
    <w:rsid w:val="00246782"/>
    <w:rsid w:val="00247588"/>
    <w:rsid w:val="00247B50"/>
    <w:rsid w:val="00247FC8"/>
    <w:rsid w:val="0025022D"/>
    <w:rsid w:val="0025036E"/>
    <w:rsid w:val="00250422"/>
    <w:rsid w:val="0025090C"/>
    <w:rsid w:val="00250AA7"/>
    <w:rsid w:val="00250FEA"/>
    <w:rsid w:val="00251617"/>
    <w:rsid w:val="002518F6"/>
    <w:rsid w:val="00251A41"/>
    <w:rsid w:val="00251A5A"/>
    <w:rsid w:val="00251DFD"/>
    <w:rsid w:val="00251E29"/>
    <w:rsid w:val="00252134"/>
    <w:rsid w:val="00252650"/>
    <w:rsid w:val="002527B9"/>
    <w:rsid w:val="00252E48"/>
    <w:rsid w:val="0025300E"/>
    <w:rsid w:val="00253585"/>
    <w:rsid w:val="00253DB7"/>
    <w:rsid w:val="00253E58"/>
    <w:rsid w:val="00254917"/>
    <w:rsid w:val="00254AF0"/>
    <w:rsid w:val="002550C8"/>
    <w:rsid w:val="002552CC"/>
    <w:rsid w:val="00255773"/>
    <w:rsid w:val="002563B5"/>
    <w:rsid w:val="0025687B"/>
    <w:rsid w:val="00256DAB"/>
    <w:rsid w:val="002571EA"/>
    <w:rsid w:val="00257AE7"/>
    <w:rsid w:val="00260104"/>
    <w:rsid w:val="00260636"/>
    <w:rsid w:val="00260E0C"/>
    <w:rsid w:val="00261043"/>
    <w:rsid w:val="002614B5"/>
    <w:rsid w:val="00261A36"/>
    <w:rsid w:val="00262AB9"/>
    <w:rsid w:val="00262DFC"/>
    <w:rsid w:val="00263097"/>
    <w:rsid w:val="002639E5"/>
    <w:rsid w:val="00263AD3"/>
    <w:rsid w:val="00264147"/>
    <w:rsid w:val="00264393"/>
    <w:rsid w:val="0026446E"/>
    <w:rsid w:val="00264A12"/>
    <w:rsid w:val="00265982"/>
    <w:rsid w:val="00265E1C"/>
    <w:rsid w:val="00266009"/>
    <w:rsid w:val="00266143"/>
    <w:rsid w:val="002661ED"/>
    <w:rsid w:val="0026646A"/>
    <w:rsid w:val="00266787"/>
    <w:rsid w:val="00266C6A"/>
    <w:rsid w:val="00266F9D"/>
    <w:rsid w:val="002671CF"/>
    <w:rsid w:val="00267A37"/>
    <w:rsid w:val="00267E15"/>
    <w:rsid w:val="002703BA"/>
    <w:rsid w:val="00270778"/>
    <w:rsid w:val="00270DE0"/>
    <w:rsid w:val="002718B7"/>
    <w:rsid w:val="00271A19"/>
    <w:rsid w:val="002721CC"/>
    <w:rsid w:val="00272AE8"/>
    <w:rsid w:val="00273371"/>
    <w:rsid w:val="0027373F"/>
    <w:rsid w:val="00273EA0"/>
    <w:rsid w:val="00274B58"/>
    <w:rsid w:val="002752BA"/>
    <w:rsid w:val="0027532D"/>
    <w:rsid w:val="0027547F"/>
    <w:rsid w:val="00275919"/>
    <w:rsid w:val="00275E4B"/>
    <w:rsid w:val="00276125"/>
    <w:rsid w:val="00276A38"/>
    <w:rsid w:val="00276D40"/>
    <w:rsid w:val="002770DA"/>
    <w:rsid w:val="00277335"/>
    <w:rsid w:val="002778F4"/>
    <w:rsid w:val="002779F5"/>
    <w:rsid w:val="00277AA3"/>
    <w:rsid w:val="00277D6F"/>
    <w:rsid w:val="00277DD8"/>
    <w:rsid w:val="00280286"/>
    <w:rsid w:val="0028032F"/>
    <w:rsid w:val="00280530"/>
    <w:rsid w:val="0028084D"/>
    <w:rsid w:val="00280860"/>
    <w:rsid w:val="00280F5D"/>
    <w:rsid w:val="0028130F"/>
    <w:rsid w:val="002813E8"/>
    <w:rsid w:val="0028163F"/>
    <w:rsid w:val="00281AA7"/>
    <w:rsid w:val="00281BFC"/>
    <w:rsid w:val="00281D86"/>
    <w:rsid w:val="0028233B"/>
    <w:rsid w:val="002823C1"/>
    <w:rsid w:val="00282734"/>
    <w:rsid w:val="00283CC6"/>
    <w:rsid w:val="002844CC"/>
    <w:rsid w:val="00285623"/>
    <w:rsid w:val="002857E8"/>
    <w:rsid w:val="00285A70"/>
    <w:rsid w:val="00286094"/>
    <w:rsid w:val="002863AE"/>
    <w:rsid w:val="002869BB"/>
    <w:rsid w:val="00286A06"/>
    <w:rsid w:val="00286AF0"/>
    <w:rsid w:val="00286B7A"/>
    <w:rsid w:val="00287181"/>
    <w:rsid w:val="002872F6"/>
    <w:rsid w:val="00287BDB"/>
    <w:rsid w:val="00287BE6"/>
    <w:rsid w:val="00290386"/>
    <w:rsid w:val="00290444"/>
    <w:rsid w:val="00290510"/>
    <w:rsid w:val="00290A18"/>
    <w:rsid w:val="00291A0A"/>
    <w:rsid w:val="00292024"/>
    <w:rsid w:val="0029220D"/>
    <w:rsid w:val="0029321B"/>
    <w:rsid w:val="002932B2"/>
    <w:rsid w:val="00293567"/>
    <w:rsid w:val="0029380D"/>
    <w:rsid w:val="002938E1"/>
    <w:rsid w:val="00293C26"/>
    <w:rsid w:val="00293C57"/>
    <w:rsid w:val="00294589"/>
    <w:rsid w:val="00294956"/>
    <w:rsid w:val="0029547D"/>
    <w:rsid w:val="00295529"/>
    <w:rsid w:val="00295D41"/>
    <w:rsid w:val="00295DD3"/>
    <w:rsid w:val="00296CF0"/>
    <w:rsid w:val="00296CF4"/>
    <w:rsid w:val="0029703D"/>
    <w:rsid w:val="00297230"/>
    <w:rsid w:val="002A03E8"/>
    <w:rsid w:val="002A0802"/>
    <w:rsid w:val="002A1D70"/>
    <w:rsid w:val="002A279B"/>
    <w:rsid w:val="002A29D6"/>
    <w:rsid w:val="002A2C66"/>
    <w:rsid w:val="002A2EFF"/>
    <w:rsid w:val="002A3188"/>
    <w:rsid w:val="002A3592"/>
    <w:rsid w:val="002A3A11"/>
    <w:rsid w:val="002A3CCC"/>
    <w:rsid w:val="002A4352"/>
    <w:rsid w:val="002A446F"/>
    <w:rsid w:val="002A4EE5"/>
    <w:rsid w:val="002A6510"/>
    <w:rsid w:val="002A714F"/>
    <w:rsid w:val="002A750D"/>
    <w:rsid w:val="002A765E"/>
    <w:rsid w:val="002A7A9E"/>
    <w:rsid w:val="002A7B88"/>
    <w:rsid w:val="002B0077"/>
    <w:rsid w:val="002B0112"/>
    <w:rsid w:val="002B1103"/>
    <w:rsid w:val="002B1413"/>
    <w:rsid w:val="002B157A"/>
    <w:rsid w:val="002B182D"/>
    <w:rsid w:val="002B1A0E"/>
    <w:rsid w:val="002B2181"/>
    <w:rsid w:val="002B2698"/>
    <w:rsid w:val="002B2D50"/>
    <w:rsid w:val="002B2F85"/>
    <w:rsid w:val="002B37F6"/>
    <w:rsid w:val="002B3F5B"/>
    <w:rsid w:val="002B3F61"/>
    <w:rsid w:val="002B3FDB"/>
    <w:rsid w:val="002B4B2D"/>
    <w:rsid w:val="002B4F8D"/>
    <w:rsid w:val="002B570A"/>
    <w:rsid w:val="002B64B0"/>
    <w:rsid w:val="002B69D5"/>
    <w:rsid w:val="002B6AAF"/>
    <w:rsid w:val="002B6BBC"/>
    <w:rsid w:val="002B6E4A"/>
    <w:rsid w:val="002B7DF1"/>
    <w:rsid w:val="002B7EB7"/>
    <w:rsid w:val="002B7F9A"/>
    <w:rsid w:val="002C059D"/>
    <w:rsid w:val="002C0670"/>
    <w:rsid w:val="002C07E3"/>
    <w:rsid w:val="002C0AE1"/>
    <w:rsid w:val="002C1CAF"/>
    <w:rsid w:val="002C1F8F"/>
    <w:rsid w:val="002C21CB"/>
    <w:rsid w:val="002C2756"/>
    <w:rsid w:val="002C3345"/>
    <w:rsid w:val="002C4D3E"/>
    <w:rsid w:val="002C4DCE"/>
    <w:rsid w:val="002C5218"/>
    <w:rsid w:val="002C536C"/>
    <w:rsid w:val="002C55D8"/>
    <w:rsid w:val="002C5B7D"/>
    <w:rsid w:val="002C79F2"/>
    <w:rsid w:val="002C7E0A"/>
    <w:rsid w:val="002D0293"/>
    <w:rsid w:val="002D0A37"/>
    <w:rsid w:val="002D0A9F"/>
    <w:rsid w:val="002D11DB"/>
    <w:rsid w:val="002D131B"/>
    <w:rsid w:val="002D13AB"/>
    <w:rsid w:val="002D1566"/>
    <w:rsid w:val="002D1BA0"/>
    <w:rsid w:val="002D2089"/>
    <w:rsid w:val="002D212C"/>
    <w:rsid w:val="002D266B"/>
    <w:rsid w:val="002D2F14"/>
    <w:rsid w:val="002D322B"/>
    <w:rsid w:val="002D3270"/>
    <w:rsid w:val="002D32CA"/>
    <w:rsid w:val="002D3BAA"/>
    <w:rsid w:val="002D3FCD"/>
    <w:rsid w:val="002D4333"/>
    <w:rsid w:val="002D48CA"/>
    <w:rsid w:val="002D5A1E"/>
    <w:rsid w:val="002D5DC5"/>
    <w:rsid w:val="002D615C"/>
    <w:rsid w:val="002D6701"/>
    <w:rsid w:val="002D67C6"/>
    <w:rsid w:val="002D6824"/>
    <w:rsid w:val="002D6974"/>
    <w:rsid w:val="002D73E4"/>
    <w:rsid w:val="002D74BA"/>
    <w:rsid w:val="002D7A39"/>
    <w:rsid w:val="002E01A5"/>
    <w:rsid w:val="002E0A25"/>
    <w:rsid w:val="002E12F3"/>
    <w:rsid w:val="002E16A9"/>
    <w:rsid w:val="002E1A82"/>
    <w:rsid w:val="002E1C13"/>
    <w:rsid w:val="002E1D71"/>
    <w:rsid w:val="002E1EFB"/>
    <w:rsid w:val="002E2930"/>
    <w:rsid w:val="002E2CCD"/>
    <w:rsid w:val="002E3C31"/>
    <w:rsid w:val="002E46A6"/>
    <w:rsid w:val="002E4CE6"/>
    <w:rsid w:val="002E4E87"/>
    <w:rsid w:val="002E5337"/>
    <w:rsid w:val="002E53DE"/>
    <w:rsid w:val="002E588D"/>
    <w:rsid w:val="002E5CD9"/>
    <w:rsid w:val="002E653C"/>
    <w:rsid w:val="002E6F0D"/>
    <w:rsid w:val="002E76A0"/>
    <w:rsid w:val="002E7B43"/>
    <w:rsid w:val="002F1BCD"/>
    <w:rsid w:val="002F21FD"/>
    <w:rsid w:val="002F27E1"/>
    <w:rsid w:val="002F2911"/>
    <w:rsid w:val="002F30FF"/>
    <w:rsid w:val="002F3700"/>
    <w:rsid w:val="002F37D1"/>
    <w:rsid w:val="002F463A"/>
    <w:rsid w:val="002F530A"/>
    <w:rsid w:val="002F53D7"/>
    <w:rsid w:val="002F75F6"/>
    <w:rsid w:val="002F7665"/>
    <w:rsid w:val="002F7722"/>
    <w:rsid w:val="002F7D27"/>
    <w:rsid w:val="002F7E25"/>
    <w:rsid w:val="002F7FC3"/>
    <w:rsid w:val="00300253"/>
    <w:rsid w:val="00300384"/>
    <w:rsid w:val="00300823"/>
    <w:rsid w:val="00300DA6"/>
    <w:rsid w:val="00301295"/>
    <w:rsid w:val="00301312"/>
    <w:rsid w:val="003016B3"/>
    <w:rsid w:val="00301A32"/>
    <w:rsid w:val="00301D47"/>
    <w:rsid w:val="00301D98"/>
    <w:rsid w:val="00301FC5"/>
    <w:rsid w:val="0030207C"/>
    <w:rsid w:val="00302359"/>
    <w:rsid w:val="003023A3"/>
    <w:rsid w:val="00302BAC"/>
    <w:rsid w:val="00302E0A"/>
    <w:rsid w:val="00302EDA"/>
    <w:rsid w:val="00303406"/>
    <w:rsid w:val="00303B1B"/>
    <w:rsid w:val="00303C62"/>
    <w:rsid w:val="00303EF7"/>
    <w:rsid w:val="0030426A"/>
    <w:rsid w:val="00304C26"/>
    <w:rsid w:val="00304C3B"/>
    <w:rsid w:val="003053DB"/>
    <w:rsid w:val="003066BC"/>
    <w:rsid w:val="00306B46"/>
    <w:rsid w:val="00306F01"/>
    <w:rsid w:val="003070D8"/>
    <w:rsid w:val="00307212"/>
    <w:rsid w:val="00307AB2"/>
    <w:rsid w:val="00310AF5"/>
    <w:rsid w:val="00310DF8"/>
    <w:rsid w:val="00310FAF"/>
    <w:rsid w:val="00311761"/>
    <w:rsid w:val="00311C1A"/>
    <w:rsid w:val="00311CBA"/>
    <w:rsid w:val="00311D09"/>
    <w:rsid w:val="00311D2D"/>
    <w:rsid w:val="00312E76"/>
    <w:rsid w:val="00312ED9"/>
    <w:rsid w:val="003137AE"/>
    <w:rsid w:val="00313E4F"/>
    <w:rsid w:val="00313E58"/>
    <w:rsid w:val="00314BB5"/>
    <w:rsid w:val="0031633A"/>
    <w:rsid w:val="00316510"/>
    <w:rsid w:val="00316765"/>
    <w:rsid w:val="003168AB"/>
    <w:rsid w:val="00316C03"/>
    <w:rsid w:val="00316C7E"/>
    <w:rsid w:val="00316FBC"/>
    <w:rsid w:val="00317959"/>
    <w:rsid w:val="00317D55"/>
    <w:rsid w:val="00317FCF"/>
    <w:rsid w:val="00320820"/>
    <w:rsid w:val="00320F6A"/>
    <w:rsid w:val="003210A9"/>
    <w:rsid w:val="00321876"/>
    <w:rsid w:val="003218B8"/>
    <w:rsid w:val="003219C5"/>
    <w:rsid w:val="00321C92"/>
    <w:rsid w:val="0032209B"/>
    <w:rsid w:val="0032304E"/>
    <w:rsid w:val="003231FD"/>
    <w:rsid w:val="003235B5"/>
    <w:rsid w:val="00323D98"/>
    <w:rsid w:val="00323F81"/>
    <w:rsid w:val="00324C05"/>
    <w:rsid w:val="00325015"/>
    <w:rsid w:val="00325660"/>
    <w:rsid w:val="003256B5"/>
    <w:rsid w:val="00325E4B"/>
    <w:rsid w:val="00325EEC"/>
    <w:rsid w:val="00326023"/>
    <w:rsid w:val="003263A4"/>
    <w:rsid w:val="003268FA"/>
    <w:rsid w:val="00326E3F"/>
    <w:rsid w:val="00327218"/>
    <w:rsid w:val="0032762E"/>
    <w:rsid w:val="00327846"/>
    <w:rsid w:val="00327C32"/>
    <w:rsid w:val="003304B4"/>
    <w:rsid w:val="0033070D"/>
    <w:rsid w:val="0033087D"/>
    <w:rsid w:val="00330D2B"/>
    <w:rsid w:val="00331616"/>
    <w:rsid w:val="00331662"/>
    <w:rsid w:val="00331838"/>
    <w:rsid w:val="00331B58"/>
    <w:rsid w:val="003323B0"/>
    <w:rsid w:val="00332706"/>
    <w:rsid w:val="00332778"/>
    <w:rsid w:val="00332B59"/>
    <w:rsid w:val="00332BEB"/>
    <w:rsid w:val="00332D23"/>
    <w:rsid w:val="0033329E"/>
    <w:rsid w:val="0033343B"/>
    <w:rsid w:val="003336B5"/>
    <w:rsid w:val="00333D97"/>
    <w:rsid w:val="003340D5"/>
    <w:rsid w:val="003342EB"/>
    <w:rsid w:val="00334A93"/>
    <w:rsid w:val="00334B54"/>
    <w:rsid w:val="00334B79"/>
    <w:rsid w:val="00334C62"/>
    <w:rsid w:val="003355EA"/>
    <w:rsid w:val="00335A3E"/>
    <w:rsid w:val="00335B28"/>
    <w:rsid w:val="00335C8E"/>
    <w:rsid w:val="0033622B"/>
    <w:rsid w:val="00336341"/>
    <w:rsid w:val="00336D15"/>
    <w:rsid w:val="00336F00"/>
    <w:rsid w:val="00337163"/>
    <w:rsid w:val="00337C19"/>
    <w:rsid w:val="00340068"/>
    <w:rsid w:val="00340222"/>
    <w:rsid w:val="00340991"/>
    <w:rsid w:val="00340EEB"/>
    <w:rsid w:val="00341312"/>
    <w:rsid w:val="003415E6"/>
    <w:rsid w:val="003415EB"/>
    <w:rsid w:val="003424BF"/>
    <w:rsid w:val="0034277B"/>
    <w:rsid w:val="00342E16"/>
    <w:rsid w:val="003434B7"/>
    <w:rsid w:val="0034372C"/>
    <w:rsid w:val="00343A7B"/>
    <w:rsid w:val="003440CB"/>
    <w:rsid w:val="00344C4B"/>
    <w:rsid w:val="00344D1C"/>
    <w:rsid w:val="00344D9E"/>
    <w:rsid w:val="003457B1"/>
    <w:rsid w:val="003463C0"/>
    <w:rsid w:val="00346D80"/>
    <w:rsid w:val="00346E15"/>
    <w:rsid w:val="00347198"/>
    <w:rsid w:val="0034795C"/>
    <w:rsid w:val="0035000F"/>
    <w:rsid w:val="00350833"/>
    <w:rsid w:val="00350E55"/>
    <w:rsid w:val="00351238"/>
    <w:rsid w:val="003513C6"/>
    <w:rsid w:val="003518AA"/>
    <w:rsid w:val="00352E01"/>
    <w:rsid w:val="00353022"/>
    <w:rsid w:val="003535C7"/>
    <w:rsid w:val="00353A0F"/>
    <w:rsid w:val="00353AE0"/>
    <w:rsid w:val="00353B35"/>
    <w:rsid w:val="00353D58"/>
    <w:rsid w:val="0035402B"/>
    <w:rsid w:val="003547DC"/>
    <w:rsid w:val="00356366"/>
    <w:rsid w:val="0035664C"/>
    <w:rsid w:val="003566A7"/>
    <w:rsid w:val="00356749"/>
    <w:rsid w:val="00356923"/>
    <w:rsid w:val="00357074"/>
    <w:rsid w:val="0035763B"/>
    <w:rsid w:val="00357828"/>
    <w:rsid w:val="00357B55"/>
    <w:rsid w:val="00357FE7"/>
    <w:rsid w:val="003604DF"/>
    <w:rsid w:val="00360A00"/>
    <w:rsid w:val="0036147E"/>
    <w:rsid w:val="00361782"/>
    <w:rsid w:val="00361961"/>
    <w:rsid w:val="00361C31"/>
    <w:rsid w:val="00361EF5"/>
    <w:rsid w:val="00362116"/>
    <w:rsid w:val="00362240"/>
    <w:rsid w:val="00362F9D"/>
    <w:rsid w:val="003630AE"/>
    <w:rsid w:val="003639E4"/>
    <w:rsid w:val="00364497"/>
    <w:rsid w:val="0036453E"/>
    <w:rsid w:val="0036455D"/>
    <w:rsid w:val="00364940"/>
    <w:rsid w:val="003650B6"/>
    <w:rsid w:val="00365BA2"/>
    <w:rsid w:val="003661E1"/>
    <w:rsid w:val="00366DC5"/>
    <w:rsid w:val="003674EC"/>
    <w:rsid w:val="00367933"/>
    <w:rsid w:val="00367D26"/>
    <w:rsid w:val="00371CA2"/>
    <w:rsid w:val="00372040"/>
    <w:rsid w:val="00372871"/>
    <w:rsid w:val="00372A10"/>
    <w:rsid w:val="00372FFE"/>
    <w:rsid w:val="003731B7"/>
    <w:rsid w:val="00373BDE"/>
    <w:rsid w:val="003743AE"/>
    <w:rsid w:val="003751ED"/>
    <w:rsid w:val="0037520D"/>
    <w:rsid w:val="0037537D"/>
    <w:rsid w:val="0037666E"/>
    <w:rsid w:val="00376ADD"/>
    <w:rsid w:val="00377A30"/>
    <w:rsid w:val="00377AC6"/>
    <w:rsid w:val="00377CC6"/>
    <w:rsid w:val="00377E5C"/>
    <w:rsid w:val="00377F61"/>
    <w:rsid w:val="003804F5"/>
    <w:rsid w:val="003805A9"/>
    <w:rsid w:val="00380726"/>
    <w:rsid w:val="00380B38"/>
    <w:rsid w:val="00380B3A"/>
    <w:rsid w:val="00380C47"/>
    <w:rsid w:val="00381CC9"/>
    <w:rsid w:val="003822F6"/>
    <w:rsid w:val="00382303"/>
    <w:rsid w:val="0038249D"/>
    <w:rsid w:val="00382F8F"/>
    <w:rsid w:val="003830FA"/>
    <w:rsid w:val="0038315F"/>
    <w:rsid w:val="00383964"/>
    <w:rsid w:val="00383B62"/>
    <w:rsid w:val="00383C29"/>
    <w:rsid w:val="00383DB6"/>
    <w:rsid w:val="00384537"/>
    <w:rsid w:val="00384B43"/>
    <w:rsid w:val="0038565D"/>
    <w:rsid w:val="003863AE"/>
    <w:rsid w:val="003868E3"/>
    <w:rsid w:val="00387804"/>
    <w:rsid w:val="0039005A"/>
    <w:rsid w:val="003902A6"/>
    <w:rsid w:val="003906B0"/>
    <w:rsid w:val="0039109C"/>
    <w:rsid w:val="00391591"/>
    <w:rsid w:val="003915D0"/>
    <w:rsid w:val="00391B6B"/>
    <w:rsid w:val="003925D9"/>
    <w:rsid w:val="00392776"/>
    <w:rsid w:val="00392AEC"/>
    <w:rsid w:val="00392DAC"/>
    <w:rsid w:val="0039373F"/>
    <w:rsid w:val="00393D5B"/>
    <w:rsid w:val="003940B4"/>
    <w:rsid w:val="0039450C"/>
    <w:rsid w:val="00394C1B"/>
    <w:rsid w:val="00394F66"/>
    <w:rsid w:val="003953C7"/>
    <w:rsid w:val="00395BE2"/>
    <w:rsid w:val="0039606A"/>
    <w:rsid w:val="00396272"/>
    <w:rsid w:val="00396509"/>
    <w:rsid w:val="0039700D"/>
    <w:rsid w:val="00397231"/>
    <w:rsid w:val="00397370"/>
    <w:rsid w:val="003975FF"/>
    <w:rsid w:val="0039774B"/>
    <w:rsid w:val="003977FD"/>
    <w:rsid w:val="00397CDB"/>
    <w:rsid w:val="003A0397"/>
    <w:rsid w:val="003A106B"/>
    <w:rsid w:val="003A11B7"/>
    <w:rsid w:val="003A1637"/>
    <w:rsid w:val="003A1D5F"/>
    <w:rsid w:val="003A20F9"/>
    <w:rsid w:val="003A24E9"/>
    <w:rsid w:val="003A2B40"/>
    <w:rsid w:val="003A32AD"/>
    <w:rsid w:val="003A33A2"/>
    <w:rsid w:val="003A4ECC"/>
    <w:rsid w:val="003A501C"/>
    <w:rsid w:val="003A50B8"/>
    <w:rsid w:val="003A51C6"/>
    <w:rsid w:val="003A57FC"/>
    <w:rsid w:val="003A5AE8"/>
    <w:rsid w:val="003A5B34"/>
    <w:rsid w:val="003A5E90"/>
    <w:rsid w:val="003A63DB"/>
    <w:rsid w:val="003A6739"/>
    <w:rsid w:val="003A745B"/>
    <w:rsid w:val="003A7463"/>
    <w:rsid w:val="003A785D"/>
    <w:rsid w:val="003B0BE8"/>
    <w:rsid w:val="003B0FF2"/>
    <w:rsid w:val="003B1484"/>
    <w:rsid w:val="003B1687"/>
    <w:rsid w:val="003B196A"/>
    <w:rsid w:val="003B199F"/>
    <w:rsid w:val="003B20A1"/>
    <w:rsid w:val="003B231C"/>
    <w:rsid w:val="003B25BC"/>
    <w:rsid w:val="003B320C"/>
    <w:rsid w:val="003B34CF"/>
    <w:rsid w:val="003B3BF8"/>
    <w:rsid w:val="003B3DCA"/>
    <w:rsid w:val="003B3F35"/>
    <w:rsid w:val="003B4782"/>
    <w:rsid w:val="003B48BB"/>
    <w:rsid w:val="003B4988"/>
    <w:rsid w:val="003B4B01"/>
    <w:rsid w:val="003B532A"/>
    <w:rsid w:val="003B554B"/>
    <w:rsid w:val="003B5F8D"/>
    <w:rsid w:val="003B6759"/>
    <w:rsid w:val="003B6A70"/>
    <w:rsid w:val="003B701E"/>
    <w:rsid w:val="003B7909"/>
    <w:rsid w:val="003B7EDF"/>
    <w:rsid w:val="003C0073"/>
    <w:rsid w:val="003C013C"/>
    <w:rsid w:val="003C1234"/>
    <w:rsid w:val="003C1279"/>
    <w:rsid w:val="003C13A8"/>
    <w:rsid w:val="003C1CF2"/>
    <w:rsid w:val="003C1FC9"/>
    <w:rsid w:val="003C22F1"/>
    <w:rsid w:val="003C23AD"/>
    <w:rsid w:val="003C43D8"/>
    <w:rsid w:val="003C44B8"/>
    <w:rsid w:val="003C4AE4"/>
    <w:rsid w:val="003C4D3E"/>
    <w:rsid w:val="003C4D76"/>
    <w:rsid w:val="003C4F65"/>
    <w:rsid w:val="003C57EB"/>
    <w:rsid w:val="003C5F50"/>
    <w:rsid w:val="003C6D8E"/>
    <w:rsid w:val="003C787F"/>
    <w:rsid w:val="003C7A62"/>
    <w:rsid w:val="003D0065"/>
    <w:rsid w:val="003D034C"/>
    <w:rsid w:val="003D04ED"/>
    <w:rsid w:val="003D08F3"/>
    <w:rsid w:val="003D0E84"/>
    <w:rsid w:val="003D1014"/>
    <w:rsid w:val="003D15B7"/>
    <w:rsid w:val="003D15D3"/>
    <w:rsid w:val="003D15E6"/>
    <w:rsid w:val="003D1BD4"/>
    <w:rsid w:val="003D24E5"/>
    <w:rsid w:val="003D2ACF"/>
    <w:rsid w:val="003D2C0E"/>
    <w:rsid w:val="003D39D5"/>
    <w:rsid w:val="003D3A95"/>
    <w:rsid w:val="003D4AD3"/>
    <w:rsid w:val="003D4E6C"/>
    <w:rsid w:val="003D4F2B"/>
    <w:rsid w:val="003D5324"/>
    <w:rsid w:val="003D668E"/>
    <w:rsid w:val="003D7DCB"/>
    <w:rsid w:val="003D7DE1"/>
    <w:rsid w:val="003E00CB"/>
    <w:rsid w:val="003E06C8"/>
    <w:rsid w:val="003E071E"/>
    <w:rsid w:val="003E0C8C"/>
    <w:rsid w:val="003E0C9E"/>
    <w:rsid w:val="003E202A"/>
    <w:rsid w:val="003E2CDD"/>
    <w:rsid w:val="003E2D65"/>
    <w:rsid w:val="003E2DC6"/>
    <w:rsid w:val="003E2FF3"/>
    <w:rsid w:val="003E3AAB"/>
    <w:rsid w:val="003E3DB4"/>
    <w:rsid w:val="003E420B"/>
    <w:rsid w:val="003E45CE"/>
    <w:rsid w:val="003E47BA"/>
    <w:rsid w:val="003E499E"/>
    <w:rsid w:val="003E4F21"/>
    <w:rsid w:val="003E5530"/>
    <w:rsid w:val="003E55EC"/>
    <w:rsid w:val="003E59BA"/>
    <w:rsid w:val="003E6799"/>
    <w:rsid w:val="003E6E0E"/>
    <w:rsid w:val="003F003E"/>
    <w:rsid w:val="003F010A"/>
    <w:rsid w:val="003F0238"/>
    <w:rsid w:val="003F05C0"/>
    <w:rsid w:val="003F0703"/>
    <w:rsid w:val="003F099B"/>
    <w:rsid w:val="003F0A97"/>
    <w:rsid w:val="003F0D70"/>
    <w:rsid w:val="003F124C"/>
    <w:rsid w:val="003F219B"/>
    <w:rsid w:val="003F27CE"/>
    <w:rsid w:val="003F42B6"/>
    <w:rsid w:val="003F4D67"/>
    <w:rsid w:val="003F5A2A"/>
    <w:rsid w:val="003F5C57"/>
    <w:rsid w:val="003F5EAE"/>
    <w:rsid w:val="003F622E"/>
    <w:rsid w:val="003F673E"/>
    <w:rsid w:val="003F7125"/>
    <w:rsid w:val="003F7139"/>
    <w:rsid w:val="003F73E2"/>
    <w:rsid w:val="003F76DA"/>
    <w:rsid w:val="003F7735"/>
    <w:rsid w:val="003F78AD"/>
    <w:rsid w:val="003F7C06"/>
    <w:rsid w:val="003F7F69"/>
    <w:rsid w:val="003F7F6D"/>
    <w:rsid w:val="0040061A"/>
    <w:rsid w:val="00400B2A"/>
    <w:rsid w:val="00400C94"/>
    <w:rsid w:val="00400ED4"/>
    <w:rsid w:val="00401927"/>
    <w:rsid w:val="0040207C"/>
    <w:rsid w:val="004022FC"/>
    <w:rsid w:val="004024A0"/>
    <w:rsid w:val="0040264E"/>
    <w:rsid w:val="00402A70"/>
    <w:rsid w:val="00402C26"/>
    <w:rsid w:val="00402E67"/>
    <w:rsid w:val="0040302D"/>
    <w:rsid w:val="00404020"/>
    <w:rsid w:val="00404096"/>
    <w:rsid w:val="004042D2"/>
    <w:rsid w:val="0040496E"/>
    <w:rsid w:val="00404AFC"/>
    <w:rsid w:val="00404D51"/>
    <w:rsid w:val="004051BA"/>
    <w:rsid w:val="0040526D"/>
    <w:rsid w:val="00405750"/>
    <w:rsid w:val="00405A32"/>
    <w:rsid w:val="00405B98"/>
    <w:rsid w:val="00405BDB"/>
    <w:rsid w:val="00406A92"/>
    <w:rsid w:val="00406BEE"/>
    <w:rsid w:val="0040768A"/>
    <w:rsid w:val="00407CF6"/>
    <w:rsid w:val="0041033F"/>
    <w:rsid w:val="004106C7"/>
    <w:rsid w:val="004106EB"/>
    <w:rsid w:val="00410714"/>
    <w:rsid w:val="004108A0"/>
    <w:rsid w:val="0041141D"/>
    <w:rsid w:val="0041157F"/>
    <w:rsid w:val="00411673"/>
    <w:rsid w:val="00411782"/>
    <w:rsid w:val="004117EA"/>
    <w:rsid w:val="00411D5E"/>
    <w:rsid w:val="00412244"/>
    <w:rsid w:val="004124B7"/>
    <w:rsid w:val="00412532"/>
    <w:rsid w:val="00412D90"/>
    <w:rsid w:val="00413CB0"/>
    <w:rsid w:val="00413E2D"/>
    <w:rsid w:val="00413FB1"/>
    <w:rsid w:val="00414413"/>
    <w:rsid w:val="0041476C"/>
    <w:rsid w:val="004148C2"/>
    <w:rsid w:val="00414D17"/>
    <w:rsid w:val="0041557D"/>
    <w:rsid w:val="0041564E"/>
    <w:rsid w:val="0041586D"/>
    <w:rsid w:val="0041586E"/>
    <w:rsid w:val="00415A7B"/>
    <w:rsid w:val="004161AD"/>
    <w:rsid w:val="004169E9"/>
    <w:rsid w:val="00416B6B"/>
    <w:rsid w:val="00416BB0"/>
    <w:rsid w:val="00416EB9"/>
    <w:rsid w:val="0041744A"/>
    <w:rsid w:val="0041750B"/>
    <w:rsid w:val="00417E4C"/>
    <w:rsid w:val="00420582"/>
    <w:rsid w:val="00420608"/>
    <w:rsid w:val="00420F32"/>
    <w:rsid w:val="00420F82"/>
    <w:rsid w:val="0042100C"/>
    <w:rsid w:val="004214F1"/>
    <w:rsid w:val="004216BE"/>
    <w:rsid w:val="00421B48"/>
    <w:rsid w:val="00421C7D"/>
    <w:rsid w:val="00422611"/>
    <w:rsid w:val="004228FC"/>
    <w:rsid w:val="004232EF"/>
    <w:rsid w:val="004233BE"/>
    <w:rsid w:val="0042371C"/>
    <w:rsid w:val="0042394D"/>
    <w:rsid w:val="00423AEF"/>
    <w:rsid w:val="00425641"/>
    <w:rsid w:val="00425A9A"/>
    <w:rsid w:val="00425F79"/>
    <w:rsid w:val="0042654D"/>
    <w:rsid w:val="00426B4C"/>
    <w:rsid w:val="00426CD2"/>
    <w:rsid w:val="00427276"/>
    <w:rsid w:val="004276B1"/>
    <w:rsid w:val="00427A3D"/>
    <w:rsid w:val="00427BB7"/>
    <w:rsid w:val="00427D47"/>
    <w:rsid w:val="00427F1C"/>
    <w:rsid w:val="0043084C"/>
    <w:rsid w:val="00431ABD"/>
    <w:rsid w:val="00431AFC"/>
    <w:rsid w:val="00431EB0"/>
    <w:rsid w:val="0043278F"/>
    <w:rsid w:val="004339E8"/>
    <w:rsid w:val="00433F39"/>
    <w:rsid w:val="00434055"/>
    <w:rsid w:val="004348D4"/>
    <w:rsid w:val="00434FD9"/>
    <w:rsid w:val="00435152"/>
    <w:rsid w:val="00435DBB"/>
    <w:rsid w:val="00436680"/>
    <w:rsid w:val="004366BA"/>
    <w:rsid w:val="004367B0"/>
    <w:rsid w:val="00437087"/>
    <w:rsid w:val="004376B8"/>
    <w:rsid w:val="004378DC"/>
    <w:rsid w:val="00437C7E"/>
    <w:rsid w:val="004401F9"/>
    <w:rsid w:val="004405FB"/>
    <w:rsid w:val="004406FB"/>
    <w:rsid w:val="0044080E"/>
    <w:rsid w:val="00440BE7"/>
    <w:rsid w:val="00441238"/>
    <w:rsid w:val="0044142A"/>
    <w:rsid w:val="004420D5"/>
    <w:rsid w:val="00442465"/>
    <w:rsid w:val="0044291B"/>
    <w:rsid w:val="00442959"/>
    <w:rsid w:val="00442DB8"/>
    <w:rsid w:val="00442EB5"/>
    <w:rsid w:val="00443A5A"/>
    <w:rsid w:val="00443FFE"/>
    <w:rsid w:val="004441BC"/>
    <w:rsid w:val="00444AA4"/>
    <w:rsid w:val="0044517F"/>
    <w:rsid w:val="00445425"/>
    <w:rsid w:val="004461D2"/>
    <w:rsid w:val="00446475"/>
    <w:rsid w:val="00446D4F"/>
    <w:rsid w:val="004471D9"/>
    <w:rsid w:val="00447201"/>
    <w:rsid w:val="00447C58"/>
    <w:rsid w:val="00447C5C"/>
    <w:rsid w:val="00447CE2"/>
    <w:rsid w:val="004503F6"/>
    <w:rsid w:val="00450927"/>
    <w:rsid w:val="00451BA7"/>
    <w:rsid w:val="00451F5E"/>
    <w:rsid w:val="004522C5"/>
    <w:rsid w:val="00452424"/>
    <w:rsid w:val="004530EF"/>
    <w:rsid w:val="004537BD"/>
    <w:rsid w:val="0045487D"/>
    <w:rsid w:val="0045492A"/>
    <w:rsid w:val="0045562C"/>
    <w:rsid w:val="00455BB9"/>
    <w:rsid w:val="00455C81"/>
    <w:rsid w:val="00455DCB"/>
    <w:rsid w:val="004560C8"/>
    <w:rsid w:val="00456342"/>
    <w:rsid w:val="00457148"/>
    <w:rsid w:val="004573E8"/>
    <w:rsid w:val="004602FA"/>
    <w:rsid w:val="004607A8"/>
    <w:rsid w:val="00460A11"/>
    <w:rsid w:val="00460AB3"/>
    <w:rsid w:val="00461009"/>
    <w:rsid w:val="004612D1"/>
    <w:rsid w:val="0046164F"/>
    <w:rsid w:val="00461E23"/>
    <w:rsid w:val="00462611"/>
    <w:rsid w:val="0046292A"/>
    <w:rsid w:val="00462C01"/>
    <w:rsid w:val="004638A1"/>
    <w:rsid w:val="00463A52"/>
    <w:rsid w:val="004640CB"/>
    <w:rsid w:val="004645C9"/>
    <w:rsid w:val="0046474C"/>
    <w:rsid w:val="00464D4A"/>
    <w:rsid w:val="00465599"/>
    <w:rsid w:val="00465CCD"/>
    <w:rsid w:val="00466149"/>
    <w:rsid w:val="0046656C"/>
    <w:rsid w:val="004667E3"/>
    <w:rsid w:val="004668A2"/>
    <w:rsid w:val="00466FCE"/>
    <w:rsid w:val="0046766B"/>
    <w:rsid w:val="00467B1A"/>
    <w:rsid w:val="00467B3F"/>
    <w:rsid w:val="0047069A"/>
    <w:rsid w:val="00470F27"/>
    <w:rsid w:val="00471017"/>
    <w:rsid w:val="0047103D"/>
    <w:rsid w:val="004713F2"/>
    <w:rsid w:val="0047153E"/>
    <w:rsid w:val="00471C31"/>
    <w:rsid w:val="00471CB4"/>
    <w:rsid w:val="00471E59"/>
    <w:rsid w:val="0047252F"/>
    <w:rsid w:val="00472832"/>
    <w:rsid w:val="0047299D"/>
    <w:rsid w:val="004731ED"/>
    <w:rsid w:val="00473425"/>
    <w:rsid w:val="0047387E"/>
    <w:rsid w:val="00473F7B"/>
    <w:rsid w:val="0047415E"/>
    <w:rsid w:val="00474653"/>
    <w:rsid w:val="004746D8"/>
    <w:rsid w:val="00475112"/>
    <w:rsid w:val="00475122"/>
    <w:rsid w:val="00475243"/>
    <w:rsid w:val="00475386"/>
    <w:rsid w:val="00475760"/>
    <w:rsid w:val="004757E9"/>
    <w:rsid w:val="004763B5"/>
    <w:rsid w:val="00476831"/>
    <w:rsid w:val="00476A08"/>
    <w:rsid w:val="00476E8D"/>
    <w:rsid w:val="00477078"/>
    <w:rsid w:val="00477528"/>
    <w:rsid w:val="00477841"/>
    <w:rsid w:val="00480AE4"/>
    <w:rsid w:val="004810BB"/>
    <w:rsid w:val="00481368"/>
    <w:rsid w:val="0048138B"/>
    <w:rsid w:val="004818FC"/>
    <w:rsid w:val="00481E23"/>
    <w:rsid w:val="00481E72"/>
    <w:rsid w:val="00482180"/>
    <w:rsid w:val="004826D3"/>
    <w:rsid w:val="00482F80"/>
    <w:rsid w:val="0048301B"/>
    <w:rsid w:val="00483798"/>
    <w:rsid w:val="00483891"/>
    <w:rsid w:val="00483BA3"/>
    <w:rsid w:val="00484D9A"/>
    <w:rsid w:val="00484E2C"/>
    <w:rsid w:val="004855B4"/>
    <w:rsid w:val="004856BE"/>
    <w:rsid w:val="00485A06"/>
    <w:rsid w:val="00486E51"/>
    <w:rsid w:val="00487C09"/>
    <w:rsid w:val="00490062"/>
    <w:rsid w:val="00490259"/>
    <w:rsid w:val="00491005"/>
    <w:rsid w:val="00491540"/>
    <w:rsid w:val="004917CD"/>
    <w:rsid w:val="00491AD8"/>
    <w:rsid w:val="00492864"/>
    <w:rsid w:val="00493466"/>
    <w:rsid w:val="0049357E"/>
    <w:rsid w:val="004942C4"/>
    <w:rsid w:val="004943AB"/>
    <w:rsid w:val="00494701"/>
    <w:rsid w:val="0049587D"/>
    <w:rsid w:val="00495BA5"/>
    <w:rsid w:val="00495C6E"/>
    <w:rsid w:val="00496027"/>
    <w:rsid w:val="00496567"/>
    <w:rsid w:val="004976CE"/>
    <w:rsid w:val="00497A62"/>
    <w:rsid w:val="00497B28"/>
    <w:rsid w:val="004A048B"/>
    <w:rsid w:val="004A059F"/>
    <w:rsid w:val="004A066F"/>
    <w:rsid w:val="004A0C48"/>
    <w:rsid w:val="004A1072"/>
    <w:rsid w:val="004A1134"/>
    <w:rsid w:val="004A1D99"/>
    <w:rsid w:val="004A221B"/>
    <w:rsid w:val="004A265F"/>
    <w:rsid w:val="004A2DE1"/>
    <w:rsid w:val="004A37A3"/>
    <w:rsid w:val="004A38A1"/>
    <w:rsid w:val="004A3B47"/>
    <w:rsid w:val="004A418B"/>
    <w:rsid w:val="004A41B4"/>
    <w:rsid w:val="004A443B"/>
    <w:rsid w:val="004A716C"/>
    <w:rsid w:val="004A7858"/>
    <w:rsid w:val="004A7C01"/>
    <w:rsid w:val="004B1BB1"/>
    <w:rsid w:val="004B1D70"/>
    <w:rsid w:val="004B2854"/>
    <w:rsid w:val="004B2C46"/>
    <w:rsid w:val="004B3560"/>
    <w:rsid w:val="004B4394"/>
    <w:rsid w:val="004B467D"/>
    <w:rsid w:val="004B4E29"/>
    <w:rsid w:val="004B4F99"/>
    <w:rsid w:val="004B5333"/>
    <w:rsid w:val="004B5728"/>
    <w:rsid w:val="004B5A68"/>
    <w:rsid w:val="004B5BBF"/>
    <w:rsid w:val="004B5EC5"/>
    <w:rsid w:val="004B6013"/>
    <w:rsid w:val="004B636F"/>
    <w:rsid w:val="004B7257"/>
    <w:rsid w:val="004B7561"/>
    <w:rsid w:val="004B7770"/>
    <w:rsid w:val="004C0B28"/>
    <w:rsid w:val="004C1089"/>
    <w:rsid w:val="004C1292"/>
    <w:rsid w:val="004C1598"/>
    <w:rsid w:val="004C15A6"/>
    <w:rsid w:val="004C19B8"/>
    <w:rsid w:val="004C1CCF"/>
    <w:rsid w:val="004C2637"/>
    <w:rsid w:val="004C2CEA"/>
    <w:rsid w:val="004C33F9"/>
    <w:rsid w:val="004C3C34"/>
    <w:rsid w:val="004C475F"/>
    <w:rsid w:val="004C4781"/>
    <w:rsid w:val="004C49DF"/>
    <w:rsid w:val="004C4C8C"/>
    <w:rsid w:val="004C5701"/>
    <w:rsid w:val="004C5795"/>
    <w:rsid w:val="004C596B"/>
    <w:rsid w:val="004C5B8B"/>
    <w:rsid w:val="004C67D8"/>
    <w:rsid w:val="004C6852"/>
    <w:rsid w:val="004C6C98"/>
    <w:rsid w:val="004C74C0"/>
    <w:rsid w:val="004C7EE9"/>
    <w:rsid w:val="004D0472"/>
    <w:rsid w:val="004D076C"/>
    <w:rsid w:val="004D07E1"/>
    <w:rsid w:val="004D08C5"/>
    <w:rsid w:val="004D1002"/>
    <w:rsid w:val="004D1074"/>
    <w:rsid w:val="004D1262"/>
    <w:rsid w:val="004D16BD"/>
    <w:rsid w:val="004D1CF3"/>
    <w:rsid w:val="004D21CE"/>
    <w:rsid w:val="004D2970"/>
    <w:rsid w:val="004D2DA4"/>
    <w:rsid w:val="004D3428"/>
    <w:rsid w:val="004D3D52"/>
    <w:rsid w:val="004D3E73"/>
    <w:rsid w:val="004D494C"/>
    <w:rsid w:val="004D5147"/>
    <w:rsid w:val="004D5DC8"/>
    <w:rsid w:val="004D5F7E"/>
    <w:rsid w:val="004D657D"/>
    <w:rsid w:val="004D6766"/>
    <w:rsid w:val="004D689C"/>
    <w:rsid w:val="004D72C1"/>
    <w:rsid w:val="004D7D3F"/>
    <w:rsid w:val="004E0340"/>
    <w:rsid w:val="004E0B3B"/>
    <w:rsid w:val="004E1234"/>
    <w:rsid w:val="004E1509"/>
    <w:rsid w:val="004E19C4"/>
    <w:rsid w:val="004E1DD7"/>
    <w:rsid w:val="004E1F6C"/>
    <w:rsid w:val="004E26BD"/>
    <w:rsid w:val="004E2D29"/>
    <w:rsid w:val="004E2DA7"/>
    <w:rsid w:val="004E351C"/>
    <w:rsid w:val="004E352B"/>
    <w:rsid w:val="004E39E4"/>
    <w:rsid w:val="004E4AD1"/>
    <w:rsid w:val="004E4C03"/>
    <w:rsid w:val="004E5452"/>
    <w:rsid w:val="004E59B7"/>
    <w:rsid w:val="004E5D97"/>
    <w:rsid w:val="004E6098"/>
    <w:rsid w:val="004E60B8"/>
    <w:rsid w:val="004E6136"/>
    <w:rsid w:val="004E625F"/>
    <w:rsid w:val="004E6B02"/>
    <w:rsid w:val="004E6B88"/>
    <w:rsid w:val="004E7520"/>
    <w:rsid w:val="004E7A4A"/>
    <w:rsid w:val="004F03D8"/>
    <w:rsid w:val="004F0968"/>
    <w:rsid w:val="004F1900"/>
    <w:rsid w:val="004F1A17"/>
    <w:rsid w:val="004F1C5B"/>
    <w:rsid w:val="004F2891"/>
    <w:rsid w:val="004F28D5"/>
    <w:rsid w:val="004F2B8E"/>
    <w:rsid w:val="004F2C55"/>
    <w:rsid w:val="004F2E41"/>
    <w:rsid w:val="004F3890"/>
    <w:rsid w:val="004F3919"/>
    <w:rsid w:val="004F3ED4"/>
    <w:rsid w:val="004F4332"/>
    <w:rsid w:val="004F47D5"/>
    <w:rsid w:val="004F4F81"/>
    <w:rsid w:val="004F5254"/>
    <w:rsid w:val="004F52FE"/>
    <w:rsid w:val="004F5973"/>
    <w:rsid w:val="004F5ED0"/>
    <w:rsid w:val="004F60BD"/>
    <w:rsid w:val="004F639A"/>
    <w:rsid w:val="004F6651"/>
    <w:rsid w:val="005009B9"/>
    <w:rsid w:val="00501DD4"/>
    <w:rsid w:val="00502629"/>
    <w:rsid w:val="00502CA4"/>
    <w:rsid w:val="005037AF"/>
    <w:rsid w:val="005038F0"/>
    <w:rsid w:val="00503929"/>
    <w:rsid w:val="00504866"/>
    <w:rsid w:val="00505C8B"/>
    <w:rsid w:val="00505E68"/>
    <w:rsid w:val="00505F79"/>
    <w:rsid w:val="00506FA5"/>
    <w:rsid w:val="00506FF2"/>
    <w:rsid w:val="00510199"/>
    <w:rsid w:val="0051041E"/>
    <w:rsid w:val="00510527"/>
    <w:rsid w:val="00510C2F"/>
    <w:rsid w:val="0051125F"/>
    <w:rsid w:val="0051128D"/>
    <w:rsid w:val="00511D83"/>
    <w:rsid w:val="00511E39"/>
    <w:rsid w:val="0051226C"/>
    <w:rsid w:val="005127C3"/>
    <w:rsid w:val="00512AB4"/>
    <w:rsid w:val="00512B6D"/>
    <w:rsid w:val="00512D38"/>
    <w:rsid w:val="00513204"/>
    <w:rsid w:val="00513D9A"/>
    <w:rsid w:val="00514112"/>
    <w:rsid w:val="0051411C"/>
    <w:rsid w:val="0051455F"/>
    <w:rsid w:val="00514D95"/>
    <w:rsid w:val="00515509"/>
    <w:rsid w:val="0051571B"/>
    <w:rsid w:val="00515AFC"/>
    <w:rsid w:val="00515E15"/>
    <w:rsid w:val="005161E9"/>
    <w:rsid w:val="00516A6D"/>
    <w:rsid w:val="0051780D"/>
    <w:rsid w:val="0051789C"/>
    <w:rsid w:val="005179E0"/>
    <w:rsid w:val="00517D3A"/>
    <w:rsid w:val="00520199"/>
    <w:rsid w:val="00520F18"/>
    <w:rsid w:val="00521ABC"/>
    <w:rsid w:val="00521ED3"/>
    <w:rsid w:val="00522C8C"/>
    <w:rsid w:val="00522F75"/>
    <w:rsid w:val="005239A1"/>
    <w:rsid w:val="00523D1E"/>
    <w:rsid w:val="005240DC"/>
    <w:rsid w:val="0052441D"/>
    <w:rsid w:val="00524890"/>
    <w:rsid w:val="00524B52"/>
    <w:rsid w:val="00524EA2"/>
    <w:rsid w:val="00524F89"/>
    <w:rsid w:val="00525077"/>
    <w:rsid w:val="005251AD"/>
    <w:rsid w:val="005252CA"/>
    <w:rsid w:val="0052546C"/>
    <w:rsid w:val="005257AC"/>
    <w:rsid w:val="00526519"/>
    <w:rsid w:val="005274C1"/>
    <w:rsid w:val="00527CBE"/>
    <w:rsid w:val="00530722"/>
    <w:rsid w:val="00530ACB"/>
    <w:rsid w:val="00530AF3"/>
    <w:rsid w:val="00530E0B"/>
    <w:rsid w:val="005310CD"/>
    <w:rsid w:val="0053129B"/>
    <w:rsid w:val="00531664"/>
    <w:rsid w:val="00532183"/>
    <w:rsid w:val="00532313"/>
    <w:rsid w:val="00532769"/>
    <w:rsid w:val="005327BE"/>
    <w:rsid w:val="0053307D"/>
    <w:rsid w:val="00533ACF"/>
    <w:rsid w:val="00535293"/>
    <w:rsid w:val="00536296"/>
    <w:rsid w:val="00536BB0"/>
    <w:rsid w:val="00536D1D"/>
    <w:rsid w:val="00536F1B"/>
    <w:rsid w:val="00536F84"/>
    <w:rsid w:val="0053712A"/>
    <w:rsid w:val="00537332"/>
    <w:rsid w:val="00537A0E"/>
    <w:rsid w:val="005405E7"/>
    <w:rsid w:val="005405EA"/>
    <w:rsid w:val="00540698"/>
    <w:rsid w:val="00540CDC"/>
    <w:rsid w:val="00541416"/>
    <w:rsid w:val="0054174E"/>
    <w:rsid w:val="00541DFC"/>
    <w:rsid w:val="00542307"/>
    <w:rsid w:val="00542548"/>
    <w:rsid w:val="00542641"/>
    <w:rsid w:val="00542DCC"/>
    <w:rsid w:val="00543028"/>
    <w:rsid w:val="00543193"/>
    <w:rsid w:val="00543383"/>
    <w:rsid w:val="00543B8A"/>
    <w:rsid w:val="00544193"/>
    <w:rsid w:val="00544230"/>
    <w:rsid w:val="00544CCE"/>
    <w:rsid w:val="00544EA7"/>
    <w:rsid w:val="0054509D"/>
    <w:rsid w:val="005454E7"/>
    <w:rsid w:val="00546165"/>
    <w:rsid w:val="005462FB"/>
    <w:rsid w:val="005463B5"/>
    <w:rsid w:val="00546D4A"/>
    <w:rsid w:val="005471ED"/>
    <w:rsid w:val="00547268"/>
    <w:rsid w:val="00547491"/>
    <w:rsid w:val="00550124"/>
    <w:rsid w:val="005501D0"/>
    <w:rsid w:val="005507D1"/>
    <w:rsid w:val="00550D29"/>
    <w:rsid w:val="00551183"/>
    <w:rsid w:val="00551215"/>
    <w:rsid w:val="00551644"/>
    <w:rsid w:val="00551D11"/>
    <w:rsid w:val="00551ED2"/>
    <w:rsid w:val="00552522"/>
    <w:rsid w:val="00552926"/>
    <w:rsid w:val="00552BD9"/>
    <w:rsid w:val="005530E1"/>
    <w:rsid w:val="00553EAD"/>
    <w:rsid w:val="00554205"/>
    <w:rsid w:val="00554D3D"/>
    <w:rsid w:val="00555955"/>
    <w:rsid w:val="00556027"/>
    <w:rsid w:val="005562FD"/>
    <w:rsid w:val="00556422"/>
    <w:rsid w:val="005569E3"/>
    <w:rsid w:val="005574A8"/>
    <w:rsid w:val="005579DA"/>
    <w:rsid w:val="00557F46"/>
    <w:rsid w:val="00560597"/>
    <w:rsid w:val="005605CF"/>
    <w:rsid w:val="00560CA3"/>
    <w:rsid w:val="00561209"/>
    <w:rsid w:val="0056161D"/>
    <w:rsid w:val="00561B28"/>
    <w:rsid w:val="00562219"/>
    <w:rsid w:val="0056284B"/>
    <w:rsid w:val="00562AE0"/>
    <w:rsid w:val="00563214"/>
    <w:rsid w:val="00563D83"/>
    <w:rsid w:val="00563E3D"/>
    <w:rsid w:val="00564118"/>
    <w:rsid w:val="005643BC"/>
    <w:rsid w:val="00564486"/>
    <w:rsid w:val="005647CF"/>
    <w:rsid w:val="005648F4"/>
    <w:rsid w:val="00564B0C"/>
    <w:rsid w:val="00564D03"/>
    <w:rsid w:val="005650A6"/>
    <w:rsid w:val="00565189"/>
    <w:rsid w:val="00565239"/>
    <w:rsid w:val="00565247"/>
    <w:rsid w:val="00565413"/>
    <w:rsid w:val="005654FB"/>
    <w:rsid w:val="005655F9"/>
    <w:rsid w:val="00565A54"/>
    <w:rsid w:val="00565C2B"/>
    <w:rsid w:val="0056615A"/>
    <w:rsid w:val="00566810"/>
    <w:rsid w:val="005668D1"/>
    <w:rsid w:val="00566BC7"/>
    <w:rsid w:val="00566EAD"/>
    <w:rsid w:val="005670C6"/>
    <w:rsid w:val="00567238"/>
    <w:rsid w:val="005677F6"/>
    <w:rsid w:val="00567DB3"/>
    <w:rsid w:val="00567F39"/>
    <w:rsid w:val="00570137"/>
    <w:rsid w:val="005702BD"/>
    <w:rsid w:val="00570FD5"/>
    <w:rsid w:val="0057139C"/>
    <w:rsid w:val="005714E3"/>
    <w:rsid w:val="0057156C"/>
    <w:rsid w:val="00571CEC"/>
    <w:rsid w:val="00571E65"/>
    <w:rsid w:val="00571FD2"/>
    <w:rsid w:val="00572ABD"/>
    <w:rsid w:val="00573292"/>
    <w:rsid w:val="0057395D"/>
    <w:rsid w:val="005739C3"/>
    <w:rsid w:val="00573D12"/>
    <w:rsid w:val="00574BEF"/>
    <w:rsid w:val="00574C2C"/>
    <w:rsid w:val="00574D01"/>
    <w:rsid w:val="00574FE7"/>
    <w:rsid w:val="005755A8"/>
    <w:rsid w:val="00575B33"/>
    <w:rsid w:val="00576859"/>
    <w:rsid w:val="00576F6E"/>
    <w:rsid w:val="00577841"/>
    <w:rsid w:val="00577EAE"/>
    <w:rsid w:val="0058043C"/>
    <w:rsid w:val="00580526"/>
    <w:rsid w:val="005805C2"/>
    <w:rsid w:val="00580703"/>
    <w:rsid w:val="00580955"/>
    <w:rsid w:val="005811B5"/>
    <w:rsid w:val="00581864"/>
    <w:rsid w:val="00582505"/>
    <w:rsid w:val="0058313D"/>
    <w:rsid w:val="005838E9"/>
    <w:rsid w:val="00583E02"/>
    <w:rsid w:val="00584106"/>
    <w:rsid w:val="005847F9"/>
    <w:rsid w:val="00584F34"/>
    <w:rsid w:val="00585355"/>
    <w:rsid w:val="005856A7"/>
    <w:rsid w:val="005856B9"/>
    <w:rsid w:val="00585987"/>
    <w:rsid w:val="0058638F"/>
    <w:rsid w:val="005863A7"/>
    <w:rsid w:val="005869B1"/>
    <w:rsid w:val="00586D24"/>
    <w:rsid w:val="00586D5B"/>
    <w:rsid w:val="00587A66"/>
    <w:rsid w:val="0059040C"/>
    <w:rsid w:val="00590478"/>
    <w:rsid w:val="005905AC"/>
    <w:rsid w:val="00590870"/>
    <w:rsid w:val="00590E8E"/>
    <w:rsid w:val="00591087"/>
    <w:rsid w:val="00591B8D"/>
    <w:rsid w:val="00591E75"/>
    <w:rsid w:val="00592158"/>
    <w:rsid w:val="00592B5F"/>
    <w:rsid w:val="00592EE5"/>
    <w:rsid w:val="00592FAE"/>
    <w:rsid w:val="005937B3"/>
    <w:rsid w:val="005938A8"/>
    <w:rsid w:val="00593D8D"/>
    <w:rsid w:val="005942DC"/>
    <w:rsid w:val="00594845"/>
    <w:rsid w:val="00595B5F"/>
    <w:rsid w:val="005961AB"/>
    <w:rsid w:val="005965D5"/>
    <w:rsid w:val="0059674A"/>
    <w:rsid w:val="005971DD"/>
    <w:rsid w:val="0059728B"/>
    <w:rsid w:val="0059790F"/>
    <w:rsid w:val="00597A91"/>
    <w:rsid w:val="005A01B2"/>
    <w:rsid w:val="005A049C"/>
    <w:rsid w:val="005A0727"/>
    <w:rsid w:val="005A073B"/>
    <w:rsid w:val="005A08FD"/>
    <w:rsid w:val="005A0C1E"/>
    <w:rsid w:val="005A0EBF"/>
    <w:rsid w:val="005A0F9D"/>
    <w:rsid w:val="005A14FD"/>
    <w:rsid w:val="005A1F6B"/>
    <w:rsid w:val="005A21D3"/>
    <w:rsid w:val="005A221A"/>
    <w:rsid w:val="005A2E96"/>
    <w:rsid w:val="005A377A"/>
    <w:rsid w:val="005A3B82"/>
    <w:rsid w:val="005A3E3A"/>
    <w:rsid w:val="005A44FC"/>
    <w:rsid w:val="005A4E15"/>
    <w:rsid w:val="005A5057"/>
    <w:rsid w:val="005A534A"/>
    <w:rsid w:val="005A5646"/>
    <w:rsid w:val="005A57CE"/>
    <w:rsid w:val="005A607D"/>
    <w:rsid w:val="005A610B"/>
    <w:rsid w:val="005A616D"/>
    <w:rsid w:val="005A623F"/>
    <w:rsid w:val="005A70E1"/>
    <w:rsid w:val="005A76B7"/>
    <w:rsid w:val="005A76C8"/>
    <w:rsid w:val="005A789F"/>
    <w:rsid w:val="005B02EA"/>
    <w:rsid w:val="005B0888"/>
    <w:rsid w:val="005B2710"/>
    <w:rsid w:val="005B3B51"/>
    <w:rsid w:val="005B43E7"/>
    <w:rsid w:val="005B46FE"/>
    <w:rsid w:val="005B4ABE"/>
    <w:rsid w:val="005B4CBC"/>
    <w:rsid w:val="005B4D9F"/>
    <w:rsid w:val="005B536E"/>
    <w:rsid w:val="005B55D8"/>
    <w:rsid w:val="005B5A6A"/>
    <w:rsid w:val="005B5CAA"/>
    <w:rsid w:val="005B5F85"/>
    <w:rsid w:val="005B6560"/>
    <w:rsid w:val="005B6928"/>
    <w:rsid w:val="005B74EF"/>
    <w:rsid w:val="005C0190"/>
    <w:rsid w:val="005C0447"/>
    <w:rsid w:val="005C0C0B"/>
    <w:rsid w:val="005C126F"/>
    <w:rsid w:val="005C1373"/>
    <w:rsid w:val="005C1BFA"/>
    <w:rsid w:val="005C1CE8"/>
    <w:rsid w:val="005C1D1E"/>
    <w:rsid w:val="005C2A53"/>
    <w:rsid w:val="005C34BD"/>
    <w:rsid w:val="005C3579"/>
    <w:rsid w:val="005C371F"/>
    <w:rsid w:val="005C3770"/>
    <w:rsid w:val="005C38D0"/>
    <w:rsid w:val="005C3C5B"/>
    <w:rsid w:val="005C432C"/>
    <w:rsid w:val="005C51F3"/>
    <w:rsid w:val="005C58ED"/>
    <w:rsid w:val="005C61F9"/>
    <w:rsid w:val="005C71B7"/>
    <w:rsid w:val="005C7296"/>
    <w:rsid w:val="005C759D"/>
    <w:rsid w:val="005C7BDB"/>
    <w:rsid w:val="005D04E5"/>
    <w:rsid w:val="005D0BBD"/>
    <w:rsid w:val="005D0C2F"/>
    <w:rsid w:val="005D1A09"/>
    <w:rsid w:val="005D1D11"/>
    <w:rsid w:val="005D2211"/>
    <w:rsid w:val="005D22CD"/>
    <w:rsid w:val="005D235B"/>
    <w:rsid w:val="005D2862"/>
    <w:rsid w:val="005D3785"/>
    <w:rsid w:val="005D3D7B"/>
    <w:rsid w:val="005D3DBE"/>
    <w:rsid w:val="005D4E88"/>
    <w:rsid w:val="005D56DE"/>
    <w:rsid w:val="005D5E8F"/>
    <w:rsid w:val="005D6793"/>
    <w:rsid w:val="005D6ECF"/>
    <w:rsid w:val="005D7040"/>
    <w:rsid w:val="005D70D1"/>
    <w:rsid w:val="005D7140"/>
    <w:rsid w:val="005D76A7"/>
    <w:rsid w:val="005D7AA3"/>
    <w:rsid w:val="005D7C03"/>
    <w:rsid w:val="005E0256"/>
    <w:rsid w:val="005E0313"/>
    <w:rsid w:val="005E107F"/>
    <w:rsid w:val="005E16E7"/>
    <w:rsid w:val="005E20AC"/>
    <w:rsid w:val="005E30F8"/>
    <w:rsid w:val="005E35EC"/>
    <w:rsid w:val="005E3B71"/>
    <w:rsid w:val="005E4289"/>
    <w:rsid w:val="005E4D14"/>
    <w:rsid w:val="005E4EA6"/>
    <w:rsid w:val="005E521C"/>
    <w:rsid w:val="005E530E"/>
    <w:rsid w:val="005E537D"/>
    <w:rsid w:val="005E6156"/>
    <w:rsid w:val="005E6263"/>
    <w:rsid w:val="005E63FA"/>
    <w:rsid w:val="005E668C"/>
    <w:rsid w:val="005E6FC6"/>
    <w:rsid w:val="005E74CA"/>
    <w:rsid w:val="005E786F"/>
    <w:rsid w:val="005E797B"/>
    <w:rsid w:val="005F0118"/>
    <w:rsid w:val="005F0353"/>
    <w:rsid w:val="005F042E"/>
    <w:rsid w:val="005F08DE"/>
    <w:rsid w:val="005F0917"/>
    <w:rsid w:val="005F0F20"/>
    <w:rsid w:val="005F1C11"/>
    <w:rsid w:val="005F1F45"/>
    <w:rsid w:val="005F2280"/>
    <w:rsid w:val="005F304E"/>
    <w:rsid w:val="005F3491"/>
    <w:rsid w:val="005F34D9"/>
    <w:rsid w:val="005F399F"/>
    <w:rsid w:val="005F3B06"/>
    <w:rsid w:val="005F4610"/>
    <w:rsid w:val="005F4BCA"/>
    <w:rsid w:val="005F4D30"/>
    <w:rsid w:val="005F4E05"/>
    <w:rsid w:val="005F52AF"/>
    <w:rsid w:val="005F56B2"/>
    <w:rsid w:val="005F60EA"/>
    <w:rsid w:val="005F65B6"/>
    <w:rsid w:val="005F6643"/>
    <w:rsid w:val="005F67C8"/>
    <w:rsid w:val="005F7AC8"/>
    <w:rsid w:val="005F7BAD"/>
    <w:rsid w:val="005F7EFF"/>
    <w:rsid w:val="0060042A"/>
    <w:rsid w:val="00600552"/>
    <w:rsid w:val="0060058B"/>
    <w:rsid w:val="006006B4"/>
    <w:rsid w:val="006007D5"/>
    <w:rsid w:val="00600910"/>
    <w:rsid w:val="00600A52"/>
    <w:rsid w:val="00600E22"/>
    <w:rsid w:val="00601F6E"/>
    <w:rsid w:val="00601FD1"/>
    <w:rsid w:val="006021F9"/>
    <w:rsid w:val="0060274E"/>
    <w:rsid w:val="00602FB7"/>
    <w:rsid w:val="006033E3"/>
    <w:rsid w:val="00603B46"/>
    <w:rsid w:val="00603EDC"/>
    <w:rsid w:val="006041B6"/>
    <w:rsid w:val="006041D8"/>
    <w:rsid w:val="00604B66"/>
    <w:rsid w:val="00606037"/>
    <w:rsid w:val="006063FA"/>
    <w:rsid w:val="006065FF"/>
    <w:rsid w:val="006067A3"/>
    <w:rsid w:val="00606E16"/>
    <w:rsid w:val="00607229"/>
    <w:rsid w:val="00607732"/>
    <w:rsid w:val="00607F7A"/>
    <w:rsid w:val="00610341"/>
    <w:rsid w:val="00611243"/>
    <w:rsid w:val="00611824"/>
    <w:rsid w:val="00612655"/>
    <w:rsid w:val="00612A33"/>
    <w:rsid w:val="0061321A"/>
    <w:rsid w:val="00614139"/>
    <w:rsid w:val="00614541"/>
    <w:rsid w:val="006146D1"/>
    <w:rsid w:val="006146E5"/>
    <w:rsid w:val="006156C3"/>
    <w:rsid w:val="00615E4E"/>
    <w:rsid w:val="00615F0D"/>
    <w:rsid w:val="006163AC"/>
    <w:rsid w:val="006163F6"/>
    <w:rsid w:val="00616415"/>
    <w:rsid w:val="00616A03"/>
    <w:rsid w:val="00616BB1"/>
    <w:rsid w:val="00616E0F"/>
    <w:rsid w:val="00617236"/>
    <w:rsid w:val="0061759C"/>
    <w:rsid w:val="006175C6"/>
    <w:rsid w:val="00617614"/>
    <w:rsid w:val="006176BD"/>
    <w:rsid w:val="00617745"/>
    <w:rsid w:val="006177D7"/>
    <w:rsid w:val="0061781E"/>
    <w:rsid w:val="00620305"/>
    <w:rsid w:val="0062030B"/>
    <w:rsid w:val="006217AF"/>
    <w:rsid w:val="0062187C"/>
    <w:rsid w:val="006218F2"/>
    <w:rsid w:val="00621B7B"/>
    <w:rsid w:val="006221F0"/>
    <w:rsid w:val="00623328"/>
    <w:rsid w:val="00623353"/>
    <w:rsid w:val="006239FC"/>
    <w:rsid w:val="00624559"/>
    <w:rsid w:val="00625386"/>
    <w:rsid w:val="006254D5"/>
    <w:rsid w:val="00625A7C"/>
    <w:rsid w:val="00625C3D"/>
    <w:rsid w:val="006265B9"/>
    <w:rsid w:val="00626758"/>
    <w:rsid w:val="006268CE"/>
    <w:rsid w:val="00626938"/>
    <w:rsid w:val="00626D9D"/>
    <w:rsid w:val="006274E0"/>
    <w:rsid w:val="00627CBF"/>
    <w:rsid w:val="00627E33"/>
    <w:rsid w:val="00630075"/>
    <w:rsid w:val="0063010F"/>
    <w:rsid w:val="006301D6"/>
    <w:rsid w:val="006303DF"/>
    <w:rsid w:val="006305CF"/>
    <w:rsid w:val="006306B9"/>
    <w:rsid w:val="006307DC"/>
    <w:rsid w:val="0063086C"/>
    <w:rsid w:val="00630CDA"/>
    <w:rsid w:val="00630E62"/>
    <w:rsid w:val="006312D3"/>
    <w:rsid w:val="006314BE"/>
    <w:rsid w:val="00631621"/>
    <w:rsid w:val="006321FF"/>
    <w:rsid w:val="006322E3"/>
    <w:rsid w:val="00632330"/>
    <w:rsid w:val="00633ABB"/>
    <w:rsid w:val="00633CF0"/>
    <w:rsid w:val="006342E2"/>
    <w:rsid w:val="0063436D"/>
    <w:rsid w:val="0063439C"/>
    <w:rsid w:val="006344EC"/>
    <w:rsid w:val="006347AE"/>
    <w:rsid w:val="006348AE"/>
    <w:rsid w:val="00634D5A"/>
    <w:rsid w:val="00635BA7"/>
    <w:rsid w:val="00635C41"/>
    <w:rsid w:val="00635D6A"/>
    <w:rsid w:val="00635DAE"/>
    <w:rsid w:val="00635F98"/>
    <w:rsid w:val="0063695F"/>
    <w:rsid w:val="006372E7"/>
    <w:rsid w:val="00637386"/>
    <w:rsid w:val="006373A3"/>
    <w:rsid w:val="006375D9"/>
    <w:rsid w:val="00637E9A"/>
    <w:rsid w:val="006400E7"/>
    <w:rsid w:val="006407F7"/>
    <w:rsid w:val="00641A87"/>
    <w:rsid w:val="00641BEA"/>
    <w:rsid w:val="00641C25"/>
    <w:rsid w:val="00641C39"/>
    <w:rsid w:val="00641D52"/>
    <w:rsid w:val="00642366"/>
    <w:rsid w:val="006425A7"/>
    <w:rsid w:val="0064288E"/>
    <w:rsid w:val="0064292F"/>
    <w:rsid w:val="00643177"/>
    <w:rsid w:val="00644904"/>
    <w:rsid w:val="00644B03"/>
    <w:rsid w:val="00645641"/>
    <w:rsid w:val="00646645"/>
    <w:rsid w:val="00646A46"/>
    <w:rsid w:val="00646C1F"/>
    <w:rsid w:val="006471C5"/>
    <w:rsid w:val="0064726A"/>
    <w:rsid w:val="006473D5"/>
    <w:rsid w:val="0064766A"/>
    <w:rsid w:val="006477DD"/>
    <w:rsid w:val="00647BB3"/>
    <w:rsid w:val="00647F0D"/>
    <w:rsid w:val="00647FBE"/>
    <w:rsid w:val="00650318"/>
    <w:rsid w:val="006506ED"/>
    <w:rsid w:val="0065086D"/>
    <w:rsid w:val="00650D4A"/>
    <w:rsid w:val="00650EC9"/>
    <w:rsid w:val="006512F1"/>
    <w:rsid w:val="0065198B"/>
    <w:rsid w:val="00651AD9"/>
    <w:rsid w:val="00651CA7"/>
    <w:rsid w:val="00651F5C"/>
    <w:rsid w:val="00652282"/>
    <w:rsid w:val="006532C3"/>
    <w:rsid w:val="00653A5E"/>
    <w:rsid w:val="00653C32"/>
    <w:rsid w:val="00653F94"/>
    <w:rsid w:val="00653FE0"/>
    <w:rsid w:val="0065502B"/>
    <w:rsid w:val="00655856"/>
    <w:rsid w:val="00655ABB"/>
    <w:rsid w:val="00655F76"/>
    <w:rsid w:val="00655FEB"/>
    <w:rsid w:val="00656231"/>
    <w:rsid w:val="006565BF"/>
    <w:rsid w:val="006567D7"/>
    <w:rsid w:val="00656DA4"/>
    <w:rsid w:val="00656F48"/>
    <w:rsid w:val="0065702B"/>
    <w:rsid w:val="0065759C"/>
    <w:rsid w:val="00657BA4"/>
    <w:rsid w:val="006606F2"/>
    <w:rsid w:val="0066103E"/>
    <w:rsid w:val="0066116A"/>
    <w:rsid w:val="006616D8"/>
    <w:rsid w:val="00661CED"/>
    <w:rsid w:val="00661F19"/>
    <w:rsid w:val="00662118"/>
    <w:rsid w:val="0066227E"/>
    <w:rsid w:val="00662835"/>
    <w:rsid w:val="00662C01"/>
    <w:rsid w:val="00663500"/>
    <w:rsid w:val="00663FBC"/>
    <w:rsid w:val="00664571"/>
    <w:rsid w:val="00664608"/>
    <w:rsid w:val="00664A59"/>
    <w:rsid w:val="00664C31"/>
    <w:rsid w:val="0066506A"/>
    <w:rsid w:val="0066516E"/>
    <w:rsid w:val="0066687B"/>
    <w:rsid w:val="006671B8"/>
    <w:rsid w:val="0066728E"/>
    <w:rsid w:val="00667326"/>
    <w:rsid w:val="0067154A"/>
    <w:rsid w:val="00671727"/>
    <w:rsid w:val="00671851"/>
    <w:rsid w:val="00672012"/>
    <w:rsid w:val="0067215D"/>
    <w:rsid w:val="00672340"/>
    <w:rsid w:val="00672B30"/>
    <w:rsid w:val="00672F34"/>
    <w:rsid w:val="0067357A"/>
    <w:rsid w:val="0067502C"/>
    <w:rsid w:val="006756E0"/>
    <w:rsid w:val="00675D96"/>
    <w:rsid w:val="00675F72"/>
    <w:rsid w:val="0067634F"/>
    <w:rsid w:val="00676692"/>
    <w:rsid w:val="006766AA"/>
    <w:rsid w:val="00676F49"/>
    <w:rsid w:val="006772C8"/>
    <w:rsid w:val="00677E07"/>
    <w:rsid w:val="00677F15"/>
    <w:rsid w:val="006806B4"/>
    <w:rsid w:val="006807B2"/>
    <w:rsid w:val="00680A00"/>
    <w:rsid w:val="00680E2E"/>
    <w:rsid w:val="0068166A"/>
    <w:rsid w:val="00681883"/>
    <w:rsid w:val="00681A97"/>
    <w:rsid w:val="00681FA2"/>
    <w:rsid w:val="0068214E"/>
    <w:rsid w:val="00682CAC"/>
    <w:rsid w:val="0068341A"/>
    <w:rsid w:val="00683428"/>
    <w:rsid w:val="00683A01"/>
    <w:rsid w:val="00683A1E"/>
    <w:rsid w:val="00683B4D"/>
    <w:rsid w:val="00683B58"/>
    <w:rsid w:val="00684DE7"/>
    <w:rsid w:val="006850CD"/>
    <w:rsid w:val="00685B8B"/>
    <w:rsid w:val="00685F28"/>
    <w:rsid w:val="006861E7"/>
    <w:rsid w:val="00686DBD"/>
    <w:rsid w:val="0068768C"/>
    <w:rsid w:val="00687E91"/>
    <w:rsid w:val="006901A5"/>
    <w:rsid w:val="0069099C"/>
    <w:rsid w:val="00690F46"/>
    <w:rsid w:val="0069118B"/>
    <w:rsid w:val="00691B7B"/>
    <w:rsid w:val="00691E29"/>
    <w:rsid w:val="006921F7"/>
    <w:rsid w:val="00692714"/>
    <w:rsid w:val="0069293E"/>
    <w:rsid w:val="006938F6"/>
    <w:rsid w:val="00693D03"/>
    <w:rsid w:val="00694518"/>
    <w:rsid w:val="00694784"/>
    <w:rsid w:val="00694871"/>
    <w:rsid w:val="00694A16"/>
    <w:rsid w:val="00694A97"/>
    <w:rsid w:val="00694AC2"/>
    <w:rsid w:val="00694BC1"/>
    <w:rsid w:val="00694FEF"/>
    <w:rsid w:val="00695235"/>
    <w:rsid w:val="006954A8"/>
    <w:rsid w:val="0069571C"/>
    <w:rsid w:val="00695818"/>
    <w:rsid w:val="006961A0"/>
    <w:rsid w:val="0069709D"/>
    <w:rsid w:val="00697E5B"/>
    <w:rsid w:val="006A152A"/>
    <w:rsid w:val="006A1588"/>
    <w:rsid w:val="006A21B5"/>
    <w:rsid w:val="006A26C5"/>
    <w:rsid w:val="006A2DCA"/>
    <w:rsid w:val="006A3284"/>
    <w:rsid w:val="006A35EB"/>
    <w:rsid w:val="006A399D"/>
    <w:rsid w:val="006A3C2F"/>
    <w:rsid w:val="006A481B"/>
    <w:rsid w:val="006A494E"/>
    <w:rsid w:val="006A4B50"/>
    <w:rsid w:val="006A4F4D"/>
    <w:rsid w:val="006A4F69"/>
    <w:rsid w:val="006A53FD"/>
    <w:rsid w:val="006A5788"/>
    <w:rsid w:val="006A584F"/>
    <w:rsid w:val="006A62C1"/>
    <w:rsid w:val="006A640E"/>
    <w:rsid w:val="006A6566"/>
    <w:rsid w:val="006A678A"/>
    <w:rsid w:val="006A79FA"/>
    <w:rsid w:val="006B0AAB"/>
    <w:rsid w:val="006B0B16"/>
    <w:rsid w:val="006B0CC7"/>
    <w:rsid w:val="006B16BB"/>
    <w:rsid w:val="006B21EA"/>
    <w:rsid w:val="006B22CC"/>
    <w:rsid w:val="006B23CF"/>
    <w:rsid w:val="006B2788"/>
    <w:rsid w:val="006B28BD"/>
    <w:rsid w:val="006B2946"/>
    <w:rsid w:val="006B3142"/>
    <w:rsid w:val="006B35A5"/>
    <w:rsid w:val="006B3EBF"/>
    <w:rsid w:val="006B4654"/>
    <w:rsid w:val="006B4E8D"/>
    <w:rsid w:val="006B507F"/>
    <w:rsid w:val="006B5452"/>
    <w:rsid w:val="006B56D5"/>
    <w:rsid w:val="006B57AC"/>
    <w:rsid w:val="006B57AF"/>
    <w:rsid w:val="006B5A94"/>
    <w:rsid w:val="006B6194"/>
    <w:rsid w:val="006B696A"/>
    <w:rsid w:val="006B75A7"/>
    <w:rsid w:val="006C0360"/>
    <w:rsid w:val="006C045A"/>
    <w:rsid w:val="006C0749"/>
    <w:rsid w:val="006C0934"/>
    <w:rsid w:val="006C1022"/>
    <w:rsid w:val="006C1675"/>
    <w:rsid w:val="006C1916"/>
    <w:rsid w:val="006C1DC1"/>
    <w:rsid w:val="006C236C"/>
    <w:rsid w:val="006C2B05"/>
    <w:rsid w:val="006C35AB"/>
    <w:rsid w:val="006C3668"/>
    <w:rsid w:val="006C4150"/>
    <w:rsid w:val="006C4645"/>
    <w:rsid w:val="006C51E4"/>
    <w:rsid w:val="006C54F5"/>
    <w:rsid w:val="006C61E0"/>
    <w:rsid w:val="006C64DD"/>
    <w:rsid w:val="006C6755"/>
    <w:rsid w:val="006C6777"/>
    <w:rsid w:val="006C67B5"/>
    <w:rsid w:val="006C6EEB"/>
    <w:rsid w:val="006C6F15"/>
    <w:rsid w:val="006C716F"/>
    <w:rsid w:val="006C71CF"/>
    <w:rsid w:val="006C7799"/>
    <w:rsid w:val="006C7968"/>
    <w:rsid w:val="006C7E9D"/>
    <w:rsid w:val="006D094E"/>
    <w:rsid w:val="006D0CC5"/>
    <w:rsid w:val="006D0E0D"/>
    <w:rsid w:val="006D11AD"/>
    <w:rsid w:val="006D1658"/>
    <w:rsid w:val="006D18AF"/>
    <w:rsid w:val="006D1C3C"/>
    <w:rsid w:val="006D22D9"/>
    <w:rsid w:val="006D2D1C"/>
    <w:rsid w:val="006D3440"/>
    <w:rsid w:val="006D3968"/>
    <w:rsid w:val="006D3A9F"/>
    <w:rsid w:val="006D4256"/>
    <w:rsid w:val="006D463D"/>
    <w:rsid w:val="006D4D45"/>
    <w:rsid w:val="006D4F91"/>
    <w:rsid w:val="006D5CAC"/>
    <w:rsid w:val="006D5EF5"/>
    <w:rsid w:val="006D5F10"/>
    <w:rsid w:val="006D5F46"/>
    <w:rsid w:val="006D6221"/>
    <w:rsid w:val="006D6F80"/>
    <w:rsid w:val="006D7AF6"/>
    <w:rsid w:val="006E0406"/>
    <w:rsid w:val="006E0942"/>
    <w:rsid w:val="006E107E"/>
    <w:rsid w:val="006E1472"/>
    <w:rsid w:val="006E16CE"/>
    <w:rsid w:val="006E1CFE"/>
    <w:rsid w:val="006E1D2A"/>
    <w:rsid w:val="006E2110"/>
    <w:rsid w:val="006E2980"/>
    <w:rsid w:val="006E310E"/>
    <w:rsid w:val="006E3CB0"/>
    <w:rsid w:val="006E42D2"/>
    <w:rsid w:val="006E48C4"/>
    <w:rsid w:val="006E4B3C"/>
    <w:rsid w:val="006E5AEE"/>
    <w:rsid w:val="006E5CC2"/>
    <w:rsid w:val="006E5FC8"/>
    <w:rsid w:val="006E62B5"/>
    <w:rsid w:val="006E6632"/>
    <w:rsid w:val="006E6952"/>
    <w:rsid w:val="006E7264"/>
    <w:rsid w:val="006E7AD9"/>
    <w:rsid w:val="006E7BC8"/>
    <w:rsid w:val="006F000F"/>
    <w:rsid w:val="006F0130"/>
    <w:rsid w:val="006F01BF"/>
    <w:rsid w:val="006F0B08"/>
    <w:rsid w:val="006F0B64"/>
    <w:rsid w:val="006F0DCE"/>
    <w:rsid w:val="006F15AB"/>
    <w:rsid w:val="006F2353"/>
    <w:rsid w:val="006F2419"/>
    <w:rsid w:val="006F3D63"/>
    <w:rsid w:val="006F413B"/>
    <w:rsid w:val="006F4EFB"/>
    <w:rsid w:val="006F57D3"/>
    <w:rsid w:val="006F5AF6"/>
    <w:rsid w:val="006F636E"/>
    <w:rsid w:val="006F6567"/>
    <w:rsid w:val="006F6771"/>
    <w:rsid w:val="006F6C78"/>
    <w:rsid w:val="006F749E"/>
    <w:rsid w:val="006F75CE"/>
    <w:rsid w:val="006F7955"/>
    <w:rsid w:val="006F7965"/>
    <w:rsid w:val="007006CF"/>
    <w:rsid w:val="00700AD7"/>
    <w:rsid w:val="00700BB2"/>
    <w:rsid w:val="00700D7C"/>
    <w:rsid w:val="00700E75"/>
    <w:rsid w:val="00701346"/>
    <w:rsid w:val="007014B1"/>
    <w:rsid w:val="007015E2"/>
    <w:rsid w:val="00701727"/>
    <w:rsid w:val="0070197A"/>
    <w:rsid w:val="00701C3E"/>
    <w:rsid w:val="00701F2A"/>
    <w:rsid w:val="0070230B"/>
    <w:rsid w:val="007024F4"/>
    <w:rsid w:val="00702615"/>
    <w:rsid w:val="00703626"/>
    <w:rsid w:val="007036D6"/>
    <w:rsid w:val="00703FD2"/>
    <w:rsid w:val="00704019"/>
    <w:rsid w:val="00704D10"/>
    <w:rsid w:val="00704E19"/>
    <w:rsid w:val="00705852"/>
    <w:rsid w:val="0070586D"/>
    <w:rsid w:val="00705F76"/>
    <w:rsid w:val="0070608B"/>
    <w:rsid w:val="0070616C"/>
    <w:rsid w:val="00706396"/>
    <w:rsid w:val="00706832"/>
    <w:rsid w:val="00706DDA"/>
    <w:rsid w:val="00706F54"/>
    <w:rsid w:val="007077A5"/>
    <w:rsid w:val="00707AA9"/>
    <w:rsid w:val="00707DB8"/>
    <w:rsid w:val="007103D7"/>
    <w:rsid w:val="00710BFE"/>
    <w:rsid w:val="00710D55"/>
    <w:rsid w:val="00711957"/>
    <w:rsid w:val="00711CDB"/>
    <w:rsid w:val="007122B1"/>
    <w:rsid w:val="00712553"/>
    <w:rsid w:val="0071268C"/>
    <w:rsid w:val="00712769"/>
    <w:rsid w:val="007127B3"/>
    <w:rsid w:val="00712EE7"/>
    <w:rsid w:val="00713A15"/>
    <w:rsid w:val="0071420A"/>
    <w:rsid w:val="007142E5"/>
    <w:rsid w:val="00714B9D"/>
    <w:rsid w:val="00715092"/>
    <w:rsid w:val="007156A6"/>
    <w:rsid w:val="00715707"/>
    <w:rsid w:val="00716089"/>
    <w:rsid w:val="00716142"/>
    <w:rsid w:val="00716AD2"/>
    <w:rsid w:val="00716B48"/>
    <w:rsid w:val="00716FD2"/>
    <w:rsid w:val="007174A4"/>
    <w:rsid w:val="00717662"/>
    <w:rsid w:val="007179F7"/>
    <w:rsid w:val="00717EFB"/>
    <w:rsid w:val="00720F26"/>
    <w:rsid w:val="00720F44"/>
    <w:rsid w:val="007213E2"/>
    <w:rsid w:val="007216BC"/>
    <w:rsid w:val="00721ADA"/>
    <w:rsid w:val="00721F00"/>
    <w:rsid w:val="0072227A"/>
    <w:rsid w:val="00722643"/>
    <w:rsid w:val="00722906"/>
    <w:rsid w:val="00722B78"/>
    <w:rsid w:val="00722D6D"/>
    <w:rsid w:val="00722F10"/>
    <w:rsid w:val="00723D31"/>
    <w:rsid w:val="00723D91"/>
    <w:rsid w:val="00724185"/>
    <w:rsid w:val="0072487A"/>
    <w:rsid w:val="00724C1D"/>
    <w:rsid w:val="00724C67"/>
    <w:rsid w:val="00724C8B"/>
    <w:rsid w:val="0072573E"/>
    <w:rsid w:val="00725C90"/>
    <w:rsid w:val="007260EE"/>
    <w:rsid w:val="007266F5"/>
    <w:rsid w:val="00727560"/>
    <w:rsid w:val="00727C98"/>
    <w:rsid w:val="007307AF"/>
    <w:rsid w:val="00730D4D"/>
    <w:rsid w:val="007312B0"/>
    <w:rsid w:val="00731F50"/>
    <w:rsid w:val="00732455"/>
    <w:rsid w:val="00732495"/>
    <w:rsid w:val="00732B02"/>
    <w:rsid w:val="00732DE0"/>
    <w:rsid w:val="0073351D"/>
    <w:rsid w:val="0073397D"/>
    <w:rsid w:val="0073401E"/>
    <w:rsid w:val="0073405C"/>
    <w:rsid w:val="007340AD"/>
    <w:rsid w:val="00734331"/>
    <w:rsid w:val="0073474F"/>
    <w:rsid w:val="00734EE0"/>
    <w:rsid w:val="00734FF5"/>
    <w:rsid w:val="00736237"/>
    <w:rsid w:val="00736434"/>
    <w:rsid w:val="00736B31"/>
    <w:rsid w:val="00736C73"/>
    <w:rsid w:val="00736D82"/>
    <w:rsid w:val="00736F58"/>
    <w:rsid w:val="0073703D"/>
    <w:rsid w:val="00737446"/>
    <w:rsid w:val="007376B0"/>
    <w:rsid w:val="00737E16"/>
    <w:rsid w:val="007402B3"/>
    <w:rsid w:val="00740BFB"/>
    <w:rsid w:val="00740DA8"/>
    <w:rsid w:val="007410F0"/>
    <w:rsid w:val="00741208"/>
    <w:rsid w:val="00741DAE"/>
    <w:rsid w:val="00741FB8"/>
    <w:rsid w:val="0074248E"/>
    <w:rsid w:val="00742F5D"/>
    <w:rsid w:val="0074350A"/>
    <w:rsid w:val="00743589"/>
    <w:rsid w:val="007437BD"/>
    <w:rsid w:val="00743CF0"/>
    <w:rsid w:val="007442B8"/>
    <w:rsid w:val="0074450F"/>
    <w:rsid w:val="00744D66"/>
    <w:rsid w:val="00745053"/>
    <w:rsid w:val="00746088"/>
    <w:rsid w:val="007461B3"/>
    <w:rsid w:val="00746375"/>
    <w:rsid w:val="00747CF0"/>
    <w:rsid w:val="00750BB5"/>
    <w:rsid w:val="007510B5"/>
    <w:rsid w:val="00751829"/>
    <w:rsid w:val="00751906"/>
    <w:rsid w:val="00751A1D"/>
    <w:rsid w:val="007527F2"/>
    <w:rsid w:val="007528B3"/>
    <w:rsid w:val="0075294A"/>
    <w:rsid w:val="00753756"/>
    <w:rsid w:val="0075394F"/>
    <w:rsid w:val="00753A84"/>
    <w:rsid w:val="00753D9C"/>
    <w:rsid w:val="00754308"/>
    <w:rsid w:val="00755071"/>
    <w:rsid w:val="00755431"/>
    <w:rsid w:val="007558EF"/>
    <w:rsid w:val="00755949"/>
    <w:rsid w:val="007563C3"/>
    <w:rsid w:val="00756DDC"/>
    <w:rsid w:val="00756EE7"/>
    <w:rsid w:val="00756FC8"/>
    <w:rsid w:val="00757240"/>
    <w:rsid w:val="007611DA"/>
    <w:rsid w:val="0076131C"/>
    <w:rsid w:val="00761D7E"/>
    <w:rsid w:val="00761DF7"/>
    <w:rsid w:val="0076313A"/>
    <w:rsid w:val="00764465"/>
    <w:rsid w:val="00764783"/>
    <w:rsid w:val="007647C2"/>
    <w:rsid w:val="00764951"/>
    <w:rsid w:val="007649E3"/>
    <w:rsid w:val="00765A86"/>
    <w:rsid w:val="0076603A"/>
    <w:rsid w:val="00766B28"/>
    <w:rsid w:val="00766C12"/>
    <w:rsid w:val="00766D17"/>
    <w:rsid w:val="00766DA7"/>
    <w:rsid w:val="0076784E"/>
    <w:rsid w:val="00767879"/>
    <w:rsid w:val="00767CEC"/>
    <w:rsid w:val="0077023B"/>
    <w:rsid w:val="007708EB"/>
    <w:rsid w:val="007709FE"/>
    <w:rsid w:val="0077168C"/>
    <w:rsid w:val="00771ABB"/>
    <w:rsid w:val="00771CFB"/>
    <w:rsid w:val="00771DC5"/>
    <w:rsid w:val="00771E51"/>
    <w:rsid w:val="00772621"/>
    <w:rsid w:val="00772B4C"/>
    <w:rsid w:val="007730F5"/>
    <w:rsid w:val="00773221"/>
    <w:rsid w:val="00773C20"/>
    <w:rsid w:val="0077459D"/>
    <w:rsid w:val="00774B69"/>
    <w:rsid w:val="007762C2"/>
    <w:rsid w:val="00776550"/>
    <w:rsid w:val="00776BFA"/>
    <w:rsid w:val="00776D52"/>
    <w:rsid w:val="0077748B"/>
    <w:rsid w:val="00777C0A"/>
    <w:rsid w:val="00777D3D"/>
    <w:rsid w:val="00777E3F"/>
    <w:rsid w:val="00780790"/>
    <w:rsid w:val="00780E33"/>
    <w:rsid w:val="007824A2"/>
    <w:rsid w:val="007827DB"/>
    <w:rsid w:val="00782E78"/>
    <w:rsid w:val="007831E2"/>
    <w:rsid w:val="00783743"/>
    <w:rsid w:val="00784348"/>
    <w:rsid w:val="0078452B"/>
    <w:rsid w:val="00785315"/>
    <w:rsid w:val="007853FA"/>
    <w:rsid w:val="007856A7"/>
    <w:rsid w:val="00785899"/>
    <w:rsid w:val="00785CF5"/>
    <w:rsid w:val="007864CE"/>
    <w:rsid w:val="00786B54"/>
    <w:rsid w:val="00786CD1"/>
    <w:rsid w:val="007872C8"/>
    <w:rsid w:val="007877EC"/>
    <w:rsid w:val="007900D3"/>
    <w:rsid w:val="007906B9"/>
    <w:rsid w:val="00790755"/>
    <w:rsid w:val="00790857"/>
    <w:rsid w:val="00790A87"/>
    <w:rsid w:val="00790C75"/>
    <w:rsid w:val="00790F53"/>
    <w:rsid w:val="0079127F"/>
    <w:rsid w:val="00791AE2"/>
    <w:rsid w:val="00792380"/>
    <w:rsid w:val="00792B21"/>
    <w:rsid w:val="00792B3F"/>
    <w:rsid w:val="00792CC2"/>
    <w:rsid w:val="00792D3C"/>
    <w:rsid w:val="0079307B"/>
    <w:rsid w:val="00793344"/>
    <w:rsid w:val="0079343D"/>
    <w:rsid w:val="00793E02"/>
    <w:rsid w:val="00794015"/>
    <w:rsid w:val="0079416A"/>
    <w:rsid w:val="007941C8"/>
    <w:rsid w:val="00794C93"/>
    <w:rsid w:val="007950D9"/>
    <w:rsid w:val="0079543F"/>
    <w:rsid w:val="007956C8"/>
    <w:rsid w:val="00795713"/>
    <w:rsid w:val="00795D2A"/>
    <w:rsid w:val="00795F87"/>
    <w:rsid w:val="00796146"/>
    <w:rsid w:val="007968F0"/>
    <w:rsid w:val="007969E2"/>
    <w:rsid w:val="00796BD9"/>
    <w:rsid w:val="007973BE"/>
    <w:rsid w:val="00797877"/>
    <w:rsid w:val="00797CC5"/>
    <w:rsid w:val="007A01D4"/>
    <w:rsid w:val="007A1564"/>
    <w:rsid w:val="007A20A3"/>
    <w:rsid w:val="007A2428"/>
    <w:rsid w:val="007A2E6D"/>
    <w:rsid w:val="007A3326"/>
    <w:rsid w:val="007A399B"/>
    <w:rsid w:val="007A3F06"/>
    <w:rsid w:val="007A4690"/>
    <w:rsid w:val="007A4AF1"/>
    <w:rsid w:val="007A4BD0"/>
    <w:rsid w:val="007A4C37"/>
    <w:rsid w:val="007A507E"/>
    <w:rsid w:val="007A705D"/>
    <w:rsid w:val="007A77BA"/>
    <w:rsid w:val="007A7DA4"/>
    <w:rsid w:val="007A7F4F"/>
    <w:rsid w:val="007B06D0"/>
    <w:rsid w:val="007B102D"/>
    <w:rsid w:val="007B1F1F"/>
    <w:rsid w:val="007B2CAE"/>
    <w:rsid w:val="007B367E"/>
    <w:rsid w:val="007B3EBE"/>
    <w:rsid w:val="007B3F8E"/>
    <w:rsid w:val="007B41F0"/>
    <w:rsid w:val="007B4256"/>
    <w:rsid w:val="007B436B"/>
    <w:rsid w:val="007B5153"/>
    <w:rsid w:val="007B5357"/>
    <w:rsid w:val="007B6321"/>
    <w:rsid w:val="007B6DEE"/>
    <w:rsid w:val="007B7C62"/>
    <w:rsid w:val="007B7DB9"/>
    <w:rsid w:val="007C04A0"/>
    <w:rsid w:val="007C0617"/>
    <w:rsid w:val="007C079B"/>
    <w:rsid w:val="007C0D09"/>
    <w:rsid w:val="007C11A6"/>
    <w:rsid w:val="007C1254"/>
    <w:rsid w:val="007C203C"/>
    <w:rsid w:val="007C2773"/>
    <w:rsid w:val="007C27F0"/>
    <w:rsid w:val="007C2824"/>
    <w:rsid w:val="007C2A70"/>
    <w:rsid w:val="007C2FDC"/>
    <w:rsid w:val="007C302D"/>
    <w:rsid w:val="007C33FA"/>
    <w:rsid w:val="007C345A"/>
    <w:rsid w:val="007C3549"/>
    <w:rsid w:val="007C3B20"/>
    <w:rsid w:val="007C3CEE"/>
    <w:rsid w:val="007C3F8E"/>
    <w:rsid w:val="007C4146"/>
    <w:rsid w:val="007C421D"/>
    <w:rsid w:val="007C4399"/>
    <w:rsid w:val="007C4838"/>
    <w:rsid w:val="007C4B65"/>
    <w:rsid w:val="007C4CD0"/>
    <w:rsid w:val="007C5143"/>
    <w:rsid w:val="007C5612"/>
    <w:rsid w:val="007C566B"/>
    <w:rsid w:val="007C57D3"/>
    <w:rsid w:val="007C5A69"/>
    <w:rsid w:val="007C5CD0"/>
    <w:rsid w:val="007C5ED9"/>
    <w:rsid w:val="007C5FB4"/>
    <w:rsid w:val="007C5FE6"/>
    <w:rsid w:val="007C619F"/>
    <w:rsid w:val="007C62D8"/>
    <w:rsid w:val="007C6BC7"/>
    <w:rsid w:val="007C6CAB"/>
    <w:rsid w:val="007C74CC"/>
    <w:rsid w:val="007C7757"/>
    <w:rsid w:val="007C7A94"/>
    <w:rsid w:val="007C7D15"/>
    <w:rsid w:val="007D089F"/>
    <w:rsid w:val="007D0D7C"/>
    <w:rsid w:val="007D1FB5"/>
    <w:rsid w:val="007D1FE2"/>
    <w:rsid w:val="007D204C"/>
    <w:rsid w:val="007D2998"/>
    <w:rsid w:val="007D2BC0"/>
    <w:rsid w:val="007D300C"/>
    <w:rsid w:val="007D33E5"/>
    <w:rsid w:val="007D3B0E"/>
    <w:rsid w:val="007D47CE"/>
    <w:rsid w:val="007D4AEF"/>
    <w:rsid w:val="007D5202"/>
    <w:rsid w:val="007D5F1C"/>
    <w:rsid w:val="007D6355"/>
    <w:rsid w:val="007D6DB3"/>
    <w:rsid w:val="007D6E8E"/>
    <w:rsid w:val="007D7080"/>
    <w:rsid w:val="007D73DE"/>
    <w:rsid w:val="007D77DA"/>
    <w:rsid w:val="007D7E0D"/>
    <w:rsid w:val="007E124F"/>
    <w:rsid w:val="007E12DF"/>
    <w:rsid w:val="007E1D82"/>
    <w:rsid w:val="007E2B38"/>
    <w:rsid w:val="007E347C"/>
    <w:rsid w:val="007E404B"/>
    <w:rsid w:val="007E4142"/>
    <w:rsid w:val="007E4706"/>
    <w:rsid w:val="007E556A"/>
    <w:rsid w:val="007E5E9B"/>
    <w:rsid w:val="007E610A"/>
    <w:rsid w:val="007E63A4"/>
    <w:rsid w:val="007E63D9"/>
    <w:rsid w:val="007E671A"/>
    <w:rsid w:val="007E6D2A"/>
    <w:rsid w:val="007E79ED"/>
    <w:rsid w:val="007E7B4F"/>
    <w:rsid w:val="007E7D52"/>
    <w:rsid w:val="007F0ABA"/>
    <w:rsid w:val="007F179E"/>
    <w:rsid w:val="007F1B64"/>
    <w:rsid w:val="007F1DB6"/>
    <w:rsid w:val="007F21C0"/>
    <w:rsid w:val="007F21EB"/>
    <w:rsid w:val="007F29DE"/>
    <w:rsid w:val="007F2A19"/>
    <w:rsid w:val="007F2C99"/>
    <w:rsid w:val="007F39B6"/>
    <w:rsid w:val="007F4219"/>
    <w:rsid w:val="007F42C0"/>
    <w:rsid w:val="007F44B6"/>
    <w:rsid w:val="007F4956"/>
    <w:rsid w:val="007F4B72"/>
    <w:rsid w:val="007F520D"/>
    <w:rsid w:val="007F55FA"/>
    <w:rsid w:val="007F5885"/>
    <w:rsid w:val="007F59D0"/>
    <w:rsid w:val="007F5A02"/>
    <w:rsid w:val="007F5E83"/>
    <w:rsid w:val="007F6573"/>
    <w:rsid w:val="007F6BC7"/>
    <w:rsid w:val="007F7044"/>
    <w:rsid w:val="007F7469"/>
    <w:rsid w:val="007F750F"/>
    <w:rsid w:val="007F77A9"/>
    <w:rsid w:val="00800432"/>
    <w:rsid w:val="0080073F"/>
    <w:rsid w:val="00801E43"/>
    <w:rsid w:val="00802193"/>
    <w:rsid w:val="0080227D"/>
    <w:rsid w:val="0080232A"/>
    <w:rsid w:val="00802AA9"/>
    <w:rsid w:val="00802D27"/>
    <w:rsid w:val="00803066"/>
    <w:rsid w:val="0080398B"/>
    <w:rsid w:val="008040D9"/>
    <w:rsid w:val="008042FB"/>
    <w:rsid w:val="00804531"/>
    <w:rsid w:val="00804F9B"/>
    <w:rsid w:val="0080528F"/>
    <w:rsid w:val="008058FC"/>
    <w:rsid w:val="00805A43"/>
    <w:rsid w:val="008063B6"/>
    <w:rsid w:val="00806836"/>
    <w:rsid w:val="00806FD0"/>
    <w:rsid w:val="0080732C"/>
    <w:rsid w:val="00807AA4"/>
    <w:rsid w:val="008101D6"/>
    <w:rsid w:val="00810638"/>
    <w:rsid w:val="0081063B"/>
    <w:rsid w:val="00811565"/>
    <w:rsid w:val="0081183D"/>
    <w:rsid w:val="00811B12"/>
    <w:rsid w:val="00811D25"/>
    <w:rsid w:val="00811D93"/>
    <w:rsid w:val="00811F29"/>
    <w:rsid w:val="00811F90"/>
    <w:rsid w:val="00812830"/>
    <w:rsid w:val="008128A2"/>
    <w:rsid w:val="00812A08"/>
    <w:rsid w:val="00812CD5"/>
    <w:rsid w:val="00813924"/>
    <w:rsid w:val="00813E37"/>
    <w:rsid w:val="00813EBE"/>
    <w:rsid w:val="00813FCF"/>
    <w:rsid w:val="008143D4"/>
    <w:rsid w:val="00814835"/>
    <w:rsid w:val="00814CB7"/>
    <w:rsid w:val="00814D8D"/>
    <w:rsid w:val="00814DAC"/>
    <w:rsid w:val="008150AA"/>
    <w:rsid w:val="008151E8"/>
    <w:rsid w:val="008159D9"/>
    <w:rsid w:val="00815A58"/>
    <w:rsid w:val="00815AD2"/>
    <w:rsid w:val="00815BC9"/>
    <w:rsid w:val="00816028"/>
    <w:rsid w:val="008161D4"/>
    <w:rsid w:val="00816390"/>
    <w:rsid w:val="008165A5"/>
    <w:rsid w:val="00816620"/>
    <w:rsid w:val="00816B8B"/>
    <w:rsid w:val="008170B4"/>
    <w:rsid w:val="0081758A"/>
    <w:rsid w:val="00817748"/>
    <w:rsid w:val="00817C10"/>
    <w:rsid w:val="00820649"/>
    <w:rsid w:val="00820B79"/>
    <w:rsid w:val="00820FC4"/>
    <w:rsid w:val="00821079"/>
    <w:rsid w:val="00821378"/>
    <w:rsid w:val="0082146B"/>
    <w:rsid w:val="00821587"/>
    <w:rsid w:val="008218E3"/>
    <w:rsid w:val="0082199F"/>
    <w:rsid w:val="00821A7C"/>
    <w:rsid w:val="00821FF3"/>
    <w:rsid w:val="0082236C"/>
    <w:rsid w:val="00822630"/>
    <w:rsid w:val="00822648"/>
    <w:rsid w:val="0082284E"/>
    <w:rsid w:val="00822991"/>
    <w:rsid w:val="00822CED"/>
    <w:rsid w:val="00823B0D"/>
    <w:rsid w:val="00823E95"/>
    <w:rsid w:val="008241F3"/>
    <w:rsid w:val="00824F8F"/>
    <w:rsid w:val="0082530A"/>
    <w:rsid w:val="00825D1A"/>
    <w:rsid w:val="00825E80"/>
    <w:rsid w:val="008262AD"/>
    <w:rsid w:val="008269CB"/>
    <w:rsid w:val="0082773F"/>
    <w:rsid w:val="00827A90"/>
    <w:rsid w:val="00827C91"/>
    <w:rsid w:val="00827D4C"/>
    <w:rsid w:val="00830606"/>
    <w:rsid w:val="00830EAA"/>
    <w:rsid w:val="008311E9"/>
    <w:rsid w:val="00831C5E"/>
    <w:rsid w:val="00831EE0"/>
    <w:rsid w:val="00832028"/>
    <w:rsid w:val="008320CD"/>
    <w:rsid w:val="0083259E"/>
    <w:rsid w:val="00832B24"/>
    <w:rsid w:val="00832EFC"/>
    <w:rsid w:val="00833027"/>
    <w:rsid w:val="00833429"/>
    <w:rsid w:val="00833A37"/>
    <w:rsid w:val="00833B96"/>
    <w:rsid w:val="0083494D"/>
    <w:rsid w:val="00834EF9"/>
    <w:rsid w:val="00834F7A"/>
    <w:rsid w:val="00835295"/>
    <w:rsid w:val="008358CC"/>
    <w:rsid w:val="00835D27"/>
    <w:rsid w:val="008362C1"/>
    <w:rsid w:val="008364A1"/>
    <w:rsid w:val="0083664E"/>
    <w:rsid w:val="00836AD1"/>
    <w:rsid w:val="00836CA5"/>
    <w:rsid w:val="00837009"/>
    <w:rsid w:val="00837D3F"/>
    <w:rsid w:val="00840481"/>
    <w:rsid w:val="008404A5"/>
    <w:rsid w:val="0084128A"/>
    <w:rsid w:val="00841600"/>
    <w:rsid w:val="00841E08"/>
    <w:rsid w:val="00842156"/>
    <w:rsid w:val="00842AEF"/>
    <w:rsid w:val="00843701"/>
    <w:rsid w:val="008438C4"/>
    <w:rsid w:val="00843CE7"/>
    <w:rsid w:val="0084409A"/>
    <w:rsid w:val="008442FD"/>
    <w:rsid w:val="00844449"/>
    <w:rsid w:val="00844452"/>
    <w:rsid w:val="00844EBE"/>
    <w:rsid w:val="008451D9"/>
    <w:rsid w:val="008456B4"/>
    <w:rsid w:val="008457D3"/>
    <w:rsid w:val="00845978"/>
    <w:rsid w:val="00845A9C"/>
    <w:rsid w:val="00846282"/>
    <w:rsid w:val="00846BA8"/>
    <w:rsid w:val="00846BCC"/>
    <w:rsid w:val="00846DFD"/>
    <w:rsid w:val="00847792"/>
    <w:rsid w:val="00847AA8"/>
    <w:rsid w:val="008500EB"/>
    <w:rsid w:val="00850641"/>
    <w:rsid w:val="00850A7A"/>
    <w:rsid w:val="00850C5B"/>
    <w:rsid w:val="00850C7F"/>
    <w:rsid w:val="00850F10"/>
    <w:rsid w:val="00850F1A"/>
    <w:rsid w:val="008516BE"/>
    <w:rsid w:val="008519BE"/>
    <w:rsid w:val="00851BCB"/>
    <w:rsid w:val="00851FBF"/>
    <w:rsid w:val="00852072"/>
    <w:rsid w:val="00852290"/>
    <w:rsid w:val="00852DBE"/>
    <w:rsid w:val="00852F07"/>
    <w:rsid w:val="00853BB9"/>
    <w:rsid w:val="00853DF8"/>
    <w:rsid w:val="008542A0"/>
    <w:rsid w:val="0085502A"/>
    <w:rsid w:val="0085505C"/>
    <w:rsid w:val="008550C1"/>
    <w:rsid w:val="0085520A"/>
    <w:rsid w:val="00855A1F"/>
    <w:rsid w:val="00855C2D"/>
    <w:rsid w:val="00855D66"/>
    <w:rsid w:val="00855F9F"/>
    <w:rsid w:val="008563C0"/>
    <w:rsid w:val="008564F3"/>
    <w:rsid w:val="0085683A"/>
    <w:rsid w:val="0085688B"/>
    <w:rsid w:val="00857259"/>
    <w:rsid w:val="008577C2"/>
    <w:rsid w:val="00857D08"/>
    <w:rsid w:val="00857DD1"/>
    <w:rsid w:val="00860086"/>
    <w:rsid w:val="0086086A"/>
    <w:rsid w:val="00861048"/>
    <w:rsid w:val="008616E8"/>
    <w:rsid w:val="00862877"/>
    <w:rsid w:val="00862C3D"/>
    <w:rsid w:val="00863820"/>
    <w:rsid w:val="0086456E"/>
    <w:rsid w:val="00864C58"/>
    <w:rsid w:val="008650CC"/>
    <w:rsid w:val="00865653"/>
    <w:rsid w:val="008657F5"/>
    <w:rsid w:val="00865AA4"/>
    <w:rsid w:val="00865C2D"/>
    <w:rsid w:val="00865E01"/>
    <w:rsid w:val="00865F2A"/>
    <w:rsid w:val="00866908"/>
    <w:rsid w:val="008675DE"/>
    <w:rsid w:val="00867AA6"/>
    <w:rsid w:val="00867F40"/>
    <w:rsid w:val="00870067"/>
    <w:rsid w:val="00870435"/>
    <w:rsid w:val="0087092C"/>
    <w:rsid w:val="00870C0E"/>
    <w:rsid w:val="00870CF9"/>
    <w:rsid w:val="00870E4C"/>
    <w:rsid w:val="00870F35"/>
    <w:rsid w:val="00871A40"/>
    <w:rsid w:val="00871F31"/>
    <w:rsid w:val="00872E9D"/>
    <w:rsid w:val="00872FD3"/>
    <w:rsid w:val="008737B2"/>
    <w:rsid w:val="00873D22"/>
    <w:rsid w:val="00874589"/>
    <w:rsid w:val="00874C65"/>
    <w:rsid w:val="0087531B"/>
    <w:rsid w:val="0087586C"/>
    <w:rsid w:val="00875F52"/>
    <w:rsid w:val="00876329"/>
    <w:rsid w:val="00876DEF"/>
    <w:rsid w:val="00876EF1"/>
    <w:rsid w:val="0087710E"/>
    <w:rsid w:val="00877543"/>
    <w:rsid w:val="008778CC"/>
    <w:rsid w:val="008779B6"/>
    <w:rsid w:val="008779D9"/>
    <w:rsid w:val="00877DE6"/>
    <w:rsid w:val="00877F76"/>
    <w:rsid w:val="0088048E"/>
    <w:rsid w:val="008809E9"/>
    <w:rsid w:val="00880D51"/>
    <w:rsid w:val="00880FC6"/>
    <w:rsid w:val="008820FB"/>
    <w:rsid w:val="0088254B"/>
    <w:rsid w:val="00882738"/>
    <w:rsid w:val="00882977"/>
    <w:rsid w:val="00882B7C"/>
    <w:rsid w:val="00883219"/>
    <w:rsid w:val="00884074"/>
    <w:rsid w:val="00884543"/>
    <w:rsid w:val="00885523"/>
    <w:rsid w:val="00885717"/>
    <w:rsid w:val="00885DF7"/>
    <w:rsid w:val="008864B7"/>
    <w:rsid w:val="00886583"/>
    <w:rsid w:val="00886D6F"/>
    <w:rsid w:val="00886DAF"/>
    <w:rsid w:val="00886E9A"/>
    <w:rsid w:val="00887C74"/>
    <w:rsid w:val="00890144"/>
    <w:rsid w:val="008903D5"/>
    <w:rsid w:val="00890A47"/>
    <w:rsid w:val="00890B29"/>
    <w:rsid w:val="00890E15"/>
    <w:rsid w:val="00890FDA"/>
    <w:rsid w:val="00891464"/>
    <w:rsid w:val="0089204B"/>
    <w:rsid w:val="0089205C"/>
    <w:rsid w:val="008929BE"/>
    <w:rsid w:val="00892E25"/>
    <w:rsid w:val="008930B0"/>
    <w:rsid w:val="008937C5"/>
    <w:rsid w:val="00893A35"/>
    <w:rsid w:val="00893EEB"/>
    <w:rsid w:val="00893F35"/>
    <w:rsid w:val="0089477B"/>
    <w:rsid w:val="008947D3"/>
    <w:rsid w:val="00894FC7"/>
    <w:rsid w:val="00895662"/>
    <w:rsid w:val="00895706"/>
    <w:rsid w:val="00895F7D"/>
    <w:rsid w:val="0089617B"/>
    <w:rsid w:val="008962BC"/>
    <w:rsid w:val="00897BE9"/>
    <w:rsid w:val="00897F7B"/>
    <w:rsid w:val="008A06AB"/>
    <w:rsid w:val="008A1C7C"/>
    <w:rsid w:val="008A2713"/>
    <w:rsid w:val="008A28AF"/>
    <w:rsid w:val="008A3A9F"/>
    <w:rsid w:val="008A3DAF"/>
    <w:rsid w:val="008A462D"/>
    <w:rsid w:val="008A4FFA"/>
    <w:rsid w:val="008A525D"/>
    <w:rsid w:val="008A5F02"/>
    <w:rsid w:val="008A6145"/>
    <w:rsid w:val="008A6568"/>
    <w:rsid w:val="008A6570"/>
    <w:rsid w:val="008A6AEC"/>
    <w:rsid w:val="008A6BF4"/>
    <w:rsid w:val="008A77C5"/>
    <w:rsid w:val="008A7A5B"/>
    <w:rsid w:val="008A7FEA"/>
    <w:rsid w:val="008B03E9"/>
    <w:rsid w:val="008B07E8"/>
    <w:rsid w:val="008B155C"/>
    <w:rsid w:val="008B1D5F"/>
    <w:rsid w:val="008B25BF"/>
    <w:rsid w:val="008B262F"/>
    <w:rsid w:val="008B3819"/>
    <w:rsid w:val="008B3AE3"/>
    <w:rsid w:val="008B3BF6"/>
    <w:rsid w:val="008B4707"/>
    <w:rsid w:val="008B47BC"/>
    <w:rsid w:val="008B486E"/>
    <w:rsid w:val="008B50EE"/>
    <w:rsid w:val="008B5570"/>
    <w:rsid w:val="008B56DE"/>
    <w:rsid w:val="008B59AD"/>
    <w:rsid w:val="008B6500"/>
    <w:rsid w:val="008B7404"/>
    <w:rsid w:val="008C017B"/>
    <w:rsid w:val="008C030C"/>
    <w:rsid w:val="008C0CBE"/>
    <w:rsid w:val="008C1278"/>
    <w:rsid w:val="008C16BE"/>
    <w:rsid w:val="008C2201"/>
    <w:rsid w:val="008C2A3E"/>
    <w:rsid w:val="008C2DBC"/>
    <w:rsid w:val="008C31DE"/>
    <w:rsid w:val="008C3488"/>
    <w:rsid w:val="008C4238"/>
    <w:rsid w:val="008C4381"/>
    <w:rsid w:val="008C43D6"/>
    <w:rsid w:val="008C4534"/>
    <w:rsid w:val="008C4763"/>
    <w:rsid w:val="008C5152"/>
    <w:rsid w:val="008C5C81"/>
    <w:rsid w:val="008C6423"/>
    <w:rsid w:val="008C7EDF"/>
    <w:rsid w:val="008C7F6B"/>
    <w:rsid w:val="008D03D2"/>
    <w:rsid w:val="008D0616"/>
    <w:rsid w:val="008D0E5E"/>
    <w:rsid w:val="008D0F17"/>
    <w:rsid w:val="008D0FC3"/>
    <w:rsid w:val="008D1067"/>
    <w:rsid w:val="008D1727"/>
    <w:rsid w:val="008D1889"/>
    <w:rsid w:val="008D19E0"/>
    <w:rsid w:val="008D1B2B"/>
    <w:rsid w:val="008D1B2F"/>
    <w:rsid w:val="008D2221"/>
    <w:rsid w:val="008D223A"/>
    <w:rsid w:val="008D2336"/>
    <w:rsid w:val="008D2347"/>
    <w:rsid w:val="008D252C"/>
    <w:rsid w:val="008D2759"/>
    <w:rsid w:val="008D2B45"/>
    <w:rsid w:val="008D2B88"/>
    <w:rsid w:val="008D307A"/>
    <w:rsid w:val="008D38C9"/>
    <w:rsid w:val="008D38E6"/>
    <w:rsid w:val="008D40C5"/>
    <w:rsid w:val="008D436C"/>
    <w:rsid w:val="008D48CC"/>
    <w:rsid w:val="008D4946"/>
    <w:rsid w:val="008D4D80"/>
    <w:rsid w:val="008D4FF5"/>
    <w:rsid w:val="008D51A2"/>
    <w:rsid w:val="008D5C31"/>
    <w:rsid w:val="008D6690"/>
    <w:rsid w:val="008D66F8"/>
    <w:rsid w:val="008D6C63"/>
    <w:rsid w:val="008D75E1"/>
    <w:rsid w:val="008D7963"/>
    <w:rsid w:val="008D7E7E"/>
    <w:rsid w:val="008D7F0A"/>
    <w:rsid w:val="008E0389"/>
    <w:rsid w:val="008E0463"/>
    <w:rsid w:val="008E0759"/>
    <w:rsid w:val="008E12B0"/>
    <w:rsid w:val="008E1A8F"/>
    <w:rsid w:val="008E1D60"/>
    <w:rsid w:val="008E203C"/>
    <w:rsid w:val="008E23C3"/>
    <w:rsid w:val="008E2BE2"/>
    <w:rsid w:val="008E3943"/>
    <w:rsid w:val="008E3EEF"/>
    <w:rsid w:val="008E404F"/>
    <w:rsid w:val="008E4497"/>
    <w:rsid w:val="008E4555"/>
    <w:rsid w:val="008E4B2C"/>
    <w:rsid w:val="008E4E15"/>
    <w:rsid w:val="008E507E"/>
    <w:rsid w:val="008E50F4"/>
    <w:rsid w:val="008E55D5"/>
    <w:rsid w:val="008E5CA3"/>
    <w:rsid w:val="008E6570"/>
    <w:rsid w:val="008E6626"/>
    <w:rsid w:val="008E7C4F"/>
    <w:rsid w:val="008E7EEA"/>
    <w:rsid w:val="008F039C"/>
    <w:rsid w:val="008F0BE4"/>
    <w:rsid w:val="008F0C5E"/>
    <w:rsid w:val="008F0E30"/>
    <w:rsid w:val="008F0EAA"/>
    <w:rsid w:val="008F0F1F"/>
    <w:rsid w:val="008F1380"/>
    <w:rsid w:val="008F197E"/>
    <w:rsid w:val="008F221A"/>
    <w:rsid w:val="008F25A2"/>
    <w:rsid w:val="008F2648"/>
    <w:rsid w:val="008F28CF"/>
    <w:rsid w:val="008F310B"/>
    <w:rsid w:val="008F3288"/>
    <w:rsid w:val="008F4859"/>
    <w:rsid w:val="008F5829"/>
    <w:rsid w:val="008F6F3B"/>
    <w:rsid w:val="008F710A"/>
    <w:rsid w:val="008F72B1"/>
    <w:rsid w:val="008F787C"/>
    <w:rsid w:val="008F794D"/>
    <w:rsid w:val="008F7C10"/>
    <w:rsid w:val="008F7ED5"/>
    <w:rsid w:val="009000D1"/>
    <w:rsid w:val="009006D9"/>
    <w:rsid w:val="00900862"/>
    <w:rsid w:val="0090089C"/>
    <w:rsid w:val="00900E95"/>
    <w:rsid w:val="009017BD"/>
    <w:rsid w:val="0090180B"/>
    <w:rsid w:val="0090183E"/>
    <w:rsid w:val="00901C6F"/>
    <w:rsid w:val="00901CEE"/>
    <w:rsid w:val="00901E3E"/>
    <w:rsid w:val="00902A99"/>
    <w:rsid w:val="00902D25"/>
    <w:rsid w:val="00903AC3"/>
    <w:rsid w:val="00904409"/>
    <w:rsid w:val="009046D3"/>
    <w:rsid w:val="00905469"/>
    <w:rsid w:val="00905673"/>
    <w:rsid w:val="00905E4A"/>
    <w:rsid w:val="00905FC8"/>
    <w:rsid w:val="009062F8"/>
    <w:rsid w:val="00906333"/>
    <w:rsid w:val="00907069"/>
    <w:rsid w:val="009073BF"/>
    <w:rsid w:val="009076FB"/>
    <w:rsid w:val="0090773A"/>
    <w:rsid w:val="00910997"/>
    <w:rsid w:val="00910AF4"/>
    <w:rsid w:val="00910CD7"/>
    <w:rsid w:val="00910E91"/>
    <w:rsid w:val="00910EF8"/>
    <w:rsid w:val="009116E0"/>
    <w:rsid w:val="00912649"/>
    <w:rsid w:val="009131C0"/>
    <w:rsid w:val="00914138"/>
    <w:rsid w:val="0091483D"/>
    <w:rsid w:val="009148DD"/>
    <w:rsid w:val="00914CB4"/>
    <w:rsid w:val="00914DBA"/>
    <w:rsid w:val="00915075"/>
    <w:rsid w:val="0091513B"/>
    <w:rsid w:val="009156AE"/>
    <w:rsid w:val="00915C5B"/>
    <w:rsid w:val="00915CB5"/>
    <w:rsid w:val="00915DA0"/>
    <w:rsid w:val="00915EAE"/>
    <w:rsid w:val="00917CEA"/>
    <w:rsid w:val="009205CD"/>
    <w:rsid w:val="00920827"/>
    <w:rsid w:val="00920DFF"/>
    <w:rsid w:val="0092120B"/>
    <w:rsid w:val="0092152E"/>
    <w:rsid w:val="0092165C"/>
    <w:rsid w:val="0092202B"/>
    <w:rsid w:val="0092242E"/>
    <w:rsid w:val="00922634"/>
    <w:rsid w:val="00922FD4"/>
    <w:rsid w:val="00923219"/>
    <w:rsid w:val="00923D0F"/>
    <w:rsid w:val="0092483C"/>
    <w:rsid w:val="009248E8"/>
    <w:rsid w:val="00924C8A"/>
    <w:rsid w:val="00925448"/>
    <w:rsid w:val="00925B5E"/>
    <w:rsid w:val="0092668C"/>
    <w:rsid w:val="00926A59"/>
    <w:rsid w:val="00926A7D"/>
    <w:rsid w:val="00927592"/>
    <w:rsid w:val="009309D4"/>
    <w:rsid w:val="00931822"/>
    <w:rsid w:val="00932273"/>
    <w:rsid w:val="00932943"/>
    <w:rsid w:val="00933BAB"/>
    <w:rsid w:val="00933C60"/>
    <w:rsid w:val="00933DE9"/>
    <w:rsid w:val="009342D5"/>
    <w:rsid w:val="009344BF"/>
    <w:rsid w:val="00934703"/>
    <w:rsid w:val="009358F7"/>
    <w:rsid w:val="00935AE5"/>
    <w:rsid w:val="00935DF7"/>
    <w:rsid w:val="00935F4B"/>
    <w:rsid w:val="009363F3"/>
    <w:rsid w:val="00936DCC"/>
    <w:rsid w:val="00937B28"/>
    <w:rsid w:val="00937CA7"/>
    <w:rsid w:val="009405B2"/>
    <w:rsid w:val="009409EA"/>
    <w:rsid w:val="00940C8C"/>
    <w:rsid w:val="00940D5F"/>
    <w:rsid w:val="009418A0"/>
    <w:rsid w:val="00941CE2"/>
    <w:rsid w:val="009438BB"/>
    <w:rsid w:val="009448A5"/>
    <w:rsid w:val="00944A4B"/>
    <w:rsid w:val="00945439"/>
    <w:rsid w:val="00945886"/>
    <w:rsid w:val="009460C8"/>
    <w:rsid w:val="00946404"/>
    <w:rsid w:val="009465ED"/>
    <w:rsid w:val="009502AA"/>
    <w:rsid w:val="00950A42"/>
    <w:rsid w:val="00950C77"/>
    <w:rsid w:val="0095165D"/>
    <w:rsid w:val="00951F95"/>
    <w:rsid w:val="00952896"/>
    <w:rsid w:val="00952C65"/>
    <w:rsid w:val="00952E74"/>
    <w:rsid w:val="00952E7E"/>
    <w:rsid w:val="0095310A"/>
    <w:rsid w:val="009535C6"/>
    <w:rsid w:val="00953666"/>
    <w:rsid w:val="00953C28"/>
    <w:rsid w:val="00954970"/>
    <w:rsid w:val="00954B43"/>
    <w:rsid w:val="009556C8"/>
    <w:rsid w:val="0095594B"/>
    <w:rsid w:val="00955FE9"/>
    <w:rsid w:val="00956484"/>
    <w:rsid w:val="00956586"/>
    <w:rsid w:val="00956813"/>
    <w:rsid w:val="00956BFB"/>
    <w:rsid w:val="00957434"/>
    <w:rsid w:val="0095753F"/>
    <w:rsid w:val="00957D3E"/>
    <w:rsid w:val="0096061C"/>
    <w:rsid w:val="00960624"/>
    <w:rsid w:val="0096067F"/>
    <w:rsid w:val="00960CFA"/>
    <w:rsid w:val="009615D7"/>
    <w:rsid w:val="009625B0"/>
    <w:rsid w:val="009626AC"/>
    <w:rsid w:val="009627AD"/>
    <w:rsid w:val="009627E8"/>
    <w:rsid w:val="00963537"/>
    <w:rsid w:val="00963ADC"/>
    <w:rsid w:val="00963C6C"/>
    <w:rsid w:val="00964393"/>
    <w:rsid w:val="009643A0"/>
    <w:rsid w:val="009648A3"/>
    <w:rsid w:val="00965177"/>
    <w:rsid w:val="00965929"/>
    <w:rsid w:val="00965AB9"/>
    <w:rsid w:val="00965DAF"/>
    <w:rsid w:val="00965EE4"/>
    <w:rsid w:val="00966DBE"/>
    <w:rsid w:val="00966FBA"/>
    <w:rsid w:val="00967224"/>
    <w:rsid w:val="009672E1"/>
    <w:rsid w:val="00970286"/>
    <w:rsid w:val="00970CDA"/>
    <w:rsid w:val="0097112E"/>
    <w:rsid w:val="00971577"/>
    <w:rsid w:val="009719B2"/>
    <w:rsid w:val="00972BB6"/>
    <w:rsid w:val="00972D66"/>
    <w:rsid w:val="00972EA2"/>
    <w:rsid w:val="00973026"/>
    <w:rsid w:val="0097329B"/>
    <w:rsid w:val="0097340B"/>
    <w:rsid w:val="009734B6"/>
    <w:rsid w:val="00973BAD"/>
    <w:rsid w:val="00973E49"/>
    <w:rsid w:val="00974A0C"/>
    <w:rsid w:val="00974BE3"/>
    <w:rsid w:val="00975826"/>
    <w:rsid w:val="00975AE6"/>
    <w:rsid w:val="00975D6B"/>
    <w:rsid w:val="00976BBB"/>
    <w:rsid w:val="009775D6"/>
    <w:rsid w:val="009775F6"/>
    <w:rsid w:val="00977E22"/>
    <w:rsid w:val="009801FE"/>
    <w:rsid w:val="009802C5"/>
    <w:rsid w:val="0098032C"/>
    <w:rsid w:val="00980491"/>
    <w:rsid w:val="00980A0A"/>
    <w:rsid w:val="00980FB6"/>
    <w:rsid w:val="00981271"/>
    <w:rsid w:val="0098135E"/>
    <w:rsid w:val="009814C0"/>
    <w:rsid w:val="0098169B"/>
    <w:rsid w:val="009816AF"/>
    <w:rsid w:val="00981B92"/>
    <w:rsid w:val="00981BDD"/>
    <w:rsid w:val="009827BA"/>
    <w:rsid w:val="00982F4C"/>
    <w:rsid w:val="00983B2E"/>
    <w:rsid w:val="00983EC4"/>
    <w:rsid w:val="00983ED7"/>
    <w:rsid w:val="00984316"/>
    <w:rsid w:val="00984AC4"/>
    <w:rsid w:val="009851A4"/>
    <w:rsid w:val="00985C09"/>
    <w:rsid w:val="00985EB5"/>
    <w:rsid w:val="00986530"/>
    <w:rsid w:val="00986654"/>
    <w:rsid w:val="00986A2F"/>
    <w:rsid w:val="00986F29"/>
    <w:rsid w:val="009872B9"/>
    <w:rsid w:val="00987B20"/>
    <w:rsid w:val="00987D02"/>
    <w:rsid w:val="00987FEC"/>
    <w:rsid w:val="00991155"/>
    <w:rsid w:val="009916E8"/>
    <w:rsid w:val="00991B24"/>
    <w:rsid w:val="009920AC"/>
    <w:rsid w:val="00992562"/>
    <w:rsid w:val="00992C3F"/>
    <w:rsid w:val="00992F07"/>
    <w:rsid w:val="0099325D"/>
    <w:rsid w:val="00993F88"/>
    <w:rsid w:val="0099441A"/>
    <w:rsid w:val="00994585"/>
    <w:rsid w:val="009951C0"/>
    <w:rsid w:val="00995605"/>
    <w:rsid w:val="00995D2A"/>
    <w:rsid w:val="009965F5"/>
    <w:rsid w:val="009973F4"/>
    <w:rsid w:val="0099750E"/>
    <w:rsid w:val="009A007C"/>
    <w:rsid w:val="009A0696"/>
    <w:rsid w:val="009A0891"/>
    <w:rsid w:val="009A0C04"/>
    <w:rsid w:val="009A0CD2"/>
    <w:rsid w:val="009A0D98"/>
    <w:rsid w:val="009A0DFA"/>
    <w:rsid w:val="009A1A9B"/>
    <w:rsid w:val="009A239C"/>
    <w:rsid w:val="009A2A6F"/>
    <w:rsid w:val="009A2BF5"/>
    <w:rsid w:val="009A2CA5"/>
    <w:rsid w:val="009A32FD"/>
    <w:rsid w:val="009A342F"/>
    <w:rsid w:val="009A34FA"/>
    <w:rsid w:val="009A3963"/>
    <w:rsid w:val="009A3A26"/>
    <w:rsid w:val="009A3C30"/>
    <w:rsid w:val="009A3EBB"/>
    <w:rsid w:val="009A3F05"/>
    <w:rsid w:val="009A412C"/>
    <w:rsid w:val="009A4BCD"/>
    <w:rsid w:val="009A602B"/>
    <w:rsid w:val="009A6750"/>
    <w:rsid w:val="009A7016"/>
    <w:rsid w:val="009A7C8B"/>
    <w:rsid w:val="009B03AB"/>
    <w:rsid w:val="009B087B"/>
    <w:rsid w:val="009B0A1E"/>
    <w:rsid w:val="009B127D"/>
    <w:rsid w:val="009B1BE4"/>
    <w:rsid w:val="009B2506"/>
    <w:rsid w:val="009B303D"/>
    <w:rsid w:val="009B3315"/>
    <w:rsid w:val="009B339D"/>
    <w:rsid w:val="009B38FC"/>
    <w:rsid w:val="009B3B97"/>
    <w:rsid w:val="009B4843"/>
    <w:rsid w:val="009B4A48"/>
    <w:rsid w:val="009B4B2D"/>
    <w:rsid w:val="009B4B59"/>
    <w:rsid w:val="009B5120"/>
    <w:rsid w:val="009B5608"/>
    <w:rsid w:val="009B59A6"/>
    <w:rsid w:val="009B5A9C"/>
    <w:rsid w:val="009B6104"/>
    <w:rsid w:val="009B648B"/>
    <w:rsid w:val="009B6C1E"/>
    <w:rsid w:val="009B6C82"/>
    <w:rsid w:val="009B72C7"/>
    <w:rsid w:val="009B75AC"/>
    <w:rsid w:val="009B7B67"/>
    <w:rsid w:val="009B7E42"/>
    <w:rsid w:val="009B7E9C"/>
    <w:rsid w:val="009C0874"/>
    <w:rsid w:val="009C0958"/>
    <w:rsid w:val="009C0E41"/>
    <w:rsid w:val="009C15B6"/>
    <w:rsid w:val="009C172F"/>
    <w:rsid w:val="009C1E72"/>
    <w:rsid w:val="009C24B7"/>
    <w:rsid w:val="009C288B"/>
    <w:rsid w:val="009C2947"/>
    <w:rsid w:val="009C2FD8"/>
    <w:rsid w:val="009C3135"/>
    <w:rsid w:val="009C371D"/>
    <w:rsid w:val="009C422C"/>
    <w:rsid w:val="009C45D0"/>
    <w:rsid w:val="009C464A"/>
    <w:rsid w:val="009C4871"/>
    <w:rsid w:val="009C4DA8"/>
    <w:rsid w:val="009C5098"/>
    <w:rsid w:val="009C5533"/>
    <w:rsid w:val="009C5CD2"/>
    <w:rsid w:val="009C5D38"/>
    <w:rsid w:val="009C6C78"/>
    <w:rsid w:val="009C6D9D"/>
    <w:rsid w:val="009C71BB"/>
    <w:rsid w:val="009C71E7"/>
    <w:rsid w:val="009C77FC"/>
    <w:rsid w:val="009C7DE6"/>
    <w:rsid w:val="009D001A"/>
    <w:rsid w:val="009D047C"/>
    <w:rsid w:val="009D0728"/>
    <w:rsid w:val="009D0BB6"/>
    <w:rsid w:val="009D0D64"/>
    <w:rsid w:val="009D1347"/>
    <w:rsid w:val="009D14EC"/>
    <w:rsid w:val="009D2538"/>
    <w:rsid w:val="009D2568"/>
    <w:rsid w:val="009D2C5F"/>
    <w:rsid w:val="009D304B"/>
    <w:rsid w:val="009D31DA"/>
    <w:rsid w:val="009D3280"/>
    <w:rsid w:val="009D3347"/>
    <w:rsid w:val="009D37FE"/>
    <w:rsid w:val="009D39F5"/>
    <w:rsid w:val="009D3ACC"/>
    <w:rsid w:val="009D3C0F"/>
    <w:rsid w:val="009D4718"/>
    <w:rsid w:val="009D48E2"/>
    <w:rsid w:val="009D4AC7"/>
    <w:rsid w:val="009D5517"/>
    <w:rsid w:val="009D5AAA"/>
    <w:rsid w:val="009D616A"/>
    <w:rsid w:val="009D61FD"/>
    <w:rsid w:val="009D6DB8"/>
    <w:rsid w:val="009D70BC"/>
    <w:rsid w:val="009D7A86"/>
    <w:rsid w:val="009D7F32"/>
    <w:rsid w:val="009E0105"/>
    <w:rsid w:val="009E0779"/>
    <w:rsid w:val="009E0A97"/>
    <w:rsid w:val="009E0B27"/>
    <w:rsid w:val="009E1629"/>
    <w:rsid w:val="009E26CC"/>
    <w:rsid w:val="009E304D"/>
    <w:rsid w:val="009E379A"/>
    <w:rsid w:val="009E3E23"/>
    <w:rsid w:val="009E4821"/>
    <w:rsid w:val="009E4F26"/>
    <w:rsid w:val="009E5CB0"/>
    <w:rsid w:val="009E5D5F"/>
    <w:rsid w:val="009E606B"/>
    <w:rsid w:val="009E60E4"/>
    <w:rsid w:val="009E6A7B"/>
    <w:rsid w:val="009E7190"/>
    <w:rsid w:val="009E76EA"/>
    <w:rsid w:val="009E7DDE"/>
    <w:rsid w:val="009F008B"/>
    <w:rsid w:val="009F04A9"/>
    <w:rsid w:val="009F0AAC"/>
    <w:rsid w:val="009F0D52"/>
    <w:rsid w:val="009F16E4"/>
    <w:rsid w:val="009F1CA0"/>
    <w:rsid w:val="009F21D5"/>
    <w:rsid w:val="009F243F"/>
    <w:rsid w:val="009F2E59"/>
    <w:rsid w:val="009F3638"/>
    <w:rsid w:val="009F39B9"/>
    <w:rsid w:val="009F44F4"/>
    <w:rsid w:val="009F4539"/>
    <w:rsid w:val="009F4624"/>
    <w:rsid w:val="009F464A"/>
    <w:rsid w:val="009F4693"/>
    <w:rsid w:val="009F4ECF"/>
    <w:rsid w:val="009F4EFC"/>
    <w:rsid w:val="009F582E"/>
    <w:rsid w:val="009F5B22"/>
    <w:rsid w:val="009F5CD0"/>
    <w:rsid w:val="009F65C0"/>
    <w:rsid w:val="009F67D0"/>
    <w:rsid w:val="009F6D11"/>
    <w:rsid w:val="009F6F43"/>
    <w:rsid w:val="009F6F6A"/>
    <w:rsid w:val="009F6F93"/>
    <w:rsid w:val="009F78B6"/>
    <w:rsid w:val="009F7903"/>
    <w:rsid w:val="00A003E0"/>
    <w:rsid w:val="00A00D99"/>
    <w:rsid w:val="00A012BD"/>
    <w:rsid w:val="00A01CB1"/>
    <w:rsid w:val="00A01DD0"/>
    <w:rsid w:val="00A01EAA"/>
    <w:rsid w:val="00A02F11"/>
    <w:rsid w:val="00A03302"/>
    <w:rsid w:val="00A03778"/>
    <w:rsid w:val="00A04252"/>
    <w:rsid w:val="00A0451F"/>
    <w:rsid w:val="00A04986"/>
    <w:rsid w:val="00A04D37"/>
    <w:rsid w:val="00A050ED"/>
    <w:rsid w:val="00A054F6"/>
    <w:rsid w:val="00A0580B"/>
    <w:rsid w:val="00A05880"/>
    <w:rsid w:val="00A061C2"/>
    <w:rsid w:val="00A06818"/>
    <w:rsid w:val="00A10428"/>
    <w:rsid w:val="00A10C42"/>
    <w:rsid w:val="00A1126C"/>
    <w:rsid w:val="00A116AB"/>
    <w:rsid w:val="00A11910"/>
    <w:rsid w:val="00A11F66"/>
    <w:rsid w:val="00A120F6"/>
    <w:rsid w:val="00A122CA"/>
    <w:rsid w:val="00A1234C"/>
    <w:rsid w:val="00A12AD3"/>
    <w:rsid w:val="00A1313D"/>
    <w:rsid w:val="00A13166"/>
    <w:rsid w:val="00A1355B"/>
    <w:rsid w:val="00A13FFB"/>
    <w:rsid w:val="00A140E4"/>
    <w:rsid w:val="00A1460B"/>
    <w:rsid w:val="00A1497E"/>
    <w:rsid w:val="00A14CD6"/>
    <w:rsid w:val="00A14DCB"/>
    <w:rsid w:val="00A15DBB"/>
    <w:rsid w:val="00A16171"/>
    <w:rsid w:val="00A16281"/>
    <w:rsid w:val="00A16483"/>
    <w:rsid w:val="00A1770B"/>
    <w:rsid w:val="00A1793E"/>
    <w:rsid w:val="00A2064C"/>
    <w:rsid w:val="00A20680"/>
    <w:rsid w:val="00A207A1"/>
    <w:rsid w:val="00A209F7"/>
    <w:rsid w:val="00A20B14"/>
    <w:rsid w:val="00A212E3"/>
    <w:rsid w:val="00A214FC"/>
    <w:rsid w:val="00A21D2B"/>
    <w:rsid w:val="00A21EA1"/>
    <w:rsid w:val="00A21F95"/>
    <w:rsid w:val="00A220A6"/>
    <w:rsid w:val="00A2221C"/>
    <w:rsid w:val="00A22EB4"/>
    <w:rsid w:val="00A2324B"/>
    <w:rsid w:val="00A2341F"/>
    <w:rsid w:val="00A2376F"/>
    <w:rsid w:val="00A23E4D"/>
    <w:rsid w:val="00A244E0"/>
    <w:rsid w:val="00A24CD8"/>
    <w:rsid w:val="00A2535B"/>
    <w:rsid w:val="00A25623"/>
    <w:rsid w:val="00A26622"/>
    <w:rsid w:val="00A2678C"/>
    <w:rsid w:val="00A26B9E"/>
    <w:rsid w:val="00A27235"/>
    <w:rsid w:val="00A272EE"/>
    <w:rsid w:val="00A2796B"/>
    <w:rsid w:val="00A27BF7"/>
    <w:rsid w:val="00A30B28"/>
    <w:rsid w:val="00A30CAD"/>
    <w:rsid w:val="00A30E48"/>
    <w:rsid w:val="00A30ECB"/>
    <w:rsid w:val="00A3196B"/>
    <w:rsid w:val="00A31FF4"/>
    <w:rsid w:val="00A336CA"/>
    <w:rsid w:val="00A33854"/>
    <w:rsid w:val="00A33CBB"/>
    <w:rsid w:val="00A33FF5"/>
    <w:rsid w:val="00A34096"/>
    <w:rsid w:val="00A340F6"/>
    <w:rsid w:val="00A3432E"/>
    <w:rsid w:val="00A347E4"/>
    <w:rsid w:val="00A34A2C"/>
    <w:rsid w:val="00A34E0A"/>
    <w:rsid w:val="00A35850"/>
    <w:rsid w:val="00A35DE5"/>
    <w:rsid w:val="00A36493"/>
    <w:rsid w:val="00A37546"/>
    <w:rsid w:val="00A37779"/>
    <w:rsid w:val="00A3782A"/>
    <w:rsid w:val="00A37964"/>
    <w:rsid w:val="00A37CBB"/>
    <w:rsid w:val="00A4008E"/>
    <w:rsid w:val="00A40953"/>
    <w:rsid w:val="00A40C63"/>
    <w:rsid w:val="00A418F8"/>
    <w:rsid w:val="00A41A82"/>
    <w:rsid w:val="00A41CE6"/>
    <w:rsid w:val="00A41F57"/>
    <w:rsid w:val="00A426F1"/>
    <w:rsid w:val="00A43E3F"/>
    <w:rsid w:val="00A440BC"/>
    <w:rsid w:val="00A44BCA"/>
    <w:rsid w:val="00A44C2B"/>
    <w:rsid w:val="00A4547A"/>
    <w:rsid w:val="00A45931"/>
    <w:rsid w:val="00A45B60"/>
    <w:rsid w:val="00A462FA"/>
    <w:rsid w:val="00A46D96"/>
    <w:rsid w:val="00A47056"/>
    <w:rsid w:val="00A47276"/>
    <w:rsid w:val="00A4736E"/>
    <w:rsid w:val="00A477AE"/>
    <w:rsid w:val="00A4780C"/>
    <w:rsid w:val="00A50764"/>
    <w:rsid w:val="00A50EEF"/>
    <w:rsid w:val="00A5142B"/>
    <w:rsid w:val="00A51ABC"/>
    <w:rsid w:val="00A51E3A"/>
    <w:rsid w:val="00A5244F"/>
    <w:rsid w:val="00A535BF"/>
    <w:rsid w:val="00A53695"/>
    <w:rsid w:val="00A536E4"/>
    <w:rsid w:val="00A53A54"/>
    <w:rsid w:val="00A53C54"/>
    <w:rsid w:val="00A5406B"/>
    <w:rsid w:val="00A546BE"/>
    <w:rsid w:val="00A54C1B"/>
    <w:rsid w:val="00A55755"/>
    <w:rsid w:val="00A5592D"/>
    <w:rsid w:val="00A55B06"/>
    <w:rsid w:val="00A55DB4"/>
    <w:rsid w:val="00A55E09"/>
    <w:rsid w:val="00A563F6"/>
    <w:rsid w:val="00A56D63"/>
    <w:rsid w:val="00A56DA2"/>
    <w:rsid w:val="00A5713A"/>
    <w:rsid w:val="00A603D9"/>
    <w:rsid w:val="00A61174"/>
    <w:rsid w:val="00A61772"/>
    <w:rsid w:val="00A61ADA"/>
    <w:rsid w:val="00A62051"/>
    <w:rsid w:val="00A62233"/>
    <w:rsid w:val="00A6277C"/>
    <w:rsid w:val="00A630BE"/>
    <w:rsid w:val="00A632DE"/>
    <w:rsid w:val="00A63540"/>
    <w:rsid w:val="00A6385F"/>
    <w:rsid w:val="00A64418"/>
    <w:rsid w:val="00A65813"/>
    <w:rsid w:val="00A65A29"/>
    <w:rsid w:val="00A6630D"/>
    <w:rsid w:val="00A664D3"/>
    <w:rsid w:val="00A668D6"/>
    <w:rsid w:val="00A67671"/>
    <w:rsid w:val="00A67B1B"/>
    <w:rsid w:val="00A67D7E"/>
    <w:rsid w:val="00A702AD"/>
    <w:rsid w:val="00A702C5"/>
    <w:rsid w:val="00A706BE"/>
    <w:rsid w:val="00A7072B"/>
    <w:rsid w:val="00A707A4"/>
    <w:rsid w:val="00A718C6"/>
    <w:rsid w:val="00A723F6"/>
    <w:rsid w:val="00A72962"/>
    <w:rsid w:val="00A72BAC"/>
    <w:rsid w:val="00A72D0F"/>
    <w:rsid w:val="00A73198"/>
    <w:rsid w:val="00A73B1F"/>
    <w:rsid w:val="00A73D84"/>
    <w:rsid w:val="00A74231"/>
    <w:rsid w:val="00A745FF"/>
    <w:rsid w:val="00A74605"/>
    <w:rsid w:val="00A75118"/>
    <w:rsid w:val="00A75FBA"/>
    <w:rsid w:val="00A7656A"/>
    <w:rsid w:val="00A765C2"/>
    <w:rsid w:val="00A76D43"/>
    <w:rsid w:val="00A76F2D"/>
    <w:rsid w:val="00A77035"/>
    <w:rsid w:val="00A776B3"/>
    <w:rsid w:val="00A77A4B"/>
    <w:rsid w:val="00A77B12"/>
    <w:rsid w:val="00A77DAC"/>
    <w:rsid w:val="00A8012F"/>
    <w:rsid w:val="00A80BA0"/>
    <w:rsid w:val="00A80F86"/>
    <w:rsid w:val="00A80FB0"/>
    <w:rsid w:val="00A81035"/>
    <w:rsid w:val="00A813AC"/>
    <w:rsid w:val="00A81DCF"/>
    <w:rsid w:val="00A82912"/>
    <w:rsid w:val="00A829D0"/>
    <w:rsid w:val="00A834DC"/>
    <w:rsid w:val="00A83893"/>
    <w:rsid w:val="00A83D80"/>
    <w:rsid w:val="00A8406B"/>
    <w:rsid w:val="00A844F2"/>
    <w:rsid w:val="00A8593B"/>
    <w:rsid w:val="00A86597"/>
    <w:rsid w:val="00A86704"/>
    <w:rsid w:val="00A8769E"/>
    <w:rsid w:val="00A87B22"/>
    <w:rsid w:val="00A87F17"/>
    <w:rsid w:val="00A901CC"/>
    <w:rsid w:val="00A90372"/>
    <w:rsid w:val="00A90AA9"/>
    <w:rsid w:val="00A914E8"/>
    <w:rsid w:val="00A92CB7"/>
    <w:rsid w:val="00A92FFD"/>
    <w:rsid w:val="00A940D9"/>
    <w:rsid w:val="00A94805"/>
    <w:rsid w:val="00A94DB2"/>
    <w:rsid w:val="00A94EE6"/>
    <w:rsid w:val="00A959E4"/>
    <w:rsid w:val="00A95F6D"/>
    <w:rsid w:val="00A96116"/>
    <w:rsid w:val="00A965B6"/>
    <w:rsid w:val="00A96C48"/>
    <w:rsid w:val="00A971AB"/>
    <w:rsid w:val="00A972E2"/>
    <w:rsid w:val="00A9783E"/>
    <w:rsid w:val="00A97ABA"/>
    <w:rsid w:val="00A97BE1"/>
    <w:rsid w:val="00AA0175"/>
    <w:rsid w:val="00AA01E4"/>
    <w:rsid w:val="00AA0237"/>
    <w:rsid w:val="00AA0B89"/>
    <w:rsid w:val="00AA0BB9"/>
    <w:rsid w:val="00AA0D50"/>
    <w:rsid w:val="00AA1166"/>
    <w:rsid w:val="00AA1199"/>
    <w:rsid w:val="00AA1501"/>
    <w:rsid w:val="00AA18D0"/>
    <w:rsid w:val="00AA23DF"/>
    <w:rsid w:val="00AA263A"/>
    <w:rsid w:val="00AA3680"/>
    <w:rsid w:val="00AA416C"/>
    <w:rsid w:val="00AA4EDD"/>
    <w:rsid w:val="00AA4F12"/>
    <w:rsid w:val="00AA5102"/>
    <w:rsid w:val="00AA670E"/>
    <w:rsid w:val="00AA6D62"/>
    <w:rsid w:val="00AA710F"/>
    <w:rsid w:val="00AA7C73"/>
    <w:rsid w:val="00AB040C"/>
    <w:rsid w:val="00AB0F15"/>
    <w:rsid w:val="00AB11D0"/>
    <w:rsid w:val="00AB12B8"/>
    <w:rsid w:val="00AB140D"/>
    <w:rsid w:val="00AB1569"/>
    <w:rsid w:val="00AB18DB"/>
    <w:rsid w:val="00AB1D37"/>
    <w:rsid w:val="00AB1D71"/>
    <w:rsid w:val="00AB20AE"/>
    <w:rsid w:val="00AB22F3"/>
    <w:rsid w:val="00AB2301"/>
    <w:rsid w:val="00AB239E"/>
    <w:rsid w:val="00AB2C0D"/>
    <w:rsid w:val="00AB30E2"/>
    <w:rsid w:val="00AB32B3"/>
    <w:rsid w:val="00AB3538"/>
    <w:rsid w:val="00AB37CF"/>
    <w:rsid w:val="00AB3812"/>
    <w:rsid w:val="00AB38FB"/>
    <w:rsid w:val="00AB395A"/>
    <w:rsid w:val="00AB3DD8"/>
    <w:rsid w:val="00AB45F0"/>
    <w:rsid w:val="00AB4B57"/>
    <w:rsid w:val="00AB4C23"/>
    <w:rsid w:val="00AB4D43"/>
    <w:rsid w:val="00AB4DCC"/>
    <w:rsid w:val="00AB5365"/>
    <w:rsid w:val="00AB539E"/>
    <w:rsid w:val="00AB53DD"/>
    <w:rsid w:val="00AB56FE"/>
    <w:rsid w:val="00AB5B17"/>
    <w:rsid w:val="00AB62B6"/>
    <w:rsid w:val="00AB67B3"/>
    <w:rsid w:val="00AB701F"/>
    <w:rsid w:val="00AB783A"/>
    <w:rsid w:val="00AB78B8"/>
    <w:rsid w:val="00AB7B66"/>
    <w:rsid w:val="00AC0018"/>
    <w:rsid w:val="00AC02DB"/>
    <w:rsid w:val="00AC051B"/>
    <w:rsid w:val="00AC0A5A"/>
    <w:rsid w:val="00AC0E46"/>
    <w:rsid w:val="00AC11EE"/>
    <w:rsid w:val="00AC1203"/>
    <w:rsid w:val="00AC2843"/>
    <w:rsid w:val="00AC2941"/>
    <w:rsid w:val="00AC33B2"/>
    <w:rsid w:val="00AC355C"/>
    <w:rsid w:val="00AC3955"/>
    <w:rsid w:val="00AC3DD9"/>
    <w:rsid w:val="00AC430F"/>
    <w:rsid w:val="00AC4488"/>
    <w:rsid w:val="00AC475C"/>
    <w:rsid w:val="00AC4EB3"/>
    <w:rsid w:val="00AC5DED"/>
    <w:rsid w:val="00AC6286"/>
    <w:rsid w:val="00AC65EF"/>
    <w:rsid w:val="00AC6766"/>
    <w:rsid w:val="00AC6AE1"/>
    <w:rsid w:val="00AC6F44"/>
    <w:rsid w:val="00AC701B"/>
    <w:rsid w:val="00AC746D"/>
    <w:rsid w:val="00AC7630"/>
    <w:rsid w:val="00AC7755"/>
    <w:rsid w:val="00AC7777"/>
    <w:rsid w:val="00AC7A9B"/>
    <w:rsid w:val="00AC7D63"/>
    <w:rsid w:val="00AD073A"/>
    <w:rsid w:val="00AD0C5C"/>
    <w:rsid w:val="00AD0E36"/>
    <w:rsid w:val="00AD17A4"/>
    <w:rsid w:val="00AD1802"/>
    <w:rsid w:val="00AD2525"/>
    <w:rsid w:val="00AD2878"/>
    <w:rsid w:val="00AD2FF9"/>
    <w:rsid w:val="00AD37D0"/>
    <w:rsid w:val="00AD3F11"/>
    <w:rsid w:val="00AD4382"/>
    <w:rsid w:val="00AD458C"/>
    <w:rsid w:val="00AD4E74"/>
    <w:rsid w:val="00AD51AE"/>
    <w:rsid w:val="00AD5292"/>
    <w:rsid w:val="00AD557E"/>
    <w:rsid w:val="00AD5805"/>
    <w:rsid w:val="00AD5D01"/>
    <w:rsid w:val="00AD639A"/>
    <w:rsid w:val="00AD6870"/>
    <w:rsid w:val="00AD6D27"/>
    <w:rsid w:val="00AD6F76"/>
    <w:rsid w:val="00AD7004"/>
    <w:rsid w:val="00AD703F"/>
    <w:rsid w:val="00AE06FF"/>
    <w:rsid w:val="00AE0E81"/>
    <w:rsid w:val="00AE1346"/>
    <w:rsid w:val="00AE1670"/>
    <w:rsid w:val="00AE1D07"/>
    <w:rsid w:val="00AE2144"/>
    <w:rsid w:val="00AE28FC"/>
    <w:rsid w:val="00AE301E"/>
    <w:rsid w:val="00AE41BC"/>
    <w:rsid w:val="00AE4200"/>
    <w:rsid w:val="00AE4491"/>
    <w:rsid w:val="00AE4968"/>
    <w:rsid w:val="00AE5121"/>
    <w:rsid w:val="00AE579C"/>
    <w:rsid w:val="00AE5996"/>
    <w:rsid w:val="00AE5C5D"/>
    <w:rsid w:val="00AE5F7B"/>
    <w:rsid w:val="00AE6386"/>
    <w:rsid w:val="00AE6A98"/>
    <w:rsid w:val="00AE6D66"/>
    <w:rsid w:val="00AE7166"/>
    <w:rsid w:val="00AE75F9"/>
    <w:rsid w:val="00AE771E"/>
    <w:rsid w:val="00AE7821"/>
    <w:rsid w:val="00AE7B65"/>
    <w:rsid w:val="00AF00CA"/>
    <w:rsid w:val="00AF01B5"/>
    <w:rsid w:val="00AF0252"/>
    <w:rsid w:val="00AF0541"/>
    <w:rsid w:val="00AF0E60"/>
    <w:rsid w:val="00AF11CE"/>
    <w:rsid w:val="00AF1500"/>
    <w:rsid w:val="00AF176E"/>
    <w:rsid w:val="00AF17A3"/>
    <w:rsid w:val="00AF233C"/>
    <w:rsid w:val="00AF2353"/>
    <w:rsid w:val="00AF2491"/>
    <w:rsid w:val="00AF2C4E"/>
    <w:rsid w:val="00AF2CAE"/>
    <w:rsid w:val="00AF35C7"/>
    <w:rsid w:val="00AF3BD9"/>
    <w:rsid w:val="00AF3BF3"/>
    <w:rsid w:val="00AF4127"/>
    <w:rsid w:val="00AF4C24"/>
    <w:rsid w:val="00AF4CA6"/>
    <w:rsid w:val="00AF569D"/>
    <w:rsid w:val="00AF5C9C"/>
    <w:rsid w:val="00AF61B5"/>
    <w:rsid w:val="00AF6B8E"/>
    <w:rsid w:val="00AF6DEE"/>
    <w:rsid w:val="00AF6EFA"/>
    <w:rsid w:val="00AF707C"/>
    <w:rsid w:val="00AF7B19"/>
    <w:rsid w:val="00AF7C63"/>
    <w:rsid w:val="00B004E1"/>
    <w:rsid w:val="00B00598"/>
    <w:rsid w:val="00B010BC"/>
    <w:rsid w:val="00B011DE"/>
    <w:rsid w:val="00B01490"/>
    <w:rsid w:val="00B01551"/>
    <w:rsid w:val="00B017E6"/>
    <w:rsid w:val="00B0194C"/>
    <w:rsid w:val="00B01BDD"/>
    <w:rsid w:val="00B01CB6"/>
    <w:rsid w:val="00B023E7"/>
    <w:rsid w:val="00B02676"/>
    <w:rsid w:val="00B02A04"/>
    <w:rsid w:val="00B03380"/>
    <w:rsid w:val="00B037FD"/>
    <w:rsid w:val="00B03DF2"/>
    <w:rsid w:val="00B04BA4"/>
    <w:rsid w:val="00B05149"/>
    <w:rsid w:val="00B067F0"/>
    <w:rsid w:val="00B06BAE"/>
    <w:rsid w:val="00B06F29"/>
    <w:rsid w:val="00B070E3"/>
    <w:rsid w:val="00B07281"/>
    <w:rsid w:val="00B07DBC"/>
    <w:rsid w:val="00B07E62"/>
    <w:rsid w:val="00B100A0"/>
    <w:rsid w:val="00B10B83"/>
    <w:rsid w:val="00B10CE5"/>
    <w:rsid w:val="00B10E69"/>
    <w:rsid w:val="00B11B8F"/>
    <w:rsid w:val="00B11C95"/>
    <w:rsid w:val="00B11DA3"/>
    <w:rsid w:val="00B123EA"/>
    <w:rsid w:val="00B124CA"/>
    <w:rsid w:val="00B127DB"/>
    <w:rsid w:val="00B12EEE"/>
    <w:rsid w:val="00B130BE"/>
    <w:rsid w:val="00B13EB7"/>
    <w:rsid w:val="00B14093"/>
    <w:rsid w:val="00B14E65"/>
    <w:rsid w:val="00B15000"/>
    <w:rsid w:val="00B155CE"/>
    <w:rsid w:val="00B161AA"/>
    <w:rsid w:val="00B16236"/>
    <w:rsid w:val="00B16768"/>
    <w:rsid w:val="00B16872"/>
    <w:rsid w:val="00B16B46"/>
    <w:rsid w:val="00B16C38"/>
    <w:rsid w:val="00B176F9"/>
    <w:rsid w:val="00B177CE"/>
    <w:rsid w:val="00B17B49"/>
    <w:rsid w:val="00B17D26"/>
    <w:rsid w:val="00B204AD"/>
    <w:rsid w:val="00B204C3"/>
    <w:rsid w:val="00B21381"/>
    <w:rsid w:val="00B21858"/>
    <w:rsid w:val="00B220D7"/>
    <w:rsid w:val="00B222D2"/>
    <w:rsid w:val="00B22373"/>
    <w:rsid w:val="00B226F8"/>
    <w:rsid w:val="00B22755"/>
    <w:rsid w:val="00B22B99"/>
    <w:rsid w:val="00B22C5E"/>
    <w:rsid w:val="00B22F8E"/>
    <w:rsid w:val="00B231EF"/>
    <w:rsid w:val="00B23365"/>
    <w:rsid w:val="00B233A6"/>
    <w:rsid w:val="00B23471"/>
    <w:rsid w:val="00B23EF4"/>
    <w:rsid w:val="00B23F7B"/>
    <w:rsid w:val="00B23FE4"/>
    <w:rsid w:val="00B24286"/>
    <w:rsid w:val="00B24875"/>
    <w:rsid w:val="00B24B44"/>
    <w:rsid w:val="00B24D01"/>
    <w:rsid w:val="00B2505D"/>
    <w:rsid w:val="00B251A1"/>
    <w:rsid w:val="00B26108"/>
    <w:rsid w:val="00B26640"/>
    <w:rsid w:val="00B26856"/>
    <w:rsid w:val="00B26D4A"/>
    <w:rsid w:val="00B27738"/>
    <w:rsid w:val="00B30D23"/>
    <w:rsid w:val="00B31103"/>
    <w:rsid w:val="00B316D9"/>
    <w:rsid w:val="00B32739"/>
    <w:rsid w:val="00B32951"/>
    <w:rsid w:val="00B33DBE"/>
    <w:rsid w:val="00B34538"/>
    <w:rsid w:val="00B34910"/>
    <w:rsid w:val="00B34B71"/>
    <w:rsid w:val="00B34E53"/>
    <w:rsid w:val="00B34EDD"/>
    <w:rsid w:val="00B34FE8"/>
    <w:rsid w:val="00B3520B"/>
    <w:rsid w:val="00B353BF"/>
    <w:rsid w:val="00B355CB"/>
    <w:rsid w:val="00B356A9"/>
    <w:rsid w:val="00B35702"/>
    <w:rsid w:val="00B35D23"/>
    <w:rsid w:val="00B365EE"/>
    <w:rsid w:val="00B36855"/>
    <w:rsid w:val="00B369FB"/>
    <w:rsid w:val="00B3753D"/>
    <w:rsid w:val="00B376AB"/>
    <w:rsid w:val="00B37705"/>
    <w:rsid w:val="00B37B45"/>
    <w:rsid w:val="00B40131"/>
    <w:rsid w:val="00B40395"/>
    <w:rsid w:val="00B40568"/>
    <w:rsid w:val="00B40C59"/>
    <w:rsid w:val="00B40F68"/>
    <w:rsid w:val="00B4115E"/>
    <w:rsid w:val="00B41676"/>
    <w:rsid w:val="00B42959"/>
    <w:rsid w:val="00B42ECE"/>
    <w:rsid w:val="00B42EF7"/>
    <w:rsid w:val="00B44066"/>
    <w:rsid w:val="00B44F22"/>
    <w:rsid w:val="00B45026"/>
    <w:rsid w:val="00B45173"/>
    <w:rsid w:val="00B4543D"/>
    <w:rsid w:val="00B45803"/>
    <w:rsid w:val="00B45A3C"/>
    <w:rsid w:val="00B46035"/>
    <w:rsid w:val="00B460B3"/>
    <w:rsid w:val="00B4691D"/>
    <w:rsid w:val="00B470C8"/>
    <w:rsid w:val="00B472C7"/>
    <w:rsid w:val="00B47A66"/>
    <w:rsid w:val="00B5038F"/>
    <w:rsid w:val="00B5083D"/>
    <w:rsid w:val="00B50B6B"/>
    <w:rsid w:val="00B514D1"/>
    <w:rsid w:val="00B519B4"/>
    <w:rsid w:val="00B51B21"/>
    <w:rsid w:val="00B52808"/>
    <w:rsid w:val="00B52BD5"/>
    <w:rsid w:val="00B52C1F"/>
    <w:rsid w:val="00B53570"/>
    <w:rsid w:val="00B54160"/>
    <w:rsid w:val="00B54917"/>
    <w:rsid w:val="00B54EF3"/>
    <w:rsid w:val="00B5558E"/>
    <w:rsid w:val="00B55EDD"/>
    <w:rsid w:val="00B56358"/>
    <w:rsid w:val="00B56497"/>
    <w:rsid w:val="00B5714D"/>
    <w:rsid w:val="00B57411"/>
    <w:rsid w:val="00B57E37"/>
    <w:rsid w:val="00B604EC"/>
    <w:rsid w:val="00B60E0A"/>
    <w:rsid w:val="00B611E8"/>
    <w:rsid w:val="00B615BC"/>
    <w:rsid w:val="00B61606"/>
    <w:rsid w:val="00B61C58"/>
    <w:rsid w:val="00B623C2"/>
    <w:rsid w:val="00B626E0"/>
    <w:rsid w:val="00B627B2"/>
    <w:rsid w:val="00B63092"/>
    <w:rsid w:val="00B63FC0"/>
    <w:rsid w:val="00B646A9"/>
    <w:rsid w:val="00B64899"/>
    <w:rsid w:val="00B65AC0"/>
    <w:rsid w:val="00B65BDE"/>
    <w:rsid w:val="00B65CB5"/>
    <w:rsid w:val="00B65D64"/>
    <w:rsid w:val="00B66184"/>
    <w:rsid w:val="00B66D04"/>
    <w:rsid w:val="00B67988"/>
    <w:rsid w:val="00B70996"/>
    <w:rsid w:val="00B70D8A"/>
    <w:rsid w:val="00B715E6"/>
    <w:rsid w:val="00B7203A"/>
    <w:rsid w:val="00B7211E"/>
    <w:rsid w:val="00B723EF"/>
    <w:rsid w:val="00B72BA8"/>
    <w:rsid w:val="00B73034"/>
    <w:rsid w:val="00B735A8"/>
    <w:rsid w:val="00B7374F"/>
    <w:rsid w:val="00B73928"/>
    <w:rsid w:val="00B739DB"/>
    <w:rsid w:val="00B73A29"/>
    <w:rsid w:val="00B73F89"/>
    <w:rsid w:val="00B743D6"/>
    <w:rsid w:val="00B74AC3"/>
    <w:rsid w:val="00B74B48"/>
    <w:rsid w:val="00B755E6"/>
    <w:rsid w:val="00B75CDC"/>
    <w:rsid w:val="00B75D08"/>
    <w:rsid w:val="00B76058"/>
    <w:rsid w:val="00B7667E"/>
    <w:rsid w:val="00B7685F"/>
    <w:rsid w:val="00B7696C"/>
    <w:rsid w:val="00B76AE6"/>
    <w:rsid w:val="00B76C0A"/>
    <w:rsid w:val="00B774B8"/>
    <w:rsid w:val="00B7757C"/>
    <w:rsid w:val="00B776BB"/>
    <w:rsid w:val="00B80551"/>
    <w:rsid w:val="00B807AB"/>
    <w:rsid w:val="00B80A89"/>
    <w:rsid w:val="00B80C69"/>
    <w:rsid w:val="00B81B28"/>
    <w:rsid w:val="00B823E0"/>
    <w:rsid w:val="00B823E7"/>
    <w:rsid w:val="00B82623"/>
    <w:rsid w:val="00B827A9"/>
    <w:rsid w:val="00B83213"/>
    <w:rsid w:val="00B83615"/>
    <w:rsid w:val="00B840CC"/>
    <w:rsid w:val="00B8537E"/>
    <w:rsid w:val="00B8537F"/>
    <w:rsid w:val="00B85848"/>
    <w:rsid w:val="00B859A7"/>
    <w:rsid w:val="00B859CE"/>
    <w:rsid w:val="00B868AC"/>
    <w:rsid w:val="00B86C83"/>
    <w:rsid w:val="00B870F2"/>
    <w:rsid w:val="00B876E4"/>
    <w:rsid w:val="00B877B8"/>
    <w:rsid w:val="00B87B2B"/>
    <w:rsid w:val="00B90124"/>
    <w:rsid w:val="00B90393"/>
    <w:rsid w:val="00B90A10"/>
    <w:rsid w:val="00B90A22"/>
    <w:rsid w:val="00B915F2"/>
    <w:rsid w:val="00B91A31"/>
    <w:rsid w:val="00B91B4F"/>
    <w:rsid w:val="00B92F68"/>
    <w:rsid w:val="00B937A8"/>
    <w:rsid w:val="00B939F5"/>
    <w:rsid w:val="00B93D41"/>
    <w:rsid w:val="00B9434F"/>
    <w:rsid w:val="00B945BB"/>
    <w:rsid w:val="00B94A5C"/>
    <w:rsid w:val="00B94E7D"/>
    <w:rsid w:val="00B952E7"/>
    <w:rsid w:val="00B957F9"/>
    <w:rsid w:val="00B958E5"/>
    <w:rsid w:val="00B96779"/>
    <w:rsid w:val="00B96ADE"/>
    <w:rsid w:val="00B971BC"/>
    <w:rsid w:val="00B9766A"/>
    <w:rsid w:val="00B97764"/>
    <w:rsid w:val="00BA10E7"/>
    <w:rsid w:val="00BA12E4"/>
    <w:rsid w:val="00BA1342"/>
    <w:rsid w:val="00BA15DD"/>
    <w:rsid w:val="00BA180D"/>
    <w:rsid w:val="00BA1BFF"/>
    <w:rsid w:val="00BA1EB3"/>
    <w:rsid w:val="00BA1F8D"/>
    <w:rsid w:val="00BA2342"/>
    <w:rsid w:val="00BA24FC"/>
    <w:rsid w:val="00BA3240"/>
    <w:rsid w:val="00BA3362"/>
    <w:rsid w:val="00BA34FF"/>
    <w:rsid w:val="00BA3D7A"/>
    <w:rsid w:val="00BA4519"/>
    <w:rsid w:val="00BA4A36"/>
    <w:rsid w:val="00BA4E94"/>
    <w:rsid w:val="00BA52E7"/>
    <w:rsid w:val="00BA6493"/>
    <w:rsid w:val="00BA69CD"/>
    <w:rsid w:val="00BA6C95"/>
    <w:rsid w:val="00BB0099"/>
    <w:rsid w:val="00BB00C5"/>
    <w:rsid w:val="00BB028F"/>
    <w:rsid w:val="00BB0F92"/>
    <w:rsid w:val="00BB11C4"/>
    <w:rsid w:val="00BB1289"/>
    <w:rsid w:val="00BB158C"/>
    <w:rsid w:val="00BB1AE4"/>
    <w:rsid w:val="00BB1E33"/>
    <w:rsid w:val="00BB2364"/>
    <w:rsid w:val="00BB2C69"/>
    <w:rsid w:val="00BB3043"/>
    <w:rsid w:val="00BB3170"/>
    <w:rsid w:val="00BB31C1"/>
    <w:rsid w:val="00BB31E8"/>
    <w:rsid w:val="00BB3F01"/>
    <w:rsid w:val="00BB43D7"/>
    <w:rsid w:val="00BB4759"/>
    <w:rsid w:val="00BB48A6"/>
    <w:rsid w:val="00BB501C"/>
    <w:rsid w:val="00BB5681"/>
    <w:rsid w:val="00BB59F4"/>
    <w:rsid w:val="00BB64E2"/>
    <w:rsid w:val="00BB6937"/>
    <w:rsid w:val="00BB69D2"/>
    <w:rsid w:val="00BB6ED2"/>
    <w:rsid w:val="00BB7020"/>
    <w:rsid w:val="00BB7781"/>
    <w:rsid w:val="00BB798E"/>
    <w:rsid w:val="00BB7ECD"/>
    <w:rsid w:val="00BB7FEA"/>
    <w:rsid w:val="00BC0200"/>
    <w:rsid w:val="00BC06F8"/>
    <w:rsid w:val="00BC0B19"/>
    <w:rsid w:val="00BC11A2"/>
    <w:rsid w:val="00BC1542"/>
    <w:rsid w:val="00BC1B97"/>
    <w:rsid w:val="00BC2BF0"/>
    <w:rsid w:val="00BC33DB"/>
    <w:rsid w:val="00BC3ED8"/>
    <w:rsid w:val="00BC3F96"/>
    <w:rsid w:val="00BC41C9"/>
    <w:rsid w:val="00BC47A4"/>
    <w:rsid w:val="00BC48BA"/>
    <w:rsid w:val="00BC55C4"/>
    <w:rsid w:val="00BC57C3"/>
    <w:rsid w:val="00BC5E6C"/>
    <w:rsid w:val="00BC69AF"/>
    <w:rsid w:val="00BC75A5"/>
    <w:rsid w:val="00BC7651"/>
    <w:rsid w:val="00BC7833"/>
    <w:rsid w:val="00BC789C"/>
    <w:rsid w:val="00BD037C"/>
    <w:rsid w:val="00BD05C7"/>
    <w:rsid w:val="00BD0C4C"/>
    <w:rsid w:val="00BD10D5"/>
    <w:rsid w:val="00BD174F"/>
    <w:rsid w:val="00BD1F0C"/>
    <w:rsid w:val="00BD229C"/>
    <w:rsid w:val="00BD233D"/>
    <w:rsid w:val="00BD2489"/>
    <w:rsid w:val="00BD24CC"/>
    <w:rsid w:val="00BD279A"/>
    <w:rsid w:val="00BD353D"/>
    <w:rsid w:val="00BD39B0"/>
    <w:rsid w:val="00BD3DA7"/>
    <w:rsid w:val="00BD4223"/>
    <w:rsid w:val="00BD4A6D"/>
    <w:rsid w:val="00BD4AE7"/>
    <w:rsid w:val="00BD4D64"/>
    <w:rsid w:val="00BD5A89"/>
    <w:rsid w:val="00BD5EDE"/>
    <w:rsid w:val="00BD5F41"/>
    <w:rsid w:val="00BD68A4"/>
    <w:rsid w:val="00BD7623"/>
    <w:rsid w:val="00BD773E"/>
    <w:rsid w:val="00BD7896"/>
    <w:rsid w:val="00BD78E0"/>
    <w:rsid w:val="00BD79E3"/>
    <w:rsid w:val="00BD7CED"/>
    <w:rsid w:val="00BD7F97"/>
    <w:rsid w:val="00BE0AA3"/>
    <w:rsid w:val="00BE1012"/>
    <w:rsid w:val="00BE18A5"/>
    <w:rsid w:val="00BE2118"/>
    <w:rsid w:val="00BE2758"/>
    <w:rsid w:val="00BE2872"/>
    <w:rsid w:val="00BE290B"/>
    <w:rsid w:val="00BE2BC5"/>
    <w:rsid w:val="00BE2E64"/>
    <w:rsid w:val="00BE2ECD"/>
    <w:rsid w:val="00BE32A1"/>
    <w:rsid w:val="00BE3423"/>
    <w:rsid w:val="00BE3A81"/>
    <w:rsid w:val="00BE3B0E"/>
    <w:rsid w:val="00BE4D96"/>
    <w:rsid w:val="00BE53A3"/>
    <w:rsid w:val="00BE54D5"/>
    <w:rsid w:val="00BE5604"/>
    <w:rsid w:val="00BE5707"/>
    <w:rsid w:val="00BE5708"/>
    <w:rsid w:val="00BE5AF0"/>
    <w:rsid w:val="00BE5CC8"/>
    <w:rsid w:val="00BE5CF1"/>
    <w:rsid w:val="00BE6331"/>
    <w:rsid w:val="00BE694E"/>
    <w:rsid w:val="00BE6B5F"/>
    <w:rsid w:val="00BE6B74"/>
    <w:rsid w:val="00BE7061"/>
    <w:rsid w:val="00BE7113"/>
    <w:rsid w:val="00BE7715"/>
    <w:rsid w:val="00BE7F53"/>
    <w:rsid w:val="00BF0312"/>
    <w:rsid w:val="00BF076E"/>
    <w:rsid w:val="00BF19D0"/>
    <w:rsid w:val="00BF1C2F"/>
    <w:rsid w:val="00BF1CE1"/>
    <w:rsid w:val="00BF1DED"/>
    <w:rsid w:val="00BF2355"/>
    <w:rsid w:val="00BF2571"/>
    <w:rsid w:val="00BF268E"/>
    <w:rsid w:val="00BF3806"/>
    <w:rsid w:val="00BF4036"/>
    <w:rsid w:val="00BF48F2"/>
    <w:rsid w:val="00BF4A7C"/>
    <w:rsid w:val="00BF4BC8"/>
    <w:rsid w:val="00BF5771"/>
    <w:rsid w:val="00BF5A3F"/>
    <w:rsid w:val="00BF5DE1"/>
    <w:rsid w:val="00BF6357"/>
    <w:rsid w:val="00BF6BE0"/>
    <w:rsid w:val="00BF793D"/>
    <w:rsid w:val="00BF7AF6"/>
    <w:rsid w:val="00BF7F10"/>
    <w:rsid w:val="00C01213"/>
    <w:rsid w:val="00C01915"/>
    <w:rsid w:val="00C019A8"/>
    <w:rsid w:val="00C019AF"/>
    <w:rsid w:val="00C02587"/>
    <w:rsid w:val="00C0258F"/>
    <w:rsid w:val="00C02DE0"/>
    <w:rsid w:val="00C02F69"/>
    <w:rsid w:val="00C03869"/>
    <w:rsid w:val="00C04804"/>
    <w:rsid w:val="00C04C86"/>
    <w:rsid w:val="00C04E8F"/>
    <w:rsid w:val="00C052A9"/>
    <w:rsid w:val="00C05555"/>
    <w:rsid w:val="00C05A4E"/>
    <w:rsid w:val="00C05C9E"/>
    <w:rsid w:val="00C05EC8"/>
    <w:rsid w:val="00C060B4"/>
    <w:rsid w:val="00C06612"/>
    <w:rsid w:val="00C06FB8"/>
    <w:rsid w:val="00C070A2"/>
    <w:rsid w:val="00C0753B"/>
    <w:rsid w:val="00C07C26"/>
    <w:rsid w:val="00C07E76"/>
    <w:rsid w:val="00C10965"/>
    <w:rsid w:val="00C1148B"/>
    <w:rsid w:val="00C114D0"/>
    <w:rsid w:val="00C11D4A"/>
    <w:rsid w:val="00C12881"/>
    <w:rsid w:val="00C13E95"/>
    <w:rsid w:val="00C1446C"/>
    <w:rsid w:val="00C1450A"/>
    <w:rsid w:val="00C14859"/>
    <w:rsid w:val="00C15DAF"/>
    <w:rsid w:val="00C16035"/>
    <w:rsid w:val="00C168C7"/>
    <w:rsid w:val="00C17187"/>
    <w:rsid w:val="00C17884"/>
    <w:rsid w:val="00C17966"/>
    <w:rsid w:val="00C1799D"/>
    <w:rsid w:val="00C17B01"/>
    <w:rsid w:val="00C17C76"/>
    <w:rsid w:val="00C20BFA"/>
    <w:rsid w:val="00C20C99"/>
    <w:rsid w:val="00C21405"/>
    <w:rsid w:val="00C220AE"/>
    <w:rsid w:val="00C233CD"/>
    <w:rsid w:val="00C2398B"/>
    <w:rsid w:val="00C23AA3"/>
    <w:rsid w:val="00C23FBB"/>
    <w:rsid w:val="00C2459E"/>
    <w:rsid w:val="00C24BE0"/>
    <w:rsid w:val="00C25487"/>
    <w:rsid w:val="00C25669"/>
    <w:rsid w:val="00C257A3"/>
    <w:rsid w:val="00C258FC"/>
    <w:rsid w:val="00C25A9C"/>
    <w:rsid w:val="00C25DB5"/>
    <w:rsid w:val="00C275DE"/>
    <w:rsid w:val="00C27682"/>
    <w:rsid w:val="00C27744"/>
    <w:rsid w:val="00C27A7C"/>
    <w:rsid w:val="00C27D00"/>
    <w:rsid w:val="00C27FC6"/>
    <w:rsid w:val="00C3068A"/>
    <w:rsid w:val="00C30B47"/>
    <w:rsid w:val="00C30C3A"/>
    <w:rsid w:val="00C30E34"/>
    <w:rsid w:val="00C31BCE"/>
    <w:rsid w:val="00C31FF2"/>
    <w:rsid w:val="00C3214B"/>
    <w:rsid w:val="00C32502"/>
    <w:rsid w:val="00C3252E"/>
    <w:rsid w:val="00C3280D"/>
    <w:rsid w:val="00C32AC0"/>
    <w:rsid w:val="00C32D09"/>
    <w:rsid w:val="00C32EF9"/>
    <w:rsid w:val="00C33017"/>
    <w:rsid w:val="00C33110"/>
    <w:rsid w:val="00C33217"/>
    <w:rsid w:val="00C33C45"/>
    <w:rsid w:val="00C342EF"/>
    <w:rsid w:val="00C345E9"/>
    <w:rsid w:val="00C348CF"/>
    <w:rsid w:val="00C34E20"/>
    <w:rsid w:val="00C351B7"/>
    <w:rsid w:val="00C35399"/>
    <w:rsid w:val="00C353D0"/>
    <w:rsid w:val="00C3542F"/>
    <w:rsid w:val="00C35704"/>
    <w:rsid w:val="00C357F0"/>
    <w:rsid w:val="00C359CE"/>
    <w:rsid w:val="00C359FD"/>
    <w:rsid w:val="00C35A0E"/>
    <w:rsid w:val="00C35C8B"/>
    <w:rsid w:val="00C35C9D"/>
    <w:rsid w:val="00C35DE3"/>
    <w:rsid w:val="00C36602"/>
    <w:rsid w:val="00C367ED"/>
    <w:rsid w:val="00C3698A"/>
    <w:rsid w:val="00C37A44"/>
    <w:rsid w:val="00C400DE"/>
    <w:rsid w:val="00C408DC"/>
    <w:rsid w:val="00C40D25"/>
    <w:rsid w:val="00C414D5"/>
    <w:rsid w:val="00C4298C"/>
    <w:rsid w:val="00C42A09"/>
    <w:rsid w:val="00C42F3E"/>
    <w:rsid w:val="00C43219"/>
    <w:rsid w:val="00C438D0"/>
    <w:rsid w:val="00C43C5C"/>
    <w:rsid w:val="00C444C8"/>
    <w:rsid w:val="00C4540D"/>
    <w:rsid w:val="00C4563B"/>
    <w:rsid w:val="00C45F9E"/>
    <w:rsid w:val="00C463FD"/>
    <w:rsid w:val="00C468F3"/>
    <w:rsid w:val="00C46990"/>
    <w:rsid w:val="00C470ED"/>
    <w:rsid w:val="00C47156"/>
    <w:rsid w:val="00C47A49"/>
    <w:rsid w:val="00C47A92"/>
    <w:rsid w:val="00C47BB2"/>
    <w:rsid w:val="00C47F11"/>
    <w:rsid w:val="00C5199C"/>
    <w:rsid w:val="00C5219A"/>
    <w:rsid w:val="00C523F2"/>
    <w:rsid w:val="00C52E1D"/>
    <w:rsid w:val="00C53059"/>
    <w:rsid w:val="00C531A8"/>
    <w:rsid w:val="00C53B91"/>
    <w:rsid w:val="00C53BA1"/>
    <w:rsid w:val="00C54655"/>
    <w:rsid w:val="00C547C4"/>
    <w:rsid w:val="00C5491B"/>
    <w:rsid w:val="00C5496F"/>
    <w:rsid w:val="00C54A46"/>
    <w:rsid w:val="00C54B0D"/>
    <w:rsid w:val="00C54F53"/>
    <w:rsid w:val="00C5528D"/>
    <w:rsid w:val="00C558B8"/>
    <w:rsid w:val="00C55DA8"/>
    <w:rsid w:val="00C56170"/>
    <w:rsid w:val="00C57087"/>
    <w:rsid w:val="00C57377"/>
    <w:rsid w:val="00C574F4"/>
    <w:rsid w:val="00C57ECF"/>
    <w:rsid w:val="00C60310"/>
    <w:rsid w:val="00C60379"/>
    <w:rsid w:val="00C60A94"/>
    <w:rsid w:val="00C6132C"/>
    <w:rsid w:val="00C615C4"/>
    <w:rsid w:val="00C6219C"/>
    <w:rsid w:val="00C6257A"/>
    <w:rsid w:val="00C626F4"/>
    <w:rsid w:val="00C62F86"/>
    <w:rsid w:val="00C6329E"/>
    <w:rsid w:val="00C6383F"/>
    <w:rsid w:val="00C63CFD"/>
    <w:rsid w:val="00C63D48"/>
    <w:rsid w:val="00C63D90"/>
    <w:rsid w:val="00C63FAF"/>
    <w:rsid w:val="00C64675"/>
    <w:rsid w:val="00C65588"/>
    <w:rsid w:val="00C657EB"/>
    <w:rsid w:val="00C65816"/>
    <w:rsid w:val="00C6601B"/>
    <w:rsid w:val="00C66064"/>
    <w:rsid w:val="00C663C0"/>
    <w:rsid w:val="00C6669D"/>
    <w:rsid w:val="00C66EE8"/>
    <w:rsid w:val="00C66F80"/>
    <w:rsid w:val="00C67146"/>
    <w:rsid w:val="00C673AC"/>
    <w:rsid w:val="00C67486"/>
    <w:rsid w:val="00C6787D"/>
    <w:rsid w:val="00C70459"/>
    <w:rsid w:val="00C7056B"/>
    <w:rsid w:val="00C70E62"/>
    <w:rsid w:val="00C71419"/>
    <w:rsid w:val="00C718BB"/>
    <w:rsid w:val="00C720A3"/>
    <w:rsid w:val="00C72A11"/>
    <w:rsid w:val="00C72F7F"/>
    <w:rsid w:val="00C73297"/>
    <w:rsid w:val="00C73719"/>
    <w:rsid w:val="00C7377D"/>
    <w:rsid w:val="00C73B9E"/>
    <w:rsid w:val="00C74135"/>
    <w:rsid w:val="00C74803"/>
    <w:rsid w:val="00C74BB9"/>
    <w:rsid w:val="00C74DB6"/>
    <w:rsid w:val="00C74DDE"/>
    <w:rsid w:val="00C75013"/>
    <w:rsid w:val="00C752BB"/>
    <w:rsid w:val="00C75574"/>
    <w:rsid w:val="00C75801"/>
    <w:rsid w:val="00C75CE3"/>
    <w:rsid w:val="00C76D7A"/>
    <w:rsid w:val="00C76DA0"/>
    <w:rsid w:val="00C77C5F"/>
    <w:rsid w:val="00C77C9F"/>
    <w:rsid w:val="00C80022"/>
    <w:rsid w:val="00C80212"/>
    <w:rsid w:val="00C809EC"/>
    <w:rsid w:val="00C80C21"/>
    <w:rsid w:val="00C81203"/>
    <w:rsid w:val="00C815CB"/>
    <w:rsid w:val="00C81C81"/>
    <w:rsid w:val="00C82021"/>
    <w:rsid w:val="00C822DC"/>
    <w:rsid w:val="00C82AAC"/>
    <w:rsid w:val="00C82B01"/>
    <w:rsid w:val="00C835AF"/>
    <w:rsid w:val="00C836A6"/>
    <w:rsid w:val="00C8383A"/>
    <w:rsid w:val="00C83ED8"/>
    <w:rsid w:val="00C83F95"/>
    <w:rsid w:val="00C84753"/>
    <w:rsid w:val="00C84BCC"/>
    <w:rsid w:val="00C84E0E"/>
    <w:rsid w:val="00C84EB9"/>
    <w:rsid w:val="00C86133"/>
    <w:rsid w:val="00C868CD"/>
    <w:rsid w:val="00C86EAA"/>
    <w:rsid w:val="00C8716A"/>
    <w:rsid w:val="00C87399"/>
    <w:rsid w:val="00C87580"/>
    <w:rsid w:val="00C87C71"/>
    <w:rsid w:val="00C90248"/>
    <w:rsid w:val="00C90977"/>
    <w:rsid w:val="00C91070"/>
    <w:rsid w:val="00C9203E"/>
    <w:rsid w:val="00C92051"/>
    <w:rsid w:val="00C9244B"/>
    <w:rsid w:val="00C92537"/>
    <w:rsid w:val="00C92ADF"/>
    <w:rsid w:val="00C932B7"/>
    <w:rsid w:val="00C93765"/>
    <w:rsid w:val="00C939FA"/>
    <w:rsid w:val="00C93AC8"/>
    <w:rsid w:val="00C93C48"/>
    <w:rsid w:val="00C940B3"/>
    <w:rsid w:val="00C95B45"/>
    <w:rsid w:val="00C95C43"/>
    <w:rsid w:val="00C95F4B"/>
    <w:rsid w:val="00C96096"/>
    <w:rsid w:val="00C96A2A"/>
    <w:rsid w:val="00C96DD2"/>
    <w:rsid w:val="00C96FE9"/>
    <w:rsid w:val="00C972E7"/>
    <w:rsid w:val="00C975D1"/>
    <w:rsid w:val="00C97B74"/>
    <w:rsid w:val="00CA03A4"/>
    <w:rsid w:val="00CA0AD4"/>
    <w:rsid w:val="00CA1574"/>
    <w:rsid w:val="00CA2000"/>
    <w:rsid w:val="00CA21FA"/>
    <w:rsid w:val="00CA2D0F"/>
    <w:rsid w:val="00CA2DF7"/>
    <w:rsid w:val="00CA2E76"/>
    <w:rsid w:val="00CA382B"/>
    <w:rsid w:val="00CA4357"/>
    <w:rsid w:val="00CA451B"/>
    <w:rsid w:val="00CA4776"/>
    <w:rsid w:val="00CA4DB1"/>
    <w:rsid w:val="00CA4E55"/>
    <w:rsid w:val="00CA4E8A"/>
    <w:rsid w:val="00CA564E"/>
    <w:rsid w:val="00CA5652"/>
    <w:rsid w:val="00CA5C46"/>
    <w:rsid w:val="00CA5EF9"/>
    <w:rsid w:val="00CA5FFC"/>
    <w:rsid w:val="00CA6098"/>
    <w:rsid w:val="00CA6572"/>
    <w:rsid w:val="00CA665A"/>
    <w:rsid w:val="00CA6E55"/>
    <w:rsid w:val="00CA6EC7"/>
    <w:rsid w:val="00CA7285"/>
    <w:rsid w:val="00CA7297"/>
    <w:rsid w:val="00CA7CBE"/>
    <w:rsid w:val="00CB0D23"/>
    <w:rsid w:val="00CB1ACE"/>
    <w:rsid w:val="00CB1D75"/>
    <w:rsid w:val="00CB25AE"/>
    <w:rsid w:val="00CB2B7B"/>
    <w:rsid w:val="00CB3178"/>
    <w:rsid w:val="00CB332E"/>
    <w:rsid w:val="00CB4472"/>
    <w:rsid w:val="00CB4786"/>
    <w:rsid w:val="00CB4C80"/>
    <w:rsid w:val="00CB4C94"/>
    <w:rsid w:val="00CB4CD8"/>
    <w:rsid w:val="00CB4F45"/>
    <w:rsid w:val="00CB5CB8"/>
    <w:rsid w:val="00CB6653"/>
    <w:rsid w:val="00CB79BF"/>
    <w:rsid w:val="00CB7E92"/>
    <w:rsid w:val="00CC02A9"/>
    <w:rsid w:val="00CC08F5"/>
    <w:rsid w:val="00CC0AAF"/>
    <w:rsid w:val="00CC105F"/>
    <w:rsid w:val="00CC179D"/>
    <w:rsid w:val="00CC2B69"/>
    <w:rsid w:val="00CC2BAF"/>
    <w:rsid w:val="00CC2FA6"/>
    <w:rsid w:val="00CC361E"/>
    <w:rsid w:val="00CC37BE"/>
    <w:rsid w:val="00CC4916"/>
    <w:rsid w:val="00CC4A49"/>
    <w:rsid w:val="00CC4C3B"/>
    <w:rsid w:val="00CC511A"/>
    <w:rsid w:val="00CC5B6F"/>
    <w:rsid w:val="00CC6572"/>
    <w:rsid w:val="00CC666F"/>
    <w:rsid w:val="00CC6C6E"/>
    <w:rsid w:val="00CC75C3"/>
    <w:rsid w:val="00CC77BD"/>
    <w:rsid w:val="00CD06A6"/>
    <w:rsid w:val="00CD0C42"/>
    <w:rsid w:val="00CD11FF"/>
    <w:rsid w:val="00CD19C0"/>
    <w:rsid w:val="00CD23AF"/>
    <w:rsid w:val="00CD26E2"/>
    <w:rsid w:val="00CD2D4C"/>
    <w:rsid w:val="00CD4837"/>
    <w:rsid w:val="00CD4941"/>
    <w:rsid w:val="00CD570D"/>
    <w:rsid w:val="00CD5F07"/>
    <w:rsid w:val="00CD6008"/>
    <w:rsid w:val="00CD6C70"/>
    <w:rsid w:val="00CD73BC"/>
    <w:rsid w:val="00CD7A2C"/>
    <w:rsid w:val="00CD7A7F"/>
    <w:rsid w:val="00CD7CAB"/>
    <w:rsid w:val="00CD7E0C"/>
    <w:rsid w:val="00CE0534"/>
    <w:rsid w:val="00CE088A"/>
    <w:rsid w:val="00CE0EC1"/>
    <w:rsid w:val="00CE11A1"/>
    <w:rsid w:val="00CE1A55"/>
    <w:rsid w:val="00CE1C70"/>
    <w:rsid w:val="00CE1CC5"/>
    <w:rsid w:val="00CE1E81"/>
    <w:rsid w:val="00CE286A"/>
    <w:rsid w:val="00CE2FF6"/>
    <w:rsid w:val="00CE3CBE"/>
    <w:rsid w:val="00CE3F6D"/>
    <w:rsid w:val="00CE43C8"/>
    <w:rsid w:val="00CE458B"/>
    <w:rsid w:val="00CE46DC"/>
    <w:rsid w:val="00CE5062"/>
    <w:rsid w:val="00CE592D"/>
    <w:rsid w:val="00CE638E"/>
    <w:rsid w:val="00CE65A9"/>
    <w:rsid w:val="00CE6AFE"/>
    <w:rsid w:val="00CE7C6A"/>
    <w:rsid w:val="00CF01A1"/>
    <w:rsid w:val="00CF07AB"/>
    <w:rsid w:val="00CF08E9"/>
    <w:rsid w:val="00CF09F0"/>
    <w:rsid w:val="00CF0C6A"/>
    <w:rsid w:val="00CF0FF8"/>
    <w:rsid w:val="00CF1927"/>
    <w:rsid w:val="00CF1C29"/>
    <w:rsid w:val="00CF2B3F"/>
    <w:rsid w:val="00CF2CEA"/>
    <w:rsid w:val="00CF31AC"/>
    <w:rsid w:val="00CF36A9"/>
    <w:rsid w:val="00CF37DF"/>
    <w:rsid w:val="00CF389A"/>
    <w:rsid w:val="00CF3F82"/>
    <w:rsid w:val="00CF53F9"/>
    <w:rsid w:val="00CF55E5"/>
    <w:rsid w:val="00CF5C08"/>
    <w:rsid w:val="00CF68F8"/>
    <w:rsid w:val="00CF6A4A"/>
    <w:rsid w:val="00CF73CA"/>
    <w:rsid w:val="00CF75D0"/>
    <w:rsid w:val="00D005D1"/>
    <w:rsid w:val="00D00A8D"/>
    <w:rsid w:val="00D00A8E"/>
    <w:rsid w:val="00D00DD1"/>
    <w:rsid w:val="00D00FC3"/>
    <w:rsid w:val="00D0119A"/>
    <w:rsid w:val="00D0251E"/>
    <w:rsid w:val="00D02738"/>
    <w:rsid w:val="00D03270"/>
    <w:rsid w:val="00D034E6"/>
    <w:rsid w:val="00D037AA"/>
    <w:rsid w:val="00D03C7F"/>
    <w:rsid w:val="00D03D3F"/>
    <w:rsid w:val="00D03E01"/>
    <w:rsid w:val="00D04B38"/>
    <w:rsid w:val="00D04BB1"/>
    <w:rsid w:val="00D04D03"/>
    <w:rsid w:val="00D050F8"/>
    <w:rsid w:val="00D05638"/>
    <w:rsid w:val="00D057B1"/>
    <w:rsid w:val="00D05D5C"/>
    <w:rsid w:val="00D05FCC"/>
    <w:rsid w:val="00D0634C"/>
    <w:rsid w:val="00D06445"/>
    <w:rsid w:val="00D0673F"/>
    <w:rsid w:val="00D067E1"/>
    <w:rsid w:val="00D06AC5"/>
    <w:rsid w:val="00D0709C"/>
    <w:rsid w:val="00D0750F"/>
    <w:rsid w:val="00D07528"/>
    <w:rsid w:val="00D07B0B"/>
    <w:rsid w:val="00D10075"/>
    <w:rsid w:val="00D10254"/>
    <w:rsid w:val="00D10A00"/>
    <w:rsid w:val="00D10F79"/>
    <w:rsid w:val="00D10FB2"/>
    <w:rsid w:val="00D11782"/>
    <w:rsid w:val="00D11E86"/>
    <w:rsid w:val="00D1210C"/>
    <w:rsid w:val="00D121F2"/>
    <w:rsid w:val="00D12643"/>
    <w:rsid w:val="00D12763"/>
    <w:rsid w:val="00D128A8"/>
    <w:rsid w:val="00D12A3A"/>
    <w:rsid w:val="00D13AE0"/>
    <w:rsid w:val="00D1409C"/>
    <w:rsid w:val="00D145D0"/>
    <w:rsid w:val="00D14CDD"/>
    <w:rsid w:val="00D15885"/>
    <w:rsid w:val="00D1591A"/>
    <w:rsid w:val="00D15D49"/>
    <w:rsid w:val="00D15F20"/>
    <w:rsid w:val="00D16143"/>
    <w:rsid w:val="00D16548"/>
    <w:rsid w:val="00D16B41"/>
    <w:rsid w:val="00D16CA5"/>
    <w:rsid w:val="00D16D03"/>
    <w:rsid w:val="00D172F3"/>
    <w:rsid w:val="00D17306"/>
    <w:rsid w:val="00D17765"/>
    <w:rsid w:val="00D178C8"/>
    <w:rsid w:val="00D17AEB"/>
    <w:rsid w:val="00D17DBF"/>
    <w:rsid w:val="00D2006C"/>
    <w:rsid w:val="00D20947"/>
    <w:rsid w:val="00D2121A"/>
    <w:rsid w:val="00D2133B"/>
    <w:rsid w:val="00D21935"/>
    <w:rsid w:val="00D21AC4"/>
    <w:rsid w:val="00D21BF3"/>
    <w:rsid w:val="00D22CC0"/>
    <w:rsid w:val="00D23472"/>
    <w:rsid w:val="00D2410E"/>
    <w:rsid w:val="00D24482"/>
    <w:rsid w:val="00D24890"/>
    <w:rsid w:val="00D263B0"/>
    <w:rsid w:val="00D26689"/>
    <w:rsid w:val="00D26775"/>
    <w:rsid w:val="00D267C5"/>
    <w:rsid w:val="00D26978"/>
    <w:rsid w:val="00D27778"/>
    <w:rsid w:val="00D27980"/>
    <w:rsid w:val="00D27FB1"/>
    <w:rsid w:val="00D27FCA"/>
    <w:rsid w:val="00D3027F"/>
    <w:rsid w:val="00D307C1"/>
    <w:rsid w:val="00D31407"/>
    <w:rsid w:val="00D31542"/>
    <w:rsid w:val="00D31858"/>
    <w:rsid w:val="00D31B69"/>
    <w:rsid w:val="00D31E24"/>
    <w:rsid w:val="00D31EC3"/>
    <w:rsid w:val="00D31F1D"/>
    <w:rsid w:val="00D32445"/>
    <w:rsid w:val="00D328C0"/>
    <w:rsid w:val="00D32B20"/>
    <w:rsid w:val="00D32B63"/>
    <w:rsid w:val="00D32BA0"/>
    <w:rsid w:val="00D32CA9"/>
    <w:rsid w:val="00D331DF"/>
    <w:rsid w:val="00D3390A"/>
    <w:rsid w:val="00D33CF5"/>
    <w:rsid w:val="00D33CFF"/>
    <w:rsid w:val="00D33D20"/>
    <w:rsid w:val="00D33DA7"/>
    <w:rsid w:val="00D346A0"/>
    <w:rsid w:val="00D34DDB"/>
    <w:rsid w:val="00D3518A"/>
    <w:rsid w:val="00D354CD"/>
    <w:rsid w:val="00D3551B"/>
    <w:rsid w:val="00D356F7"/>
    <w:rsid w:val="00D35813"/>
    <w:rsid w:val="00D361D0"/>
    <w:rsid w:val="00D36979"/>
    <w:rsid w:val="00D36D59"/>
    <w:rsid w:val="00D37826"/>
    <w:rsid w:val="00D37DA7"/>
    <w:rsid w:val="00D40624"/>
    <w:rsid w:val="00D40A8D"/>
    <w:rsid w:val="00D40F7C"/>
    <w:rsid w:val="00D410AA"/>
    <w:rsid w:val="00D41161"/>
    <w:rsid w:val="00D4200F"/>
    <w:rsid w:val="00D42382"/>
    <w:rsid w:val="00D42960"/>
    <w:rsid w:val="00D43D8A"/>
    <w:rsid w:val="00D44410"/>
    <w:rsid w:val="00D44639"/>
    <w:rsid w:val="00D44FDA"/>
    <w:rsid w:val="00D45809"/>
    <w:rsid w:val="00D45C36"/>
    <w:rsid w:val="00D46064"/>
    <w:rsid w:val="00D46BE9"/>
    <w:rsid w:val="00D46EE1"/>
    <w:rsid w:val="00D4762D"/>
    <w:rsid w:val="00D4796E"/>
    <w:rsid w:val="00D50520"/>
    <w:rsid w:val="00D50784"/>
    <w:rsid w:val="00D50F0C"/>
    <w:rsid w:val="00D510F9"/>
    <w:rsid w:val="00D51852"/>
    <w:rsid w:val="00D51D2A"/>
    <w:rsid w:val="00D51D53"/>
    <w:rsid w:val="00D5240B"/>
    <w:rsid w:val="00D52CFA"/>
    <w:rsid w:val="00D5324B"/>
    <w:rsid w:val="00D53642"/>
    <w:rsid w:val="00D536C0"/>
    <w:rsid w:val="00D53B12"/>
    <w:rsid w:val="00D53D62"/>
    <w:rsid w:val="00D53E34"/>
    <w:rsid w:val="00D5463D"/>
    <w:rsid w:val="00D54C6F"/>
    <w:rsid w:val="00D555FB"/>
    <w:rsid w:val="00D557F9"/>
    <w:rsid w:val="00D559EA"/>
    <w:rsid w:val="00D56002"/>
    <w:rsid w:val="00D5668A"/>
    <w:rsid w:val="00D566ED"/>
    <w:rsid w:val="00D577AE"/>
    <w:rsid w:val="00D57E6F"/>
    <w:rsid w:val="00D57EC1"/>
    <w:rsid w:val="00D60326"/>
    <w:rsid w:val="00D604D0"/>
    <w:rsid w:val="00D61DD7"/>
    <w:rsid w:val="00D62633"/>
    <w:rsid w:val="00D62E62"/>
    <w:rsid w:val="00D62F02"/>
    <w:rsid w:val="00D63421"/>
    <w:rsid w:val="00D63A29"/>
    <w:rsid w:val="00D63AEF"/>
    <w:rsid w:val="00D63F1E"/>
    <w:rsid w:val="00D641E4"/>
    <w:rsid w:val="00D643C3"/>
    <w:rsid w:val="00D645F8"/>
    <w:rsid w:val="00D646BD"/>
    <w:rsid w:val="00D646F6"/>
    <w:rsid w:val="00D64895"/>
    <w:rsid w:val="00D64EBE"/>
    <w:rsid w:val="00D65737"/>
    <w:rsid w:val="00D6617C"/>
    <w:rsid w:val="00D666C8"/>
    <w:rsid w:val="00D6686E"/>
    <w:rsid w:val="00D669A3"/>
    <w:rsid w:val="00D66A23"/>
    <w:rsid w:val="00D66E49"/>
    <w:rsid w:val="00D670B6"/>
    <w:rsid w:val="00D6713B"/>
    <w:rsid w:val="00D671A5"/>
    <w:rsid w:val="00D67BFF"/>
    <w:rsid w:val="00D70850"/>
    <w:rsid w:val="00D70A78"/>
    <w:rsid w:val="00D70B1E"/>
    <w:rsid w:val="00D70F18"/>
    <w:rsid w:val="00D72F88"/>
    <w:rsid w:val="00D73510"/>
    <w:rsid w:val="00D73872"/>
    <w:rsid w:val="00D7401E"/>
    <w:rsid w:val="00D741D1"/>
    <w:rsid w:val="00D7450A"/>
    <w:rsid w:val="00D75579"/>
    <w:rsid w:val="00D75A16"/>
    <w:rsid w:val="00D75B57"/>
    <w:rsid w:val="00D7630C"/>
    <w:rsid w:val="00D7636D"/>
    <w:rsid w:val="00D76429"/>
    <w:rsid w:val="00D77113"/>
    <w:rsid w:val="00D77CD0"/>
    <w:rsid w:val="00D801F2"/>
    <w:rsid w:val="00D804C7"/>
    <w:rsid w:val="00D80A36"/>
    <w:rsid w:val="00D80C15"/>
    <w:rsid w:val="00D80EA5"/>
    <w:rsid w:val="00D80F60"/>
    <w:rsid w:val="00D81607"/>
    <w:rsid w:val="00D81705"/>
    <w:rsid w:val="00D8189A"/>
    <w:rsid w:val="00D81949"/>
    <w:rsid w:val="00D826CF"/>
    <w:rsid w:val="00D82B53"/>
    <w:rsid w:val="00D82B80"/>
    <w:rsid w:val="00D82BBF"/>
    <w:rsid w:val="00D82CA5"/>
    <w:rsid w:val="00D82E45"/>
    <w:rsid w:val="00D82EB2"/>
    <w:rsid w:val="00D8318B"/>
    <w:rsid w:val="00D83454"/>
    <w:rsid w:val="00D8347B"/>
    <w:rsid w:val="00D84FDC"/>
    <w:rsid w:val="00D850A0"/>
    <w:rsid w:val="00D867AF"/>
    <w:rsid w:val="00D86A30"/>
    <w:rsid w:val="00D86D6A"/>
    <w:rsid w:val="00D87281"/>
    <w:rsid w:val="00D87897"/>
    <w:rsid w:val="00D87EFE"/>
    <w:rsid w:val="00D905B7"/>
    <w:rsid w:val="00D91669"/>
    <w:rsid w:val="00D917C0"/>
    <w:rsid w:val="00D91A58"/>
    <w:rsid w:val="00D922AC"/>
    <w:rsid w:val="00D92303"/>
    <w:rsid w:val="00D92A02"/>
    <w:rsid w:val="00D92C6A"/>
    <w:rsid w:val="00D93173"/>
    <w:rsid w:val="00D93278"/>
    <w:rsid w:val="00D93B4F"/>
    <w:rsid w:val="00D94BA3"/>
    <w:rsid w:val="00D94FDE"/>
    <w:rsid w:val="00D9511D"/>
    <w:rsid w:val="00D95497"/>
    <w:rsid w:val="00D959B8"/>
    <w:rsid w:val="00D95BB1"/>
    <w:rsid w:val="00D963DA"/>
    <w:rsid w:val="00D9676C"/>
    <w:rsid w:val="00D968AF"/>
    <w:rsid w:val="00D96C61"/>
    <w:rsid w:val="00D96C76"/>
    <w:rsid w:val="00D96D99"/>
    <w:rsid w:val="00D97424"/>
    <w:rsid w:val="00D97C8A"/>
    <w:rsid w:val="00DA0959"/>
    <w:rsid w:val="00DA1084"/>
    <w:rsid w:val="00DA1804"/>
    <w:rsid w:val="00DA1C8E"/>
    <w:rsid w:val="00DA2109"/>
    <w:rsid w:val="00DA22DF"/>
    <w:rsid w:val="00DA2327"/>
    <w:rsid w:val="00DA33F2"/>
    <w:rsid w:val="00DA3425"/>
    <w:rsid w:val="00DA362D"/>
    <w:rsid w:val="00DA36CA"/>
    <w:rsid w:val="00DA3A6E"/>
    <w:rsid w:val="00DA3C66"/>
    <w:rsid w:val="00DA44C1"/>
    <w:rsid w:val="00DA4713"/>
    <w:rsid w:val="00DA4ACB"/>
    <w:rsid w:val="00DA4B50"/>
    <w:rsid w:val="00DA4C3E"/>
    <w:rsid w:val="00DA5412"/>
    <w:rsid w:val="00DA63B7"/>
    <w:rsid w:val="00DA6AA8"/>
    <w:rsid w:val="00DA76EC"/>
    <w:rsid w:val="00DB0B33"/>
    <w:rsid w:val="00DB0BD3"/>
    <w:rsid w:val="00DB0BFA"/>
    <w:rsid w:val="00DB0C01"/>
    <w:rsid w:val="00DB141D"/>
    <w:rsid w:val="00DB14E6"/>
    <w:rsid w:val="00DB1BF5"/>
    <w:rsid w:val="00DB2225"/>
    <w:rsid w:val="00DB2566"/>
    <w:rsid w:val="00DB2661"/>
    <w:rsid w:val="00DB26B7"/>
    <w:rsid w:val="00DB2897"/>
    <w:rsid w:val="00DB2DBC"/>
    <w:rsid w:val="00DB39FC"/>
    <w:rsid w:val="00DB3B8A"/>
    <w:rsid w:val="00DB4536"/>
    <w:rsid w:val="00DB476D"/>
    <w:rsid w:val="00DB4906"/>
    <w:rsid w:val="00DB5491"/>
    <w:rsid w:val="00DB5761"/>
    <w:rsid w:val="00DB588D"/>
    <w:rsid w:val="00DB6F7F"/>
    <w:rsid w:val="00DB7235"/>
    <w:rsid w:val="00DC03A2"/>
    <w:rsid w:val="00DC0AC6"/>
    <w:rsid w:val="00DC0AF2"/>
    <w:rsid w:val="00DC166C"/>
    <w:rsid w:val="00DC1752"/>
    <w:rsid w:val="00DC2582"/>
    <w:rsid w:val="00DC25BA"/>
    <w:rsid w:val="00DC2671"/>
    <w:rsid w:val="00DC2AC6"/>
    <w:rsid w:val="00DC31B0"/>
    <w:rsid w:val="00DC3289"/>
    <w:rsid w:val="00DC3D43"/>
    <w:rsid w:val="00DC3E7E"/>
    <w:rsid w:val="00DC3EF6"/>
    <w:rsid w:val="00DC4451"/>
    <w:rsid w:val="00DC4A24"/>
    <w:rsid w:val="00DC53A1"/>
    <w:rsid w:val="00DC5466"/>
    <w:rsid w:val="00DC5477"/>
    <w:rsid w:val="00DC55A3"/>
    <w:rsid w:val="00DC5CD8"/>
    <w:rsid w:val="00DC5D44"/>
    <w:rsid w:val="00DC5E8C"/>
    <w:rsid w:val="00DC6749"/>
    <w:rsid w:val="00DC677B"/>
    <w:rsid w:val="00DC6F52"/>
    <w:rsid w:val="00DC7518"/>
    <w:rsid w:val="00DC7935"/>
    <w:rsid w:val="00DC7A20"/>
    <w:rsid w:val="00DC7E94"/>
    <w:rsid w:val="00DC7F12"/>
    <w:rsid w:val="00DD038A"/>
    <w:rsid w:val="00DD082E"/>
    <w:rsid w:val="00DD083D"/>
    <w:rsid w:val="00DD0D6A"/>
    <w:rsid w:val="00DD0FE7"/>
    <w:rsid w:val="00DD155C"/>
    <w:rsid w:val="00DD197E"/>
    <w:rsid w:val="00DD1E5B"/>
    <w:rsid w:val="00DD2462"/>
    <w:rsid w:val="00DD2711"/>
    <w:rsid w:val="00DD2C6D"/>
    <w:rsid w:val="00DD361D"/>
    <w:rsid w:val="00DD3683"/>
    <w:rsid w:val="00DD3B27"/>
    <w:rsid w:val="00DD3C0B"/>
    <w:rsid w:val="00DD3CE3"/>
    <w:rsid w:val="00DD3D65"/>
    <w:rsid w:val="00DD40ED"/>
    <w:rsid w:val="00DD4353"/>
    <w:rsid w:val="00DD47C3"/>
    <w:rsid w:val="00DD4F6B"/>
    <w:rsid w:val="00DD5016"/>
    <w:rsid w:val="00DD5254"/>
    <w:rsid w:val="00DD52B4"/>
    <w:rsid w:val="00DD5D2F"/>
    <w:rsid w:val="00DD6018"/>
    <w:rsid w:val="00DD6756"/>
    <w:rsid w:val="00DD6A02"/>
    <w:rsid w:val="00DD6CDB"/>
    <w:rsid w:val="00DD6E26"/>
    <w:rsid w:val="00DD7AC7"/>
    <w:rsid w:val="00DE0243"/>
    <w:rsid w:val="00DE06B5"/>
    <w:rsid w:val="00DE0F6F"/>
    <w:rsid w:val="00DE1246"/>
    <w:rsid w:val="00DE1A78"/>
    <w:rsid w:val="00DE1F9B"/>
    <w:rsid w:val="00DE22C4"/>
    <w:rsid w:val="00DE2443"/>
    <w:rsid w:val="00DE2EBF"/>
    <w:rsid w:val="00DE30DC"/>
    <w:rsid w:val="00DE39B9"/>
    <w:rsid w:val="00DE3BE2"/>
    <w:rsid w:val="00DE3C73"/>
    <w:rsid w:val="00DE3F64"/>
    <w:rsid w:val="00DE3F6E"/>
    <w:rsid w:val="00DE4422"/>
    <w:rsid w:val="00DE4826"/>
    <w:rsid w:val="00DE4851"/>
    <w:rsid w:val="00DE4D67"/>
    <w:rsid w:val="00DE4D8B"/>
    <w:rsid w:val="00DE528B"/>
    <w:rsid w:val="00DE56AD"/>
    <w:rsid w:val="00DE58C6"/>
    <w:rsid w:val="00DE59DA"/>
    <w:rsid w:val="00DE6007"/>
    <w:rsid w:val="00DE600D"/>
    <w:rsid w:val="00DE629E"/>
    <w:rsid w:val="00DE6957"/>
    <w:rsid w:val="00DE6E80"/>
    <w:rsid w:val="00DE731A"/>
    <w:rsid w:val="00DE7BBF"/>
    <w:rsid w:val="00DE7DDE"/>
    <w:rsid w:val="00DE7FFB"/>
    <w:rsid w:val="00DF0071"/>
    <w:rsid w:val="00DF02D6"/>
    <w:rsid w:val="00DF0765"/>
    <w:rsid w:val="00DF0975"/>
    <w:rsid w:val="00DF09A6"/>
    <w:rsid w:val="00DF0A0A"/>
    <w:rsid w:val="00DF0B02"/>
    <w:rsid w:val="00DF0DC8"/>
    <w:rsid w:val="00DF10E7"/>
    <w:rsid w:val="00DF15B7"/>
    <w:rsid w:val="00DF2038"/>
    <w:rsid w:val="00DF2AD5"/>
    <w:rsid w:val="00DF2F1D"/>
    <w:rsid w:val="00DF2FC7"/>
    <w:rsid w:val="00DF3239"/>
    <w:rsid w:val="00DF3910"/>
    <w:rsid w:val="00DF3EF7"/>
    <w:rsid w:val="00DF44E9"/>
    <w:rsid w:val="00DF4522"/>
    <w:rsid w:val="00DF4F84"/>
    <w:rsid w:val="00DF4FC2"/>
    <w:rsid w:val="00DF502C"/>
    <w:rsid w:val="00DF59EF"/>
    <w:rsid w:val="00DF7115"/>
    <w:rsid w:val="00DF7BDA"/>
    <w:rsid w:val="00DF7E9A"/>
    <w:rsid w:val="00E00C8B"/>
    <w:rsid w:val="00E00FF1"/>
    <w:rsid w:val="00E0104F"/>
    <w:rsid w:val="00E0127D"/>
    <w:rsid w:val="00E015EA"/>
    <w:rsid w:val="00E01761"/>
    <w:rsid w:val="00E01B70"/>
    <w:rsid w:val="00E01C76"/>
    <w:rsid w:val="00E02AF9"/>
    <w:rsid w:val="00E02D5D"/>
    <w:rsid w:val="00E03B07"/>
    <w:rsid w:val="00E040AD"/>
    <w:rsid w:val="00E04285"/>
    <w:rsid w:val="00E04BFD"/>
    <w:rsid w:val="00E04E6C"/>
    <w:rsid w:val="00E0510B"/>
    <w:rsid w:val="00E0540A"/>
    <w:rsid w:val="00E054F3"/>
    <w:rsid w:val="00E06345"/>
    <w:rsid w:val="00E06CBF"/>
    <w:rsid w:val="00E075E8"/>
    <w:rsid w:val="00E0767C"/>
    <w:rsid w:val="00E07699"/>
    <w:rsid w:val="00E10BB2"/>
    <w:rsid w:val="00E117D0"/>
    <w:rsid w:val="00E11B46"/>
    <w:rsid w:val="00E11BEF"/>
    <w:rsid w:val="00E11C0B"/>
    <w:rsid w:val="00E11E59"/>
    <w:rsid w:val="00E1298C"/>
    <w:rsid w:val="00E129CA"/>
    <w:rsid w:val="00E12B87"/>
    <w:rsid w:val="00E1303C"/>
    <w:rsid w:val="00E130A3"/>
    <w:rsid w:val="00E13107"/>
    <w:rsid w:val="00E13847"/>
    <w:rsid w:val="00E14043"/>
    <w:rsid w:val="00E14CE0"/>
    <w:rsid w:val="00E14D93"/>
    <w:rsid w:val="00E1513D"/>
    <w:rsid w:val="00E15792"/>
    <w:rsid w:val="00E15B95"/>
    <w:rsid w:val="00E15EC7"/>
    <w:rsid w:val="00E1659C"/>
    <w:rsid w:val="00E16A11"/>
    <w:rsid w:val="00E1706A"/>
    <w:rsid w:val="00E171BB"/>
    <w:rsid w:val="00E17751"/>
    <w:rsid w:val="00E1782B"/>
    <w:rsid w:val="00E1796F"/>
    <w:rsid w:val="00E17B59"/>
    <w:rsid w:val="00E17EA9"/>
    <w:rsid w:val="00E20110"/>
    <w:rsid w:val="00E20AE9"/>
    <w:rsid w:val="00E20DA2"/>
    <w:rsid w:val="00E216F9"/>
    <w:rsid w:val="00E21FE6"/>
    <w:rsid w:val="00E2232B"/>
    <w:rsid w:val="00E229BD"/>
    <w:rsid w:val="00E23921"/>
    <w:rsid w:val="00E253B2"/>
    <w:rsid w:val="00E25CEF"/>
    <w:rsid w:val="00E27A3E"/>
    <w:rsid w:val="00E27AC4"/>
    <w:rsid w:val="00E27B4A"/>
    <w:rsid w:val="00E27C8E"/>
    <w:rsid w:val="00E30B01"/>
    <w:rsid w:val="00E30E38"/>
    <w:rsid w:val="00E3167E"/>
    <w:rsid w:val="00E31D38"/>
    <w:rsid w:val="00E32029"/>
    <w:rsid w:val="00E320BC"/>
    <w:rsid w:val="00E32647"/>
    <w:rsid w:val="00E32D5A"/>
    <w:rsid w:val="00E32F0B"/>
    <w:rsid w:val="00E32FDE"/>
    <w:rsid w:val="00E330A8"/>
    <w:rsid w:val="00E3335B"/>
    <w:rsid w:val="00E33769"/>
    <w:rsid w:val="00E35C13"/>
    <w:rsid w:val="00E36564"/>
    <w:rsid w:val="00E36D8F"/>
    <w:rsid w:val="00E36DD1"/>
    <w:rsid w:val="00E37466"/>
    <w:rsid w:val="00E374EC"/>
    <w:rsid w:val="00E37B33"/>
    <w:rsid w:val="00E37C98"/>
    <w:rsid w:val="00E37D6A"/>
    <w:rsid w:val="00E4007E"/>
    <w:rsid w:val="00E40100"/>
    <w:rsid w:val="00E40227"/>
    <w:rsid w:val="00E40674"/>
    <w:rsid w:val="00E40675"/>
    <w:rsid w:val="00E408A2"/>
    <w:rsid w:val="00E41067"/>
    <w:rsid w:val="00E41098"/>
    <w:rsid w:val="00E41537"/>
    <w:rsid w:val="00E417CA"/>
    <w:rsid w:val="00E41EEE"/>
    <w:rsid w:val="00E42390"/>
    <w:rsid w:val="00E42F21"/>
    <w:rsid w:val="00E434CC"/>
    <w:rsid w:val="00E43537"/>
    <w:rsid w:val="00E435C3"/>
    <w:rsid w:val="00E436D8"/>
    <w:rsid w:val="00E43987"/>
    <w:rsid w:val="00E4451D"/>
    <w:rsid w:val="00E44924"/>
    <w:rsid w:val="00E4495B"/>
    <w:rsid w:val="00E44F89"/>
    <w:rsid w:val="00E45398"/>
    <w:rsid w:val="00E453B9"/>
    <w:rsid w:val="00E45874"/>
    <w:rsid w:val="00E4587D"/>
    <w:rsid w:val="00E45D51"/>
    <w:rsid w:val="00E45EC9"/>
    <w:rsid w:val="00E45FB7"/>
    <w:rsid w:val="00E46225"/>
    <w:rsid w:val="00E463BC"/>
    <w:rsid w:val="00E465C2"/>
    <w:rsid w:val="00E466E6"/>
    <w:rsid w:val="00E46BC4"/>
    <w:rsid w:val="00E46CD3"/>
    <w:rsid w:val="00E46EE4"/>
    <w:rsid w:val="00E47E14"/>
    <w:rsid w:val="00E47FCD"/>
    <w:rsid w:val="00E501B0"/>
    <w:rsid w:val="00E510CC"/>
    <w:rsid w:val="00E514B8"/>
    <w:rsid w:val="00E516AB"/>
    <w:rsid w:val="00E51C80"/>
    <w:rsid w:val="00E51D46"/>
    <w:rsid w:val="00E51D52"/>
    <w:rsid w:val="00E521FA"/>
    <w:rsid w:val="00E52FFA"/>
    <w:rsid w:val="00E5314F"/>
    <w:rsid w:val="00E5338D"/>
    <w:rsid w:val="00E5391D"/>
    <w:rsid w:val="00E53ACE"/>
    <w:rsid w:val="00E53D44"/>
    <w:rsid w:val="00E54280"/>
    <w:rsid w:val="00E543AD"/>
    <w:rsid w:val="00E543EA"/>
    <w:rsid w:val="00E54633"/>
    <w:rsid w:val="00E54D09"/>
    <w:rsid w:val="00E554FA"/>
    <w:rsid w:val="00E55635"/>
    <w:rsid w:val="00E5564B"/>
    <w:rsid w:val="00E55D81"/>
    <w:rsid w:val="00E5624D"/>
    <w:rsid w:val="00E562F3"/>
    <w:rsid w:val="00E56C41"/>
    <w:rsid w:val="00E56CEB"/>
    <w:rsid w:val="00E56D43"/>
    <w:rsid w:val="00E571C2"/>
    <w:rsid w:val="00E575AF"/>
    <w:rsid w:val="00E579BE"/>
    <w:rsid w:val="00E6129A"/>
    <w:rsid w:val="00E61440"/>
    <w:rsid w:val="00E618EE"/>
    <w:rsid w:val="00E62CD4"/>
    <w:rsid w:val="00E63170"/>
    <w:rsid w:val="00E63400"/>
    <w:rsid w:val="00E639F6"/>
    <w:rsid w:val="00E6445D"/>
    <w:rsid w:val="00E64898"/>
    <w:rsid w:val="00E64D25"/>
    <w:rsid w:val="00E64FBE"/>
    <w:rsid w:val="00E64FC6"/>
    <w:rsid w:val="00E65274"/>
    <w:rsid w:val="00E6540E"/>
    <w:rsid w:val="00E659CB"/>
    <w:rsid w:val="00E65AED"/>
    <w:rsid w:val="00E65B41"/>
    <w:rsid w:val="00E66041"/>
    <w:rsid w:val="00E6629C"/>
    <w:rsid w:val="00E66D7C"/>
    <w:rsid w:val="00E66E21"/>
    <w:rsid w:val="00E670F3"/>
    <w:rsid w:val="00E67693"/>
    <w:rsid w:val="00E67E97"/>
    <w:rsid w:val="00E70062"/>
    <w:rsid w:val="00E70309"/>
    <w:rsid w:val="00E704BB"/>
    <w:rsid w:val="00E704E8"/>
    <w:rsid w:val="00E70C77"/>
    <w:rsid w:val="00E71A9F"/>
    <w:rsid w:val="00E71ECE"/>
    <w:rsid w:val="00E722D1"/>
    <w:rsid w:val="00E723CA"/>
    <w:rsid w:val="00E72777"/>
    <w:rsid w:val="00E72F8C"/>
    <w:rsid w:val="00E73803"/>
    <w:rsid w:val="00E73828"/>
    <w:rsid w:val="00E7386F"/>
    <w:rsid w:val="00E7439F"/>
    <w:rsid w:val="00E7646F"/>
    <w:rsid w:val="00E769DB"/>
    <w:rsid w:val="00E76D1D"/>
    <w:rsid w:val="00E76EDC"/>
    <w:rsid w:val="00E7728F"/>
    <w:rsid w:val="00E77C52"/>
    <w:rsid w:val="00E77D42"/>
    <w:rsid w:val="00E81299"/>
    <w:rsid w:val="00E81769"/>
    <w:rsid w:val="00E81810"/>
    <w:rsid w:val="00E818DA"/>
    <w:rsid w:val="00E81D81"/>
    <w:rsid w:val="00E821A8"/>
    <w:rsid w:val="00E82DDA"/>
    <w:rsid w:val="00E8300E"/>
    <w:rsid w:val="00E83175"/>
    <w:rsid w:val="00E837F1"/>
    <w:rsid w:val="00E83C1E"/>
    <w:rsid w:val="00E852ED"/>
    <w:rsid w:val="00E8551C"/>
    <w:rsid w:val="00E856A7"/>
    <w:rsid w:val="00E856BD"/>
    <w:rsid w:val="00E85806"/>
    <w:rsid w:val="00E87867"/>
    <w:rsid w:val="00E9025D"/>
    <w:rsid w:val="00E90ED0"/>
    <w:rsid w:val="00E91848"/>
    <w:rsid w:val="00E919B3"/>
    <w:rsid w:val="00E9223C"/>
    <w:rsid w:val="00E925A9"/>
    <w:rsid w:val="00E929D1"/>
    <w:rsid w:val="00E92AD8"/>
    <w:rsid w:val="00E92F79"/>
    <w:rsid w:val="00E94003"/>
    <w:rsid w:val="00E95200"/>
    <w:rsid w:val="00E95431"/>
    <w:rsid w:val="00E95B6C"/>
    <w:rsid w:val="00E95FA3"/>
    <w:rsid w:val="00E962E9"/>
    <w:rsid w:val="00E967AF"/>
    <w:rsid w:val="00E96F6D"/>
    <w:rsid w:val="00E971F6"/>
    <w:rsid w:val="00E97BDC"/>
    <w:rsid w:val="00EA0BDE"/>
    <w:rsid w:val="00EA2084"/>
    <w:rsid w:val="00EA2434"/>
    <w:rsid w:val="00EA2865"/>
    <w:rsid w:val="00EA2E2B"/>
    <w:rsid w:val="00EA3C80"/>
    <w:rsid w:val="00EA400E"/>
    <w:rsid w:val="00EA49F3"/>
    <w:rsid w:val="00EA505F"/>
    <w:rsid w:val="00EA6501"/>
    <w:rsid w:val="00EA6626"/>
    <w:rsid w:val="00EA6C6C"/>
    <w:rsid w:val="00EA6D32"/>
    <w:rsid w:val="00EA6EE9"/>
    <w:rsid w:val="00EA713C"/>
    <w:rsid w:val="00EA7835"/>
    <w:rsid w:val="00EA7B29"/>
    <w:rsid w:val="00EB0070"/>
    <w:rsid w:val="00EB00C0"/>
    <w:rsid w:val="00EB0813"/>
    <w:rsid w:val="00EB0E44"/>
    <w:rsid w:val="00EB1CF9"/>
    <w:rsid w:val="00EB2007"/>
    <w:rsid w:val="00EB24D1"/>
    <w:rsid w:val="00EB29EF"/>
    <w:rsid w:val="00EB2C03"/>
    <w:rsid w:val="00EB3201"/>
    <w:rsid w:val="00EB3541"/>
    <w:rsid w:val="00EB3629"/>
    <w:rsid w:val="00EB37AA"/>
    <w:rsid w:val="00EB385E"/>
    <w:rsid w:val="00EB4535"/>
    <w:rsid w:val="00EB480C"/>
    <w:rsid w:val="00EB5A57"/>
    <w:rsid w:val="00EB738E"/>
    <w:rsid w:val="00EB7407"/>
    <w:rsid w:val="00EB7B4B"/>
    <w:rsid w:val="00EC06B6"/>
    <w:rsid w:val="00EC1976"/>
    <w:rsid w:val="00EC23DE"/>
    <w:rsid w:val="00EC2942"/>
    <w:rsid w:val="00EC29A8"/>
    <w:rsid w:val="00EC2F42"/>
    <w:rsid w:val="00EC31CE"/>
    <w:rsid w:val="00EC3621"/>
    <w:rsid w:val="00EC3675"/>
    <w:rsid w:val="00EC3710"/>
    <w:rsid w:val="00EC40E0"/>
    <w:rsid w:val="00EC43B8"/>
    <w:rsid w:val="00EC48B9"/>
    <w:rsid w:val="00EC49FB"/>
    <w:rsid w:val="00EC4BAE"/>
    <w:rsid w:val="00EC4C0E"/>
    <w:rsid w:val="00EC4EF9"/>
    <w:rsid w:val="00EC4F60"/>
    <w:rsid w:val="00EC5108"/>
    <w:rsid w:val="00EC5984"/>
    <w:rsid w:val="00EC5A42"/>
    <w:rsid w:val="00EC621D"/>
    <w:rsid w:val="00EC6D3D"/>
    <w:rsid w:val="00EC6F52"/>
    <w:rsid w:val="00EC74A0"/>
    <w:rsid w:val="00EC77F5"/>
    <w:rsid w:val="00EC792A"/>
    <w:rsid w:val="00EC7985"/>
    <w:rsid w:val="00EC7D61"/>
    <w:rsid w:val="00ED04F7"/>
    <w:rsid w:val="00ED0571"/>
    <w:rsid w:val="00ED0776"/>
    <w:rsid w:val="00ED08A3"/>
    <w:rsid w:val="00ED0D15"/>
    <w:rsid w:val="00ED1254"/>
    <w:rsid w:val="00ED2110"/>
    <w:rsid w:val="00ED21BB"/>
    <w:rsid w:val="00ED2287"/>
    <w:rsid w:val="00ED362F"/>
    <w:rsid w:val="00ED451E"/>
    <w:rsid w:val="00ED4C77"/>
    <w:rsid w:val="00ED4E2C"/>
    <w:rsid w:val="00ED5373"/>
    <w:rsid w:val="00ED5F30"/>
    <w:rsid w:val="00ED631B"/>
    <w:rsid w:val="00ED67C3"/>
    <w:rsid w:val="00ED684F"/>
    <w:rsid w:val="00ED6FC8"/>
    <w:rsid w:val="00ED76D2"/>
    <w:rsid w:val="00ED7C5B"/>
    <w:rsid w:val="00ED7CEC"/>
    <w:rsid w:val="00ED7D37"/>
    <w:rsid w:val="00EE1327"/>
    <w:rsid w:val="00EE14C0"/>
    <w:rsid w:val="00EE168E"/>
    <w:rsid w:val="00EE1E98"/>
    <w:rsid w:val="00EE21E8"/>
    <w:rsid w:val="00EE2656"/>
    <w:rsid w:val="00EE2842"/>
    <w:rsid w:val="00EE2847"/>
    <w:rsid w:val="00EE28BF"/>
    <w:rsid w:val="00EE2A21"/>
    <w:rsid w:val="00EE2D6F"/>
    <w:rsid w:val="00EE2DF1"/>
    <w:rsid w:val="00EE2E58"/>
    <w:rsid w:val="00EE3997"/>
    <w:rsid w:val="00EE4042"/>
    <w:rsid w:val="00EE43B9"/>
    <w:rsid w:val="00EE4405"/>
    <w:rsid w:val="00EE4542"/>
    <w:rsid w:val="00EE545F"/>
    <w:rsid w:val="00EE6617"/>
    <w:rsid w:val="00EE6C26"/>
    <w:rsid w:val="00EE6C36"/>
    <w:rsid w:val="00EE6D9A"/>
    <w:rsid w:val="00EE77B6"/>
    <w:rsid w:val="00EF01C7"/>
    <w:rsid w:val="00EF11F6"/>
    <w:rsid w:val="00EF13A1"/>
    <w:rsid w:val="00EF1DC0"/>
    <w:rsid w:val="00EF1FCD"/>
    <w:rsid w:val="00EF25EB"/>
    <w:rsid w:val="00EF269F"/>
    <w:rsid w:val="00EF2CE6"/>
    <w:rsid w:val="00EF2D7E"/>
    <w:rsid w:val="00EF30C8"/>
    <w:rsid w:val="00EF3719"/>
    <w:rsid w:val="00EF3CD5"/>
    <w:rsid w:val="00EF3E21"/>
    <w:rsid w:val="00EF3FAC"/>
    <w:rsid w:val="00EF47A9"/>
    <w:rsid w:val="00EF4C43"/>
    <w:rsid w:val="00EF57BF"/>
    <w:rsid w:val="00EF5EF1"/>
    <w:rsid w:val="00EF6149"/>
    <w:rsid w:val="00EF6696"/>
    <w:rsid w:val="00EF689E"/>
    <w:rsid w:val="00EF6B3D"/>
    <w:rsid w:val="00EF6DCA"/>
    <w:rsid w:val="00EF6E79"/>
    <w:rsid w:val="00F003E5"/>
    <w:rsid w:val="00F004F6"/>
    <w:rsid w:val="00F00940"/>
    <w:rsid w:val="00F00B7C"/>
    <w:rsid w:val="00F01161"/>
    <w:rsid w:val="00F015F6"/>
    <w:rsid w:val="00F0184B"/>
    <w:rsid w:val="00F01B61"/>
    <w:rsid w:val="00F01C85"/>
    <w:rsid w:val="00F02706"/>
    <w:rsid w:val="00F027C8"/>
    <w:rsid w:val="00F02F62"/>
    <w:rsid w:val="00F03388"/>
    <w:rsid w:val="00F033FE"/>
    <w:rsid w:val="00F03644"/>
    <w:rsid w:val="00F039C7"/>
    <w:rsid w:val="00F03FEB"/>
    <w:rsid w:val="00F043F4"/>
    <w:rsid w:val="00F04B11"/>
    <w:rsid w:val="00F04C96"/>
    <w:rsid w:val="00F04F43"/>
    <w:rsid w:val="00F0508F"/>
    <w:rsid w:val="00F058BA"/>
    <w:rsid w:val="00F06A57"/>
    <w:rsid w:val="00F07B69"/>
    <w:rsid w:val="00F101B5"/>
    <w:rsid w:val="00F102AA"/>
    <w:rsid w:val="00F105EB"/>
    <w:rsid w:val="00F1072F"/>
    <w:rsid w:val="00F109B3"/>
    <w:rsid w:val="00F10B19"/>
    <w:rsid w:val="00F11EE0"/>
    <w:rsid w:val="00F11FB2"/>
    <w:rsid w:val="00F123D5"/>
    <w:rsid w:val="00F12AF9"/>
    <w:rsid w:val="00F12C8C"/>
    <w:rsid w:val="00F12D4B"/>
    <w:rsid w:val="00F12D50"/>
    <w:rsid w:val="00F12DC5"/>
    <w:rsid w:val="00F142AA"/>
    <w:rsid w:val="00F14D58"/>
    <w:rsid w:val="00F15539"/>
    <w:rsid w:val="00F15BCF"/>
    <w:rsid w:val="00F15F54"/>
    <w:rsid w:val="00F16148"/>
    <w:rsid w:val="00F16220"/>
    <w:rsid w:val="00F1688C"/>
    <w:rsid w:val="00F20E83"/>
    <w:rsid w:val="00F212DC"/>
    <w:rsid w:val="00F219F3"/>
    <w:rsid w:val="00F21EB5"/>
    <w:rsid w:val="00F22A08"/>
    <w:rsid w:val="00F234AC"/>
    <w:rsid w:val="00F2385F"/>
    <w:rsid w:val="00F239BD"/>
    <w:rsid w:val="00F239E2"/>
    <w:rsid w:val="00F23E5E"/>
    <w:rsid w:val="00F24864"/>
    <w:rsid w:val="00F248F1"/>
    <w:rsid w:val="00F24F57"/>
    <w:rsid w:val="00F252C5"/>
    <w:rsid w:val="00F2552B"/>
    <w:rsid w:val="00F25AD2"/>
    <w:rsid w:val="00F2624A"/>
    <w:rsid w:val="00F265B5"/>
    <w:rsid w:val="00F2679A"/>
    <w:rsid w:val="00F26D75"/>
    <w:rsid w:val="00F270B9"/>
    <w:rsid w:val="00F27131"/>
    <w:rsid w:val="00F2789D"/>
    <w:rsid w:val="00F27A65"/>
    <w:rsid w:val="00F30537"/>
    <w:rsid w:val="00F30EBF"/>
    <w:rsid w:val="00F312B7"/>
    <w:rsid w:val="00F31423"/>
    <w:rsid w:val="00F318D7"/>
    <w:rsid w:val="00F320A8"/>
    <w:rsid w:val="00F321E7"/>
    <w:rsid w:val="00F332CC"/>
    <w:rsid w:val="00F33835"/>
    <w:rsid w:val="00F33ABD"/>
    <w:rsid w:val="00F34CEA"/>
    <w:rsid w:val="00F34EA5"/>
    <w:rsid w:val="00F356CF"/>
    <w:rsid w:val="00F3573A"/>
    <w:rsid w:val="00F357A9"/>
    <w:rsid w:val="00F35B6B"/>
    <w:rsid w:val="00F35E23"/>
    <w:rsid w:val="00F361D3"/>
    <w:rsid w:val="00F363EF"/>
    <w:rsid w:val="00F36419"/>
    <w:rsid w:val="00F36432"/>
    <w:rsid w:val="00F36B69"/>
    <w:rsid w:val="00F377E0"/>
    <w:rsid w:val="00F3781A"/>
    <w:rsid w:val="00F40610"/>
    <w:rsid w:val="00F40816"/>
    <w:rsid w:val="00F40E44"/>
    <w:rsid w:val="00F4194E"/>
    <w:rsid w:val="00F41B28"/>
    <w:rsid w:val="00F41CA3"/>
    <w:rsid w:val="00F427D3"/>
    <w:rsid w:val="00F42992"/>
    <w:rsid w:val="00F42E76"/>
    <w:rsid w:val="00F43BC4"/>
    <w:rsid w:val="00F43E5C"/>
    <w:rsid w:val="00F44236"/>
    <w:rsid w:val="00F44524"/>
    <w:rsid w:val="00F44688"/>
    <w:rsid w:val="00F451C0"/>
    <w:rsid w:val="00F45D6D"/>
    <w:rsid w:val="00F463A7"/>
    <w:rsid w:val="00F46C53"/>
    <w:rsid w:val="00F46CDE"/>
    <w:rsid w:val="00F46D44"/>
    <w:rsid w:val="00F46E29"/>
    <w:rsid w:val="00F47A4B"/>
    <w:rsid w:val="00F47CED"/>
    <w:rsid w:val="00F501CB"/>
    <w:rsid w:val="00F50C8E"/>
    <w:rsid w:val="00F50DF2"/>
    <w:rsid w:val="00F52098"/>
    <w:rsid w:val="00F52170"/>
    <w:rsid w:val="00F5232D"/>
    <w:rsid w:val="00F52587"/>
    <w:rsid w:val="00F532B4"/>
    <w:rsid w:val="00F53330"/>
    <w:rsid w:val="00F5338C"/>
    <w:rsid w:val="00F53600"/>
    <w:rsid w:val="00F53675"/>
    <w:rsid w:val="00F53904"/>
    <w:rsid w:val="00F53D33"/>
    <w:rsid w:val="00F54260"/>
    <w:rsid w:val="00F54674"/>
    <w:rsid w:val="00F54739"/>
    <w:rsid w:val="00F54AF8"/>
    <w:rsid w:val="00F5550F"/>
    <w:rsid w:val="00F55977"/>
    <w:rsid w:val="00F55A11"/>
    <w:rsid w:val="00F564BF"/>
    <w:rsid w:val="00F567F7"/>
    <w:rsid w:val="00F56936"/>
    <w:rsid w:val="00F56C58"/>
    <w:rsid w:val="00F56F3C"/>
    <w:rsid w:val="00F57188"/>
    <w:rsid w:val="00F571DE"/>
    <w:rsid w:val="00F5749F"/>
    <w:rsid w:val="00F57752"/>
    <w:rsid w:val="00F57B06"/>
    <w:rsid w:val="00F6015D"/>
    <w:rsid w:val="00F60568"/>
    <w:rsid w:val="00F60ADA"/>
    <w:rsid w:val="00F60B32"/>
    <w:rsid w:val="00F60B91"/>
    <w:rsid w:val="00F61227"/>
    <w:rsid w:val="00F61579"/>
    <w:rsid w:val="00F61971"/>
    <w:rsid w:val="00F61F3D"/>
    <w:rsid w:val="00F62466"/>
    <w:rsid w:val="00F62C0F"/>
    <w:rsid w:val="00F62CD9"/>
    <w:rsid w:val="00F632CB"/>
    <w:rsid w:val="00F63A5F"/>
    <w:rsid w:val="00F63CA2"/>
    <w:rsid w:val="00F64D31"/>
    <w:rsid w:val="00F650EE"/>
    <w:rsid w:val="00F654E1"/>
    <w:rsid w:val="00F659B6"/>
    <w:rsid w:val="00F65A0C"/>
    <w:rsid w:val="00F65CEF"/>
    <w:rsid w:val="00F65E6D"/>
    <w:rsid w:val="00F65F88"/>
    <w:rsid w:val="00F66337"/>
    <w:rsid w:val="00F6656C"/>
    <w:rsid w:val="00F6662F"/>
    <w:rsid w:val="00F666DB"/>
    <w:rsid w:val="00F66966"/>
    <w:rsid w:val="00F66E9C"/>
    <w:rsid w:val="00F66EDE"/>
    <w:rsid w:val="00F672AB"/>
    <w:rsid w:val="00F673B9"/>
    <w:rsid w:val="00F67518"/>
    <w:rsid w:val="00F6778A"/>
    <w:rsid w:val="00F67C27"/>
    <w:rsid w:val="00F703A5"/>
    <w:rsid w:val="00F7063B"/>
    <w:rsid w:val="00F70770"/>
    <w:rsid w:val="00F70912"/>
    <w:rsid w:val="00F7098B"/>
    <w:rsid w:val="00F70C02"/>
    <w:rsid w:val="00F70FD8"/>
    <w:rsid w:val="00F71A8D"/>
    <w:rsid w:val="00F71AB0"/>
    <w:rsid w:val="00F71C5A"/>
    <w:rsid w:val="00F724E7"/>
    <w:rsid w:val="00F72BC9"/>
    <w:rsid w:val="00F72CD3"/>
    <w:rsid w:val="00F73167"/>
    <w:rsid w:val="00F73DBE"/>
    <w:rsid w:val="00F751B1"/>
    <w:rsid w:val="00F755D1"/>
    <w:rsid w:val="00F75B79"/>
    <w:rsid w:val="00F75E3A"/>
    <w:rsid w:val="00F76200"/>
    <w:rsid w:val="00F7677B"/>
    <w:rsid w:val="00F76DD7"/>
    <w:rsid w:val="00F76E5C"/>
    <w:rsid w:val="00F776D0"/>
    <w:rsid w:val="00F77A34"/>
    <w:rsid w:val="00F77C0B"/>
    <w:rsid w:val="00F77E95"/>
    <w:rsid w:val="00F80148"/>
    <w:rsid w:val="00F80399"/>
    <w:rsid w:val="00F803E3"/>
    <w:rsid w:val="00F8071F"/>
    <w:rsid w:val="00F816FC"/>
    <w:rsid w:val="00F81CFE"/>
    <w:rsid w:val="00F820A7"/>
    <w:rsid w:val="00F8253C"/>
    <w:rsid w:val="00F82811"/>
    <w:rsid w:val="00F82ED3"/>
    <w:rsid w:val="00F831C7"/>
    <w:rsid w:val="00F837F4"/>
    <w:rsid w:val="00F83C88"/>
    <w:rsid w:val="00F84764"/>
    <w:rsid w:val="00F855A5"/>
    <w:rsid w:val="00F86016"/>
    <w:rsid w:val="00F8611A"/>
    <w:rsid w:val="00F864D1"/>
    <w:rsid w:val="00F87A5E"/>
    <w:rsid w:val="00F87DE1"/>
    <w:rsid w:val="00F87FB0"/>
    <w:rsid w:val="00F90572"/>
    <w:rsid w:val="00F908BF"/>
    <w:rsid w:val="00F91239"/>
    <w:rsid w:val="00F9126E"/>
    <w:rsid w:val="00F91506"/>
    <w:rsid w:val="00F91931"/>
    <w:rsid w:val="00F91D79"/>
    <w:rsid w:val="00F91E67"/>
    <w:rsid w:val="00F925FE"/>
    <w:rsid w:val="00F9282E"/>
    <w:rsid w:val="00F92A7B"/>
    <w:rsid w:val="00F933BD"/>
    <w:rsid w:val="00F936F7"/>
    <w:rsid w:val="00F93D4C"/>
    <w:rsid w:val="00F9439F"/>
    <w:rsid w:val="00F943CB"/>
    <w:rsid w:val="00F94F0B"/>
    <w:rsid w:val="00F9599D"/>
    <w:rsid w:val="00F9628F"/>
    <w:rsid w:val="00F96422"/>
    <w:rsid w:val="00F9656B"/>
    <w:rsid w:val="00F96642"/>
    <w:rsid w:val="00F966DA"/>
    <w:rsid w:val="00F96A9E"/>
    <w:rsid w:val="00F96C21"/>
    <w:rsid w:val="00F970DD"/>
    <w:rsid w:val="00F9779B"/>
    <w:rsid w:val="00F97B03"/>
    <w:rsid w:val="00FA021B"/>
    <w:rsid w:val="00FA04C0"/>
    <w:rsid w:val="00FA1242"/>
    <w:rsid w:val="00FA1996"/>
    <w:rsid w:val="00FA1A70"/>
    <w:rsid w:val="00FA2117"/>
    <w:rsid w:val="00FA23F8"/>
    <w:rsid w:val="00FA2DE3"/>
    <w:rsid w:val="00FA3456"/>
    <w:rsid w:val="00FA35C0"/>
    <w:rsid w:val="00FA4B87"/>
    <w:rsid w:val="00FA5600"/>
    <w:rsid w:val="00FA57B2"/>
    <w:rsid w:val="00FA5941"/>
    <w:rsid w:val="00FA5E80"/>
    <w:rsid w:val="00FA63C7"/>
    <w:rsid w:val="00FA6809"/>
    <w:rsid w:val="00FA6834"/>
    <w:rsid w:val="00FA6942"/>
    <w:rsid w:val="00FA6F17"/>
    <w:rsid w:val="00FA705B"/>
    <w:rsid w:val="00FA7795"/>
    <w:rsid w:val="00FB017B"/>
    <w:rsid w:val="00FB0212"/>
    <w:rsid w:val="00FB0A41"/>
    <w:rsid w:val="00FB0DB1"/>
    <w:rsid w:val="00FB12AB"/>
    <w:rsid w:val="00FB14DB"/>
    <w:rsid w:val="00FB178E"/>
    <w:rsid w:val="00FB1EE5"/>
    <w:rsid w:val="00FB2F8C"/>
    <w:rsid w:val="00FB3970"/>
    <w:rsid w:val="00FB3B1F"/>
    <w:rsid w:val="00FB3B67"/>
    <w:rsid w:val="00FB3BAF"/>
    <w:rsid w:val="00FB3EB7"/>
    <w:rsid w:val="00FB43C4"/>
    <w:rsid w:val="00FB44E8"/>
    <w:rsid w:val="00FB4777"/>
    <w:rsid w:val="00FB49FF"/>
    <w:rsid w:val="00FB526C"/>
    <w:rsid w:val="00FB5C2B"/>
    <w:rsid w:val="00FB5E6C"/>
    <w:rsid w:val="00FB6674"/>
    <w:rsid w:val="00FB7D6A"/>
    <w:rsid w:val="00FB7E76"/>
    <w:rsid w:val="00FC0473"/>
    <w:rsid w:val="00FC1238"/>
    <w:rsid w:val="00FC1452"/>
    <w:rsid w:val="00FC155C"/>
    <w:rsid w:val="00FC1D56"/>
    <w:rsid w:val="00FC2316"/>
    <w:rsid w:val="00FC2572"/>
    <w:rsid w:val="00FC2E8C"/>
    <w:rsid w:val="00FC3F82"/>
    <w:rsid w:val="00FC4435"/>
    <w:rsid w:val="00FC4684"/>
    <w:rsid w:val="00FC4697"/>
    <w:rsid w:val="00FC4EFB"/>
    <w:rsid w:val="00FC55DC"/>
    <w:rsid w:val="00FC59C8"/>
    <w:rsid w:val="00FC59DE"/>
    <w:rsid w:val="00FC5A34"/>
    <w:rsid w:val="00FC64E6"/>
    <w:rsid w:val="00FC6AC8"/>
    <w:rsid w:val="00FC6B32"/>
    <w:rsid w:val="00FC71C7"/>
    <w:rsid w:val="00FC759D"/>
    <w:rsid w:val="00FC7A26"/>
    <w:rsid w:val="00FC7AC5"/>
    <w:rsid w:val="00FC7D31"/>
    <w:rsid w:val="00FD00F0"/>
    <w:rsid w:val="00FD029D"/>
    <w:rsid w:val="00FD02CD"/>
    <w:rsid w:val="00FD0360"/>
    <w:rsid w:val="00FD09CE"/>
    <w:rsid w:val="00FD1104"/>
    <w:rsid w:val="00FD15D6"/>
    <w:rsid w:val="00FD2418"/>
    <w:rsid w:val="00FD2789"/>
    <w:rsid w:val="00FD2CEE"/>
    <w:rsid w:val="00FD2EBE"/>
    <w:rsid w:val="00FD2F24"/>
    <w:rsid w:val="00FD32BB"/>
    <w:rsid w:val="00FD3732"/>
    <w:rsid w:val="00FD387B"/>
    <w:rsid w:val="00FD4569"/>
    <w:rsid w:val="00FD4849"/>
    <w:rsid w:val="00FD54D0"/>
    <w:rsid w:val="00FD589D"/>
    <w:rsid w:val="00FD5EB4"/>
    <w:rsid w:val="00FD64F7"/>
    <w:rsid w:val="00FD68F5"/>
    <w:rsid w:val="00FD7866"/>
    <w:rsid w:val="00FE02A9"/>
    <w:rsid w:val="00FE0D8A"/>
    <w:rsid w:val="00FE19E0"/>
    <w:rsid w:val="00FE2A21"/>
    <w:rsid w:val="00FE2B21"/>
    <w:rsid w:val="00FE2D65"/>
    <w:rsid w:val="00FE39F3"/>
    <w:rsid w:val="00FE3E70"/>
    <w:rsid w:val="00FE4722"/>
    <w:rsid w:val="00FE47CD"/>
    <w:rsid w:val="00FE4E29"/>
    <w:rsid w:val="00FE501F"/>
    <w:rsid w:val="00FE580A"/>
    <w:rsid w:val="00FE5E9B"/>
    <w:rsid w:val="00FE6003"/>
    <w:rsid w:val="00FE6280"/>
    <w:rsid w:val="00FE749B"/>
    <w:rsid w:val="00FE783D"/>
    <w:rsid w:val="00FE7D6D"/>
    <w:rsid w:val="00FF06AE"/>
    <w:rsid w:val="00FF18FD"/>
    <w:rsid w:val="00FF2AFC"/>
    <w:rsid w:val="00FF3A12"/>
    <w:rsid w:val="00FF3D03"/>
    <w:rsid w:val="00FF49DC"/>
    <w:rsid w:val="00FF4F6D"/>
    <w:rsid w:val="00FF57C5"/>
    <w:rsid w:val="00FF647F"/>
    <w:rsid w:val="00FF6637"/>
    <w:rsid w:val="00FF68BD"/>
    <w:rsid w:val="00FF6D79"/>
    <w:rsid w:val="00FF6EE9"/>
    <w:rsid w:val="00FF72C0"/>
    <w:rsid w:val="00FF7786"/>
    <w:rsid w:val="00FF7C5B"/>
    <w:rsid w:val="00FF7D69"/>
    <w:rsid w:val="00FF7F6F"/>
    <w:rsid w:val="01136064"/>
    <w:rsid w:val="03D4334F"/>
    <w:rsid w:val="03F517F1"/>
    <w:rsid w:val="04207E63"/>
    <w:rsid w:val="05AB53DA"/>
    <w:rsid w:val="05EC5759"/>
    <w:rsid w:val="061F0F46"/>
    <w:rsid w:val="087931EE"/>
    <w:rsid w:val="094F39C7"/>
    <w:rsid w:val="09DB2875"/>
    <w:rsid w:val="0B8E4ED6"/>
    <w:rsid w:val="0C1B3E34"/>
    <w:rsid w:val="0D41684B"/>
    <w:rsid w:val="0F156CD0"/>
    <w:rsid w:val="0FBD0636"/>
    <w:rsid w:val="10616276"/>
    <w:rsid w:val="10F64AC8"/>
    <w:rsid w:val="11085F00"/>
    <w:rsid w:val="111351A0"/>
    <w:rsid w:val="112934B3"/>
    <w:rsid w:val="11A7594D"/>
    <w:rsid w:val="123D3AE2"/>
    <w:rsid w:val="12C10E33"/>
    <w:rsid w:val="136C723E"/>
    <w:rsid w:val="14E0080E"/>
    <w:rsid w:val="16936F0B"/>
    <w:rsid w:val="16AF2EB5"/>
    <w:rsid w:val="17EE64EC"/>
    <w:rsid w:val="196C3354"/>
    <w:rsid w:val="1A424EC0"/>
    <w:rsid w:val="1D2109C6"/>
    <w:rsid w:val="1F850FCD"/>
    <w:rsid w:val="24836EC3"/>
    <w:rsid w:val="24C84BA1"/>
    <w:rsid w:val="24CB05E2"/>
    <w:rsid w:val="276C790A"/>
    <w:rsid w:val="279F10E6"/>
    <w:rsid w:val="28366F6A"/>
    <w:rsid w:val="293C399A"/>
    <w:rsid w:val="2B1C20A8"/>
    <w:rsid w:val="2B5D6B25"/>
    <w:rsid w:val="2C202054"/>
    <w:rsid w:val="2CA52560"/>
    <w:rsid w:val="2DC60DA3"/>
    <w:rsid w:val="2F9372FD"/>
    <w:rsid w:val="2FBD2AE7"/>
    <w:rsid w:val="302A2002"/>
    <w:rsid w:val="341F1FDA"/>
    <w:rsid w:val="35003C0D"/>
    <w:rsid w:val="35361CA4"/>
    <w:rsid w:val="37717401"/>
    <w:rsid w:val="37DB5937"/>
    <w:rsid w:val="38277949"/>
    <w:rsid w:val="39361CDA"/>
    <w:rsid w:val="3E2026FA"/>
    <w:rsid w:val="3E9B67D9"/>
    <w:rsid w:val="4115295E"/>
    <w:rsid w:val="416E7476"/>
    <w:rsid w:val="44BB186F"/>
    <w:rsid w:val="455205D7"/>
    <w:rsid w:val="462B7924"/>
    <w:rsid w:val="46F70A01"/>
    <w:rsid w:val="48792DB7"/>
    <w:rsid w:val="497551F7"/>
    <w:rsid w:val="4B526CAD"/>
    <w:rsid w:val="4EAC5A77"/>
    <w:rsid w:val="4F3D04B9"/>
    <w:rsid w:val="50CB131D"/>
    <w:rsid w:val="50F02353"/>
    <w:rsid w:val="533D0E81"/>
    <w:rsid w:val="53505A1E"/>
    <w:rsid w:val="566E04F5"/>
    <w:rsid w:val="5970084D"/>
    <w:rsid w:val="5D056052"/>
    <w:rsid w:val="5DF64C62"/>
    <w:rsid w:val="5EE0021A"/>
    <w:rsid w:val="5F2F3FD3"/>
    <w:rsid w:val="5F5D7B6B"/>
    <w:rsid w:val="5F9C096B"/>
    <w:rsid w:val="609F6768"/>
    <w:rsid w:val="624B6649"/>
    <w:rsid w:val="628A4E72"/>
    <w:rsid w:val="64BE4477"/>
    <w:rsid w:val="65596AAF"/>
    <w:rsid w:val="666E6B7E"/>
    <w:rsid w:val="68D02316"/>
    <w:rsid w:val="68E0534A"/>
    <w:rsid w:val="69E41315"/>
    <w:rsid w:val="6DCB00E1"/>
    <w:rsid w:val="6FAC6A23"/>
    <w:rsid w:val="703525D2"/>
    <w:rsid w:val="70AD5956"/>
    <w:rsid w:val="77ED5C15"/>
    <w:rsid w:val="786702B3"/>
    <w:rsid w:val="788E23AB"/>
    <w:rsid w:val="7A312128"/>
    <w:rsid w:val="7B7E59AE"/>
    <w:rsid w:val="7D0E620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rPr>
  </w:style>
  <w:style w:type="paragraph" w:styleId="2">
    <w:name w:val="heading 2"/>
    <w:basedOn w:val="1"/>
    <w:next w:val="1"/>
    <w:qFormat/>
    <w:uiPriority w:val="0"/>
    <w:pPr>
      <w:keepNext/>
      <w:outlineLvl w:val="1"/>
    </w:pPr>
    <w:rPr>
      <w:rFonts w:eastAsia="楷体_GB2312"/>
      <w:spacing w:val="-10"/>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112"/>
    <w:qFormat/>
    <w:uiPriority w:val="0"/>
    <w:pPr>
      <w:keepNext/>
      <w:keepLines/>
      <w:spacing w:line="360" w:lineRule="auto"/>
      <w:ind w:left="851" w:hanging="851"/>
      <w:outlineLvl w:val="3"/>
    </w:pPr>
    <w:rPr>
      <w:bCs/>
      <w:sz w:val="24"/>
      <w:szCs w:val="24"/>
    </w:rPr>
  </w:style>
  <w:style w:type="character" w:default="1" w:styleId="29">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93"/>
    <w:qFormat/>
    <w:uiPriority w:val="0"/>
    <w:rPr>
      <w:b/>
      <w:bCs/>
    </w:rPr>
  </w:style>
  <w:style w:type="paragraph" w:styleId="7">
    <w:name w:val="annotation text"/>
    <w:basedOn w:val="1"/>
    <w:link w:val="92"/>
    <w:qFormat/>
    <w:uiPriority w:val="0"/>
    <w:pPr>
      <w:jc w:val="left"/>
    </w:pPr>
  </w:style>
  <w:style w:type="paragraph" w:styleId="8">
    <w:name w:val="Body Text First Indent"/>
    <w:basedOn w:val="9"/>
    <w:link w:val="102"/>
    <w:qFormat/>
    <w:uiPriority w:val="0"/>
    <w:pPr>
      <w:spacing w:after="120"/>
      <w:ind w:firstLine="420" w:firstLineChars="100"/>
    </w:pPr>
    <w:rPr>
      <w:rFonts w:ascii="宋体" w:eastAsia="宋体"/>
      <w:b/>
      <w:bCs/>
      <w:kern w:val="32"/>
      <w:sz w:val="30"/>
      <w:szCs w:val="44"/>
    </w:rPr>
  </w:style>
  <w:style w:type="paragraph" w:styleId="9">
    <w:name w:val="Body Text"/>
    <w:basedOn w:val="1"/>
    <w:link w:val="101"/>
    <w:qFormat/>
    <w:uiPriority w:val="0"/>
    <w:rPr>
      <w:rFonts w:eastAsia="楷体_GB2312"/>
      <w:sz w:val="28"/>
    </w:rPr>
  </w:style>
  <w:style w:type="paragraph" w:styleId="10">
    <w:name w:val="Normal Indent"/>
    <w:basedOn w:val="1"/>
    <w:link w:val="94"/>
    <w:qFormat/>
    <w:uiPriority w:val="0"/>
    <w:pPr>
      <w:ind w:firstLine="420"/>
    </w:pPr>
  </w:style>
  <w:style w:type="paragraph" w:styleId="11">
    <w:name w:val="caption"/>
    <w:basedOn w:val="1"/>
    <w:next w:val="1"/>
    <w:qFormat/>
    <w:uiPriority w:val="0"/>
    <w:pPr>
      <w:spacing w:before="100" w:beforeAutospacing="1" w:line="348" w:lineRule="auto"/>
      <w:jc w:val="center"/>
    </w:pPr>
    <w:rPr>
      <w:rFonts w:ascii="黑体" w:hAnsi="Arial" w:eastAsia="黑体" w:cs="Arial"/>
      <w:sz w:val="24"/>
    </w:rPr>
  </w:style>
  <w:style w:type="paragraph" w:styleId="12">
    <w:name w:val="Document Map"/>
    <w:basedOn w:val="1"/>
    <w:link w:val="100"/>
    <w:qFormat/>
    <w:uiPriority w:val="0"/>
    <w:rPr>
      <w:rFonts w:ascii="宋体"/>
      <w:sz w:val="18"/>
      <w:szCs w:val="18"/>
    </w:rPr>
  </w:style>
  <w:style w:type="paragraph" w:styleId="13">
    <w:name w:val="Body Text 3"/>
    <w:basedOn w:val="1"/>
    <w:qFormat/>
    <w:uiPriority w:val="0"/>
    <w:pPr>
      <w:jc w:val="center"/>
    </w:pPr>
    <w:rPr>
      <w:rFonts w:ascii="宋体"/>
      <w:spacing w:val="-6"/>
      <w:sz w:val="24"/>
    </w:rPr>
  </w:style>
  <w:style w:type="paragraph" w:styleId="14">
    <w:name w:val="Body Text Indent"/>
    <w:basedOn w:val="1"/>
    <w:qFormat/>
    <w:uiPriority w:val="0"/>
    <w:pPr>
      <w:tabs>
        <w:tab w:val="left" w:pos="8607"/>
      </w:tabs>
      <w:spacing w:line="400" w:lineRule="exact"/>
      <w:ind w:firstLine="556"/>
    </w:pPr>
    <w:rPr>
      <w:sz w:val="28"/>
    </w:rPr>
  </w:style>
  <w:style w:type="paragraph" w:styleId="15">
    <w:name w:val="Block Text"/>
    <w:basedOn w:val="1"/>
    <w:qFormat/>
    <w:uiPriority w:val="0"/>
    <w:pPr>
      <w:spacing w:line="320" w:lineRule="exact"/>
      <w:ind w:left="113" w:right="113"/>
      <w:jc w:val="center"/>
    </w:pPr>
    <w:rPr>
      <w:b/>
      <w:sz w:val="13"/>
      <w:szCs w:val="15"/>
    </w:rPr>
  </w:style>
  <w:style w:type="paragraph" w:styleId="16">
    <w:name w:val="toc 3"/>
    <w:basedOn w:val="1"/>
    <w:next w:val="1"/>
    <w:qFormat/>
    <w:uiPriority w:val="39"/>
    <w:pPr>
      <w:ind w:left="840" w:leftChars="400"/>
    </w:pPr>
  </w:style>
  <w:style w:type="paragraph" w:styleId="17">
    <w:name w:val="Plain Text"/>
    <w:basedOn w:val="1"/>
    <w:link w:val="98"/>
    <w:qFormat/>
    <w:uiPriority w:val="0"/>
    <w:rPr>
      <w:rFonts w:ascii="宋体" w:hAnsi="Courier New"/>
    </w:rPr>
  </w:style>
  <w:style w:type="paragraph" w:styleId="18">
    <w:name w:val="Body Text Indent 2"/>
    <w:basedOn w:val="1"/>
    <w:qFormat/>
    <w:uiPriority w:val="0"/>
    <w:pPr>
      <w:spacing w:line="380" w:lineRule="atLeast"/>
      <w:ind w:firstLine="555"/>
    </w:pPr>
    <w:rPr>
      <w:rFonts w:eastAsia="楷体_GB2312"/>
      <w:sz w:val="28"/>
    </w:rPr>
  </w:style>
  <w:style w:type="paragraph" w:styleId="19">
    <w:name w:val="Balloon Text"/>
    <w:basedOn w:val="1"/>
    <w:semiHidden/>
    <w:qFormat/>
    <w:uiPriority w:val="0"/>
    <w:rPr>
      <w:sz w:val="18"/>
      <w:szCs w:val="18"/>
    </w:rPr>
  </w:style>
  <w:style w:type="paragraph" w:styleId="20">
    <w:name w:val="footer"/>
    <w:basedOn w:val="1"/>
    <w:link w:val="99"/>
    <w:qFormat/>
    <w:uiPriority w:val="99"/>
    <w:pPr>
      <w:tabs>
        <w:tab w:val="center" w:pos="4153"/>
        <w:tab w:val="right" w:pos="8306"/>
      </w:tabs>
      <w:snapToGrid w:val="0"/>
      <w:jc w:val="left"/>
    </w:pPr>
    <w:rPr>
      <w:sz w:val="18"/>
    </w:rPr>
  </w:style>
  <w:style w:type="paragraph" w:styleId="21">
    <w:name w:val="Body Text First Indent 2"/>
    <w:basedOn w:val="14"/>
    <w:next w:val="8"/>
    <w:qFormat/>
    <w:uiPriority w:val="0"/>
    <w:pPr>
      <w:spacing w:after="120" w:line="240" w:lineRule="auto"/>
      <w:ind w:left="420" w:leftChars="200" w:firstLine="420" w:firstLineChars="200"/>
    </w:pPr>
    <w:rPr>
      <w:sz w:val="21"/>
    </w:rPr>
  </w:style>
  <w:style w:type="paragraph" w:styleId="22">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style>
  <w:style w:type="paragraph" w:styleId="24">
    <w:name w:val="List"/>
    <w:basedOn w:val="1"/>
    <w:qFormat/>
    <w:uiPriority w:val="0"/>
    <w:pPr>
      <w:autoSpaceDE w:val="0"/>
      <w:autoSpaceDN w:val="0"/>
      <w:adjustRightInd w:val="0"/>
      <w:spacing w:line="360" w:lineRule="auto"/>
      <w:jc w:val="center"/>
      <w:textAlignment w:val="baseline"/>
    </w:pPr>
    <w:rPr>
      <w:kern w:val="0"/>
      <w:sz w:val="28"/>
    </w:rPr>
  </w:style>
  <w:style w:type="paragraph" w:styleId="25">
    <w:name w:val="Body Text Indent 3"/>
    <w:basedOn w:val="1"/>
    <w:qFormat/>
    <w:uiPriority w:val="0"/>
    <w:pPr>
      <w:spacing w:line="400" w:lineRule="exact"/>
      <w:ind w:firstLine="570"/>
    </w:pPr>
    <w:rPr>
      <w:rFonts w:ascii="宋体"/>
      <w:sz w:val="28"/>
    </w:rPr>
  </w:style>
  <w:style w:type="paragraph" w:styleId="26">
    <w:name w:val="toc 2"/>
    <w:basedOn w:val="1"/>
    <w:next w:val="1"/>
    <w:qFormat/>
    <w:uiPriority w:val="39"/>
    <w:pPr>
      <w:ind w:left="420" w:leftChars="200"/>
    </w:pPr>
  </w:style>
  <w:style w:type="paragraph" w:styleId="27">
    <w:name w:val="Body Text 2"/>
    <w:basedOn w:val="1"/>
    <w:qFormat/>
    <w:uiPriority w:val="0"/>
    <w:pPr>
      <w:jc w:val="center"/>
    </w:pPr>
    <w:rPr>
      <w:rFonts w:ascii="宋体"/>
      <w:spacing w:val="-16"/>
      <w:sz w:val="2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qFormat/>
    <w:uiPriority w:val="99"/>
    <w:rPr>
      <w:color w:val="0000FF"/>
      <w:u w:val="single"/>
    </w:rPr>
  </w:style>
  <w:style w:type="character" w:styleId="33">
    <w:name w:val="annotation reference"/>
    <w:qFormat/>
    <w:uiPriority w:val="0"/>
    <w:rPr>
      <w:sz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6">
    <w:name w:val="Table Theme"/>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7">
    <w:name w:val="Char"/>
    <w:basedOn w:val="1"/>
    <w:qFormat/>
    <w:uiPriority w:val="0"/>
    <w:pPr>
      <w:spacing w:line="360" w:lineRule="auto"/>
      <w:ind w:firstLine="200" w:firstLineChars="200"/>
    </w:pPr>
    <w:rPr>
      <w:rFonts w:ascii="宋体" w:hAnsi="宋体"/>
      <w:sz w:val="24"/>
    </w:rPr>
  </w:style>
  <w:style w:type="paragraph" w:customStyle="1" w:styleId="38">
    <w:name w:val="表格"/>
    <w:basedOn w:val="1"/>
    <w:link w:val="117"/>
    <w:qFormat/>
    <w:uiPriority w:val="0"/>
    <w:pPr>
      <w:jc w:val="center"/>
    </w:pPr>
    <w:rPr>
      <w:sz w:val="24"/>
    </w:rPr>
  </w:style>
  <w:style w:type="paragraph" w:customStyle="1" w:styleId="39">
    <w:name w:val="简单回函地址"/>
    <w:basedOn w:val="1"/>
    <w:qFormat/>
    <w:uiPriority w:val="0"/>
  </w:style>
  <w:style w:type="paragraph" w:customStyle="1" w:styleId="40">
    <w:name w:val="样式 样式 样式 首行缩进:  1 字符 + 首行缩进:  2 字符 行距: 1.5 倍行距 + 首行缩进:  2 字符"/>
    <w:basedOn w:val="1"/>
    <w:qFormat/>
    <w:uiPriority w:val="0"/>
    <w:pPr>
      <w:adjustRightInd w:val="0"/>
      <w:snapToGrid w:val="0"/>
      <w:spacing w:line="360" w:lineRule="auto"/>
      <w:ind w:firstLine="480" w:firstLineChars="200"/>
    </w:pPr>
    <w:rPr>
      <w:sz w:val="24"/>
    </w:rPr>
  </w:style>
  <w:style w:type="paragraph" w:customStyle="1" w:styleId="41">
    <w:name w:val="样式 样式 样式 首行缩进:  1 字符 + 首行缩进:  2 字符2 + 首行缩进:  2 字符"/>
    <w:basedOn w:val="1"/>
    <w:qFormat/>
    <w:uiPriority w:val="0"/>
    <w:pPr>
      <w:spacing w:line="360" w:lineRule="auto"/>
      <w:ind w:firstLine="480" w:firstLineChars="200"/>
    </w:pPr>
    <w:rPr>
      <w:sz w:val="24"/>
    </w:rPr>
  </w:style>
  <w:style w:type="paragraph" w:customStyle="1" w:styleId="42">
    <w:name w:val="样式 样式 样式 首行缩进:  1 字符 + 首行缩进:  2 字符1 + 首行缩进:  2 字符2"/>
    <w:basedOn w:val="1"/>
    <w:qFormat/>
    <w:uiPriority w:val="0"/>
    <w:pPr>
      <w:spacing w:line="360" w:lineRule="auto"/>
      <w:ind w:firstLine="480" w:firstLineChars="200"/>
    </w:pPr>
    <w:rPr>
      <w:rFonts w:cs="宋体"/>
      <w:sz w:val="24"/>
    </w:rPr>
  </w:style>
  <w:style w:type="paragraph" w:customStyle="1" w:styleId="43">
    <w:name w:val="样式 样式 样式 样式 样式 首行缩进:  1 字符 + 首行缩进:  2 字符 行距: 1.5 倍行距 + 首行缩进:  2 ..."/>
    <w:basedOn w:val="1"/>
    <w:qFormat/>
    <w:uiPriority w:val="0"/>
    <w:pPr>
      <w:adjustRightInd w:val="0"/>
      <w:snapToGrid w:val="0"/>
      <w:spacing w:line="360" w:lineRule="auto"/>
      <w:ind w:firstLine="506" w:firstLineChars="200"/>
    </w:pPr>
    <w:rPr>
      <w:rFonts w:cs="宋体"/>
      <w:sz w:val="24"/>
    </w:rPr>
  </w:style>
  <w:style w:type="paragraph" w:customStyle="1" w:styleId="44">
    <w:name w:val="Char Char Char Char"/>
    <w:basedOn w:val="1"/>
    <w:next w:val="1"/>
    <w:qFormat/>
    <w:uiPriority w:val="0"/>
    <w:pPr>
      <w:pBdr>
        <w:right w:val="single" w:color="auto" w:sz="12" w:space="4"/>
      </w:pBdr>
      <w:spacing w:line="360" w:lineRule="auto"/>
      <w:ind w:firstLine="200" w:firstLineChars="200"/>
    </w:pPr>
  </w:style>
  <w:style w:type="paragraph" w:customStyle="1" w:styleId="45">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szCs w:val="24"/>
    </w:rPr>
  </w:style>
  <w:style w:type="paragraph" w:customStyle="1" w:styleId="46">
    <w:name w:val="Char2"/>
    <w:basedOn w:val="1"/>
    <w:qFormat/>
    <w:uiPriority w:val="0"/>
    <w:rPr>
      <w:rFonts w:eastAsia="仿宋_GB2312"/>
      <w:sz w:val="32"/>
      <w:szCs w:val="32"/>
    </w:rPr>
  </w:style>
  <w:style w:type="paragraph" w:customStyle="1" w:styleId="47">
    <w:name w:val="Char1"/>
    <w:basedOn w:val="1"/>
    <w:qFormat/>
    <w:uiPriority w:val="0"/>
    <w:pPr>
      <w:keepLines/>
      <w:pageBreakBefore/>
      <w:tabs>
        <w:tab w:val="left" w:pos="1320"/>
      </w:tabs>
      <w:spacing w:before="240" w:after="240" w:line="560" w:lineRule="exact"/>
      <w:outlineLvl w:val="0"/>
    </w:pPr>
    <w:rPr>
      <w:rFonts w:ascii="Arial" w:hAnsi="Arial" w:eastAsia="仿宋_GB2312"/>
      <w:bCs/>
      <w:kern w:val="44"/>
      <w:sz w:val="28"/>
      <w:szCs w:val="30"/>
    </w:rPr>
  </w:style>
  <w:style w:type="paragraph" w:customStyle="1" w:styleId="48">
    <w:name w:val="三级"/>
    <w:basedOn w:val="4"/>
    <w:qFormat/>
    <w:uiPriority w:val="0"/>
    <w:pPr>
      <w:spacing w:before="0" w:after="0" w:line="240" w:lineRule="auto"/>
    </w:pPr>
    <w:rPr>
      <w:rFonts w:eastAsia="黑体"/>
      <w:sz w:val="28"/>
    </w:rPr>
  </w:style>
  <w:style w:type="paragraph" w:customStyle="1" w:styleId="49">
    <w:name w:val="样式4"/>
    <w:basedOn w:val="1"/>
    <w:link w:val="91"/>
    <w:qFormat/>
    <w:uiPriority w:val="0"/>
    <w:pPr>
      <w:spacing w:line="500" w:lineRule="exact"/>
      <w:ind w:firstLine="200" w:firstLineChars="200"/>
      <w:jc w:val="left"/>
    </w:pPr>
    <w:rPr>
      <w:sz w:val="24"/>
      <w:szCs w:val="24"/>
    </w:rPr>
  </w:style>
  <w:style w:type="paragraph" w:customStyle="1" w:styleId="50">
    <w:name w:val="Char Char Char Char Char2 Char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51">
    <w:name w:val="表"/>
    <w:basedOn w:val="1"/>
    <w:qFormat/>
    <w:uiPriority w:val="0"/>
    <w:pPr>
      <w:snapToGrid w:val="0"/>
      <w:jc w:val="center"/>
    </w:pPr>
    <w:rPr>
      <w:spacing w:val="2"/>
    </w:rPr>
  </w:style>
  <w:style w:type="paragraph" w:customStyle="1" w:styleId="52">
    <w:name w:val="表题"/>
    <w:basedOn w:val="1"/>
    <w:qFormat/>
    <w:uiPriority w:val="0"/>
    <w:pPr>
      <w:autoSpaceDE w:val="0"/>
      <w:autoSpaceDN w:val="0"/>
      <w:adjustRightInd w:val="0"/>
      <w:spacing w:line="480" w:lineRule="atLeast"/>
      <w:jc w:val="center"/>
      <w:textAlignment w:val="baseline"/>
    </w:pPr>
    <w:rPr>
      <w:rFonts w:ascii="黑体" w:eastAsia="黑体"/>
      <w:kern w:val="16"/>
    </w:rPr>
  </w:style>
  <w:style w:type="paragraph" w:customStyle="1" w:styleId="53">
    <w:name w:val="默认段落字体 Para Char Char Char Char Char Char Char Char Char Char Char Char Char"/>
    <w:basedOn w:val="1"/>
    <w:qFormat/>
    <w:uiPriority w:val="0"/>
    <w:rPr>
      <w:szCs w:val="24"/>
    </w:rPr>
  </w:style>
  <w:style w:type="paragraph" w:customStyle="1" w:styleId="54">
    <w:name w:val="Char Char Char1 Char Char Char Char"/>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55">
    <w:name w:val="Char Char Char Char Char Char Char Char Char Char"/>
    <w:basedOn w:val="21"/>
    <w:qFormat/>
    <w:uiPriority w:val="0"/>
    <w:pPr>
      <w:widowControl/>
      <w:adjustRightInd w:val="0"/>
      <w:snapToGrid w:val="0"/>
      <w:spacing w:after="0" w:line="360" w:lineRule="auto"/>
      <w:ind w:left="0" w:leftChars="0" w:firstLine="200"/>
      <w:jc w:val="left"/>
    </w:pPr>
    <w:rPr>
      <w:rFonts w:ascii="宋体" w:cs="宋体"/>
      <w:kern w:val="0"/>
      <w:sz w:val="24"/>
      <w:szCs w:val="24"/>
    </w:rPr>
  </w:style>
  <w:style w:type="paragraph" w:customStyle="1" w:styleId="56">
    <w:name w:val="政府正文"/>
    <w:basedOn w:val="1"/>
    <w:qFormat/>
    <w:uiPriority w:val="0"/>
    <w:pPr>
      <w:spacing w:line="360" w:lineRule="auto"/>
      <w:ind w:firstLine="560" w:firstLineChars="200"/>
    </w:pPr>
    <w:rPr>
      <w:rFonts w:ascii="楷体_GB2312" w:hAnsi="宋体" w:eastAsia="楷体_GB2312"/>
      <w:kern w:val="0"/>
      <w:sz w:val="28"/>
      <w:szCs w:val="28"/>
    </w:rPr>
  </w:style>
  <w:style w:type="paragraph" w:customStyle="1" w:styleId="57">
    <w:name w:val="样式 样式 样式 样式 首行缩进:  1 字符 + 首行缩进:  2 字符2 + 首行缩进:  2 字符 行距: 固定值 23 ...1"/>
    <w:basedOn w:val="1"/>
    <w:link w:val="95"/>
    <w:qFormat/>
    <w:uiPriority w:val="0"/>
    <w:pPr>
      <w:adjustRightInd w:val="0"/>
      <w:snapToGrid w:val="0"/>
      <w:spacing w:line="360" w:lineRule="auto"/>
      <w:ind w:firstLine="200" w:firstLineChars="200"/>
    </w:pPr>
    <w:rPr>
      <w:rFonts w:ascii="宋体" w:hAnsi="宋体" w:cs="宋体"/>
      <w:sz w:val="24"/>
    </w:rPr>
  </w:style>
  <w:style w:type="paragraph" w:customStyle="1" w:styleId="58">
    <w:name w:val="p0"/>
    <w:basedOn w:val="1"/>
    <w:qFormat/>
    <w:uiPriority w:val="0"/>
    <w:pPr>
      <w:widowControl/>
    </w:pPr>
    <w:rPr>
      <w:kern w:val="0"/>
      <w:szCs w:val="21"/>
    </w:rPr>
  </w:style>
  <w:style w:type="paragraph" w:customStyle="1" w:styleId="59">
    <w:name w:val="Char Char Char Char Char Char"/>
    <w:basedOn w:val="1"/>
    <w:qFormat/>
    <w:uiPriority w:val="0"/>
    <w:rPr>
      <w:szCs w:val="24"/>
    </w:rPr>
  </w:style>
  <w:style w:type="paragraph" w:customStyle="1" w:styleId="60">
    <w:name w:val="Char Char1 Char Char Char Char Char Char Char Char Char Char Char Char Char Char Char Char Char Char Char Char1 Char"/>
    <w:basedOn w:val="1"/>
    <w:link w:val="96"/>
    <w:qFormat/>
    <w:uiPriority w:val="0"/>
    <w:pPr>
      <w:spacing w:line="360" w:lineRule="auto"/>
      <w:ind w:firstLine="200" w:firstLineChars="200"/>
    </w:pPr>
    <w:rPr>
      <w:rFonts w:ascii="宋体" w:hAnsi="宋体" w:cs="宋体"/>
      <w:sz w:val="24"/>
      <w:szCs w:val="24"/>
    </w:rPr>
  </w:style>
  <w:style w:type="paragraph" w:customStyle="1" w:styleId="61">
    <w:name w:val="xl26"/>
    <w:basedOn w:val="1"/>
    <w:link w:val="97"/>
    <w:qFormat/>
    <w:uiPriority w:val="0"/>
    <w:pPr>
      <w:widowControl/>
      <w:spacing w:before="100" w:after="100"/>
      <w:jc w:val="center"/>
    </w:pPr>
    <w:rPr>
      <w:kern w:val="0"/>
    </w:rPr>
  </w:style>
  <w:style w:type="paragraph" w:customStyle="1" w:styleId="62">
    <w:name w:val="环评报告正文"/>
    <w:basedOn w:val="1"/>
    <w:qFormat/>
    <w:uiPriority w:val="0"/>
    <w:pPr>
      <w:spacing w:line="560" w:lineRule="exact"/>
      <w:ind w:firstLine="480" w:firstLineChars="200"/>
    </w:pPr>
    <w:rPr>
      <w:rFonts w:ascii="宋体" w:hAnsi="宋体" w:cs="宋体"/>
      <w:color w:val="000000"/>
      <w:sz w:val="24"/>
    </w:rPr>
  </w:style>
  <w:style w:type="paragraph" w:customStyle="1" w:styleId="63">
    <w:name w:val="表内式样"/>
    <w:qFormat/>
    <w:uiPriority w:val="0"/>
    <w:pPr>
      <w:widowControl w:val="0"/>
      <w:adjustRightInd w:val="0"/>
      <w:snapToGrid w:val="0"/>
      <w:jc w:val="center"/>
    </w:pPr>
    <w:rPr>
      <w:rFonts w:ascii="Times New Roman" w:hAnsi="Times New Roman" w:eastAsia="宋体" w:cs="Times New Roman"/>
      <w:spacing w:val="-8"/>
      <w:kern w:val="2"/>
      <w:sz w:val="21"/>
      <w:szCs w:val="24"/>
      <w:lang w:val="en-US" w:eastAsia="zh-CN" w:bidi="ar-SA"/>
    </w:rPr>
  </w:style>
  <w:style w:type="paragraph" w:customStyle="1" w:styleId="64">
    <w:name w:val="正文1"/>
    <w:basedOn w:val="1"/>
    <w:qFormat/>
    <w:uiPriority w:val="0"/>
    <w:pPr>
      <w:adjustRightInd w:val="0"/>
      <w:snapToGrid w:val="0"/>
      <w:spacing w:before="120" w:line="312" w:lineRule="auto"/>
      <w:ind w:firstLine="482" w:firstLineChars="200"/>
    </w:pPr>
    <w:rPr>
      <w:rFonts w:ascii="黑体" w:eastAsia="黑体"/>
      <w:b/>
      <w:snapToGrid w:val="0"/>
      <w:kern w:val="0"/>
      <w:sz w:val="24"/>
      <w:szCs w:val="24"/>
    </w:rPr>
  </w:style>
  <w:style w:type="paragraph" w:customStyle="1" w:styleId="65">
    <w:name w:val="报告正文"/>
    <w:basedOn w:val="1"/>
    <w:qFormat/>
    <w:uiPriority w:val="0"/>
    <w:pPr>
      <w:adjustRightInd w:val="0"/>
      <w:spacing w:beforeLines="25" w:line="360" w:lineRule="auto"/>
      <w:ind w:firstLine="482"/>
      <w:textAlignment w:val="baseline"/>
    </w:pPr>
    <w:rPr>
      <w:snapToGrid w:val="0"/>
      <w:kern w:val="24"/>
      <w:sz w:val="24"/>
      <w:szCs w:val="21"/>
    </w:rPr>
  </w:style>
  <w:style w:type="paragraph" w:customStyle="1" w:styleId="66">
    <w:name w:val="表格内容1"/>
    <w:basedOn w:val="1"/>
    <w:qFormat/>
    <w:uiPriority w:val="0"/>
    <w:pPr>
      <w:adjustRightInd w:val="0"/>
      <w:snapToGrid w:val="0"/>
      <w:spacing w:beforeLines="15" w:afterLines="15" w:line="240" w:lineRule="exact"/>
      <w:jc w:val="center"/>
    </w:pPr>
    <w:rPr>
      <w:rFonts w:ascii="宋体"/>
      <w:snapToGrid w:val="0"/>
      <w:kern w:val="0"/>
      <w:szCs w:val="24"/>
    </w:rPr>
  </w:style>
  <w:style w:type="paragraph" w:customStyle="1" w:styleId="67">
    <w:name w:val="正文(1)"/>
    <w:basedOn w:val="1"/>
    <w:qFormat/>
    <w:uiPriority w:val="0"/>
    <w:pPr>
      <w:adjustRightInd w:val="0"/>
      <w:snapToGrid w:val="0"/>
      <w:spacing w:before="60" w:line="288" w:lineRule="auto"/>
      <w:ind w:firstLine="480" w:firstLineChars="200"/>
    </w:pPr>
    <w:rPr>
      <w:rFonts w:ascii="宋体"/>
      <w:snapToGrid w:val="0"/>
      <w:color w:val="000000"/>
      <w:kern w:val="0"/>
      <w:sz w:val="24"/>
      <w:szCs w:val="24"/>
    </w:rPr>
  </w:style>
  <w:style w:type="paragraph" w:customStyle="1" w:styleId="68">
    <w:name w:val="Char Char Char Char Char2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69">
    <w:name w:val="表格文字"/>
    <w:basedOn w:val="1"/>
    <w:next w:val="1"/>
    <w:link w:val="105"/>
    <w:qFormat/>
    <w:uiPriority w:val="0"/>
    <w:pPr>
      <w:snapToGrid w:val="0"/>
      <w:jc w:val="center"/>
    </w:pPr>
    <w:rPr>
      <w:szCs w:val="24"/>
    </w:rPr>
  </w:style>
  <w:style w:type="paragraph" w:customStyle="1" w:styleId="70">
    <w:name w:val="标准样式"/>
    <w:basedOn w:val="1"/>
    <w:qFormat/>
    <w:uiPriority w:val="0"/>
    <w:pPr>
      <w:spacing w:line="600" w:lineRule="exact"/>
      <w:ind w:firstLine="567"/>
    </w:pPr>
    <w:rPr>
      <w:rFonts w:ascii="宋体"/>
      <w:sz w:val="28"/>
      <w:szCs w:val="24"/>
    </w:rPr>
  </w:style>
  <w:style w:type="paragraph" w:customStyle="1" w:styleId="71">
    <w:name w:val="样式1"/>
    <w:basedOn w:val="1"/>
    <w:qFormat/>
    <w:uiPriority w:val="0"/>
    <w:pPr>
      <w:spacing w:after="40" w:line="300" w:lineRule="atLeast"/>
      <w:jc w:val="center"/>
      <w:outlineLvl w:val="2"/>
    </w:pPr>
    <w:rPr>
      <w:rFonts w:eastAsia="楷体_GB2312"/>
    </w:rPr>
  </w:style>
  <w:style w:type="paragraph" w:customStyle="1" w:styleId="72">
    <w:name w:val="Char3"/>
    <w:basedOn w:val="1"/>
    <w:qFormat/>
    <w:uiPriority w:val="0"/>
    <w:rPr>
      <w:sz w:val="24"/>
      <w:szCs w:val="24"/>
    </w:rPr>
  </w:style>
  <w:style w:type="paragraph" w:customStyle="1" w:styleId="73">
    <w:name w:val="Char4"/>
    <w:basedOn w:val="1"/>
    <w:qFormat/>
    <w:uiPriority w:val="0"/>
    <w:rPr>
      <w:szCs w:val="24"/>
    </w:rPr>
  </w:style>
  <w:style w:type="paragraph" w:customStyle="1" w:styleId="74">
    <w:name w:val="副标题1"/>
    <w:basedOn w:val="1"/>
    <w:next w:val="1"/>
    <w:link w:val="103"/>
    <w:qFormat/>
    <w:uiPriority w:val="0"/>
    <w:pPr>
      <w:spacing w:line="360" w:lineRule="auto"/>
      <w:ind w:firstLine="200" w:firstLineChars="200"/>
      <w:outlineLvl w:val="2"/>
    </w:pPr>
    <w:rPr>
      <w:rFonts w:ascii="Cambria" w:hAnsi="Cambria" w:eastAsia="黑体"/>
      <w:kern w:val="28"/>
      <w:sz w:val="24"/>
    </w:rPr>
  </w:style>
  <w:style w:type="paragraph" w:customStyle="1" w:styleId="75">
    <w:name w:val="默认段落字体 Para Char"/>
    <w:basedOn w:val="1"/>
    <w:qFormat/>
    <w:uiPriority w:val="0"/>
    <w:pPr>
      <w:adjustRightInd w:val="0"/>
      <w:snapToGrid w:val="0"/>
      <w:spacing w:line="360" w:lineRule="auto"/>
      <w:ind w:firstLine="200" w:firstLineChars="200"/>
    </w:pPr>
    <w:rPr>
      <w:rFonts w:ascii="宋体" w:hAnsi="宋体" w:eastAsia="仿宋_GB2312" w:cs="宋体"/>
      <w:sz w:val="24"/>
      <w:szCs w:val="24"/>
    </w:rPr>
  </w:style>
  <w:style w:type="paragraph" w:customStyle="1" w:styleId="76">
    <w:name w:val="报告书表格"/>
    <w:basedOn w:val="1"/>
    <w:qFormat/>
    <w:uiPriority w:val="0"/>
    <w:pPr>
      <w:adjustRightInd w:val="0"/>
      <w:spacing w:before="60" w:after="60" w:line="240" w:lineRule="atLeast"/>
      <w:jc w:val="center"/>
      <w:textAlignment w:val="baseline"/>
    </w:pPr>
    <w:rPr>
      <w:kern w:val="0"/>
    </w:rPr>
  </w:style>
  <w:style w:type="paragraph" w:customStyle="1" w:styleId="77">
    <w:name w:val="正文表格"/>
    <w:basedOn w:val="1"/>
    <w:qFormat/>
    <w:uiPriority w:val="0"/>
    <w:pPr>
      <w:adjustRightInd w:val="0"/>
      <w:snapToGrid w:val="0"/>
      <w:jc w:val="center"/>
    </w:pPr>
    <w:rPr>
      <w:rFonts w:eastAsia="楷体_GB2312"/>
      <w:sz w:val="24"/>
    </w:rPr>
  </w:style>
  <w:style w:type="paragraph" w:customStyle="1" w:styleId="78">
    <w:name w:val="正文缩近"/>
    <w:basedOn w:val="1"/>
    <w:qFormat/>
    <w:uiPriority w:val="0"/>
    <w:pPr>
      <w:spacing w:line="360" w:lineRule="auto"/>
      <w:ind w:firstLine="560" w:firstLineChars="200"/>
    </w:pPr>
    <w:rPr>
      <w:sz w:val="28"/>
      <w:szCs w:val="28"/>
    </w:rPr>
  </w:style>
  <w:style w:type="paragraph" w:customStyle="1" w:styleId="79">
    <w:name w:val="表格字"/>
    <w:basedOn w:val="1"/>
    <w:next w:val="1"/>
    <w:qFormat/>
    <w:uiPriority w:val="0"/>
    <w:pPr>
      <w:adjustRightInd w:val="0"/>
      <w:snapToGrid w:val="0"/>
      <w:jc w:val="center"/>
    </w:pPr>
    <w:rPr>
      <w:color w:val="FF0000"/>
      <w:spacing w:val="8"/>
      <w:kern w:val="0"/>
      <w:szCs w:val="21"/>
    </w:rPr>
  </w:style>
  <w:style w:type="paragraph" w:customStyle="1" w:styleId="80">
    <w:name w:val="样式111"/>
    <w:qFormat/>
    <w:uiPriority w:val="0"/>
    <w:pPr>
      <w:adjustRightInd w:val="0"/>
      <w:snapToGrid w:val="0"/>
      <w:jc w:val="both"/>
    </w:pPr>
    <w:rPr>
      <w:rFonts w:ascii="宋体" w:hAnsi="Times New Roman" w:eastAsia="宋体" w:cs="Times New Roman"/>
      <w:sz w:val="21"/>
      <w:lang w:val="en-US" w:eastAsia="zh-CN" w:bidi="ar-SA"/>
    </w:rPr>
  </w:style>
  <w:style w:type="paragraph" w:customStyle="1" w:styleId="81">
    <w:name w:val="报告正文-连续目录"/>
    <w:basedOn w:val="1"/>
    <w:link w:val="106"/>
    <w:qFormat/>
    <w:uiPriority w:val="0"/>
    <w:pPr>
      <w:spacing w:line="440" w:lineRule="exact"/>
      <w:ind w:firstLine="200" w:firstLineChars="200"/>
    </w:pPr>
    <w:rPr>
      <w:rFonts w:ascii="Arial" w:hAnsi="Arial"/>
      <w:snapToGrid w:val="0"/>
      <w:kern w:val="0"/>
      <w:sz w:val="24"/>
      <w:szCs w:val="24"/>
    </w:rPr>
  </w:style>
  <w:style w:type="paragraph" w:customStyle="1" w:styleId="82">
    <w:name w:val="正文首行缩进 2 + Times New Roman"/>
    <w:basedOn w:val="1"/>
    <w:link w:val="107"/>
    <w:qFormat/>
    <w:uiPriority w:val="0"/>
    <w:pPr>
      <w:tabs>
        <w:tab w:val="left" w:pos="0"/>
        <w:tab w:val="left" w:pos="870"/>
        <w:tab w:val="left" w:pos="3150"/>
      </w:tabs>
      <w:autoSpaceDE w:val="0"/>
      <w:autoSpaceDN w:val="0"/>
      <w:spacing w:line="360" w:lineRule="auto"/>
      <w:ind w:firstLine="480" w:firstLineChars="200"/>
    </w:pPr>
    <w:rPr>
      <w:kern w:val="0"/>
      <w:sz w:val="24"/>
      <w:szCs w:val="24"/>
    </w:rPr>
  </w:style>
  <w:style w:type="paragraph" w:customStyle="1" w:styleId="83">
    <w:name w:val="样式 样式 报告正文-连续目录 + 首行缩进:  2 字符1 + 首行缩进:  4 字符"/>
    <w:basedOn w:val="1"/>
    <w:qFormat/>
    <w:uiPriority w:val="0"/>
    <w:pPr>
      <w:widowControl/>
      <w:spacing w:line="440" w:lineRule="exact"/>
      <w:ind w:firstLine="200" w:firstLineChars="200"/>
      <w:jc w:val="left"/>
    </w:pPr>
    <w:rPr>
      <w:rFonts w:ascii="Arial" w:hAnsi="Arial" w:cs="宋体"/>
      <w:snapToGrid w:val="0"/>
      <w:kern w:val="0"/>
      <w:sz w:val="24"/>
    </w:rPr>
  </w:style>
  <w:style w:type="paragraph" w:customStyle="1" w:styleId="84">
    <w:name w:val="（空格行"/>
    <w:basedOn w:val="1"/>
    <w:qFormat/>
    <w:uiPriority w:val="0"/>
    <w:pPr>
      <w:ind w:firstLine="480" w:firstLineChars="200"/>
    </w:pPr>
    <w:rPr>
      <w:rFonts w:eastAsia="仿宋_GB2312"/>
      <w:sz w:val="24"/>
      <w:szCs w:val="24"/>
    </w:rPr>
  </w:style>
  <w:style w:type="paragraph" w:customStyle="1" w:styleId="85">
    <w:name w:val="报告表表格"/>
    <w:basedOn w:val="1"/>
    <w:link w:val="108"/>
    <w:qFormat/>
    <w:uiPriority w:val="0"/>
    <w:pPr>
      <w:spacing w:line="360" w:lineRule="exact"/>
      <w:jc w:val="center"/>
    </w:pPr>
    <w:rPr>
      <w:rFonts w:ascii="Arial" w:hAnsi="Arial"/>
      <w:szCs w:val="21"/>
    </w:rPr>
  </w:style>
  <w:style w:type="paragraph" w:customStyle="1" w:styleId="86">
    <w:name w:val="1 Char"/>
    <w:basedOn w:val="1"/>
    <w:qFormat/>
    <w:uiPriority w:val="0"/>
    <w:pPr>
      <w:widowControl/>
      <w:spacing w:after="160" w:line="240" w:lineRule="exact"/>
      <w:jc w:val="left"/>
    </w:pPr>
    <w:rPr>
      <w:szCs w:val="24"/>
    </w:rPr>
  </w:style>
  <w:style w:type="paragraph" w:customStyle="1" w:styleId="87">
    <w:name w:val="1.1.1"/>
    <w:basedOn w:val="1"/>
    <w:qFormat/>
    <w:uiPriority w:val="0"/>
    <w:rPr>
      <w:rFonts w:ascii="黑体"/>
      <w:sz w:val="24"/>
      <w:szCs w:val="24"/>
    </w:rPr>
  </w:style>
  <w:style w:type="paragraph" w:customStyle="1" w:styleId="88">
    <w:name w:val="表头标题"/>
    <w:basedOn w:val="1"/>
    <w:qFormat/>
    <w:uiPriority w:val="0"/>
    <w:pPr>
      <w:jc w:val="center"/>
    </w:pPr>
    <w:rPr>
      <w:b/>
      <w:color w:val="000000"/>
      <w:spacing w:val="4"/>
      <w:sz w:val="24"/>
      <w:szCs w:val="24"/>
    </w:rPr>
  </w:style>
  <w:style w:type="character" w:customStyle="1" w:styleId="89">
    <w:name w:val="样式 样式 样式 样式 首行缩进:  1 字符 + 首行缩进:  2 字符2 + 首行缩进:  2 字符 + 宋体 Char"/>
    <w:qFormat/>
    <w:uiPriority w:val="0"/>
    <w:rPr>
      <w:rFonts w:ascii="宋体" w:hAnsi="宋体" w:eastAsia="宋体"/>
      <w:kern w:val="2"/>
      <w:sz w:val="24"/>
      <w:lang w:val="en-US" w:eastAsia="zh-CN"/>
    </w:rPr>
  </w:style>
  <w:style w:type="character" w:customStyle="1" w:styleId="90">
    <w:name w:val="text21"/>
    <w:qFormat/>
    <w:uiPriority w:val="0"/>
    <w:rPr>
      <w:sz w:val="18"/>
      <w:szCs w:val="18"/>
      <w:u w:val="none"/>
    </w:rPr>
  </w:style>
  <w:style w:type="character" w:customStyle="1" w:styleId="91">
    <w:name w:val="样式4 Char"/>
    <w:link w:val="49"/>
    <w:qFormat/>
    <w:uiPriority w:val="0"/>
    <w:rPr>
      <w:rFonts w:eastAsia="宋体"/>
      <w:kern w:val="2"/>
      <w:sz w:val="24"/>
      <w:szCs w:val="24"/>
      <w:lang w:val="en-US" w:eastAsia="zh-CN" w:bidi="ar-SA"/>
    </w:rPr>
  </w:style>
  <w:style w:type="character" w:customStyle="1" w:styleId="92">
    <w:name w:val="批注文字 Char"/>
    <w:link w:val="7"/>
    <w:qFormat/>
    <w:uiPriority w:val="0"/>
    <w:rPr>
      <w:rFonts w:eastAsia="宋体"/>
      <w:kern w:val="2"/>
      <w:sz w:val="21"/>
      <w:lang w:val="en-US" w:eastAsia="zh-CN" w:bidi="ar-SA"/>
    </w:rPr>
  </w:style>
  <w:style w:type="character" w:customStyle="1" w:styleId="93">
    <w:name w:val="批注主题 Char"/>
    <w:link w:val="6"/>
    <w:qFormat/>
    <w:uiPriority w:val="0"/>
    <w:rPr>
      <w:rFonts w:eastAsia="宋体"/>
      <w:b/>
      <w:bCs/>
      <w:kern w:val="2"/>
      <w:sz w:val="21"/>
      <w:lang w:val="en-US" w:eastAsia="zh-CN" w:bidi="ar-SA"/>
    </w:rPr>
  </w:style>
  <w:style w:type="character" w:customStyle="1" w:styleId="94">
    <w:name w:val="正文缩进 Char"/>
    <w:link w:val="10"/>
    <w:qFormat/>
    <w:locked/>
    <w:uiPriority w:val="0"/>
    <w:rPr>
      <w:rFonts w:eastAsia="宋体"/>
      <w:kern w:val="2"/>
      <w:sz w:val="21"/>
      <w:lang w:val="en-US" w:eastAsia="zh-CN" w:bidi="ar-SA"/>
    </w:rPr>
  </w:style>
  <w:style w:type="character" w:customStyle="1" w:styleId="95">
    <w:name w:val="样式 样式 样式 样式 首行缩进:  1 字符 + 首行缩进:  2 字符2 + 首行缩进:  2 字符 行距: 固定值 23 ...1 Char"/>
    <w:link w:val="57"/>
    <w:qFormat/>
    <w:uiPriority w:val="0"/>
    <w:rPr>
      <w:rFonts w:ascii="宋体" w:hAnsi="宋体" w:eastAsia="宋体" w:cs="宋体"/>
      <w:kern w:val="2"/>
      <w:sz w:val="24"/>
      <w:lang w:val="en-US" w:eastAsia="zh-CN" w:bidi="ar-SA"/>
    </w:rPr>
  </w:style>
  <w:style w:type="character" w:customStyle="1" w:styleId="96">
    <w:name w:val="Char Char1 Char Char Char Char Char Char Char Char Char Char Char Char Char Char Char Char Char Char Char Char1 Char Char"/>
    <w:link w:val="60"/>
    <w:qFormat/>
    <w:uiPriority w:val="0"/>
    <w:rPr>
      <w:rFonts w:ascii="宋体" w:hAnsi="宋体" w:eastAsia="宋体" w:cs="宋体"/>
      <w:kern w:val="2"/>
      <w:sz w:val="24"/>
      <w:szCs w:val="24"/>
      <w:lang w:val="en-US" w:eastAsia="zh-CN" w:bidi="ar-SA"/>
    </w:rPr>
  </w:style>
  <w:style w:type="character" w:customStyle="1" w:styleId="97">
    <w:name w:val="xl26 Char"/>
    <w:link w:val="61"/>
    <w:qFormat/>
    <w:uiPriority w:val="0"/>
    <w:rPr>
      <w:rFonts w:eastAsia="宋体"/>
      <w:sz w:val="21"/>
      <w:lang w:val="en-US" w:eastAsia="zh-CN" w:bidi="ar-SA"/>
    </w:rPr>
  </w:style>
  <w:style w:type="character" w:customStyle="1" w:styleId="98">
    <w:name w:val="纯文本 Char"/>
    <w:link w:val="17"/>
    <w:qFormat/>
    <w:uiPriority w:val="0"/>
    <w:rPr>
      <w:rFonts w:ascii="宋体" w:hAnsi="Courier New"/>
      <w:kern w:val="2"/>
      <w:sz w:val="21"/>
    </w:rPr>
  </w:style>
  <w:style w:type="character" w:customStyle="1" w:styleId="99">
    <w:name w:val="页脚 Char"/>
    <w:link w:val="20"/>
    <w:qFormat/>
    <w:uiPriority w:val="99"/>
    <w:rPr>
      <w:kern w:val="2"/>
      <w:sz w:val="18"/>
    </w:rPr>
  </w:style>
  <w:style w:type="character" w:customStyle="1" w:styleId="100">
    <w:name w:val="文档结构图 Char"/>
    <w:link w:val="12"/>
    <w:qFormat/>
    <w:uiPriority w:val="0"/>
    <w:rPr>
      <w:rFonts w:ascii="宋体"/>
      <w:kern w:val="2"/>
      <w:sz w:val="18"/>
      <w:szCs w:val="18"/>
    </w:rPr>
  </w:style>
  <w:style w:type="character" w:customStyle="1" w:styleId="101">
    <w:name w:val="正文文本 Char"/>
    <w:link w:val="9"/>
    <w:qFormat/>
    <w:uiPriority w:val="0"/>
    <w:rPr>
      <w:rFonts w:eastAsia="楷体_GB2312"/>
      <w:kern w:val="2"/>
      <w:sz w:val="28"/>
    </w:rPr>
  </w:style>
  <w:style w:type="character" w:customStyle="1" w:styleId="102">
    <w:name w:val="正文首行缩进 Char"/>
    <w:basedOn w:val="101"/>
    <w:link w:val="8"/>
    <w:qFormat/>
    <w:uiPriority w:val="0"/>
  </w:style>
  <w:style w:type="character" w:customStyle="1" w:styleId="103">
    <w:name w:val="副标题 Char"/>
    <w:link w:val="74"/>
    <w:qFormat/>
    <w:uiPriority w:val="0"/>
    <w:rPr>
      <w:rFonts w:ascii="Cambria" w:hAnsi="Cambria" w:eastAsia="黑体"/>
      <w:kern w:val="28"/>
      <w:sz w:val="24"/>
    </w:rPr>
  </w:style>
  <w:style w:type="character" w:customStyle="1" w:styleId="104">
    <w:name w:val="纯文本 Char1"/>
    <w:qFormat/>
    <w:uiPriority w:val="0"/>
    <w:rPr>
      <w:rFonts w:ascii="宋体" w:hAnsi="Courier New" w:cs="宋体"/>
      <w:kern w:val="2"/>
      <w:sz w:val="21"/>
      <w:szCs w:val="21"/>
    </w:rPr>
  </w:style>
  <w:style w:type="character" w:customStyle="1" w:styleId="105">
    <w:name w:val="表格文字 Char"/>
    <w:basedOn w:val="29"/>
    <w:link w:val="69"/>
    <w:qFormat/>
    <w:uiPriority w:val="0"/>
    <w:rPr>
      <w:kern w:val="2"/>
      <w:sz w:val="21"/>
      <w:szCs w:val="24"/>
    </w:rPr>
  </w:style>
  <w:style w:type="character" w:customStyle="1" w:styleId="106">
    <w:name w:val="报告正文-连续目录 Char Char"/>
    <w:basedOn w:val="29"/>
    <w:link w:val="81"/>
    <w:qFormat/>
    <w:uiPriority w:val="0"/>
    <w:rPr>
      <w:rFonts w:ascii="Arial" w:hAnsi="Arial"/>
      <w:snapToGrid w:val="0"/>
      <w:sz w:val="24"/>
      <w:szCs w:val="24"/>
    </w:rPr>
  </w:style>
  <w:style w:type="character" w:customStyle="1" w:styleId="107">
    <w:name w:val="正文首行缩进 2 + Times New Roman Char"/>
    <w:basedOn w:val="29"/>
    <w:link w:val="82"/>
    <w:qFormat/>
    <w:uiPriority w:val="0"/>
    <w:rPr>
      <w:sz w:val="24"/>
      <w:szCs w:val="24"/>
    </w:rPr>
  </w:style>
  <w:style w:type="character" w:customStyle="1" w:styleId="108">
    <w:name w:val="报告表表格 Char"/>
    <w:basedOn w:val="29"/>
    <w:link w:val="85"/>
    <w:qFormat/>
    <w:uiPriority w:val="0"/>
    <w:rPr>
      <w:rFonts w:ascii="Arial" w:hAnsi="Arial"/>
      <w:kern w:val="2"/>
      <w:sz w:val="21"/>
      <w:szCs w:val="21"/>
    </w:rPr>
  </w:style>
  <w:style w:type="paragraph" w:customStyle="1" w:styleId="109">
    <w:name w:val="Char Char Char1 Char Char Char Char1"/>
    <w:basedOn w:val="1"/>
    <w:next w:val="1"/>
    <w:qFormat/>
    <w:uiPriority w:val="0"/>
    <w:pPr>
      <w:spacing w:line="360" w:lineRule="auto"/>
      <w:ind w:firstLine="200" w:firstLineChars="200"/>
    </w:pPr>
    <w:rPr>
      <w:rFonts w:ascii="宋体" w:hAnsi="宋体" w:eastAsia="汉鼎简书宋" w:cs="宋体"/>
      <w:sz w:val="24"/>
      <w:szCs w:val="24"/>
    </w:rPr>
  </w:style>
  <w:style w:type="character" w:customStyle="1" w:styleId="110">
    <w:name w:val="页眉 Char"/>
    <w:basedOn w:val="29"/>
    <w:link w:val="22"/>
    <w:qFormat/>
    <w:locked/>
    <w:uiPriority w:val="0"/>
    <w:rPr>
      <w:kern w:val="2"/>
      <w:sz w:val="18"/>
    </w:rPr>
  </w:style>
  <w:style w:type="character" w:customStyle="1" w:styleId="111">
    <w:name w:val="正文缩进 Char1"/>
    <w:basedOn w:val="29"/>
    <w:qFormat/>
    <w:uiPriority w:val="0"/>
    <w:rPr>
      <w:rFonts w:eastAsia="宋体"/>
      <w:kern w:val="2"/>
      <w:sz w:val="24"/>
      <w:lang w:val="en-US" w:eastAsia="zh-CN" w:bidi="ar-SA"/>
    </w:rPr>
  </w:style>
  <w:style w:type="character" w:customStyle="1" w:styleId="112">
    <w:name w:val="标题 4 Char"/>
    <w:basedOn w:val="29"/>
    <w:link w:val="5"/>
    <w:qFormat/>
    <w:uiPriority w:val="0"/>
    <w:rPr>
      <w:bCs/>
      <w:kern w:val="2"/>
      <w:sz w:val="24"/>
      <w:szCs w:val="24"/>
    </w:rPr>
  </w:style>
  <w:style w:type="paragraph" w:customStyle="1" w:styleId="113">
    <w:name w:val="提头"/>
    <w:basedOn w:val="1"/>
    <w:next w:val="1"/>
    <w:link w:val="116"/>
    <w:qFormat/>
    <w:uiPriority w:val="0"/>
    <w:pPr>
      <w:tabs>
        <w:tab w:val="left" w:pos="1220"/>
      </w:tabs>
      <w:spacing w:line="360" w:lineRule="auto"/>
      <w:jc w:val="center"/>
    </w:pPr>
    <w:rPr>
      <w:b/>
      <w:sz w:val="24"/>
      <w:szCs w:val="24"/>
    </w:rPr>
  </w:style>
  <w:style w:type="paragraph" w:customStyle="1" w:styleId="114">
    <w:name w:val="图号"/>
    <w:basedOn w:val="1"/>
    <w:next w:val="1"/>
    <w:qFormat/>
    <w:uiPriority w:val="0"/>
    <w:pPr>
      <w:ind w:firstLine="288"/>
      <w:jc w:val="center"/>
    </w:pPr>
    <w:rPr>
      <w:b/>
      <w:sz w:val="24"/>
      <w:szCs w:val="24"/>
    </w:rPr>
  </w:style>
  <w:style w:type="paragraph" w:customStyle="1" w:styleId="115">
    <w:name w:val="样式标题5"/>
    <w:basedOn w:val="1"/>
    <w:next w:val="1"/>
    <w:qFormat/>
    <w:uiPriority w:val="0"/>
    <w:pPr>
      <w:spacing w:line="360" w:lineRule="auto"/>
      <w:ind w:left="309" w:firstLine="400"/>
    </w:pPr>
    <w:rPr>
      <w:sz w:val="24"/>
      <w:szCs w:val="24"/>
    </w:rPr>
  </w:style>
  <w:style w:type="character" w:customStyle="1" w:styleId="116">
    <w:name w:val="提头 Char"/>
    <w:basedOn w:val="29"/>
    <w:link w:val="113"/>
    <w:qFormat/>
    <w:locked/>
    <w:uiPriority w:val="0"/>
    <w:rPr>
      <w:b/>
      <w:kern w:val="2"/>
      <w:sz w:val="24"/>
      <w:szCs w:val="24"/>
    </w:rPr>
  </w:style>
  <w:style w:type="character" w:customStyle="1" w:styleId="117">
    <w:name w:val="表格 Char"/>
    <w:basedOn w:val="29"/>
    <w:link w:val="38"/>
    <w:qFormat/>
    <w:locked/>
    <w:uiPriority w:val="0"/>
    <w:rPr>
      <w:kern w:val="2"/>
      <w:sz w:val="24"/>
    </w:rPr>
  </w:style>
  <w:style w:type="paragraph" w:customStyle="1" w:styleId="118">
    <w:name w:val="表格数字"/>
    <w:basedOn w:val="1"/>
    <w:link w:val="119"/>
    <w:qFormat/>
    <w:uiPriority w:val="0"/>
    <w:pPr>
      <w:spacing w:line="360" w:lineRule="exact"/>
      <w:jc w:val="center"/>
    </w:pPr>
    <w:rPr>
      <w:rFonts w:ascii="Arial" w:hAnsi="Arial" w:cs="宋体"/>
      <w:kern w:val="0"/>
    </w:rPr>
  </w:style>
  <w:style w:type="character" w:customStyle="1" w:styleId="119">
    <w:name w:val="表格数字 Char"/>
    <w:basedOn w:val="29"/>
    <w:link w:val="118"/>
    <w:qFormat/>
    <w:uiPriority w:val="0"/>
    <w:rPr>
      <w:rFonts w:ascii="Arial" w:hAnsi="Arial" w:cs="宋体"/>
      <w:sz w:val="21"/>
    </w:rPr>
  </w:style>
  <w:style w:type="paragraph" w:customStyle="1" w:styleId="120">
    <w:name w:val="Char Char Char1 Char"/>
    <w:basedOn w:val="1"/>
    <w:semiHidden/>
    <w:qFormat/>
    <w:uiPriority w:val="0"/>
    <w:rPr>
      <w:szCs w:val="24"/>
    </w:rPr>
  </w:style>
  <w:style w:type="character" w:customStyle="1" w:styleId="121">
    <w:name w:val="表1 Char Char"/>
    <w:basedOn w:val="29"/>
    <w:link w:val="122"/>
    <w:qFormat/>
    <w:uiPriority w:val="0"/>
    <w:rPr>
      <w:sz w:val="21"/>
      <w:szCs w:val="21"/>
      <w:lang w:val="en-US" w:eastAsia="zh-CN" w:bidi="ar-SA"/>
    </w:rPr>
  </w:style>
  <w:style w:type="paragraph" w:customStyle="1" w:styleId="122">
    <w:name w:val="表1"/>
    <w:next w:val="1"/>
    <w:link w:val="121"/>
    <w:qFormat/>
    <w:uiPriority w:val="0"/>
    <w:pPr>
      <w:adjustRightInd w:val="0"/>
      <w:snapToGrid w:val="0"/>
      <w:jc w:val="center"/>
    </w:pPr>
    <w:rPr>
      <w:rFonts w:ascii="Times New Roman" w:hAnsi="Times New Roman" w:eastAsia="宋体" w:cs="Times New Roman"/>
      <w:sz w:val="21"/>
      <w:szCs w:val="21"/>
      <w:lang w:val="en-US" w:eastAsia="zh-CN" w:bidi="ar-SA"/>
    </w:rPr>
  </w:style>
  <w:style w:type="paragraph" w:customStyle="1" w:styleId="12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4">
    <w:name w:val="keyword"/>
    <w:basedOn w:val="29"/>
    <w:qFormat/>
    <w:uiPriority w:val="0"/>
  </w:style>
  <w:style w:type="paragraph" w:customStyle="1" w:styleId="125">
    <w:name w:val="应填表格"/>
    <w:basedOn w:val="1"/>
    <w:qFormat/>
    <w:uiPriority w:val="0"/>
    <w:pPr>
      <w:adjustRightInd w:val="0"/>
      <w:spacing w:before="40" w:after="40"/>
      <w:jc w:val="left"/>
      <w:textAlignment w:val="baseline"/>
    </w:pPr>
    <w:rPr>
      <w:kern w:val="0"/>
      <w:sz w:val="24"/>
    </w:rPr>
  </w:style>
  <w:style w:type="character" w:customStyle="1" w:styleId="126">
    <w:name w:val="文章正文样式 Char"/>
    <w:basedOn w:val="29"/>
    <w:link w:val="127"/>
    <w:qFormat/>
    <w:uiPriority w:val="0"/>
    <w:rPr>
      <w:rFonts w:ascii="宋体" w:hAnsi="宋体" w:cs="宋体"/>
      <w:kern w:val="2"/>
      <w:sz w:val="24"/>
    </w:rPr>
  </w:style>
  <w:style w:type="paragraph" w:customStyle="1" w:styleId="127">
    <w:name w:val="文章正文样式"/>
    <w:basedOn w:val="1"/>
    <w:link w:val="126"/>
    <w:qFormat/>
    <w:uiPriority w:val="0"/>
    <w:pPr>
      <w:spacing w:line="520" w:lineRule="exact"/>
      <w:ind w:firstLine="480" w:firstLineChars="200"/>
      <w:jc w:val="left"/>
    </w:pPr>
    <w:rPr>
      <w:rFonts w:ascii="宋体" w:hAnsi="宋体" w:cs="宋体"/>
      <w:sz w:val="24"/>
    </w:rPr>
  </w:style>
  <w:style w:type="paragraph" w:customStyle="1" w:styleId="128">
    <w:name w:val="常用表格样式"/>
    <w:basedOn w:val="1"/>
    <w:next w:val="1"/>
    <w:link w:val="129"/>
    <w:qFormat/>
    <w:uiPriority w:val="0"/>
    <w:pPr>
      <w:jc w:val="center"/>
    </w:pPr>
    <w:rPr>
      <w:rFonts w:ascii="宋体" w:hAnsi="新宋体" w:eastAsia="楷体_GB2312"/>
      <w:kern w:val="0"/>
      <w:sz w:val="18"/>
      <w:szCs w:val="24"/>
    </w:rPr>
  </w:style>
  <w:style w:type="character" w:customStyle="1" w:styleId="129">
    <w:name w:val="常用表格样式 Char1"/>
    <w:basedOn w:val="29"/>
    <w:link w:val="128"/>
    <w:qFormat/>
    <w:uiPriority w:val="0"/>
    <w:rPr>
      <w:rFonts w:ascii="宋体" w:hAnsi="新宋体" w:eastAsia="楷体_GB2312"/>
      <w:sz w:val="18"/>
      <w:szCs w:val="24"/>
    </w:rPr>
  </w:style>
  <w:style w:type="paragraph" w:customStyle="1" w:styleId="130">
    <w:name w:val="正文2"/>
    <w:basedOn w:val="1"/>
    <w:qFormat/>
    <w:uiPriority w:val="0"/>
    <w:pPr>
      <w:adjustRightInd w:val="0"/>
      <w:snapToGrid w:val="0"/>
      <w:spacing w:line="440" w:lineRule="atLeast"/>
      <w:ind w:firstLine="510"/>
    </w:pPr>
  </w:style>
  <w:style w:type="paragraph" w:customStyle="1" w:styleId="131">
    <w:name w:val="表格正文"/>
    <w:basedOn w:val="1"/>
    <w:link w:val="132"/>
    <w:qFormat/>
    <w:uiPriority w:val="0"/>
    <w:pPr>
      <w:spacing w:line="300" w:lineRule="exact"/>
      <w:jc w:val="center"/>
    </w:pPr>
    <w:rPr>
      <w:rFonts w:cs="宋体"/>
    </w:rPr>
  </w:style>
  <w:style w:type="character" w:customStyle="1" w:styleId="132">
    <w:name w:val="表格正文 Char"/>
    <w:basedOn w:val="29"/>
    <w:link w:val="131"/>
    <w:qFormat/>
    <w:uiPriority w:val="0"/>
    <w:rPr>
      <w:rFonts w:cs="宋体"/>
      <w:kern w:val="2"/>
      <w:sz w:val="21"/>
    </w:rPr>
  </w:style>
  <w:style w:type="paragraph" w:customStyle="1" w:styleId="133">
    <w:name w:val="正文（首行缩进两字）m"/>
    <w:basedOn w:val="134"/>
    <w:qFormat/>
    <w:uiPriority w:val="0"/>
    <w:pPr>
      <w:tabs>
        <w:tab w:val="left" w:pos="1848"/>
        <w:tab w:val="left" w:pos="6061"/>
        <w:tab w:val="left" w:pos="8665"/>
      </w:tabs>
      <w:snapToGrid w:val="0"/>
      <w:spacing w:beforeLines="50" w:line="460" w:lineRule="exact"/>
      <w:ind w:firstLine="480" w:firstLineChars="200"/>
    </w:pPr>
    <w:rPr>
      <w:rFonts w:ascii="宋体" w:hAnsi="宋体"/>
      <w:sz w:val="24"/>
    </w:rPr>
  </w:style>
  <w:style w:type="paragraph" w:customStyle="1" w:styleId="134">
    <w:name w:val="Normal Indent"/>
    <w:basedOn w:val="1"/>
    <w:qFormat/>
    <w:uiPriority w:val="0"/>
  </w:style>
  <w:style w:type="paragraph" w:customStyle="1" w:styleId="135">
    <w:name w:val="p15"/>
    <w:basedOn w:val="1"/>
    <w:qFormat/>
    <w:uiPriority w:val="0"/>
    <w:pPr>
      <w:widowControl/>
      <w:spacing w:line="400" w:lineRule="atLeast"/>
      <w:ind w:firstLine="570"/>
    </w:pPr>
    <w:rPr>
      <w:rFonts w:ascii="宋体" w:hAnsi="宋体" w:cs="宋体"/>
      <w:kern w:val="0"/>
      <w:szCs w:val="28"/>
    </w:rPr>
  </w:style>
  <w:style w:type="paragraph" w:customStyle="1" w:styleId="136">
    <w:name w:val="正文 首行缩进:  2 字符"/>
    <w:basedOn w:val="1"/>
    <w:qFormat/>
    <w:uiPriority w:val="0"/>
    <w:pPr>
      <w:ind w:firstLine="480" w:firstLineChars="200"/>
    </w:pPr>
    <w:rPr>
      <w:rFonts w:cs="宋体"/>
      <w:szCs w:val="20"/>
    </w:rPr>
  </w:style>
  <w:style w:type="paragraph" w:customStyle="1" w:styleId="137">
    <w:name w:val="表格填充项"/>
    <w:basedOn w:val="1"/>
    <w:qFormat/>
    <w:uiPriority w:val="0"/>
    <w:pPr>
      <w:spacing w:line="240" w:lineRule="atLeast"/>
      <w:jc w:val="center"/>
    </w:pPr>
    <w:rPr>
      <w:rFonts w:ascii="宋体" w:hAnsi="宋体"/>
      <w:b/>
    </w:rPr>
  </w:style>
  <w:style w:type="paragraph" w:customStyle="1" w:styleId="138">
    <w:name w:val="p17"/>
    <w:basedOn w:val="1"/>
    <w:qFormat/>
    <w:uiPriority w:val="0"/>
    <w:pPr>
      <w:widowControl/>
      <w:spacing w:line="360" w:lineRule="auto"/>
    </w:pPr>
    <w:rPr>
      <w:rFonts w:ascii="宋体" w:hAnsi="宋体" w:cs="宋体"/>
      <w:color w:val="000000"/>
      <w:kern w:val="0"/>
      <w:sz w:val="24"/>
    </w:rPr>
  </w:style>
  <w:style w:type="paragraph" w:customStyle="1" w:styleId="139">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40">
    <w:name w:val="2007正文"/>
    <w:qFormat/>
    <w:uiPriority w:val="0"/>
    <w:pPr>
      <w:spacing w:line="500" w:lineRule="exact"/>
      <w:ind w:firstLine="200" w:firstLineChars="200"/>
      <w:jc w:val="both"/>
    </w:pPr>
    <w:rPr>
      <w:rFonts w:ascii="Times New Roman" w:hAnsi="Times New Roman" w:eastAsia="仿宋" w:cs="Times New Roman"/>
      <w:kern w:val="2"/>
      <w:sz w:val="28"/>
      <w:szCs w:val="28"/>
      <w:lang w:val="en-GB" w:eastAsia="zh-CN" w:bidi="ar-SA"/>
    </w:rPr>
  </w:style>
  <w:style w:type="paragraph" w:customStyle="1" w:styleId="141">
    <w:name w:val="表格000"/>
    <w:basedOn w:val="1"/>
    <w:next w:val="1"/>
    <w:qFormat/>
    <w:uiPriority w:val="0"/>
    <w:pPr>
      <w:jc w:val="center"/>
      <w:textAlignment w:val="center"/>
    </w:pPr>
  </w:style>
  <w:style w:type="paragraph" w:customStyle="1" w:styleId="142">
    <w:name w:val="正文标准样式"/>
    <w:basedOn w:val="1"/>
    <w:qFormat/>
    <w:uiPriority w:val="0"/>
    <w:pPr>
      <w:autoSpaceDN w:val="0"/>
      <w:spacing w:line="360" w:lineRule="auto"/>
      <w:ind w:firstLine="200" w:firstLineChars="200"/>
      <w:textAlignment w:val="baseline"/>
    </w:pPr>
    <w:rPr>
      <w:color w:val="0000CC"/>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4.wmf"/><Relationship Id="rId17" Type="http://schemas.openxmlformats.org/officeDocument/2006/relationships/oleObject" Target="embeddings/oleObject1.bin"/><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A5AFB-B920-44C3-9D9B-8B67DC417E81}">
  <ds:schemaRefs/>
</ds:datastoreItem>
</file>

<file path=docProps/app.xml><?xml version="1.0" encoding="utf-8"?>
<Properties xmlns="http://schemas.openxmlformats.org/officeDocument/2006/extended-properties" xmlns:vt="http://schemas.openxmlformats.org/officeDocument/2006/docPropsVTypes">
  <Template>Normal</Template>
  <Company>x</Company>
  <Pages>73</Pages>
  <Words>8467</Words>
  <Characters>48267</Characters>
  <Lines>402</Lines>
  <Paragraphs>113</Paragraphs>
  <ScaleCrop>false</ScaleCrop>
  <LinksUpToDate>false</LinksUpToDate>
  <CharactersWithSpaces>56621</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2013-05-20T05:41:00Z</dcterms:created>
  <dc:creator>yyy</dc:creator>
  <cp:lastModifiedBy>Administrator</cp:lastModifiedBy>
  <cp:lastPrinted>2017-11-17T03:04:00Z</cp:lastPrinted>
  <dcterms:modified xsi:type="dcterms:W3CDTF">2017-12-05T07:23:44Z</dcterms:modified>
  <dc:title> 陕纺设院环评报告</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