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Bdr>
          <w:top w:val="none" w:sz="0" w:space="0" w:color="auto"/>
          <w:left w:val="none" w:sz="0" w:space="0" w:color="auto"/>
          <w:bottom w:val="none" w:sz="0" w:space="0" w:color="auto"/>
          <w:right w:val="none" w:sz="0" w:space="0" w:color="auto"/>
        </w:pBdr>
        <w:tabs>
          <w:tab w:val="left" w:pos="2205"/>
          <w:tab w:val="left" w:pos="2520"/>
          <w:tab w:val="left" w:pos="6300"/>
        </w:tabs>
        <w:kinsoku/>
        <w:wordWrap/>
        <w:overflowPunct/>
        <w:topLinePunct w:val="0"/>
        <w:autoSpaceDE w:val="0"/>
        <w:autoSpaceDN w:val="0"/>
        <w:spacing w:line="640" w:lineRule="exact"/>
        <w:jc w:val="right"/>
        <w:rPr>
          <w:rFonts w:ascii="仿宋_GB2312" w:eastAsia="仿宋_GB2312" w:hint="eastAsia"/>
          <w:vanish w:val="0"/>
          <w:sz w:val="32"/>
          <w:szCs w:val="28"/>
        </w:rPr>
      </w:pPr>
    </w:p>
    <w:p>
      <w:pPr>
        <w:pBdr>
          <w:top w:val="none" w:sz="0" w:space="0" w:color="auto"/>
          <w:left w:val="none" w:sz="0" w:space="0" w:color="auto"/>
          <w:bottom w:val="none" w:sz="0" w:space="0" w:color="auto"/>
          <w:right w:val="none" w:sz="0" w:space="0" w:color="auto"/>
        </w:pBdr>
        <w:tabs>
          <w:tab w:val="left" w:pos="2205"/>
          <w:tab w:val="left" w:pos="2520"/>
          <w:tab w:val="left" w:pos="6300"/>
        </w:tabs>
        <w:kinsoku/>
        <w:wordWrap/>
        <w:overflowPunct/>
        <w:topLinePunct w:val="0"/>
        <w:autoSpaceDE w:val="0"/>
        <w:autoSpaceDN w:val="0"/>
        <w:spacing w:line="640" w:lineRule="exact"/>
        <w:jc w:val="right"/>
        <w:rPr>
          <w:rFonts w:ascii="仿宋_GB2312" w:eastAsia="仿宋_GB2312" w:hint="eastAsia"/>
          <w:vanish w:val="0"/>
          <w:sz w:val="32"/>
          <w:szCs w:val="28"/>
        </w:rPr>
      </w:pPr>
    </w:p>
    <w:p>
      <w:pPr>
        <w:pBdr>
          <w:top w:val="none" w:sz="0" w:space="0" w:color="auto"/>
          <w:left w:val="none" w:sz="0" w:space="0" w:color="auto"/>
          <w:bottom w:val="none" w:sz="0" w:space="0" w:color="auto"/>
          <w:right w:val="none" w:sz="0" w:space="0" w:color="auto"/>
        </w:pBdr>
        <w:tabs>
          <w:tab w:val="left" w:pos="2205"/>
          <w:tab w:val="left" w:pos="2520"/>
          <w:tab w:val="left" w:pos="6300"/>
        </w:tabs>
        <w:kinsoku/>
        <w:wordWrap/>
        <w:overflowPunct/>
        <w:topLinePunct w:val="0"/>
        <w:autoSpaceDE w:val="0"/>
        <w:autoSpaceDN w:val="0"/>
        <w:spacing w:line="640" w:lineRule="exact"/>
        <w:jc w:val="right"/>
        <w:rPr>
          <w:rFonts w:ascii="仿宋_GB2312" w:eastAsia="仿宋_GB2312" w:hint="eastAsia"/>
          <w:vanish w:val="0"/>
          <w:sz w:val="32"/>
          <w:szCs w:val="28"/>
        </w:rPr>
      </w:pPr>
      <w:r>
        <w:rPr>
          <w:rFonts w:ascii="仿宋_GB2312" w:eastAsia="仿宋_GB2312" w:hint="eastAsia"/>
          <w:vanish w:val="0"/>
          <w:sz w:val="32"/>
          <w:szCs w:val="28"/>
        </w:rPr>
        <w:t>铜环批复〔2017〕</w:t>
      </w:r>
      <w:r>
        <w:rPr>
          <w:rFonts w:ascii="仿宋_GB2312" w:eastAsia="仿宋_GB2312" w:hint="eastAsia"/>
          <w:vanish w:val="0"/>
          <w:sz w:val="32"/>
          <w:szCs w:val="32"/>
        </w:rPr>
        <w:t>1</w:t>
      </w:r>
      <w:r>
        <w:rPr>
          <w:rFonts w:ascii="仿宋_GB2312" w:eastAsia="仿宋_GB2312"/>
          <w:vanish w:val="0"/>
          <w:sz w:val="32"/>
          <w:szCs w:val="32"/>
        </w:rPr>
        <w:t>3</w:t>
      </w:r>
      <w:r>
        <w:rPr>
          <w:rFonts w:ascii="仿宋_GB2312" w:eastAsia="仿宋_GB2312" w:hint="eastAsia"/>
          <w:vanish w:val="0"/>
          <w:sz w:val="32"/>
          <w:szCs w:val="28"/>
        </w:rPr>
        <w:t>号</w:t>
      </w:r>
    </w:p>
    <w:p>
      <w:pPr>
        <w:pBdr>
          <w:top w:val="none" w:sz="0" w:space="0" w:color="auto"/>
          <w:left w:val="none" w:sz="0" w:space="0" w:color="auto"/>
          <w:bottom w:val="none" w:sz="0" w:space="0" w:color="auto"/>
          <w:right w:val="none" w:sz="0" w:space="0" w:color="auto"/>
        </w:pBdr>
        <w:tabs>
          <w:tab w:val="left" w:pos="2205"/>
          <w:tab w:val="left" w:pos="2520"/>
          <w:tab w:val="left" w:pos="6300"/>
        </w:tabs>
        <w:kinsoku/>
        <w:wordWrap/>
        <w:overflowPunct/>
        <w:topLinePunct w:val="0"/>
        <w:autoSpaceDE w:val="0"/>
        <w:autoSpaceDN w:val="0"/>
        <w:spacing w:line="640" w:lineRule="exact"/>
        <w:jc w:val="right"/>
        <w:rPr>
          <w:rFonts w:ascii="仿宋_GB2312" w:eastAsia="仿宋_GB2312" w:hint="eastAsia"/>
          <w:vanish w:val="0"/>
          <w:sz w:val="32"/>
          <w:szCs w:val="28"/>
        </w:rPr>
      </w:pPr>
    </w:p>
    <w:p>
      <w:pPr>
        <w:jc w:val="center"/>
        <w:rPr>
          <w:rFonts w:ascii="华文中宋" w:eastAsia="华文中宋"/>
          <w:b/>
          <w:sz w:val="36"/>
          <w:szCs w:val="36"/>
        </w:rPr>
      </w:pPr>
      <w:r>
        <w:rPr>
          <w:rFonts w:ascii="华文中宋" w:eastAsia="华文中宋" w:hint="eastAsia"/>
          <w:b/>
          <w:sz w:val="36"/>
          <w:szCs w:val="36"/>
        </w:rPr>
        <w:t>铜川市环境保护局</w:t>
      </w:r>
    </w:p>
    <w:p>
      <w:pPr>
        <w:widowControl/>
        <w:snapToGrid w:val="0"/>
        <w:jc w:val="center"/>
        <w:textAlignment w:val="center"/>
        <w:rPr>
          <w:rFonts w:ascii="华文中宋" w:eastAsia="华文中宋"/>
          <w:b/>
          <w:sz w:val="36"/>
          <w:szCs w:val="36"/>
        </w:rPr>
      </w:pPr>
      <w:r>
        <w:rPr>
          <w:rFonts w:ascii="华文中宋" w:eastAsia="华文中宋" w:hint="eastAsia"/>
          <w:b/>
          <w:sz w:val="36"/>
          <w:szCs w:val="36"/>
        </w:rPr>
        <w:t>关于铜川市耀州区锦阳新城核心组团住宅区保障性租赁住房配套基础设施建设项目环境影响报告表的批复</w:t>
      </w:r>
    </w:p>
    <w:p>
      <w:pPr>
        <w:spacing w:line="580" w:lineRule="exact"/>
        <w:rPr>
          <w:rFonts w:eastAsia="仿宋_GB2312"/>
          <w:sz w:val="32"/>
          <w:szCs w:val="32"/>
        </w:rPr>
      </w:pPr>
    </w:p>
    <w:p>
      <w:pPr>
        <w:spacing w:line="520" w:lineRule="exact"/>
        <w:rPr>
          <w:rFonts w:ascii="仿宋" w:eastAsia="仿宋"/>
          <w:sz w:val="32"/>
          <w:szCs w:val="32"/>
        </w:rPr>
      </w:pPr>
      <w:r>
        <w:rPr>
          <w:rFonts w:ascii="仿宋" w:eastAsia="仿宋" w:hint="eastAsia"/>
          <w:sz w:val="32"/>
          <w:szCs w:val="32"/>
        </w:rPr>
        <w:t>铜川市耀州区住房保障和城市改造办公室:</w:t>
      </w:r>
    </w:p>
    <w:p>
      <w:pPr>
        <w:widowControl/>
        <w:snapToGrid w:val="0"/>
        <w:spacing w:line="580" w:lineRule="exact"/>
        <w:ind w:firstLineChars="200" w:firstLine="640"/>
        <w:textAlignment w:val="center"/>
        <w:rPr>
          <w:rFonts w:ascii="仿宋" w:eastAsia="仿宋"/>
          <w:sz w:val="32"/>
          <w:szCs w:val="32"/>
        </w:rPr>
      </w:pPr>
      <w:r>
        <w:rPr>
          <w:rFonts w:ascii="仿宋" w:eastAsia="仿宋" w:hint="eastAsia"/>
          <w:sz w:val="32"/>
          <w:szCs w:val="32"/>
        </w:rPr>
        <w:t>你办报送的</w:t>
      </w:r>
      <w:r>
        <w:rPr>
          <w:rFonts w:ascii="仿宋" w:eastAsia="仿宋"/>
          <w:sz w:val="32"/>
          <w:szCs w:val="32"/>
        </w:rPr>
        <w:t>《关于</w:t>
      </w:r>
      <w:r>
        <w:rPr>
          <w:rFonts w:ascii="仿宋" w:eastAsia="仿宋" w:hint="eastAsia"/>
          <w:sz w:val="32"/>
          <w:szCs w:val="32"/>
        </w:rPr>
        <w:t>铜川市耀州区锦阳新城核心组团住宅区保障性租赁住房配套基础设施建设项目环境影响报告表</w:t>
      </w:r>
      <w:r>
        <w:rPr>
          <w:rFonts w:ascii="仿宋" w:eastAsia="仿宋"/>
          <w:sz w:val="32"/>
          <w:szCs w:val="32"/>
        </w:rPr>
        <w:t>》收悉。经</w:t>
      </w:r>
      <w:r>
        <w:rPr>
          <w:rFonts w:ascii="仿宋" w:eastAsia="仿宋" w:hint="eastAsia"/>
          <w:sz w:val="32"/>
          <w:szCs w:val="32"/>
        </w:rPr>
        <w:t>我局审查</w:t>
      </w:r>
      <w:r>
        <w:rPr>
          <w:rFonts w:ascii="仿宋" w:eastAsia="仿宋"/>
          <w:sz w:val="32"/>
          <w:szCs w:val="32"/>
        </w:rPr>
        <w:t>，</w:t>
      </w:r>
      <w:r>
        <w:rPr>
          <w:rFonts w:ascii="仿宋" w:eastAsia="仿宋" w:hint="eastAsia"/>
          <w:sz w:val="32"/>
          <w:szCs w:val="32"/>
        </w:rPr>
        <w:t>同意环境影响报告表结论，</w:t>
      </w:r>
      <w:r>
        <w:rPr>
          <w:rFonts w:ascii="仿宋" w:eastAsia="仿宋"/>
          <w:sz w:val="32"/>
          <w:szCs w:val="32"/>
        </w:rPr>
        <w:t>现批复如下：</w:t>
      </w:r>
    </w:p>
    <w:p>
      <w:pPr>
        <w:spacing w:line="580" w:lineRule="exact"/>
        <w:ind w:firstLineChars="200" w:firstLine="640"/>
        <w:rPr>
          <w:rFonts w:ascii="仿宋" w:eastAsia="仿宋"/>
          <w:sz w:val="32"/>
          <w:szCs w:val="32"/>
        </w:rPr>
      </w:pPr>
      <w:r>
        <w:rPr>
          <w:rFonts w:ascii="仿宋" w:eastAsia="仿宋" w:hint="eastAsia"/>
          <w:sz w:val="32"/>
          <w:szCs w:val="32"/>
        </w:rPr>
        <w:t>一、该项目位于铜川市耀州区锦阳新城核心组团住宅区保障性租赁住房小区内。项目新建道路1288.68m、绿化面积20280m</w:t>
      </w:r>
      <w:r>
        <w:rPr>
          <w:rFonts w:ascii="仿宋" w:eastAsia="仿宋" w:hint="eastAsia"/>
          <w:sz w:val="32"/>
          <w:szCs w:val="32"/>
          <w:vertAlign w:val="superscript"/>
        </w:rPr>
        <w:t>2</w:t>
      </w:r>
      <w:r>
        <w:rPr>
          <w:rFonts w:ascii="仿宋" w:eastAsia="仿宋" w:hint="eastAsia"/>
          <w:sz w:val="32"/>
          <w:szCs w:val="32"/>
        </w:rPr>
        <w:t>、给水管网826m、污水管网1491m、排水明沟1800m、采暖管网1071m、燃气管网2600m、照明电缆2100m、路灯35盏、及化粪池400m</w:t>
      </w:r>
      <w:r>
        <w:rPr>
          <w:rFonts w:ascii="仿宋" w:eastAsia="仿宋" w:hint="eastAsia"/>
          <w:sz w:val="32"/>
          <w:szCs w:val="32"/>
          <w:vertAlign w:val="superscript"/>
        </w:rPr>
        <w:t>3</w:t>
      </w:r>
      <w:r>
        <w:rPr>
          <w:rFonts w:ascii="仿宋" w:eastAsia="仿宋" w:hint="eastAsia"/>
          <w:sz w:val="32"/>
          <w:szCs w:val="32"/>
        </w:rPr>
        <w:t>。项目总投资2829.54万元，其中环保投资346.68万元，占总投资的0.94%。</w:t>
      </w:r>
    </w:p>
    <w:p>
      <w:pPr>
        <w:jc w:val="left"/>
        <w:rPr>
          <w:rFonts w:ascii="仿宋" w:eastAsia="仿宋"/>
          <w:sz w:val="32"/>
          <w:szCs w:val="32"/>
        </w:rPr>
      </w:pPr>
      <w:r>
        <w:rPr>
          <w:rFonts w:ascii="仿宋" w:eastAsia="仿宋" w:hint="eastAsia"/>
          <w:sz w:val="32"/>
          <w:szCs w:val="32"/>
        </w:rPr>
        <w:t xml:space="preserve">    二、该项目在全面落实环境影响报告表所提出的污染防治措施的前提下，项目建设对环境的不利影响能够得到减缓和控制，项目环境影响报告表中所列的建设地点、规模和拟采取的环境保护对策可作为项目实施的依据。</w:t>
      </w:r>
    </w:p>
    <w:p>
      <w:pPr>
        <w:spacing w:line="520" w:lineRule="exact"/>
        <w:ind w:firstLine="644"/>
        <w:jc w:val="left"/>
        <w:rPr>
          <w:rFonts w:ascii="仿宋" w:eastAsia="仿宋"/>
          <w:sz w:val="32"/>
          <w:szCs w:val="32"/>
        </w:rPr>
      </w:pPr>
      <w:r>
        <w:rPr>
          <w:rFonts w:ascii="仿宋" w:eastAsia="仿宋" w:hint="eastAsia"/>
          <w:sz w:val="32"/>
          <w:szCs w:val="32"/>
        </w:rPr>
        <w:t>三、该项目在设计、建设过程中应重点做好以下工作：</w:t>
      </w:r>
    </w:p>
    <w:p>
      <w:pPr>
        <w:spacing w:line="520" w:lineRule="exact"/>
        <w:ind w:firstLine="644"/>
        <w:jc w:val="left"/>
        <w:rPr>
          <w:rFonts w:ascii="仿宋" w:eastAsia="仿宋"/>
          <w:sz w:val="32"/>
          <w:szCs w:val="32"/>
        </w:rPr>
      </w:pPr>
      <w:r>
        <w:rPr>
          <w:rFonts w:ascii="仿宋" w:eastAsia="仿宋"/>
          <w:sz w:val="32"/>
          <w:szCs w:val="32"/>
        </w:rPr>
        <w:t>（一）项目建设必须严格执行环保设施与主体工程同时设计、同时施工、同时投入使用的环境保护“三同时”管理制度，确保环保投资到位</w:t>
      </w:r>
      <w:r>
        <w:rPr>
          <w:rFonts w:ascii="仿宋" w:eastAsia="仿宋" w:hint="eastAsia"/>
          <w:sz w:val="32"/>
          <w:szCs w:val="32"/>
        </w:rPr>
        <w:t>。</w:t>
      </w:r>
    </w:p>
    <w:p>
      <w:pPr>
        <w:spacing w:line="560" w:lineRule="exact"/>
        <w:ind w:firstLineChars="200" w:firstLine="640"/>
        <w:rPr>
          <w:rFonts w:ascii="仿宋" w:eastAsia="仿宋"/>
          <w:spacing w:val="-12"/>
          <w:sz w:val="32"/>
          <w:szCs w:val="32"/>
        </w:rPr>
      </w:pPr>
      <w:r>
        <w:rPr>
          <w:rFonts w:ascii="仿宋" w:eastAsia="仿宋" w:hint="eastAsia"/>
          <w:sz w:val="32"/>
          <w:szCs w:val="32"/>
        </w:rPr>
        <w:t>（二）项目建设过程中要</w:t>
      </w:r>
      <w:r>
        <w:rPr>
          <w:rFonts w:ascii="仿宋" w:eastAsia="仿宋"/>
          <w:sz w:val="32"/>
          <w:szCs w:val="32"/>
        </w:rPr>
        <w:t>严格按环评</w:t>
      </w:r>
      <w:r>
        <w:rPr>
          <w:rFonts w:ascii="仿宋" w:eastAsia="仿宋" w:hint="eastAsia"/>
          <w:sz w:val="32"/>
          <w:szCs w:val="32"/>
        </w:rPr>
        <w:t>报告表及评审意见</w:t>
      </w:r>
      <w:r>
        <w:rPr>
          <w:rFonts w:ascii="仿宋" w:eastAsia="仿宋"/>
          <w:sz w:val="32"/>
          <w:szCs w:val="32"/>
        </w:rPr>
        <w:t>要求</w:t>
      </w:r>
      <w:r>
        <w:rPr>
          <w:rFonts w:ascii="仿宋" w:eastAsia="仿宋" w:hint="eastAsia"/>
          <w:sz w:val="32"/>
          <w:szCs w:val="32"/>
        </w:rPr>
        <w:t>，</w:t>
      </w:r>
      <w:r>
        <w:rPr>
          <w:rFonts w:ascii="仿宋" w:eastAsia="仿宋" w:hint="eastAsia"/>
          <w:spacing w:val="-12"/>
          <w:sz w:val="32"/>
          <w:szCs w:val="32"/>
        </w:rPr>
        <w:t>落实各项污染治理措施。</w:t>
      </w:r>
    </w:p>
    <w:p>
      <w:pPr>
        <w:spacing w:line="560" w:lineRule="exact"/>
        <w:ind w:firstLineChars="225" w:firstLine="720"/>
        <w:rPr>
          <w:rFonts w:ascii="仿宋" w:eastAsia="仿宋"/>
          <w:spacing w:val="-12"/>
          <w:sz w:val="32"/>
          <w:szCs w:val="32"/>
        </w:rPr>
      </w:pPr>
      <w:r>
        <w:rPr>
          <w:rFonts w:ascii="仿宋" w:eastAsia="仿宋"/>
          <w:sz w:val="32"/>
          <w:szCs w:val="32"/>
        </w:rPr>
        <w:t>（三）</w:t>
      </w:r>
      <w:r>
        <w:rPr>
          <w:rFonts w:ascii="仿宋" w:eastAsia="仿宋" w:hint="eastAsia"/>
          <w:spacing w:val="-12"/>
          <w:sz w:val="32"/>
          <w:szCs w:val="32"/>
        </w:rPr>
        <w:t>施工期要严格落实铜川市关于建筑工地扬尘污染控制的 “六要四禁止”要求；</w:t>
      </w:r>
      <w:r>
        <w:rPr>
          <w:rFonts w:ascii="仿宋" w:eastAsia="仿宋" w:hint="eastAsia"/>
          <w:spacing w:val="-8"/>
          <w:sz w:val="32"/>
          <w:szCs w:val="32"/>
        </w:rPr>
        <w:t>施工废水集中收集，综合利用；</w:t>
      </w:r>
      <w:r>
        <w:rPr>
          <w:rFonts w:ascii="仿宋" w:eastAsia="仿宋" w:hint="eastAsia"/>
          <w:sz w:val="32"/>
          <w:szCs w:val="32"/>
        </w:rPr>
        <w:t>选用低噪声施工机械，防止噪声扰民。夜间施工按有关规定执行；建筑垃圾与生活垃圾分类收集、处置。</w:t>
      </w:r>
    </w:p>
    <w:p>
      <w:pPr>
        <w:spacing w:line="520" w:lineRule="exact"/>
        <w:ind w:firstLineChars="200" w:firstLine="640"/>
        <w:rPr>
          <w:rFonts w:ascii="仿宋_GB2312" w:eastAsia="仿宋_GB2312"/>
          <w:sz w:val="32"/>
          <w:szCs w:val="32"/>
        </w:rPr>
      </w:pPr>
      <w:r>
        <w:rPr>
          <w:rFonts w:ascii="仿宋" w:eastAsia="仿宋" w:hint="eastAsia"/>
          <w:sz w:val="32"/>
          <w:szCs w:val="32"/>
        </w:rPr>
        <w:t>（四）项目建设期的环境监管工作由耀州区环保局负责。</w:t>
      </w:r>
      <w:r>
        <w:rPr>
          <w:rFonts w:ascii="仿宋" w:eastAsia="仿宋"/>
          <w:sz w:val="32"/>
          <w:szCs w:val="32"/>
        </w:rPr>
        <w:t>建成后按规定程序向我局提交</w:t>
      </w:r>
      <w:r>
        <w:rPr>
          <w:rFonts w:ascii="仿宋" w:eastAsia="仿宋" w:hint="eastAsia"/>
          <w:sz w:val="32"/>
          <w:szCs w:val="32"/>
        </w:rPr>
        <w:t>竣工环保验收</w:t>
      </w:r>
      <w:r>
        <w:rPr>
          <w:rFonts w:ascii="仿宋" w:eastAsia="仿宋"/>
          <w:sz w:val="32"/>
          <w:szCs w:val="32"/>
        </w:rPr>
        <w:t>申请，经现场核查同意后</w:t>
      </w:r>
      <w:r>
        <w:rPr>
          <w:rFonts w:ascii="仿宋" w:eastAsia="仿宋" w:hint="eastAsia"/>
          <w:sz w:val="32"/>
          <w:szCs w:val="32"/>
        </w:rPr>
        <w:t>方可</w:t>
      </w:r>
      <w:r>
        <w:rPr>
          <w:rFonts w:ascii="仿宋" w:eastAsia="仿宋"/>
          <w:sz w:val="32"/>
          <w:szCs w:val="32"/>
        </w:rPr>
        <w:t>进行</w:t>
      </w:r>
      <w:r>
        <w:rPr>
          <w:rFonts w:ascii="仿宋" w:eastAsia="仿宋" w:hint="eastAsia"/>
          <w:sz w:val="32"/>
          <w:szCs w:val="32"/>
        </w:rPr>
        <w:t>正式运营</w:t>
      </w:r>
      <w:r>
        <w:rPr>
          <w:rFonts w:ascii="仿宋" w:eastAsia="仿宋"/>
          <w:sz w:val="32"/>
          <w:szCs w:val="32"/>
        </w:rPr>
        <w:t>。</w:t>
      </w:r>
      <w:r>
        <w:rPr>
          <w:rFonts w:ascii="仿宋_GB2312" w:eastAsia="仿宋_GB2312" w:hint="eastAsia"/>
          <w:sz w:val="32"/>
          <w:szCs w:val="32"/>
        </w:rPr>
        <w:t xml:space="preserve">   </w:t>
      </w:r>
    </w:p>
    <w:p>
      <w:pPr>
        <w:spacing w:line="520" w:lineRule="exact"/>
        <w:ind w:firstLineChars="200" w:firstLine="640"/>
        <w:rPr>
          <w:rFonts w:ascii="仿宋" w:eastAsia="仿宋" w:hint="eastAsia"/>
          <w:sz w:val="32"/>
          <w:szCs w:val="32"/>
        </w:rPr>
      </w:pPr>
      <w:r>
        <w:rPr>
          <w:rFonts w:ascii="仿宋_GB2312" w:eastAsia="仿宋_GB2312" w:hint="eastAsia"/>
          <w:sz w:val="32"/>
          <w:szCs w:val="32"/>
        </w:rPr>
        <w:t xml:space="preserve">                             </w:t>
      </w:r>
      <w:r>
        <w:rPr>
          <w:rFonts w:ascii="仿宋" w:eastAsia="仿宋" w:hint="eastAsia"/>
          <w:sz w:val="32"/>
          <w:szCs w:val="32"/>
        </w:rPr>
        <w:t xml:space="preserve"> </w:t>
      </w:r>
    </w:p>
    <w:p>
      <w:pPr>
        <w:spacing w:line="520" w:lineRule="exact"/>
        <w:ind w:firstLineChars="200" w:firstLine="640"/>
        <w:rPr>
          <w:rFonts w:ascii="仿宋" w:eastAsia="仿宋"/>
          <w:sz w:val="32"/>
          <w:szCs w:val="32"/>
        </w:rPr>
      </w:pPr>
      <w:r>
        <w:rPr>
          <w:rFonts w:ascii="仿宋" w:eastAsia="仿宋" w:hint="eastAsia"/>
          <w:sz w:val="32"/>
          <w:szCs w:val="32"/>
        </w:rPr>
        <w:t xml:space="preserve">  </w:t>
      </w:r>
    </w:p>
    <w:p>
      <w:pPr>
        <w:spacing w:line="520" w:lineRule="exact"/>
        <w:ind w:firstLineChars="200" w:firstLine="640"/>
        <w:rPr>
          <w:rFonts w:ascii="仿宋" w:eastAsia="仿宋"/>
          <w:sz w:val="32"/>
          <w:szCs w:val="32"/>
        </w:rPr>
      </w:pPr>
    </w:p>
    <w:p>
      <w:pPr>
        <w:spacing w:line="580" w:lineRule="exact"/>
        <w:ind w:rightChars="12" w:right="25"/>
        <w:jc w:val="center"/>
        <w:rPr>
          <w:rFonts w:ascii="仿宋" w:eastAsia="仿宋"/>
          <w:sz w:val="32"/>
          <w:szCs w:val="32"/>
        </w:rPr>
      </w:pPr>
      <w:r>
        <w:rPr>
          <w:rFonts w:ascii="仿宋" w:eastAsia="仿宋" w:hint="eastAsia"/>
          <w:sz w:val="32"/>
          <w:szCs w:val="32"/>
        </w:rPr>
        <w:t xml:space="preserve">              </w:t>
      </w:r>
      <w:r>
        <w:rPr>
          <w:rFonts w:ascii="仿宋" w:eastAsia="仿宋"/>
          <w:sz w:val="32"/>
          <w:szCs w:val="32"/>
        </w:rPr>
        <w:t xml:space="preserve">  </w:t>
      </w:r>
      <w:r>
        <w:rPr>
          <w:rFonts w:ascii="仿宋" w:eastAsia="仿宋" w:hint="eastAsia"/>
          <w:sz w:val="32"/>
          <w:szCs w:val="32"/>
        </w:rPr>
        <w:t xml:space="preserve">      铜川市环境保护局</w:t>
      </w:r>
    </w:p>
    <w:p>
      <w:pPr>
        <w:spacing w:line="580" w:lineRule="exact"/>
        <w:ind w:firstLineChars="200" w:firstLine="640"/>
        <w:rPr>
          <w:rFonts w:ascii="仿宋" w:eastAsia="仿宋"/>
          <w:sz w:val="32"/>
          <w:szCs w:val="32"/>
        </w:rPr>
      </w:pPr>
      <w:r>
        <w:rPr>
          <w:rFonts w:ascii="仿宋" w:eastAsia="仿宋" w:hint="eastAsia"/>
          <w:sz w:val="32"/>
          <w:szCs w:val="32"/>
        </w:rPr>
        <w:t xml:space="preserve">                           2017年2月24日</w:t>
      </w:r>
    </w:p>
    <w:p>
      <w:pPr>
        <w:spacing w:line="58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Pr>
          <w:rFonts w:ascii="新宋体" w:eastAsia="新宋体" w:hint="eastAsia"/>
          <w:b/>
          <w:sz w:val="32"/>
          <w:szCs w:val="32"/>
          <w:u w:val="single"/>
        </w:rPr>
        <w:t xml:space="preserve">   </w:t>
      </w:r>
      <w:r>
        <w:rPr>
          <w:rFonts w:ascii="仿宋_GB2312" w:eastAsia="仿宋_GB2312" w:hint="eastAsia"/>
          <w:sz w:val="32"/>
          <w:szCs w:val="32"/>
          <w:u w:val="single"/>
        </w:rPr>
        <w:t xml:space="preserve">                        </w:t>
      </w:r>
    </w:p>
    <w:p>
      <w:pPr>
        <w:spacing w:line="580" w:lineRule="exact"/>
        <w:ind w:rightChars="12" w:right="25"/>
        <w:rPr>
          <w:rFonts w:ascii="仿宋" w:eastAsia="仿宋"/>
          <w:spacing w:val="-20"/>
          <w:sz w:val="28"/>
          <w:szCs w:val="28"/>
          <w:u w:val="single"/>
        </w:rPr>
      </w:pPr>
      <w:r>
        <w:rPr>
          <w:rFonts w:ascii="仿宋_GB2312" w:eastAsia="仿宋_GB2312" w:hint="eastAsia"/>
          <w:sz w:val="32"/>
          <w:szCs w:val="32"/>
          <w:u w:val="single"/>
        </w:rPr>
        <w:t xml:space="preserve"> </w:t>
      </w:r>
      <w:r>
        <w:rPr>
          <w:rFonts w:ascii="仿宋" w:eastAsia="仿宋" w:hint="eastAsia"/>
          <w:sz w:val="28"/>
          <w:szCs w:val="28"/>
          <w:u w:val="single"/>
        </w:rPr>
        <w:t xml:space="preserve"> </w:t>
      </w:r>
      <w:r>
        <w:rPr>
          <w:rFonts w:ascii="仿宋" w:eastAsia="仿宋" w:hint="eastAsia"/>
          <w:spacing w:val="-20"/>
          <w:sz w:val="28"/>
          <w:szCs w:val="28"/>
          <w:u w:val="single"/>
        </w:rPr>
        <w:t>抄送：</w:t>
      </w:r>
      <w:r>
        <w:rPr>
          <w:rFonts w:ascii="仿宋" w:eastAsia="仿宋" w:hint="eastAsia"/>
          <w:sz w:val="28"/>
          <w:szCs w:val="28"/>
          <w:u w:val="single"/>
        </w:rPr>
        <w:t>耀州区环保局，市环境监察支队。</w:t>
      </w:r>
      <w:r>
        <w:rPr>
          <w:rFonts w:ascii="仿宋" w:eastAsia="仿宋" w:hint="eastAsia"/>
          <w:spacing w:val="-20"/>
          <w:sz w:val="28"/>
          <w:szCs w:val="28"/>
          <w:u w:val="single"/>
        </w:rPr>
        <w:t xml:space="preserve">                                      </w:t>
      </w:r>
    </w:p>
    <w:p>
      <w:pPr>
        <w:spacing w:line="580" w:lineRule="exact"/>
        <w:ind w:rightChars="12" w:right="25"/>
        <w:rPr>
          <w:rFonts w:ascii="仿宋" w:eastAsia="仿宋"/>
          <w:sz w:val="28"/>
          <w:szCs w:val="28"/>
          <w:u w:val="single"/>
        </w:rPr>
      </w:pPr>
      <w:r>
        <w:rPr>
          <w:rFonts w:ascii="仿宋" w:eastAsia="仿宋" w:hint="eastAsia"/>
          <w:sz w:val="28"/>
          <w:szCs w:val="28"/>
          <w:u w:val="single"/>
        </w:rPr>
        <w:t xml:space="preserve">  铜川市环境保护局办公室                 2017年2月24日印发    </w:t>
      </w:r>
    </w:p>
    <w:p>
      <w:pPr>
        <w:spacing w:line="580" w:lineRule="exact"/>
        <w:ind w:rightChars="12" w:right="25"/>
        <w:rPr>
          <w:rFonts w:ascii="仿宋_GB2312" w:eastAsia="仿宋_GB2312"/>
          <w:sz w:val="32"/>
          <w:szCs w:val="32"/>
        </w:rPr>
      </w:pPr>
      <w:r>
        <w:rPr>
          <w:rFonts w:ascii="仿宋_GB2312" w:eastAsia="仿宋_GB2312" w:hint="eastAsia"/>
          <w:sz w:val="32"/>
          <w:szCs w:val="32"/>
        </w:rPr>
        <w:t xml:space="preserve">                                 </w:t>
      </w:r>
      <w:r>
        <w:rPr>
          <w:rFonts w:ascii="仿宋" w:eastAsia="仿宋" w:hint="eastAsia"/>
          <w:sz w:val="28"/>
          <w:szCs w:val="28"/>
        </w:rPr>
        <w:t xml:space="preserve">            共印8份 </w:t>
      </w:r>
    </w:p>
    <w:sectPr>
      <w:pgSz w:w="11907" w:h="16838"/>
      <w:pgMar w:top="1985" w:right="1531" w:bottom="215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Arial Unicode MS"/>
    <w:panose1 w:val="00000000000000000000"/>
    <w:charset w:val="86"/>
    <w:family w:val="modern"/>
    <w:pitch w:val="variable"/>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footer"/>
    <w:basedOn w:val="0"/>
    <w:pPr>
      <w:tabs>
        <w:tab w:val="center" w:pos="4153"/>
        <w:tab w:val="right" w:pos="8306"/>
      </w:tabs>
      <w:snapToGrid w:val="0"/>
      <w:jc w:val="left"/>
    </w:pPr>
    <w:rPr>
      <w:sz w:val="18"/>
      <w:szCs w:val="18"/>
    </w:rPr>
  </w:style>
  <w:style w:type="paragraph" w:customStyle="1" w:styleId="19">
    <w:name w:val="Char Char Char Char Char Char Char Char Char Char Char Char Char Char Char Char Char Char Char Char Char Char Char Char Char"/>
    <w:basedOn w:val="0"/>
    <w:pPr>
      <w:adjustRightInd w:val="0"/>
      <w:snapToGrid w:val="0"/>
      <w:spacing w:line="360" w:lineRule="auto"/>
      <w:ind w:firstLineChars="200" w:firstLine="200"/>
    </w:pPr>
    <w:rPr>
      <w:rFonts w:ascii="宋体" w:cs="宋体"/>
      <w:sz w:val="24"/>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63</TotalTime>
  <Application>Yozo_Office</Application>
  <Pages>2</Pages>
  <Words>717</Words>
  <Characters>785</Characters>
  <Lines>44</Lines>
  <Paragraphs>17</Paragraphs>
  <CharactersWithSpaces>1038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关于铜川市印台区玉彩琉璃瓦厂8万m2/a玉彩琉璃瓦产品建设项目试生产的批复</dc:title>
  <dc:creator>微软用户</dc:creator>
  <cp:lastModifiedBy>User</cp:lastModifiedBy>
  <cp:revision>21</cp:revision>
  <cp:lastPrinted>2015-05-27T01:39:00Z</cp:lastPrinted>
  <dcterms:created xsi:type="dcterms:W3CDTF">2016-01-12T02:18:00Z</dcterms:created>
  <dcterms:modified xsi:type="dcterms:W3CDTF">2017-02-28T01:15:12Z</dcterms:modified>
</cp:coreProperties>
</file>