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2" w:name="_GoBack"/>
      <w:bookmarkStart w:id="0" w:name="OLE_LINK5"/>
      <w:bookmarkEnd w:id="0"/>
      <w:bookmarkStart w:id="1" w:name="OLE_LINK4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市发展改革委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包抓企业（项目）责任分工表</w:t>
      </w:r>
    </w:p>
    <w:bookmarkEnd w:id="2"/>
    <w:tbl>
      <w:tblPr>
        <w:tblStyle w:val="4"/>
        <w:tblW w:w="13652" w:type="dxa"/>
        <w:tblInd w:w="-2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40"/>
        <w:gridCol w:w="1968"/>
        <w:gridCol w:w="4428"/>
        <w:gridCol w:w="1516"/>
        <w:gridCol w:w="1804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  <w:t>项目名称</w:t>
            </w:r>
          </w:p>
        </w:tc>
        <w:tc>
          <w:tcPr>
            <w:tcW w:w="1968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  <w:t>项目单位</w:t>
            </w:r>
          </w:p>
        </w:tc>
        <w:tc>
          <w:tcPr>
            <w:tcW w:w="4428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24"/>
                <w:sz w:val="28"/>
                <w:szCs w:val="28"/>
              </w:rPr>
              <w:t>项目建设内容</w:t>
            </w:r>
          </w:p>
        </w:tc>
        <w:tc>
          <w:tcPr>
            <w:tcW w:w="1516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包抓领导</w:t>
            </w:r>
          </w:p>
        </w:tc>
        <w:tc>
          <w:tcPr>
            <w:tcW w:w="1804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联系科室</w:t>
            </w:r>
          </w:p>
          <w:p>
            <w:pPr>
              <w:spacing w:line="3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（单位）</w:t>
            </w:r>
          </w:p>
        </w:tc>
        <w:tc>
          <w:tcPr>
            <w:tcW w:w="1476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负责同志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left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美鑫循环经济产业示范项目</w:t>
            </w:r>
          </w:p>
        </w:tc>
        <w:tc>
          <w:tcPr>
            <w:tcW w:w="1968" w:type="dxa"/>
            <w:vAlign w:val="center"/>
          </w:tcPr>
          <w:p>
            <w:pPr>
              <w:spacing w:line="340" w:lineRule="exact"/>
              <w:jc w:val="left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陕西美鑫产业投资有限公司</w:t>
            </w:r>
          </w:p>
          <w:p>
            <w:pPr>
              <w:spacing w:line="340" w:lineRule="exact"/>
              <w:jc w:val="left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陕西有色集团铜川铝业公司</w:t>
            </w:r>
          </w:p>
        </w:tc>
        <w:tc>
          <w:tcPr>
            <w:tcW w:w="4428" w:type="dxa"/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总投资150亿元，建设年产30万吨预焙阳极、45万吨铝镁合金及配套动力站、20万吨航汽铝深加工以及配套的西北物流园等一揽子项目。</w:t>
            </w:r>
            <w:r>
              <w:rPr>
                <w:rFonts w:eastAsia="宋体"/>
                <w:kern w:val="24"/>
                <w:sz w:val="28"/>
                <w:szCs w:val="28"/>
              </w:rPr>
              <w:t>铜川铝业240台电解槽恢复生产。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戎河山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工业财贸科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spacing w:val="-26"/>
                <w:kern w:val="24"/>
                <w:sz w:val="28"/>
                <w:szCs w:val="28"/>
              </w:rPr>
            </w:pPr>
            <w:r>
              <w:rPr>
                <w:rFonts w:eastAsia="宋体"/>
                <w:spacing w:val="-26"/>
                <w:kern w:val="24"/>
                <w:sz w:val="28"/>
                <w:szCs w:val="28"/>
              </w:rPr>
              <w:t>钞智慧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left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华能二期及南市区集中供热项目</w:t>
            </w:r>
          </w:p>
        </w:tc>
        <w:tc>
          <w:tcPr>
            <w:tcW w:w="1968" w:type="dxa"/>
            <w:vAlign w:val="center"/>
          </w:tcPr>
          <w:p>
            <w:pPr>
              <w:spacing w:line="340" w:lineRule="exact"/>
              <w:ind w:left="560" w:hanging="560" w:hangingChars="200"/>
              <w:jc w:val="left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华能铜川照金电厂</w:t>
            </w:r>
          </w:p>
        </w:tc>
        <w:tc>
          <w:tcPr>
            <w:tcW w:w="44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总投资86.36亿元，建设2×100万千瓦发电机组，年吞吐量560万吨铁路专用线及配套设施。建设供热主干管网62公里，供热面积约1650万平方米。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王延武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投资项目科</w:t>
            </w:r>
          </w:p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市能源局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郭宏杰</w:t>
            </w:r>
          </w:p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张大伟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西安-铜川-延安城际高铁建设项目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340" w:lineRule="exact"/>
              <w:ind w:left="560" w:hanging="560" w:hangingChars="200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陕西西成合资公司</w:t>
            </w:r>
          </w:p>
        </w:tc>
        <w:tc>
          <w:tcPr>
            <w:tcW w:w="44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估算总投资116.2亿元，铜川境内规划长度约83公里，设计时速350公里每小时，拟设铜川新区、王益、宜君三个站点。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王晓宏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市铁路办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李慧玲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铜川矿业公司光伏电站建设项目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陕西煤业化工集团有限责任公司</w:t>
            </w:r>
          </w:p>
        </w:tc>
        <w:tc>
          <w:tcPr>
            <w:tcW w:w="4428" w:type="dxa"/>
            <w:vAlign w:val="center"/>
          </w:tcPr>
          <w:p>
            <w:pPr>
              <w:spacing w:line="340" w:lineRule="exact"/>
              <w:jc w:val="left"/>
              <w:rPr>
                <w:rFonts w:eastAsia="宋体"/>
                <w:kern w:val="21"/>
                <w:sz w:val="28"/>
                <w:szCs w:val="28"/>
              </w:rPr>
            </w:pPr>
            <w:r>
              <w:rPr>
                <w:rFonts w:eastAsia="宋体"/>
                <w:kern w:val="21"/>
                <w:sz w:val="28"/>
                <w:szCs w:val="28"/>
              </w:rPr>
              <w:t>总投资45亿元，建设500兆瓦光伏电站和全国微电网示范基地。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王晓宏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市能源局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24"/>
                <w:sz w:val="28"/>
                <w:szCs w:val="28"/>
              </w:rPr>
            </w:pPr>
            <w:r>
              <w:rPr>
                <w:rFonts w:eastAsia="宋体"/>
                <w:kern w:val="24"/>
                <w:sz w:val="28"/>
                <w:szCs w:val="28"/>
              </w:rPr>
              <w:t>何育宁</w:t>
            </w:r>
          </w:p>
        </w:tc>
      </w:tr>
    </w:tbl>
    <w:p>
      <w:pPr>
        <w:rPr>
          <w:snapToGrid w:val="0"/>
          <w:kern w:val="0"/>
        </w:rPr>
      </w:pPr>
    </w:p>
    <w:p/>
    <w:sectPr>
      <w:pgSz w:w="16838" w:h="11906" w:orient="landscape"/>
      <w:pgMar w:top="1531" w:right="1871" w:bottom="1531" w:left="2211" w:header="851" w:footer="1644" w:gutter="0"/>
      <w:pgNumType w:fmt="decimal"/>
      <w:cols w:space="720" w:num="1"/>
      <w:docGrid w:linePitch="57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云丰华</dc:creator>
  <cp:lastModifiedBy>云丰华</cp:lastModifiedBy>
  <dcterms:modified xsi:type="dcterms:W3CDTF">2016-08-11T09:22:34Z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